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7391B" w:rsidRDefault="00500F0E">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F7391B">
        <w:tc>
          <w:tcPr>
            <w:tcW w:w="750" w:type="dxa"/>
            <w:shd w:val="clear" w:color="auto" w:fill="FFFFFF"/>
            <w:noWrap/>
            <w:tcMar>
              <w:top w:w="75" w:type="dxa"/>
              <w:left w:w="75" w:type="dxa"/>
              <w:bottom w:w="75" w:type="dxa"/>
              <w:right w:w="75" w:type="dxa"/>
            </w:tcMar>
            <w:vAlign w:val="center"/>
          </w:tcPr>
          <w:p w:rsidR="00F7391B" w:rsidRDefault="00500F0E">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rsidR="00F7391B" w:rsidRDefault="00500F0E">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rsidR="00F7391B" w:rsidRDefault="00500F0E">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rsidR="00F7391B" w:rsidRDefault="00500F0E">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rsidR="00F7391B" w:rsidRDefault="00500F0E">
            <w:pPr>
              <w:jc w:val="center"/>
            </w:pPr>
            <w:r>
              <w:rPr>
                <w:b/>
              </w:rPr>
              <w:t>Pamatojums, ja iebildums / priekšlikums nav ņemts vērā</w:t>
            </w:r>
          </w:p>
        </w:tc>
      </w:tr>
      <w:tr w:rsidR="00F7391B">
        <w:tc>
          <w:tcPr>
            <w:tcW w:w="750" w:type="dxa"/>
            <w:shd w:val="clear" w:color="auto" w:fill="FFFFFF"/>
            <w:noWrap/>
            <w:tcMar>
              <w:top w:w="75" w:type="dxa"/>
              <w:left w:w="75" w:type="dxa"/>
              <w:bottom w:w="75" w:type="dxa"/>
              <w:right w:w="75" w:type="dxa"/>
            </w:tcMar>
            <w:vAlign w:val="center"/>
          </w:tcPr>
          <w:p w:rsidR="00F7391B" w:rsidRDefault="00500F0E">
            <w:pPr>
              <w:jc w:val="center"/>
            </w:pPr>
            <w:r>
              <w:t>1.</w:t>
            </w:r>
          </w:p>
        </w:tc>
        <w:tc>
          <w:tcPr>
            <w:tcW w:w="4155" w:type="dxa"/>
            <w:shd w:val="clear" w:color="auto" w:fill="FFFFFF"/>
            <w:noWrap/>
            <w:tcMar>
              <w:top w:w="75" w:type="dxa"/>
              <w:left w:w="75" w:type="dxa"/>
              <w:bottom w:w="75" w:type="dxa"/>
              <w:right w:w="75" w:type="dxa"/>
            </w:tcMar>
            <w:vAlign w:val="center"/>
          </w:tcPr>
          <w:p w:rsidR="00F7391B" w:rsidRDefault="00500F0E">
            <w:pPr>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rsidR="00F7391B" w:rsidRDefault="00500F0E">
            <w:pPr>
              <w:jc w:val="left"/>
            </w:pPr>
            <w:r>
              <w:t xml:space="preserve">Pašlaik notiek Krievijas–Ukrainas karš. Tas ir saspringts laiks Latvijas sabiedrībai un visai civilizētajai pasaulei kopumā. Nozīmīgi šajā situācijā ir sociāli atbalstīt ne tikvien Latvijas iedzīvotājus, bet arī kara bēgļus no Ukrainas, kas Latvijā meklē patvērumu no kara šausmām. Šim atbalstam ir jābūt ilgstošam, jo arī pēc kara beigām būs vajadzīgs laiks, kamēr Ukraina spēs atjaunot drošus un pienācīgus dzīves apstākļus savās kara izpostītajās teritorijās. Protams, Krievijas militārās agresijas izraisītās ekonomiskās krīzes dēļ ir apgrūtinātas iespējas rast naudu šiem mērķiem. Tomēr naudu ilgstošam sociālajam atbalstam ir jāatrod, jo patreiz Ukraina sargā </w:t>
            </w:r>
            <w:r>
              <w:lastRenderedPageBreak/>
              <w:t>visas Eiropas drošību – visas demokrātiskās pasaules drošību. Risinājums šajā situācijā varētu būt kredīts no Pasaules Bankas (Pasaules Bankas mājaslapa: worldbank.org/</w:t>
            </w:r>
            <w:proofErr w:type="spellStart"/>
            <w:r>
              <w:t>en</w:t>
            </w:r>
            <w:proofErr w:type="spellEnd"/>
            <w:r>
              <w:t>/</w:t>
            </w:r>
            <w:proofErr w:type="spellStart"/>
            <w:r>
              <w:t>home</w:t>
            </w:r>
            <w:proofErr w:type="spellEnd"/>
            <w:r>
              <w:t xml:space="preserve"> [</w:t>
            </w:r>
            <w:proofErr w:type="spellStart"/>
            <w:r>
              <w:t>World</w:t>
            </w:r>
            <w:proofErr w:type="spellEnd"/>
            <w:r>
              <w:t xml:space="preserve"> </w:t>
            </w:r>
            <w:proofErr w:type="spellStart"/>
            <w:r>
              <w:t>Bank</w:t>
            </w:r>
            <w:proofErr w:type="spellEnd"/>
            <w:r>
              <w:t xml:space="preserve"> </w:t>
            </w:r>
            <w:proofErr w:type="spellStart"/>
            <w:r>
              <w:t>Group</w:t>
            </w:r>
            <w:proofErr w:type="spellEnd"/>
            <w:r>
              <w:t xml:space="preserve"> - </w:t>
            </w:r>
            <w:proofErr w:type="spellStart"/>
            <w:r>
              <w:t>International</w:t>
            </w:r>
            <w:proofErr w:type="spellEnd"/>
            <w:r>
              <w:t xml:space="preserve"> </w:t>
            </w:r>
            <w:proofErr w:type="spellStart"/>
            <w:r>
              <w:t>Development</w:t>
            </w:r>
            <w:proofErr w:type="spellEnd"/>
            <w:r>
              <w:t xml:space="preserve">, </w:t>
            </w:r>
            <w:proofErr w:type="spellStart"/>
            <w:r>
              <w:t>Poverty</w:t>
            </w:r>
            <w:proofErr w:type="spellEnd"/>
            <w:r>
              <w:t xml:space="preserve">, &amp; </w:t>
            </w:r>
            <w:proofErr w:type="spellStart"/>
            <w:r>
              <w:t>Sustainability</w:t>
            </w:r>
            <w:proofErr w:type="spellEnd"/>
            <w:r>
              <w:t>]). Bez šaubām, šāds problēmas risinājums mūsu sabiedrības acīs varētu būt nepopulārs, taču pēc tam, kad Krievija zaudēs Krievijas–Ukrainas karā, no Krievijas kā kara vaininieces varēs piedzīt reparācijas caur ANO Starptautisko tiesu. Latvijai vajag savlaicīgi uzskaitīt katru eiro un katru centu, kas tiek izlietots Ukrainas kara bēgļu atbalstam. Svarīgi ir palīdzēt Ukrainai un ukraiņiem jau tagad, jo Ukrainas valstiskuma spēcināšana ir drošības garants arī Latvijai.  </w:t>
            </w:r>
          </w:p>
        </w:tc>
        <w:tc>
          <w:tcPr>
            <w:tcW w:w="1350" w:type="dxa"/>
            <w:shd w:val="clear" w:color="auto" w:fill="FFFFFF"/>
            <w:noWrap/>
            <w:tcMar>
              <w:top w:w="75" w:type="dxa"/>
              <w:left w:w="75" w:type="dxa"/>
              <w:bottom w:w="75" w:type="dxa"/>
              <w:right w:w="75" w:type="dxa"/>
            </w:tcMar>
            <w:vAlign w:val="center"/>
          </w:tcPr>
          <w:p w:rsidR="00F7391B" w:rsidRDefault="00F16CA9">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rsidR="00F7391B" w:rsidRDefault="00A619CD" w:rsidP="00F16CA9">
            <w:r>
              <w:t>Viedoklis nav attiecināms uz šo likumprojektu,</w:t>
            </w:r>
            <w:r>
              <w:t xml:space="preserve"> tomēr informējam, ka atbalsts Ukrainas civiliedzīvotājiem tiek nodrošināts un tiks nodrošināts arī turpmāk gan attiecībā uz</w:t>
            </w:r>
            <w:r w:rsidR="00F16CA9">
              <w:t xml:space="preserve"> pabalstiem, gan pakalpojumiem, tai skaitā no šī likumprojekta izrietošajiem pabalstiem, kurus tiesīgi ir saņemt </w:t>
            </w:r>
            <w:r w:rsidR="00F16CA9">
              <w:t>Ukrainas civiliedzīvotāji</w:t>
            </w:r>
            <w:r w:rsidR="00F16CA9">
              <w:t xml:space="preserve">. </w:t>
            </w:r>
          </w:p>
        </w:tc>
      </w:tr>
      <w:tr w:rsidR="00F7391B">
        <w:tc>
          <w:tcPr>
            <w:tcW w:w="750" w:type="dxa"/>
            <w:shd w:val="clear" w:color="auto" w:fill="FFFFFF"/>
            <w:noWrap/>
            <w:tcMar>
              <w:top w:w="75" w:type="dxa"/>
              <w:left w:w="75" w:type="dxa"/>
              <w:bottom w:w="75" w:type="dxa"/>
              <w:right w:w="75" w:type="dxa"/>
            </w:tcMar>
            <w:vAlign w:val="center"/>
          </w:tcPr>
          <w:p w:rsidR="00F7391B" w:rsidRDefault="00500F0E">
            <w:pPr>
              <w:jc w:val="center"/>
            </w:pPr>
            <w:r>
              <w:t>2.</w:t>
            </w:r>
          </w:p>
        </w:tc>
        <w:tc>
          <w:tcPr>
            <w:tcW w:w="4155" w:type="dxa"/>
            <w:shd w:val="clear" w:color="auto" w:fill="FFFFFF"/>
            <w:noWrap/>
            <w:tcMar>
              <w:top w:w="75" w:type="dxa"/>
              <w:left w:w="75" w:type="dxa"/>
              <w:bottom w:w="75" w:type="dxa"/>
              <w:right w:w="75" w:type="dxa"/>
            </w:tcMar>
            <w:vAlign w:val="center"/>
          </w:tcPr>
          <w:p w:rsidR="00F7391B" w:rsidRDefault="00500F0E">
            <w:pPr>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rsidR="00F7391B" w:rsidRDefault="00500F0E">
            <w:pPr>
              <w:jc w:val="left"/>
            </w:pPr>
            <w:r>
              <w:t xml:space="preserve">Man ir dažas pretenzijas sakarā ar trūcīgo pārtikas paku izsniegšanu, to kvalitāti un kvantitāti. Mana pieredze rāda, ka trūcīgo pārtikas </w:t>
            </w:r>
            <w:r>
              <w:lastRenderedPageBreak/>
              <w:t>pakas izsniedz reizi divos mēnešos. Pēc manām domāt, tas nav pietiekams atbalsta apjoms. Trūcīgo pārtikas pakas augstumā ir 23,5 centimetrus augstas, platumā 20 centimetrus platas, bet garumā ir 30 centimetrus garas. Tas ir nepietiekams pārtikas apjoms, lai trūcīga vai maznodrošināta persona varētu pilnvērtīgi dzīvot. Cilvēki grib ēst visu laiku, ēšana ir cilvēku fizioloģiskā pamatvajadzība, bez kuras dzīvošana (arī izdzīvošana, kas šajā situācijā būtu atbilstošāks termins) nav iespējama. Es uzskatu, ka pārtikas pakas ir jāizsniedz reizi mēnesī, bet tik un tā tas nebūs pietiekami. Taču tas varētu būt kompromiss starp sabiedrības vajadzībām un pieejamajiem finanšu resursiem.</w:t>
            </w:r>
            <w:r>
              <w:br/>
              <w:t xml:space="preserve">Mani neapmierina šo pārtikas paku saturs, jo tas neatbilst to cilvēku vajadzībām, kuriem ir dažāda veida alerģijas uz konkrētiem pārtikas produktiem. Piemēram, alerģija uz graudaugos esošo lipekli – </w:t>
            </w:r>
            <w:proofErr w:type="spellStart"/>
            <w:r>
              <w:t>glutēnu</w:t>
            </w:r>
            <w:proofErr w:type="spellEnd"/>
            <w:r>
              <w:t xml:space="preserve"> (avots: </w:t>
            </w:r>
            <w:r>
              <w:lastRenderedPageBreak/>
              <w:t>sigmaaldrich.com/LV/</w:t>
            </w:r>
            <w:proofErr w:type="spellStart"/>
            <w:r>
              <w:t>en</w:t>
            </w:r>
            <w:proofErr w:type="spellEnd"/>
            <w:r>
              <w:t>/</w:t>
            </w:r>
            <w:proofErr w:type="spellStart"/>
            <w:r>
              <w:t>sds</w:t>
            </w:r>
            <w:proofErr w:type="spellEnd"/>
            <w:r>
              <w:t>/sigma/g5004 [</w:t>
            </w:r>
            <w:proofErr w:type="spellStart"/>
            <w:r>
              <w:t>Gluten</w:t>
            </w:r>
            <w:proofErr w:type="spellEnd"/>
            <w:r>
              <w:t xml:space="preserve"> SAFETY DATA SHEET (SDS) (sigmaaldrich.com)]). </w:t>
            </w:r>
            <w:proofErr w:type="spellStart"/>
            <w:r>
              <w:t>Glutēnu</w:t>
            </w:r>
            <w:proofErr w:type="spellEnd"/>
            <w:r>
              <w:t xml:space="preserve"> veido tādas olbaltumvielas kā </w:t>
            </w:r>
            <w:proofErr w:type="spellStart"/>
            <w:r>
              <w:t>gliadīns</w:t>
            </w:r>
            <w:proofErr w:type="spellEnd"/>
            <w:r>
              <w:t xml:space="preserve"> (avots: pubchem.ncbi.nlm.nih.gov/</w:t>
            </w:r>
            <w:proofErr w:type="spellStart"/>
            <w:r>
              <w:t>compound</w:t>
            </w:r>
            <w:proofErr w:type="spellEnd"/>
            <w:r>
              <w:t>/</w:t>
            </w:r>
            <w:proofErr w:type="spellStart"/>
            <w:r>
              <w:t>Gliadins</w:t>
            </w:r>
            <w:proofErr w:type="spellEnd"/>
            <w:r>
              <w:t xml:space="preserve">) un </w:t>
            </w:r>
            <w:proofErr w:type="spellStart"/>
            <w:r>
              <w:t>glutenīns</w:t>
            </w:r>
            <w:proofErr w:type="spellEnd"/>
            <w:r>
              <w:t xml:space="preserve"> (avots: chemicalbook.com/ChemicalProductProperty_EN_CB8293118.htm). Ne visiem cilvēkiem zarnu trakts ir spējīgs tikt galā ar šīm specifiskajām olbaltumvielām, ir cilvēki, kuri saskaras ļoti spēcīgu alerģiju </w:t>
            </w:r>
            <w:proofErr w:type="spellStart"/>
            <w:r>
              <w:t>glutēnu</w:t>
            </w:r>
            <w:proofErr w:type="spellEnd"/>
            <w:r>
              <w:t xml:space="preserve"> saturošu pārtikas produktu dēļ.  Barot </w:t>
            </w:r>
            <w:proofErr w:type="spellStart"/>
            <w:r>
              <w:t>celiakijas</w:t>
            </w:r>
            <w:proofErr w:type="spellEnd"/>
            <w:r>
              <w:t xml:space="preserve"> slimniekus ar šāda veida pārtikas pakām ir visai bezatbildīgi un noziedzīgi. Zviedrijā veikts pētījums pierāda, ka </w:t>
            </w:r>
            <w:proofErr w:type="spellStart"/>
            <w:r>
              <w:t>celiakija</w:t>
            </w:r>
            <w:proofErr w:type="spellEnd"/>
            <w:r>
              <w:t xml:space="preserve"> samazina sabiedrības dzīvildzi (avots: ncbi.nlm.nih.gov/</w:t>
            </w:r>
            <w:proofErr w:type="spellStart"/>
            <w:r>
              <w:t>pmc</w:t>
            </w:r>
            <w:proofErr w:type="spellEnd"/>
            <w:r>
              <w:t>/</w:t>
            </w:r>
            <w:proofErr w:type="spellStart"/>
            <w:r>
              <w:t>articles</w:t>
            </w:r>
            <w:proofErr w:type="spellEnd"/>
            <w:r>
              <w:t xml:space="preserve">/PMC7139272/ [Association </w:t>
            </w:r>
            <w:proofErr w:type="spellStart"/>
            <w:r>
              <w:t>Between</w:t>
            </w:r>
            <w:proofErr w:type="spellEnd"/>
            <w:r>
              <w:t xml:space="preserve"> </w:t>
            </w:r>
            <w:proofErr w:type="spellStart"/>
            <w:r>
              <w:t>Celiac</w:t>
            </w:r>
            <w:proofErr w:type="spellEnd"/>
            <w:r>
              <w:t xml:space="preserve"> </w:t>
            </w:r>
            <w:proofErr w:type="spellStart"/>
            <w:r>
              <w:t>Disease</w:t>
            </w:r>
            <w:proofErr w:type="spellEnd"/>
            <w:r>
              <w:t xml:space="preserve"> </w:t>
            </w:r>
            <w:proofErr w:type="spellStart"/>
            <w:r>
              <w:t>and</w:t>
            </w:r>
            <w:proofErr w:type="spellEnd"/>
            <w:r>
              <w:t xml:space="preserve"> </w:t>
            </w:r>
            <w:proofErr w:type="spellStart"/>
            <w:r>
              <w:t>Mortality</w:t>
            </w:r>
            <w:proofErr w:type="spellEnd"/>
            <w:r>
              <w:t xml:space="preserve"> Risk </w:t>
            </w:r>
            <w:proofErr w:type="spellStart"/>
            <w:r>
              <w:t>in</w:t>
            </w:r>
            <w:proofErr w:type="spellEnd"/>
            <w:r>
              <w:t xml:space="preserve"> a </w:t>
            </w:r>
            <w:proofErr w:type="spellStart"/>
            <w:r>
              <w:t>Swedish</w:t>
            </w:r>
            <w:proofErr w:type="spellEnd"/>
            <w:r>
              <w:t xml:space="preserve"> </w:t>
            </w:r>
            <w:proofErr w:type="spellStart"/>
            <w:r>
              <w:t>Population</w:t>
            </w:r>
            <w:proofErr w:type="spellEnd"/>
            <w:r>
              <w:t xml:space="preserve"> - PMC (nih.gov)]). Ir jāveic izmaiņas trūcīgo pārtikas paku saturā. Ir </w:t>
            </w:r>
            <w:r>
              <w:lastRenderedPageBreak/>
              <w:t>jānodrošina veselīga un droša pārtika visiem trūcīgajiem un maznodrošinātajiem cilvēkiem. Cilvēkus nedrīkst diskriminēt veselības stāvokļa dēļ.</w:t>
            </w:r>
            <w:r>
              <w:br/>
              <w:t>Diemžēl trūcīgo pārtikas pakās gadās pa kādam negaršīgam pārtikas produktam. Piemēram, sautētās gaļas konservi ir negaršīgi. Tāda sajūta, ka lauru lapas un melnie pipari ir samalti kopā ar gaļu. Garša ir nepatīkama. Lauru lapas ir pievienotas pārāk lielā daudzumā. Senāk trūcīgo pārtikas pakās bija nerafinēta augu eļļa. Paldies Dieviem, ka tagad trūcīgo pārtikas pakās ir iekļauta rafinēta augu eļļa! Citādi ēdiena gatavošana būtu apgrūtināta. </w:t>
            </w:r>
          </w:p>
        </w:tc>
        <w:tc>
          <w:tcPr>
            <w:tcW w:w="1350" w:type="dxa"/>
            <w:shd w:val="clear" w:color="auto" w:fill="FFFFFF"/>
            <w:noWrap/>
            <w:tcMar>
              <w:top w:w="75" w:type="dxa"/>
              <w:left w:w="75" w:type="dxa"/>
              <w:bottom w:w="75" w:type="dxa"/>
              <w:right w:w="75" w:type="dxa"/>
            </w:tcMar>
            <w:vAlign w:val="center"/>
          </w:tcPr>
          <w:p w:rsidR="00F7391B" w:rsidRDefault="00B96870">
            <w:pPr>
              <w:jc w:val="left"/>
            </w:pPr>
            <w:r>
              <w:lastRenderedPageBreak/>
              <w:t xml:space="preserve">Nav ņemts vērā. </w:t>
            </w:r>
          </w:p>
        </w:tc>
        <w:tc>
          <w:tcPr>
            <w:tcW w:w="4156" w:type="dxa"/>
            <w:shd w:val="clear" w:color="auto" w:fill="FFFFFF"/>
            <w:noWrap/>
            <w:tcMar>
              <w:top w:w="75" w:type="dxa"/>
              <w:left w:w="75" w:type="dxa"/>
              <w:bottom w:w="75" w:type="dxa"/>
              <w:right w:w="75" w:type="dxa"/>
            </w:tcMar>
            <w:vAlign w:val="center"/>
          </w:tcPr>
          <w:p w:rsidR="00B365EB" w:rsidRPr="00D80322" w:rsidRDefault="00A619CD" w:rsidP="00B365EB">
            <w:pPr>
              <w:pStyle w:val="ydpaa91b09emsonormal"/>
              <w:spacing w:before="0" w:beforeAutospacing="0" w:after="0" w:afterAutospacing="0"/>
              <w:jc w:val="both"/>
            </w:pPr>
            <w:r>
              <w:t xml:space="preserve">Viedoklis nav attiecināms uz </w:t>
            </w:r>
            <w:r>
              <w:t xml:space="preserve">šo likumprojektu, tomēr sniedzam atbildi uz izteikto viedokli. </w:t>
            </w:r>
            <w:r w:rsidR="00B365EB" w:rsidRPr="00D80322">
              <w:t xml:space="preserve">Viens no Eiropas Atbalsta fonda vistrūcīgākajām personām (turpmāk – EAFVP) darbības </w:t>
            </w:r>
            <w:r w:rsidR="00B365EB" w:rsidRPr="00D80322">
              <w:lastRenderedPageBreak/>
              <w:t>programmas īstenošanas pamatprincipiem ir mazināt personām šķēršļus vai grūtības atbalsta saņemšanai. Vienīgais dokuments, kas nepieciešams EAFVP atbalsta komplektu saņemšanai, ir pašvaldības sociālā dienesta izsniegta izziņa. Papildu personu vai statusu apliecinošie dokumenti netiek prasīti.</w:t>
            </w:r>
          </w:p>
          <w:p w:rsidR="00B365EB" w:rsidRPr="00D80322" w:rsidRDefault="00B365EB" w:rsidP="00B365EB">
            <w:pPr>
              <w:pStyle w:val="ydpaa91b09emsonormal"/>
              <w:spacing w:before="0" w:beforeAutospacing="0" w:after="0" w:afterAutospacing="0"/>
              <w:jc w:val="both"/>
            </w:pPr>
            <w:r w:rsidRPr="00D80322">
              <w:t>EAFVP ietvaros darbojas zupas virtuves, kurās gatavās maltītes ir pieejamas jebkurai personai bez iepriekšminētās izziņas vai citu apl</w:t>
            </w:r>
            <w:r>
              <w:t>iecinošo dokumentu uzrādīšanas.</w:t>
            </w:r>
            <w:r w:rsidRPr="00D80322">
              <w:t xml:space="preserve"> Informācija par to atrašanās vietām un darba laikiem atrodama tīmekļvietnē </w:t>
            </w:r>
            <w:hyperlink r:id="rId7" w:history="1">
              <w:r w:rsidRPr="00454AAE">
                <w:rPr>
                  <w:rStyle w:val="Hyperlink"/>
                </w:rPr>
                <w:t>www.atbalstapakas.lv</w:t>
              </w:r>
            </w:hyperlink>
            <w:r>
              <w:rPr>
                <w:rStyle w:val="Hyperlink"/>
              </w:rPr>
              <w:t xml:space="preserve">. </w:t>
            </w:r>
          </w:p>
          <w:p w:rsidR="00B365EB" w:rsidRPr="00D80322" w:rsidRDefault="00B365EB" w:rsidP="00B365EB">
            <w:pPr>
              <w:pStyle w:val="ydpaa91b09emsonormal"/>
              <w:spacing w:before="0" w:beforeAutospacing="0" w:after="0" w:afterAutospacing="0"/>
              <w:jc w:val="both"/>
            </w:pPr>
            <w:r w:rsidRPr="00D80322">
              <w:t>Attiecībā uz Jūsu ierosinājumu ieviest palielinātu EAFVP atbalsta komplektu skaitu informējam, ka:</w:t>
            </w:r>
          </w:p>
          <w:p w:rsidR="00B365EB" w:rsidRPr="00D80322" w:rsidRDefault="00B365EB" w:rsidP="00B365EB">
            <w:pPr>
              <w:pStyle w:val="ydpaa91b09emsonormal"/>
              <w:numPr>
                <w:ilvl w:val="0"/>
                <w:numId w:val="1"/>
              </w:numPr>
              <w:spacing w:before="0" w:beforeAutospacing="0" w:after="0" w:afterAutospacing="0"/>
              <w:ind w:left="714" w:hanging="357"/>
              <w:jc w:val="both"/>
            </w:pPr>
            <w:r w:rsidRPr="00D80322">
              <w:t>pārtikas komplekta saturs un apjoms EAFVP īstenošanas laikā vairākkārt ir pārskatīts, pilnveidots un palielināts. Produktu klāsta noteikšanā un pilnveidē ņemti vērā ikgadējās EAFVP atbalsta saņēmēju aptaujās noskaidrotie viedokļi un ieteikumi, nodrošinot lielāku komplektā esošo produktu daudzveidību un uzturvielu sabalansētību. Uzsākot EAFVP īstenošanu</w:t>
            </w:r>
            <w:r>
              <w:t xml:space="preserve"> 2015.gadā</w:t>
            </w:r>
            <w:r w:rsidRPr="00D80322">
              <w:t xml:space="preserve">, pārtikas atbalsta komplektā bija iekļauti 10 </w:t>
            </w:r>
            <w:r w:rsidRPr="00D80322">
              <w:lastRenderedPageBreak/>
              <w:t>dažādi pārtikas produkti ar kopējo svaru 4,7 kg, bet 2022. gadā komplektā jau ir iekļauti 18 dažādi produkti ar kopējo svaru vairāk nekā 7 kg;</w:t>
            </w:r>
          </w:p>
          <w:p w:rsidR="00B365EB" w:rsidRPr="00D80322" w:rsidRDefault="00B365EB" w:rsidP="00B365EB">
            <w:pPr>
              <w:pStyle w:val="ydpaa91b09emsonormal"/>
              <w:numPr>
                <w:ilvl w:val="0"/>
                <w:numId w:val="1"/>
              </w:numPr>
              <w:jc w:val="both"/>
            </w:pPr>
            <w:r w:rsidRPr="00D80322">
              <w:t>iepriekšminētais palielinātais pārtikas produktu daudzums nav iepakots vēl vienā papildus kartona kastē, bet gan palielināts šīs pašas kastes apjoms, neveidojot iepakojuma materiāla daudzuma palielināšanos, tādējādi ievērojot klimatam un videi draudzīgu pieeju, vienlaikus nodrošinot EAFVP finansējuma ekonomisku, racionālu un efektīvu izmantošanu, novirzot to nevis papildus iepakojuma iegādei, bet gan papildus pārtikas iegādei;</w:t>
            </w:r>
          </w:p>
          <w:p w:rsidR="00B365EB" w:rsidRPr="00D80322" w:rsidRDefault="00B365EB" w:rsidP="00B365EB">
            <w:pPr>
              <w:pStyle w:val="ydpaa91b09emsonormal"/>
              <w:numPr>
                <w:ilvl w:val="0"/>
                <w:numId w:val="1"/>
              </w:numPr>
              <w:spacing w:before="0" w:beforeAutospacing="0" w:after="0" w:afterAutospacing="0"/>
              <w:ind w:left="714" w:hanging="357"/>
              <w:jc w:val="both"/>
            </w:pPr>
            <w:r w:rsidRPr="00D80322">
              <w:t xml:space="preserve">ņemot vērā pieejamo finansējumu, </w:t>
            </w:r>
            <w:r>
              <w:t>pārtikas komplekta saturs un apjoms arī turpmāk tiks veidots</w:t>
            </w:r>
            <w:r w:rsidRPr="00D80322">
              <w:t xml:space="preserve"> tādējādi, lai nodrošinātu produktu daudzveidību un tajos esošo uzturvielu sabalansētību, vienlaikus ievērojot sabiedrības veselības, vides aizsardzības un labas finanšu pārvaldības principus.</w:t>
            </w:r>
          </w:p>
          <w:p w:rsidR="00B365EB" w:rsidRPr="00B365EB" w:rsidRDefault="00B365EB" w:rsidP="00B365EB">
            <w:pPr>
              <w:rPr>
                <w:color w:val="auto"/>
                <w:sz w:val="24"/>
                <w:szCs w:val="24"/>
              </w:rPr>
            </w:pPr>
            <w:r w:rsidRPr="00B365EB">
              <w:rPr>
                <w:color w:val="auto"/>
                <w:sz w:val="24"/>
                <w:szCs w:val="24"/>
              </w:rPr>
              <w:t xml:space="preserve">Atbildot uz Jūsu viedokli par pārtikas komplektu saturu, jo tas neatbilst to </w:t>
            </w:r>
            <w:r w:rsidRPr="00B365EB">
              <w:rPr>
                <w:color w:val="auto"/>
                <w:sz w:val="24"/>
                <w:szCs w:val="24"/>
              </w:rPr>
              <w:lastRenderedPageBreak/>
              <w:t>cilvēku vajadzībām, kuriem ir dažāda veida alerģijas uz konkrētiem pārtikas produktiem, skaidrojam, ka EAFVP darbības programmas mērķis ir mazināt pārtikas nepietiekamību vistrūcīgākajiem iedzīvotājiem. Darbības programmas mērķos nav noteikts risināt cilvēku ar dažādām alerģijām saistīto diētu jautājumus.</w:t>
            </w:r>
          </w:p>
          <w:p w:rsidR="00B365EB" w:rsidRPr="00B365EB" w:rsidRDefault="00B365EB" w:rsidP="00B365EB">
            <w:pPr>
              <w:rPr>
                <w:color w:val="auto"/>
                <w:sz w:val="24"/>
                <w:szCs w:val="24"/>
              </w:rPr>
            </w:pPr>
            <w:r w:rsidRPr="00B365EB">
              <w:rPr>
                <w:color w:val="auto"/>
                <w:sz w:val="24"/>
                <w:szCs w:val="24"/>
              </w:rPr>
              <w:t>Pārtikas atbalsta komplekts veidots kā universālu produktu grozs, kura satura veidošanā ņemti vērā veselības nozares speciālistu un dietologu viedoklis, tajā skaitā par sniegtā atbalsta iespējamu tuvināšanu veselīga uztura piramīdas nosacījumiem. Komplektā ir maksimāli sabalansētas olbaltumvielu, ogļhidrātu un tauku apjoma proporcijas un lielāko pakas saturu veido Latvijā ražoti produkti ar „Zaļās karotītes” un “Sarkanās karotītes” preču zīmi.</w:t>
            </w:r>
          </w:p>
          <w:p w:rsidR="00B365EB" w:rsidRPr="00B365EB" w:rsidRDefault="00B365EB" w:rsidP="00B365EB">
            <w:pPr>
              <w:rPr>
                <w:color w:val="auto"/>
                <w:sz w:val="24"/>
                <w:szCs w:val="24"/>
              </w:rPr>
            </w:pPr>
            <w:r w:rsidRPr="00B365EB">
              <w:rPr>
                <w:color w:val="auto"/>
                <w:sz w:val="24"/>
                <w:szCs w:val="24"/>
              </w:rPr>
              <w:t>Komplektā iekļauto produktu saturu ierobežojošie faktori ir:</w:t>
            </w:r>
          </w:p>
          <w:p w:rsidR="00B365EB" w:rsidRPr="00B365EB" w:rsidRDefault="00B365EB" w:rsidP="00B365EB">
            <w:pPr>
              <w:numPr>
                <w:ilvl w:val="0"/>
                <w:numId w:val="2"/>
              </w:numPr>
              <w:rPr>
                <w:color w:val="auto"/>
                <w:sz w:val="24"/>
                <w:szCs w:val="24"/>
              </w:rPr>
            </w:pPr>
            <w:r w:rsidRPr="00B365EB">
              <w:rPr>
                <w:color w:val="auto"/>
                <w:sz w:val="24"/>
                <w:szCs w:val="24"/>
              </w:rPr>
              <w:t>uzglabāšanas nosacījumi (pietiekami garš derīguma termiņš; uzglabāšanai nav nepieciešams speciāls temperatūras režīms (saldētavas, pagrabi u.tml.));</w:t>
            </w:r>
          </w:p>
          <w:p w:rsidR="00B365EB" w:rsidRPr="00B365EB" w:rsidRDefault="00B365EB" w:rsidP="00B365EB">
            <w:pPr>
              <w:numPr>
                <w:ilvl w:val="0"/>
                <w:numId w:val="2"/>
              </w:numPr>
              <w:rPr>
                <w:color w:val="auto"/>
                <w:sz w:val="24"/>
                <w:szCs w:val="24"/>
              </w:rPr>
            </w:pPr>
            <w:r w:rsidRPr="00B365EB">
              <w:rPr>
                <w:color w:val="auto"/>
                <w:sz w:val="24"/>
                <w:szCs w:val="24"/>
              </w:rPr>
              <w:t xml:space="preserve">iespēja no komplektā iekļautajiem produktiem maltīti pagatavot mājas apstākļos. </w:t>
            </w:r>
          </w:p>
          <w:p w:rsidR="00B365EB" w:rsidRPr="00B365EB" w:rsidRDefault="00B365EB" w:rsidP="00B365EB">
            <w:pPr>
              <w:rPr>
                <w:color w:val="auto"/>
                <w:sz w:val="24"/>
                <w:szCs w:val="24"/>
              </w:rPr>
            </w:pPr>
            <w:r w:rsidRPr="00B365EB">
              <w:rPr>
                <w:color w:val="auto"/>
                <w:sz w:val="24"/>
                <w:szCs w:val="24"/>
              </w:rPr>
              <w:lastRenderedPageBreak/>
              <w:t>Pēc statistikas rādītājiem nevienā no komplektā iekļautajām preču grupām to apjoms nepārsniedz vienas personas valsts vidējo patēriņu.</w:t>
            </w:r>
          </w:p>
          <w:p w:rsidR="00B365EB" w:rsidRPr="00B365EB" w:rsidRDefault="00B365EB" w:rsidP="00B365EB">
            <w:pPr>
              <w:rPr>
                <w:color w:val="auto"/>
                <w:sz w:val="24"/>
                <w:szCs w:val="24"/>
              </w:rPr>
            </w:pPr>
            <w:r w:rsidRPr="00B365EB">
              <w:rPr>
                <w:color w:val="auto"/>
                <w:sz w:val="24"/>
                <w:szCs w:val="24"/>
              </w:rPr>
              <w:t>Atzīmējam, ka ar šiem komplektiem netiek nodrošināta pilna ēdienreize. Atbilstoši ikgadējai EAFVP atbalsta saņēmēju aptaujai secināms, ka daļu no ietaupītās naudas personas izlieto papildus pārtikas, tajā skaitā speciāli nepieciešamās pārtikas iegādei.</w:t>
            </w:r>
          </w:p>
          <w:p w:rsidR="00B365EB" w:rsidRPr="00B365EB" w:rsidRDefault="00B365EB" w:rsidP="00B365EB">
            <w:pPr>
              <w:rPr>
                <w:color w:val="auto"/>
                <w:sz w:val="24"/>
                <w:szCs w:val="24"/>
              </w:rPr>
            </w:pPr>
            <w:r w:rsidRPr="00B365EB">
              <w:rPr>
                <w:color w:val="auto"/>
                <w:sz w:val="24"/>
                <w:szCs w:val="24"/>
              </w:rPr>
              <w:t>Komplektu izdales vietās ir nodrošināta iespēja atstāt produktus, ja komplektu saņēmēji veselības vai citu apsvērumu dēļ nelieto kādu no komplektā iekļautajiem produktiem, tādējādi ļaujot citiem cilvēkiem tos paņemt.</w:t>
            </w:r>
          </w:p>
          <w:p w:rsidR="00B365EB" w:rsidRPr="00B365EB" w:rsidRDefault="00B365EB" w:rsidP="00B365EB">
            <w:pPr>
              <w:rPr>
                <w:color w:val="auto"/>
                <w:sz w:val="24"/>
                <w:szCs w:val="24"/>
              </w:rPr>
            </w:pPr>
            <w:r w:rsidRPr="00B365EB">
              <w:rPr>
                <w:color w:val="auto"/>
                <w:sz w:val="24"/>
                <w:szCs w:val="24"/>
              </w:rPr>
              <w:t>Atbalsta komplektos iekļautajiem gaļas konserviem noteiktie kvalitātes kritēriji nav zemāki par veikalos nopērkamiem konserviem.</w:t>
            </w:r>
          </w:p>
          <w:p w:rsidR="00B365EB" w:rsidRPr="00B365EB" w:rsidRDefault="00B365EB" w:rsidP="00B365EB">
            <w:pPr>
              <w:rPr>
                <w:color w:val="auto"/>
                <w:sz w:val="24"/>
                <w:szCs w:val="24"/>
              </w:rPr>
            </w:pPr>
            <w:r w:rsidRPr="00B365EB">
              <w:rPr>
                <w:color w:val="auto"/>
                <w:sz w:val="24"/>
                <w:szCs w:val="24"/>
              </w:rPr>
              <w:t xml:space="preserve">Lai nodrošinātu pastāvīgu pārtikas komplektos iekļauto preču kvalitātes uzraudzību, noslēgta vienošanās ar Pārtikas un veterināro dienestu (turpmāk – PVD). Veicot pārbaudes pārtikas komplektos iekļauto produktu ražošanā, iepakošanā un izplatīšanā iesaistītajos uzņēmumos, PVD vērtē produktu ražošanas procesu, kvalitātes un nekaitīguma prasību nodrošināšanu, preču izsekojamību un marķējumu. </w:t>
            </w:r>
            <w:r w:rsidRPr="00B365EB">
              <w:rPr>
                <w:color w:val="auto"/>
                <w:sz w:val="24"/>
                <w:szCs w:val="24"/>
              </w:rPr>
              <w:lastRenderedPageBreak/>
              <w:t>Komplektu uzglabāšanas un izdales vietās PVD veic higiēnas prasību atbilstības pārbaudes, kā arī pārbauda pārtikas produktu specifisko marķējumu, komplektācijas atbilstību un derīgumu termiņu ievērošanu.</w:t>
            </w:r>
          </w:p>
          <w:p w:rsidR="00B365EB" w:rsidRPr="00B365EB" w:rsidRDefault="00B365EB" w:rsidP="00B365EB">
            <w:pPr>
              <w:rPr>
                <w:color w:val="auto"/>
                <w:sz w:val="24"/>
                <w:szCs w:val="24"/>
              </w:rPr>
            </w:pPr>
          </w:p>
          <w:p w:rsidR="00B365EB" w:rsidRPr="00B365EB" w:rsidRDefault="00B365EB" w:rsidP="00B365EB">
            <w:pPr>
              <w:rPr>
                <w:color w:val="auto"/>
                <w:sz w:val="24"/>
                <w:szCs w:val="24"/>
              </w:rPr>
            </w:pPr>
            <w:r w:rsidRPr="00B365EB">
              <w:rPr>
                <w:color w:val="auto"/>
                <w:sz w:val="24"/>
                <w:szCs w:val="24"/>
              </w:rPr>
              <w:t>Aicinām sūdzību par EAFVP pārtikas komplektos iekļauto pārtikas produktu kvalitāti gadījumos vērsties Sabiedrības integrācijas fondā (turpmāk - SIF), ja iespējams, norādot produktu un ražošanas partijas numuru. Vienošanās ar PVD ietvaros SIF nekavējoties reaģē uz informāciju par bojātām vai nekvalitatīvām pārtikas precēm, lūdzot PVD veikt nepieciešamās pārbaudes. Katra saņemtā informācija tiek pārbaudīta un sagatavota atbilde iesniedzējam.</w:t>
            </w:r>
          </w:p>
          <w:p w:rsidR="00F7391B" w:rsidRDefault="00F7391B">
            <w:pPr>
              <w:jc w:val="left"/>
            </w:pPr>
          </w:p>
        </w:tc>
      </w:tr>
      <w:tr w:rsidR="00F7391B">
        <w:tc>
          <w:tcPr>
            <w:tcW w:w="750" w:type="dxa"/>
            <w:shd w:val="clear" w:color="auto" w:fill="FFFFFF"/>
            <w:noWrap/>
            <w:tcMar>
              <w:top w:w="75" w:type="dxa"/>
              <w:left w:w="75" w:type="dxa"/>
              <w:bottom w:w="75" w:type="dxa"/>
              <w:right w:w="75" w:type="dxa"/>
            </w:tcMar>
            <w:vAlign w:val="center"/>
          </w:tcPr>
          <w:p w:rsidR="00F7391B" w:rsidRDefault="00500F0E">
            <w:pPr>
              <w:jc w:val="center"/>
            </w:pPr>
            <w:r>
              <w:lastRenderedPageBreak/>
              <w:t>3.</w:t>
            </w:r>
          </w:p>
        </w:tc>
        <w:tc>
          <w:tcPr>
            <w:tcW w:w="4155" w:type="dxa"/>
            <w:shd w:val="clear" w:color="auto" w:fill="FFFFFF"/>
            <w:noWrap/>
            <w:tcMar>
              <w:top w:w="75" w:type="dxa"/>
              <w:left w:w="75" w:type="dxa"/>
              <w:bottom w:w="75" w:type="dxa"/>
              <w:right w:w="75" w:type="dxa"/>
            </w:tcMar>
            <w:vAlign w:val="center"/>
          </w:tcPr>
          <w:p w:rsidR="00F7391B" w:rsidRDefault="00500F0E">
            <w:pPr>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rsidR="00F7391B" w:rsidRDefault="00500F0E">
            <w:pPr>
              <w:jc w:val="left"/>
            </w:pPr>
            <w:r>
              <w:t xml:space="preserve">Mani ļoti apbēdina, ka Latvijā trūcīgiem un maznodrošinātiem jauniešiem (arī jaunietēm) nav iespēju saņemt ģimenes valsts pabalstu, studējot kādā augstākās izglītības iestādē. Manuprāt, šāda attieksme pret trūcīgajiem un maznodrošinātajiem jauniešiem ir ļoti netaisnīga, cietsirdīga, rupja un neētiskā. Liedzot trūcīgiem un </w:t>
            </w:r>
            <w:r>
              <w:lastRenderedPageBreak/>
              <w:t>maznodrošinātiem studentiem saņemt ģimenes valsts pabalstu (avots: likumi.lv/</w:t>
            </w:r>
            <w:proofErr w:type="spellStart"/>
            <w:r>
              <w:t>ta</w:t>
            </w:r>
            <w:proofErr w:type="spellEnd"/>
            <w:r>
              <w:t>/</w:t>
            </w:r>
            <w:proofErr w:type="spellStart"/>
            <w:r>
              <w:t>id</w:t>
            </w:r>
            <w:proofErr w:type="spellEnd"/>
            <w:r>
              <w:t>/68483-valsts-socialo-pabalstu-likums [Valsts sociālo pabalstu likums (likumi.lv)]), valsts rīkojas nekrietni un bezatbildīgi. Mūsu valstī ir tiesības saņemt ģimenes valsts pabalstu (tautā sauktu par bērnu pabalstu) līdz 20 gadu vecumam, bet Vācijā šāda veida atbalsts ir līdz 25 gadu vecumam! Un tas attiecas arī uz augstāko izglītības iestāžu studentiem (avots: jugend.dgb.de/studium/dein-geld/studienfinanzierung/++co++ef038722-76a9-11e2-b4fa-5254004678b5 [</w:t>
            </w:r>
            <w:proofErr w:type="spellStart"/>
            <w:r>
              <w:t>Kindergeld</w:t>
            </w:r>
            <w:proofErr w:type="spellEnd"/>
            <w:r>
              <w:t xml:space="preserve"> (dgb.de)])! Vācijā šī pabalsta apjoms ir veseli 219 eiro! Citāts: «</w:t>
            </w:r>
            <w:proofErr w:type="spellStart"/>
            <w:r>
              <w:t>Für</w:t>
            </w:r>
            <w:proofErr w:type="spellEnd"/>
            <w:r>
              <w:t xml:space="preserve"> </w:t>
            </w:r>
            <w:proofErr w:type="spellStart"/>
            <w:r>
              <w:t>jedes</w:t>
            </w:r>
            <w:proofErr w:type="spellEnd"/>
            <w:r>
              <w:t xml:space="preserve"> </w:t>
            </w:r>
            <w:proofErr w:type="spellStart"/>
            <w:r>
              <w:t>erste</w:t>
            </w:r>
            <w:proofErr w:type="spellEnd"/>
            <w:r>
              <w:t xml:space="preserve"> </w:t>
            </w:r>
            <w:proofErr w:type="spellStart"/>
            <w:r>
              <w:t>und</w:t>
            </w:r>
            <w:proofErr w:type="spellEnd"/>
            <w:r>
              <w:t xml:space="preserve"> </w:t>
            </w:r>
            <w:proofErr w:type="spellStart"/>
            <w:r>
              <w:t>zweite</w:t>
            </w:r>
            <w:proofErr w:type="spellEnd"/>
            <w:r>
              <w:t xml:space="preserve"> </w:t>
            </w:r>
            <w:proofErr w:type="spellStart"/>
            <w:r>
              <w:t>Kind</w:t>
            </w:r>
            <w:proofErr w:type="spellEnd"/>
            <w:r>
              <w:t xml:space="preserve"> </w:t>
            </w:r>
            <w:proofErr w:type="spellStart"/>
            <w:r>
              <w:t>besteht</w:t>
            </w:r>
            <w:proofErr w:type="spellEnd"/>
            <w:r>
              <w:t xml:space="preserve"> </w:t>
            </w:r>
            <w:proofErr w:type="spellStart"/>
            <w:r>
              <w:t>aktuell</w:t>
            </w:r>
            <w:proofErr w:type="spellEnd"/>
            <w:r>
              <w:t xml:space="preserve"> </w:t>
            </w:r>
            <w:proofErr w:type="spellStart"/>
            <w:r>
              <w:t>ein</w:t>
            </w:r>
            <w:proofErr w:type="spellEnd"/>
            <w:r>
              <w:t xml:space="preserve"> </w:t>
            </w:r>
            <w:proofErr w:type="spellStart"/>
            <w:r>
              <w:t>monatlicher</w:t>
            </w:r>
            <w:proofErr w:type="spellEnd"/>
            <w:r>
              <w:t xml:space="preserve"> </w:t>
            </w:r>
            <w:proofErr w:type="spellStart"/>
            <w:r>
              <w:t>Anspruch</w:t>
            </w:r>
            <w:proofErr w:type="spellEnd"/>
            <w:r>
              <w:t xml:space="preserve"> </w:t>
            </w:r>
            <w:proofErr w:type="spellStart"/>
            <w:r>
              <w:t>auf</w:t>
            </w:r>
            <w:proofErr w:type="spellEnd"/>
            <w:r>
              <w:t xml:space="preserve"> 219 </w:t>
            </w:r>
            <w:proofErr w:type="spellStart"/>
            <w:r>
              <w:t>Euro</w:t>
            </w:r>
            <w:proofErr w:type="spellEnd"/>
            <w:r>
              <w:t xml:space="preserve"> </w:t>
            </w:r>
            <w:proofErr w:type="spellStart"/>
            <w:r>
              <w:t>Kindergeld</w:t>
            </w:r>
            <w:proofErr w:type="spellEnd"/>
            <w:r>
              <w:t xml:space="preserve">. </w:t>
            </w:r>
            <w:proofErr w:type="spellStart"/>
            <w:r>
              <w:t>Für</w:t>
            </w:r>
            <w:proofErr w:type="spellEnd"/>
            <w:r>
              <w:t xml:space="preserve"> </w:t>
            </w:r>
            <w:proofErr w:type="spellStart"/>
            <w:r>
              <w:t>das</w:t>
            </w:r>
            <w:proofErr w:type="spellEnd"/>
            <w:r>
              <w:t xml:space="preserve"> </w:t>
            </w:r>
            <w:proofErr w:type="spellStart"/>
            <w:r>
              <w:t>dritte</w:t>
            </w:r>
            <w:proofErr w:type="spellEnd"/>
            <w:r>
              <w:t xml:space="preserve"> </w:t>
            </w:r>
            <w:proofErr w:type="spellStart"/>
            <w:r>
              <w:t>Kind</w:t>
            </w:r>
            <w:proofErr w:type="spellEnd"/>
            <w:r>
              <w:t xml:space="preserve"> </w:t>
            </w:r>
            <w:proofErr w:type="spellStart"/>
            <w:r>
              <w:t>werden</w:t>
            </w:r>
            <w:proofErr w:type="spellEnd"/>
            <w:r>
              <w:t xml:space="preserve"> 225 </w:t>
            </w:r>
            <w:proofErr w:type="spellStart"/>
            <w:r>
              <w:t>Euro</w:t>
            </w:r>
            <w:proofErr w:type="spellEnd"/>
            <w:r>
              <w:t xml:space="preserve"> </w:t>
            </w:r>
            <w:proofErr w:type="spellStart"/>
            <w:r>
              <w:t>und</w:t>
            </w:r>
            <w:proofErr w:type="spellEnd"/>
            <w:r>
              <w:t xml:space="preserve"> </w:t>
            </w:r>
            <w:proofErr w:type="spellStart"/>
            <w:r>
              <w:t>für</w:t>
            </w:r>
            <w:proofErr w:type="spellEnd"/>
            <w:r>
              <w:t xml:space="preserve"> </w:t>
            </w:r>
            <w:proofErr w:type="spellStart"/>
            <w:r>
              <w:t>das</w:t>
            </w:r>
            <w:proofErr w:type="spellEnd"/>
            <w:r>
              <w:t xml:space="preserve"> </w:t>
            </w:r>
            <w:proofErr w:type="spellStart"/>
            <w:r>
              <w:t>vierte</w:t>
            </w:r>
            <w:proofErr w:type="spellEnd"/>
            <w:r>
              <w:t xml:space="preserve"> </w:t>
            </w:r>
            <w:proofErr w:type="spellStart"/>
            <w:r>
              <w:t>und</w:t>
            </w:r>
            <w:proofErr w:type="spellEnd"/>
            <w:r>
              <w:t xml:space="preserve"> </w:t>
            </w:r>
            <w:proofErr w:type="spellStart"/>
            <w:r>
              <w:t>jedes</w:t>
            </w:r>
            <w:proofErr w:type="spellEnd"/>
            <w:r>
              <w:t xml:space="preserve"> </w:t>
            </w:r>
            <w:proofErr w:type="spellStart"/>
            <w:r>
              <w:t>weitere</w:t>
            </w:r>
            <w:proofErr w:type="spellEnd"/>
            <w:r>
              <w:t xml:space="preserve"> </w:t>
            </w:r>
            <w:proofErr w:type="spellStart"/>
            <w:r>
              <w:t>Kind</w:t>
            </w:r>
            <w:proofErr w:type="spellEnd"/>
            <w:r>
              <w:t xml:space="preserve"> 250 </w:t>
            </w:r>
            <w:proofErr w:type="spellStart"/>
            <w:r>
              <w:t>Euro</w:t>
            </w:r>
            <w:proofErr w:type="spellEnd"/>
            <w:r>
              <w:t xml:space="preserve"> </w:t>
            </w:r>
            <w:proofErr w:type="spellStart"/>
            <w:r>
              <w:t>pro</w:t>
            </w:r>
            <w:proofErr w:type="spellEnd"/>
            <w:r>
              <w:t xml:space="preserve"> </w:t>
            </w:r>
            <w:proofErr w:type="spellStart"/>
            <w:r>
              <w:t>Monat</w:t>
            </w:r>
            <w:proofErr w:type="spellEnd"/>
            <w:r>
              <w:t xml:space="preserve"> </w:t>
            </w:r>
            <w:proofErr w:type="spellStart"/>
            <w:r>
              <w:t>ausgezahlt</w:t>
            </w:r>
            <w:proofErr w:type="spellEnd"/>
            <w:r>
              <w:t xml:space="preserve">. </w:t>
            </w:r>
            <w:proofErr w:type="spellStart"/>
            <w:r>
              <w:t>Dennoch</w:t>
            </w:r>
            <w:proofErr w:type="spellEnd"/>
            <w:r>
              <w:t xml:space="preserve"> </w:t>
            </w:r>
            <w:proofErr w:type="spellStart"/>
            <w:r>
              <w:t>sind</w:t>
            </w:r>
            <w:proofErr w:type="spellEnd"/>
            <w:r>
              <w:t xml:space="preserve"> </w:t>
            </w:r>
            <w:proofErr w:type="spellStart"/>
            <w:r>
              <w:t>die</w:t>
            </w:r>
            <w:proofErr w:type="spellEnd"/>
            <w:r>
              <w:t xml:space="preserve"> </w:t>
            </w:r>
            <w:proofErr w:type="spellStart"/>
            <w:r>
              <w:t>Anteile</w:t>
            </w:r>
            <w:proofErr w:type="spellEnd"/>
            <w:r>
              <w:t xml:space="preserve"> von der </w:t>
            </w:r>
            <w:proofErr w:type="spellStart"/>
            <w:r>
              <w:lastRenderedPageBreak/>
              <w:t>Gesamtkindergeldsumme</w:t>
            </w:r>
            <w:proofErr w:type="spellEnd"/>
            <w:r>
              <w:t xml:space="preserve">, </w:t>
            </w:r>
            <w:proofErr w:type="spellStart"/>
            <w:r>
              <w:t>auf</w:t>
            </w:r>
            <w:proofErr w:type="spellEnd"/>
            <w:r>
              <w:t xml:space="preserve"> </w:t>
            </w:r>
            <w:proofErr w:type="spellStart"/>
            <w:r>
              <w:t>die</w:t>
            </w:r>
            <w:proofErr w:type="spellEnd"/>
            <w:r>
              <w:t xml:space="preserve"> </w:t>
            </w:r>
            <w:proofErr w:type="spellStart"/>
            <w:r>
              <w:t>die</w:t>
            </w:r>
            <w:proofErr w:type="spellEnd"/>
            <w:r>
              <w:t xml:space="preserve"> </w:t>
            </w:r>
            <w:proofErr w:type="spellStart"/>
            <w:r>
              <w:t>einzelnen</w:t>
            </w:r>
            <w:proofErr w:type="spellEnd"/>
            <w:r>
              <w:t xml:space="preserve"> </w:t>
            </w:r>
            <w:proofErr w:type="spellStart"/>
            <w:r>
              <w:t>Kinder</w:t>
            </w:r>
            <w:proofErr w:type="spellEnd"/>
            <w:r>
              <w:t xml:space="preserve"> </w:t>
            </w:r>
            <w:proofErr w:type="spellStart"/>
            <w:r>
              <w:t>Anspruch</w:t>
            </w:r>
            <w:proofErr w:type="spellEnd"/>
            <w:r>
              <w:t xml:space="preserve"> </w:t>
            </w:r>
            <w:proofErr w:type="spellStart"/>
            <w:r>
              <w:t>haben</w:t>
            </w:r>
            <w:proofErr w:type="spellEnd"/>
            <w:r>
              <w:t xml:space="preserve">, </w:t>
            </w:r>
            <w:proofErr w:type="spellStart"/>
            <w:r>
              <w:t>gleich</w:t>
            </w:r>
            <w:proofErr w:type="spellEnd"/>
            <w:r>
              <w:t xml:space="preserve"> </w:t>
            </w:r>
            <w:proofErr w:type="spellStart"/>
            <w:r>
              <w:t>groß</w:t>
            </w:r>
            <w:proofErr w:type="spellEnd"/>
            <w:r>
              <w:t>.». Tā ir liela nauda. Pie mums pat garantētā minimālā ienākuma pabalsts ir nieka 109 pirmajai mājsaimniecības personai, bet pārējām mājsaimniecības personām tie ir nieka 76 eiro (avots: lm.gov.lv/lv/gmi-pabalsts?utm_source=https%3A%2F%2Fwww.google.com%2F [GMI pabalsts | Labklājības ministrija (lm.gov.lv)]). Kā par šādu naudu cilvēks vispār Latvijā var kaut kā izdzīvot? Man pat vel šobaltdien tas nav skaidrs! </w:t>
            </w:r>
          </w:p>
        </w:tc>
        <w:tc>
          <w:tcPr>
            <w:tcW w:w="1350" w:type="dxa"/>
            <w:shd w:val="clear" w:color="auto" w:fill="FFFFFF"/>
            <w:noWrap/>
            <w:tcMar>
              <w:top w:w="75" w:type="dxa"/>
              <w:left w:w="75" w:type="dxa"/>
              <w:bottom w:w="75" w:type="dxa"/>
              <w:right w:w="75" w:type="dxa"/>
            </w:tcMar>
            <w:vAlign w:val="center"/>
          </w:tcPr>
          <w:p w:rsidR="00F7391B" w:rsidRDefault="00B96870">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rsidR="00F7391B" w:rsidRDefault="00A619CD" w:rsidP="00A619CD">
            <w:pPr>
              <w:jc w:val="left"/>
            </w:pPr>
            <w:r>
              <w:t xml:space="preserve">Viedoklis nav attiecināms uz šo likumprojektu. </w:t>
            </w:r>
          </w:p>
        </w:tc>
      </w:tr>
      <w:tr w:rsidR="00F7391B">
        <w:tc>
          <w:tcPr>
            <w:tcW w:w="750" w:type="dxa"/>
            <w:shd w:val="clear" w:color="auto" w:fill="FFFFFF"/>
            <w:noWrap/>
            <w:tcMar>
              <w:top w:w="75" w:type="dxa"/>
              <w:left w:w="75" w:type="dxa"/>
              <w:bottom w:w="75" w:type="dxa"/>
              <w:right w:w="75" w:type="dxa"/>
            </w:tcMar>
            <w:vAlign w:val="center"/>
          </w:tcPr>
          <w:p w:rsidR="00F7391B" w:rsidRDefault="00500F0E">
            <w:pPr>
              <w:jc w:val="center"/>
            </w:pPr>
            <w:r>
              <w:lastRenderedPageBreak/>
              <w:t>4.</w:t>
            </w:r>
          </w:p>
        </w:tc>
        <w:tc>
          <w:tcPr>
            <w:tcW w:w="4155" w:type="dxa"/>
            <w:shd w:val="clear" w:color="auto" w:fill="FFFFFF"/>
            <w:noWrap/>
            <w:tcMar>
              <w:top w:w="75" w:type="dxa"/>
              <w:left w:w="75" w:type="dxa"/>
              <w:bottom w:w="75" w:type="dxa"/>
              <w:right w:w="75" w:type="dxa"/>
            </w:tcMar>
            <w:vAlign w:val="center"/>
          </w:tcPr>
          <w:p w:rsidR="00F7391B" w:rsidRDefault="00500F0E">
            <w:pPr>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rsidR="00F7391B" w:rsidRDefault="00500F0E">
            <w:pPr>
              <w:jc w:val="left"/>
            </w:pPr>
            <w:r>
              <w:t xml:space="preserve">No savas personīgās dzīves pieredzes varu teikt, ka ģimenes valsts pabalsta atteikšana trūcīgiem un maznodrošinātiem augstāko izglītības iestāžu studentiem ir visai nosodāma rīcība no valsts puses. Man nekādu ģimenes valsts pabalstu nepiešķīra pēc vidusskolas absolvēšanas. Paldies Dieviem, ka vel </w:t>
            </w:r>
            <w:proofErr w:type="spellStart"/>
            <w:r>
              <w:t>celiakijas</w:t>
            </w:r>
            <w:proofErr w:type="spellEnd"/>
            <w:r>
              <w:t xml:space="preserve"> pabalstu saglabāja! </w:t>
            </w:r>
            <w:r>
              <w:lastRenderedPageBreak/>
              <w:t xml:space="preserve">Pēc vidusskolas absolvēšanas es uzreiz ar pirmo piegājienu iestājos Rīgas Tehniskās Universitātes </w:t>
            </w:r>
            <w:proofErr w:type="spellStart"/>
            <w:r>
              <w:t>Materiālzinātnes</w:t>
            </w:r>
            <w:proofErr w:type="spellEnd"/>
            <w:r>
              <w:t xml:space="preserve"> un lietišķās ķīmijas fakultātes ķīmijas tehnoloģijas studiju programmā. Pa vasaru es strādāju, maksāju valstij nodokļus. Lai arī es studēju valsts apmaksātajā budžeta studiju vietā, tomēr man šo pabalstu neviens nemaksāja. Studēšanu es uzsāku 18 gadu vecumā. Teorētiski es drīkstēju šo pabalstu saņemt līdz 20 gadu vecumam, t.i., līdz 2. kursa rudens semestra vidum. Savukārt, trūcīgā statusu man noņēma uzreiz pēc tam, kad mans tēvs pārdeva 4 hektārus lauksaimniecības zemes par 3000 eiro, lai es varētu studēt. Diemžēl kojas (kopmītnes) Rīgas Tehniskajā Universitātē ir ļoti dārgas, kā arī tas nav remontētas. Rezultātā izrādījās, ka 3000 eiro priekš studenta ir maza nauda. Vācijā situācija ir citādāka (avots: univativ.de/blog/</w:t>
            </w:r>
            <w:proofErr w:type="spellStart"/>
            <w:r>
              <w:t>studium</w:t>
            </w:r>
            <w:proofErr w:type="spellEnd"/>
            <w:r>
              <w:t>/5-kosten-vorteile-als-student/ [</w:t>
            </w:r>
            <w:proofErr w:type="spellStart"/>
            <w:r>
              <w:t>Die</w:t>
            </w:r>
            <w:proofErr w:type="spellEnd"/>
            <w:r>
              <w:t xml:space="preserve"> 5 </w:t>
            </w:r>
            <w:proofErr w:type="spellStart"/>
            <w:r>
              <w:t>unschlagbaren</w:t>
            </w:r>
            <w:proofErr w:type="spellEnd"/>
            <w:r>
              <w:t xml:space="preserve"> </w:t>
            </w:r>
            <w:proofErr w:type="spellStart"/>
            <w:r>
              <w:t>Kosten-Vorteile</w:t>
            </w:r>
            <w:proofErr w:type="spellEnd"/>
            <w:r>
              <w:t xml:space="preserve">, </w:t>
            </w:r>
            <w:proofErr w:type="spellStart"/>
            <w:r>
              <w:t>die</w:t>
            </w:r>
            <w:proofErr w:type="spellEnd"/>
            <w:r>
              <w:t xml:space="preserve"> </w:t>
            </w:r>
            <w:r>
              <w:lastRenderedPageBreak/>
              <w:t xml:space="preserve">Du </w:t>
            </w:r>
            <w:proofErr w:type="spellStart"/>
            <w:r>
              <w:t>als</w:t>
            </w:r>
            <w:proofErr w:type="spellEnd"/>
            <w:r>
              <w:t xml:space="preserve"> Student </w:t>
            </w:r>
            <w:proofErr w:type="spellStart"/>
            <w:r>
              <w:t>nutzen</w:t>
            </w:r>
            <w:proofErr w:type="spellEnd"/>
            <w:r>
              <w:t xml:space="preserve"> </w:t>
            </w:r>
            <w:proofErr w:type="spellStart"/>
            <w:r>
              <w:t>kannst</w:t>
            </w:r>
            <w:proofErr w:type="spellEnd"/>
            <w:r>
              <w:t xml:space="preserve"> (univativ.de)]).</w:t>
            </w:r>
            <w:r>
              <w:br/>
            </w:r>
          </w:p>
        </w:tc>
        <w:tc>
          <w:tcPr>
            <w:tcW w:w="1350" w:type="dxa"/>
            <w:shd w:val="clear" w:color="auto" w:fill="FFFFFF"/>
            <w:noWrap/>
            <w:tcMar>
              <w:top w:w="75" w:type="dxa"/>
              <w:left w:w="75" w:type="dxa"/>
              <w:bottom w:w="75" w:type="dxa"/>
              <w:right w:w="75" w:type="dxa"/>
            </w:tcMar>
            <w:vAlign w:val="center"/>
          </w:tcPr>
          <w:p w:rsidR="00F7391B" w:rsidRDefault="00B96870">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rsidR="00F7391B" w:rsidRDefault="00A619CD">
            <w:pPr>
              <w:jc w:val="left"/>
            </w:pPr>
            <w:r>
              <w:t>Viedoklis nav attiecināms uz šo likumprojektu.</w:t>
            </w:r>
          </w:p>
        </w:tc>
      </w:tr>
      <w:tr w:rsidR="00F7391B">
        <w:tc>
          <w:tcPr>
            <w:tcW w:w="750" w:type="dxa"/>
            <w:shd w:val="clear" w:color="auto" w:fill="FFFFFF"/>
            <w:noWrap/>
            <w:tcMar>
              <w:top w:w="75" w:type="dxa"/>
              <w:left w:w="75" w:type="dxa"/>
              <w:bottom w:w="75" w:type="dxa"/>
              <w:right w:w="75" w:type="dxa"/>
            </w:tcMar>
            <w:vAlign w:val="center"/>
          </w:tcPr>
          <w:p w:rsidR="00F7391B" w:rsidRDefault="00500F0E">
            <w:pPr>
              <w:jc w:val="center"/>
            </w:pPr>
            <w:r>
              <w:lastRenderedPageBreak/>
              <w:t>5.</w:t>
            </w:r>
          </w:p>
        </w:tc>
        <w:tc>
          <w:tcPr>
            <w:tcW w:w="4155" w:type="dxa"/>
            <w:shd w:val="clear" w:color="auto" w:fill="FFFFFF"/>
            <w:noWrap/>
            <w:tcMar>
              <w:top w:w="75" w:type="dxa"/>
              <w:left w:w="75" w:type="dxa"/>
              <w:bottom w:w="75" w:type="dxa"/>
              <w:right w:w="75" w:type="dxa"/>
            </w:tcMar>
            <w:vAlign w:val="center"/>
          </w:tcPr>
          <w:p w:rsidR="00F7391B" w:rsidRDefault="00500F0E">
            <w:pPr>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rsidR="00F7391B" w:rsidRDefault="00500F0E">
            <w:pPr>
              <w:jc w:val="left"/>
            </w:pPr>
            <w:r>
              <w:t>Latvijā ļoti daudzi cilvēki cieš no nabadzības. Daļa šo cilvēku dažādu birokrātisku iemeslu dēļ nevar saņemt palīdzību. Aicinu atvieglot trūcīgā un maznodrošinātā statusa saņemšanu visiem Latvijas iedzīvotājiem! Aicinu pārskatīt jau pieņemtos normatīvos aktus un atcelt ierobežojumus, kas liedz daudziem trūcīgajiem un maznodrošinātajiem saņemt sociālo palīdzību! </w:t>
            </w:r>
          </w:p>
        </w:tc>
        <w:tc>
          <w:tcPr>
            <w:tcW w:w="1350" w:type="dxa"/>
            <w:shd w:val="clear" w:color="auto" w:fill="FFFFFF"/>
            <w:noWrap/>
            <w:tcMar>
              <w:top w:w="75" w:type="dxa"/>
              <w:left w:w="75" w:type="dxa"/>
              <w:bottom w:w="75" w:type="dxa"/>
              <w:right w:w="75" w:type="dxa"/>
            </w:tcMar>
            <w:vAlign w:val="center"/>
          </w:tcPr>
          <w:p w:rsidR="00F7391B" w:rsidRDefault="00B96870">
            <w:pPr>
              <w:jc w:val="left"/>
            </w:pPr>
            <w:r>
              <w:t>Nav ņemts vērā.</w:t>
            </w:r>
          </w:p>
        </w:tc>
        <w:tc>
          <w:tcPr>
            <w:tcW w:w="4156" w:type="dxa"/>
            <w:shd w:val="clear" w:color="auto" w:fill="FFFFFF"/>
            <w:noWrap/>
            <w:tcMar>
              <w:top w:w="75" w:type="dxa"/>
              <w:left w:w="75" w:type="dxa"/>
              <w:bottom w:w="75" w:type="dxa"/>
              <w:right w:w="75" w:type="dxa"/>
            </w:tcMar>
            <w:vAlign w:val="center"/>
          </w:tcPr>
          <w:p w:rsidR="00F7391B" w:rsidRDefault="00A619CD">
            <w:pPr>
              <w:jc w:val="left"/>
            </w:pPr>
            <w:r>
              <w:t>Viedoklis nav attiecināms uz šo likumprojektu.</w:t>
            </w:r>
            <w:bookmarkStart w:id="0" w:name="_GoBack"/>
            <w:bookmarkEnd w:id="0"/>
          </w:p>
        </w:tc>
      </w:tr>
      <w:tr w:rsidR="00F7391B">
        <w:tc>
          <w:tcPr>
            <w:tcW w:w="750" w:type="dxa"/>
            <w:shd w:val="clear" w:color="auto" w:fill="FFFFFF"/>
            <w:noWrap/>
            <w:tcMar>
              <w:top w:w="75" w:type="dxa"/>
              <w:left w:w="75" w:type="dxa"/>
              <w:bottom w:w="75" w:type="dxa"/>
              <w:right w:w="75" w:type="dxa"/>
            </w:tcMar>
            <w:vAlign w:val="center"/>
          </w:tcPr>
          <w:p w:rsidR="00F7391B" w:rsidRDefault="00500F0E">
            <w:pPr>
              <w:jc w:val="center"/>
            </w:pPr>
            <w:r>
              <w:t>6.</w:t>
            </w:r>
          </w:p>
        </w:tc>
        <w:tc>
          <w:tcPr>
            <w:tcW w:w="4155" w:type="dxa"/>
            <w:shd w:val="clear" w:color="auto" w:fill="FFFFFF"/>
            <w:noWrap/>
            <w:tcMar>
              <w:top w:w="75" w:type="dxa"/>
              <w:left w:w="75" w:type="dxa"/>
              <w:bottom w:w="75" w:type="dxa"/>
              <w:right w:w="75" w:type="dxa"/>
            </w:tcMar>
            <w:vAlign w:val="center"/>
          </w:tcPr>
          <w:p w:rsidR="00F7391B" w:rsidRDefault="00500F0E">
            <w:pPr>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rsidR="00F7391B" w:rsidRDefault="00500F0E">
            <w:pPr>
              <w:jc w:val="left"/>
            </w:pPr>
            <w:r>
              <w:t>“</w:t>
            </w:r>
            <w:proofErr w:type="spellStart"/>
            <w:r>
              <w:rPr>
                <w:i/>
              </w:rPr>
              <w:t>Poverty</w:t>
            </w:r>
            <w:proofErr w:type="spellEnd"/>
            <w:r>
              <w:rPr>
                <w:i/>
              </w:rPr>
              <w:t xml:space="preserve"> </w:t>
            </w:r>
            <w:proofErr w:type="spellStart"/>
            <w:r>
              <w:rPr>
                <w:i/>
              </w:rPr>
              <w:t>is</w:t>
            </w:r>
            <w:proofErr w:type="spellEnd"/>
            <w:r>
              <w:rPr>
                <w:i/>
              </w:rPr>
              <w:t xml:space="preserve"> </w:t>
            </w:r>
            <w:proofErr w:type="spellStart"/>
            <w:r>
              <w:rPr>
                <w:i/>
              </w:rPr>
              <w:t>the</w:t>
            </w:r>
            <w:proofErr w:type="spellEnd"/>
            <w:r>
              <w:rPr>
                <w:i/>
              </w:rPr>
              <w:t xml:space="preserve"> </w:t>
            </w:r>
            <w:proofErr w:type="spellStart"/>
            <w:r>
              <w:rPr>
                <w:i/>
              </w:rPr>
              <w:t>worst</w:t>
            </w:r>
            <w:proofErr w:type="spellEnd"/>
            <w:r>
              <w:rPr>
                <w:i/>
              </w:rPr>
              <w:t xml:space="preserve"> </w:t>
            </w:r>
            <w:proofErr w:type="spellStart"/>
            <w:r>
              <w:rPr>
                <w:i/>
              </w:rPr>
              <w:t>form</w:t>
            </w:r>
            <w:proofErr w:type="spellEnd"/>
            <w:r>
              <w:rPr>
                <w:i/>
              </w:rPr>
              <w:t xml:space="preserve"> </w:t>
            </w:r>
            <w:proofErr w:type="spellStart"/>
            <w:r>
              <w:rPr>
                <w:i/>
              </w:rPr>
              <w:t>of</w:t>
            </w:r>
            <w:proofErr w:type="spellEnd"/>
            <w:r>
              <w:rPr>
                <w:i/>
              </w:rPr>
              <w:t xml:space="preserve"> </w:t>
            </w:r>
            <w:proofErr w:type="spellStart"/>
            <w:r>
              <w:rPr>
                <w:i/>
              </w:rPr>
              <w:t>violence</w:t>
            </w:r>
            <w:proofErr w:type="spellEnd"/>
            <w:r>
              <w:rPr>
                <w:i/>
              </w:rPr>
              <w:t>.</w:t>
            </w:r>
            <w:r>
              <w:t>”</w:t>
            </w:r>
            <w:r>
              <w:br/>
            </w:r>
            <w:r>
              <w:rPr>
                <w:b/>
              </w:rPr>
              <w:t xml:space="preserve">Mahatma </w:t>
            </w:r>
            <w:proofErr w:type="spellStart"/>
            <w:r>
              <w:rPr>
                <w:b/>
              </w:rPr>
              <w:t>Gandhi</w:t>
            </w:r>
            <w:proofErr w:type="spellEnd"/>
            <w:r>
              <w:t xml:space="preserve"> (02.10.1869. – 30.01.1948.) </w:t>
            </w:r>
          </w:p>
        </w:tc>
        <w:tc>
          <w:tcPr>
            <w:tcW w:w="1350" w:type="dxa"/>
            <w:shd w:val="clear" w:color="auto" w:fill="FFFFFF"/>
            <w:noWrap/>
            <w:tcMar>
              <w:top w:w="75" w:type="dxa"/>
              <w:left w:w="75" w:type="dxa"/>
              <w:bottom w:w="75" w:type="dxa"/>
              <w:right w:w="75" w:type="dxa"/>
            </w:tcMar>
            <w:vAlign w:val="center"/>
          </w:tcPr>
          <w:p w:rsidR="00F7391B" w:rsidRDefault="00B96870">
            <w:pPr>
              <w:jc w:val="left"/>
            </w:pPr>
            <w:r>
              <w:t>Nav ņemts vērā.</w:t>
            </w:r>
          </w:p>
        </w:tc>
        <w:tc>
          <w:tcPr>
            <w:tcW w:w="4156" w:type="dxa"/>
            <w:shd w:val="clear" w:color="auto" w:fill="FFFFFF"/>
            <w:noWrap/>
            <w:tcMar>
              <w:top w:w="75" w:type="dxa"/>
              <w:left w:w="75" w:type="dxa"/>
              <w:bottom w:w="75" w:type="dxa"/>
              <w:right w:w="75" w:type="dxa"/>
            </w:tcMar>
            <w:vAlign w:val="center"/>
          </w:tcPr>
          <w:p w:rsidR="00F7391B" w:rsidRDefault="00B96870">
            <w:pPr>
              <w:jc w:val="left"/>
            </w:pPr>
            <w:r>
              <w:t xml:space="preserve">Nav saprotama iebilduma/priekšlikuma būtība. </w:t>
            </w:r>
          </w:p>
        </w:tc>
      </w:tr>
    </w:tbl>
    <w:p w:rsidR="002A1F9A" w:rsidRDefault="002A1F9A"/>
    <w:sectPr w:rsidR="002A1F9A">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581" w:rsidRDefault="00634581">
      <w:r>
        <w:separator/>
      </w:r>
    </w:p>
  </w:endnote>
  <w:endnote w:type="continuationSeparator" w:id="0">
    <w:p w:rsidR="00634581" w:rsidRDefault="0063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91B" w:rsidRDefault="00500F0E">
    <w:pPr>
      <w:jc w:val="right"/>
    </w:pPr>
    <w:r>
      <w:rPr>
        <w:sz w:val="24"/>
        <w:szCs w:val="24"/>
      </w:rPr>
      <w:fldChar w:fldCharType="begin"/>
    </w:r>
    <w:r>
      <w:rPr>
        <w:sz w:val="24"/>
        <w:szCs w:val="24"/>
      </w:rPr>
      <w:instrText>PAGE</w:instrText>
    </w:r>
    <w:r>
      <w:rPr>
        <w:sz w:val="24"/>
        <w:szCs w:val="24"/>
      </w:rPr>
      <w:fldChar w:fldCharType="separate"/>
    </w:r>
    <w:r w:rsidR="00B96870">
      <w:rPr>
        <w:noProof/>
        <w:sz w:val="24"/>
        <w:szCs w:val="24"/>
      </w:rPr>
      <w:t>10</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F9A" w:rsidRDefault="00500F0E">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581" w:rsidRDefault="00634581">
      <w:r>
        <w:separator/>
      </w:r>
    </w:p>
  </w:footnote>
  <w:footnote w:type="continuationSeparator" w:id="0">
    <w:p w:rsidR="00634581" w:rsidRDefault="006345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91B" w:rsidRDefault="00500F0E">
    <w:pPr>
      <w:pStyle w:val="Header"/>
      <w:contextualSpacing w:val="0"/>
    </w:pPr>
    <w:r>
      <w:t>Viedokļu pārskats 22-TA-2078</w:t>
    </w:r>
    <w:r>
      <w:br/>
      <w:t>Izdrukāts 12.07.2022. 09.15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91B" w:rsidRDefault="00500F0E">
    <w:pPr>
      <w:pStyle w:val="Header"/>
      <w:contextualSpacing w:val="0"/>
    </w:pPr>
    <w:r>
      <w:t>Viedokļu pārskats 22-TA-2078</w:t>
    </w:r>
    <w:r>
      <w:br/>
      <w:t>Izdrukāts 12.07.2022. 09.15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57167E"/>
    <w:multiLevelType w:val="hybridMultilevel"/>
    <w:tmpl w:val="9C04CC28"/>
    <w:lvl w:ilvl="0" w:tplc="07E66D7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ECA5DE2"/>
    <w:multiLevelType w:val="hybridMultilevel"/>
    <w:tmpl w:val="06EE1B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91B"/>
    <w:rsid w:val="002A1F9A"/>
    <w:rsid w:val="00500F0E"/>
    <w:rsid w:val="00634581"/>
    <w:rsid w:val="00931E1C"/>
    <w:rsid w:val="00A619CD"/>
    <w:rsid w:val="00B365EB"/>
    <w:rsid w:val="00B96870"/>
    <w:rsid w:val="00F16CA9"/>
    <w:rsid w:val="00F739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A11E2C-D368-46F2-9D58-7AFBFA2D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customStyle="1" w:styleId="ydpaa91b09emsonormal">
    <w:name w:val="ydpaa91b09emsonormal"/>
    <w:basedOn w:val="Normal"/>
    <w:rsid w:val="00B365EB"/>
    <w:pPr>
      <w:spacing w:before="100" w:beforeAutospacing="1" w:after="100" w:afterAutospacing="1"/>
      <w:jc w:val="left"/>
    </w:pPr>
    <w:rPr>
      <w:rFonts w:eastAsiaTheme="minorHAnsi"/>
      <w:color w:val="auto"/>
      <w:sz w:val="24"/>
      <w:szCs w:val="24"/>
    </w:rPr>
  </w:style>
  <w:style w:type="character" w:styleId="Hyperlink">
    <w:name w:val="Hyperlink"/>
    <w:basedOn w:val="DefaultParagraphFont"/>
    <w:uiPriority w:val="99"/>
    <w:unhideWhenUsed/>
    <w:rsid w:val="00B365E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tbalstapaka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11</Pages>
  <Words>8441</Words>
  <Characters>4812</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viedoklu_parskats_22-TA-2078.docx</vt:lpstr>
    </vt:vector>
  </TitlesOfParts>
  <Company/>
  <LinksUpToDate>false</LinksUpToDate>
  <CharactersWithSpaces>13227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viedoklu_parskats_22-TA-2078.docx</dc:title>
  <dc:creator>Evija Kūla</dc:creator>
  <cp:lastModifiedBy>Microsoft account</cp:lastModifiedBy>
  <cp:revision>5</cp:revision>
  <dcterms:created xsi:type="dcterms:W3CDTF">2022-07-12T06:17:00Z</dcterms:created>
  <dcterms:modified xsi:type="dcterms:W3CDTF">2022-07-12T11:29:00Z</dcterms:modified>
</cp:coreProperties>
</file>