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jūlija noteikumos Nr. 469 "Noteikumi par paralēlajiem aizdevumiem saimnieciskās darbības veicējiem konkurētspējas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regulas Nr.651/2014 grozījumiem saistītie MK noteikumu projektā ietvertie grozījumi nav uzskatāmi par redakcionāliem precizējumiem. Attiecīgi lūdzam precizēt anotācijas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1.3.sadaļā skaidri norādīt kādi grozījumi ir iestrādāti noteikumu projektā, kas ir saistīti ar minētās regulas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 sadaļā ir veikts precizējums pie risinājuma apraksta, skaidrojot, kas grozīts saistībā ar Komisijas regulas Nr.651/2014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noteikumu projekta 3.punktā, ar kuru groza 11.1.apakšpunktu, iekļauto grozījumu pamatojumu. Ņemot vērā grozījumus noteikumu 8.punktā, kas paredz ERAF finansējuma elastīgu izmantošanu starp 3.1.1.SAM pasākumiem, uzskatām, ka 11.1.apakšpunkta esošā redakcija ir piemērotāka esošai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veikts precizējums pie risinājuma apraksta 3.punkta, skaidrojot, ka procenti izteikti nomālcipara vērtībā, nemainot nosacījumu pēc būtības, kas Altum bija jānodrošina. Ja Altum izsniegs vairāk aizdevumu nekā sākotnēji plānots, tad būs viennozīmīgi izpildījis un pārpildījis nosacījumu par 80 % apguvi. ERAF deklarētais apjoms šajā programmā jau līdz 31.12.2022. sastādīja 81%, kas nozīmē, ka 11.1.punktā noteiktais limits ir pārsniegts, līdz ar to būtu maināms uz nominālcipara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ietekmes izvērtējumu uz jau izsniegto atbalstu un atbalsta saņēmējiem, kas jau saņēmuši atbalstu šo noteikumu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neietekmē jau piešķirto atbalstu un neietekmē esošos atbalsta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16.punktā paredzētos atbalsta intensitāšu palielinājumus, 17.punktā norādīto, ka lēmumu par atbalsta piešķiršanu saskaņā ar Komisijas regulu Nr. 651/2014 var pieņemt līdz šīs regulas darbības beigām, kā arī to, ka Ekonomikas ministrija Eiropas Komisijai ir paziņojusi, ka atbalsts lietas SA.101322 "Paralēlie aizdevumi saimnieciskās darbības veicēju konkurētspējas uzlabošanai ietvaros" tiks piešķirts līdz 31.12.2023., lūdzam precizēt anotācijas V sadaļu, papildinot to ar informāciju, ka Ekonomikas ministrija 20 darba dienu laikā pēc noteikumu projekta spēkā stāšanās nosūtīs Eiropas Komisijai kopsavilkuma informāciju par plānotajām izmaiņām atbalsta programmā. Paziņojums Eiropas Komisijai nosūtāms,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precizēta MK noteikumu projekta anotācija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Tai skaitā lūdzam izvērtēt noteikumu projektā ietvertā grozījuma </w:t>
            </w:r>
            <w:r w:rsidR="00000000" w:rsidRPr="00000000" w:rsidDel="00000000">
              <w:rPr>
                <w:i w:val="1"/>
                <w:rtl w:val="0"/>
              </w:rPr>
              <w:t xml:space="preserve">attiecībā uz iespēju mainīt, palielināt vai samazināt ERAF finansējumu, nepārsniedzot kopējo ERAF finansējumu 3.1.1.specifiskajam atbalsta mērķim, </w:t>
            </w:r>
            <w:r w:rsidR="00000000" w:rsidRPr="00000000" w:rsidDel="00000000">
              <w:rPr>
                <w:rtl w:val="0"/>
              </w:rPr>
              <w:t xml:space="preserve">ietekmi uz apstiprināto programmas rādītāju novērtējumu pie iespējamām ERAF finansējuma izmaiņām, kā arī grozījuma </w:t>
            </w:r>
            <w:r w:rsidR="00000000" w:rsidRPr="00000000" w:rsidDel="00000000">
              <w:rPr>
                <w:i w:val="1"/>
                <w:rtl w:val="0"/>
              </w:rPr>
              <w:t xml:space="preserve">par atbalsta intensitāti</w:t>
            </w:r>
            <w:r w:rsidR="00000000" w:rsidRPr="00000000" w:rsidDel="00000000">
              <w:rPr>
                <w:rtl w:val="0"/>
              </w:rPr>
              <w:t xml:space="preserve"> ietekmi uz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paralēlajiem aizdevumiem finansē lielākus, sarežģītākus un laikietilpīgākus projektus, tad jaunu projektu uzsākšana var nozīmēt neiekļaušanos ERAF attiecināmības periodā, t.i., līdz ar to šobrīd programmā ir pārtraukta jaunu paralēlo aizdevumu līgumu parakstīšana un lēmumu pieņemšana par paralēlajiem aizdevumiem, kas tiek finansēti no ERAF (pēdējie līgumi parakstīti 2022.g februārī), līdz ar to ERAF līdzfinansētā paralēlo aizdevumu programmas daļa vairs nav aktīva un attiecīgi paralēlo aizdevumu programmas novērtējums Fondu fonda paralēlo aizdevumu programmas daļā, kas apstiprināts 2021.gada 19.maija Altum valdes sēdē( Protokols Nr.46), joprojām ir aktuāls. Gadījumā, ja ERAF būs nepieciešams lielākā apmērā nekā sākotnēji MK noteikumos paredzētie 7 milj.EUR, tas joprojām iekļaujas jau apstiprinātajā programmas rādītāju novērtējumā.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paralēlo aizdevumu līdzfinansē no šo noteikumu 8.punktā minētā atmaksu finansējuma, šo noteikumu ietvaros atbalstu var saņemt sīkie (mikro), mazie, vidējie un lielie saimnieciskās darbības veicēji – juridiskās personas, kas atbilst  Komisijas regula Nr.  651/2014, I pielikumā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45.pantā noteikto, ka atmaksas, kas radušās vismaz astoņus gadus ilgā laikposmā pēc atbilstības perioda beigām (2015.gada 31.decembris) atkārtoti izmanto saskaņā ar programmas mērķiem vai nu tajā pašā finanšu instrumentā, vai pēc finanšu instrumenta izmantošanas beigām citos finanšu instrumentos, abos gadījumos ar noteikumu, ka tirgus apstākļu izvērtējums parāda joprojām pastāvošu vajadzību pēc šādas investīcijas vai citiem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astoņu gadu laika posms pēc ES struktūrfondu un Kohēzijas fonda 2007.-2013.gada atbilstības perioda beigām būs iztecējis tikai 2024.gada 1.janvārī, kā arī ņemot vērā, ka darbības programmas “Uzņēmējdarbība un inovācijas” 2.2.1.4.1.apakšaktivitāte “Atbalsts aizdevumu veidā komersantu konkurētspējas uzlabošanai” paredzēja atbalstu tikai MVU, tad 2.2.1.4.1.apakšaktivitātes atmaksas līdz 2023.gada 31.decembrim lielo saimnieciskās darbības veicēju atbalstam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noteikt pārejas noteikumos, ka 14.</w:t>
            </w:r>
            <w:r w:rsidR="00000000" w:rsidRPr="00000000" w:rsidDel="00000000">
              <w:rPr>
                <w:vertAlign w:val="superscript"/>
                <w:rtl w:val="0"/>
              </w:rPr>
              <w:t xml:space="preserve">1</w:t>
            </w:r>
            <w:r w:rsidR="00000000" w:rsidRPr="00000000" w:rsidDel="00000000">
              <w:rPr>
                <w:rtl w:val="0"/>
              </w:rPr>
              <w:t xml:space="preserve"> punkts ir piemērojams sākot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precizēt anotācijā 14.</w:t>
            </w:r>
            <w:r w:rsidR="00000000" w:rsidRPr="00000000" w:rsidDel="00000000">
              <w:rPr>
                <w:vertAlign w:val="superscript"/>
                <w:rtl w:val="0"/>
              </w:rPr>
              <w:t xml:space="preserve">1</w:t>
            </w:r>
            <w:r w:rsidR="00000000" w:rsidRPr="00000000" w:rsidDel="00000000">
              <w:rPr>
                <w:rtl w:val="0"/>
              </w:rPr>
              <w:t xml:space="preserve"> punkta iekļaušanas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un noteikumu 14. un 14.</w:t>
            </w:r>
            <w:r w:rsidR="00000000" w:rsidRPr="00000000" w:rsidDel="00000000">
              <w:rPr>
                <w:vertAlign w:val="superscript"/>
                <w:rtl w:val="0"/>
              </w:rPr>
              <w:t xml:space="preserve">1</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paralēlo aizdevumu līdzfinansē no šo noteikumu 8.punktā minētā atmaksu finansējuma, šo noteikumu ietvaros no 2024.gada 1.janvāra atbalstu var saņemt arī lielie saimnieciskās darbības veicēji – juridiskās personas, kas atbilst  Komisijas regula Nr.  651/2014, I pielikumā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Komisijas regulas Nr. </w:t>
            </w:r>
            <w:r w:rsidR="00000000" w:rsidRPr="00000000" w:rsidDel="00000000">
              <w:rPr>
                <w:rtl w:val="0"/>
              </w:rPr>
              <w:t xml:space="preserve">1407/2013</w:t>
            </w:r>
            <w:r w:rsidR="00000000" w:rsidRPr="00000000" w:rsidDel="00000000">
              <w:rPr>
                <w:rtl w:val="0"/>
              </w:rPr>
              <w:t xml:space="preserve"> 1. pantā noteiktajām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atbalstu nevar izmantot kravas transportlīdzekļu iegādei, lūdzam šo punktu papildināt ar atsauci arī uz Komisijas regulas Nr. 1407/2013 3. panta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20.20.punktā papildinot punktu, ka de minimis atbalstu nevar izmantot kravas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kravas transportlīdzekļu iegādei autopārvadājumu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izziņas 5. punktā sniegto skaidrojumu, lūdzam apliecināt, ka Ekonomikas ministrija ir izvērtējusi un apliecina, ka noteikumu projektā ietvertie grozījumi neietekmē sākotnēji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ministrja apstiprina, ka noteikumu projekta ietvertie grozījumi neietekmē sākotnēji apstiprināto programmas rādītāju novērtējumu. Ņemot vērā, ka ar paralēlajiem aizdevumiem finansē lielākus, sarežģītākus un laikietilpīgākus projektus, tad jaunu projektu uzsākšana var nozīmēt neiekļaušanos ERAF attiecināmības periodā, t.i., līdz ar to šobrīd programmā ir pārtraukta jaunu paralēlo aizdevumu līgumu parakstīšana un lēmumu pieņemšana par paralēlajiem aizdevumiem, kas tiek finansēti no ERAF (pēdējie līgumi parakstīti 2022.g februārī), līdz ar to ERAF līdzfinansētā paralēlo aizdevumu programmas daļa vairs nav aktīva un attiecīgi paralēlo aizdevumu programmas novērtējums Fondu fonda paralēlo aizdevumu programmas daļā, kas apstiprināts 2021.gada 19.maija Altum valdes sēdē( Protokols Nr.46), joprojām ir aktuāls. Gadījumā, ja ERAF būs nepieciešams lielākā apmērā nekā sākotnēji MK noteikumos paredzētie 7 milj.EUR, tas joprojām iekļaujas jau apstiprinātajā programmas rādītāju novērtējumā.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kravas transporta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tādu terminoloģiju, kāda lietota Komisijas regulas Nr. 1407/2013 3.panta 2.punktā, proti, lūdzam lietot - "kravas transportlīdzekļu iegādei autopārvadājumu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kravas transportlīdzekļu iegādei autopārvadājumu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atbilstoši Komisijas regulas Nr. </w:t>
            </w:r>
            <w:r w:rsidR="00000000" w:rsidRPr="00000000" w:rsidDel="00000000">
              <w:rPr>
                <w:rtl w:val="0"/>
              </w:rPr>
              <w:t xml:space="preserve">651/2014</w:t>
            </w:r>
            <w:r w:rsidR="00000000" w:rsidRPr="00000000" w:rsidDel="00000000">
              <w:rPr>
                <w:rtl w:val="0"/>
              </w:rPr>
              <w:t xml:space="preserve"> 14. panta 5. punktā noteiktajām prasībām sākotnējie ieguldījumi pēc projekta pabeigšanas paliek Latvijas Republikā attiecīgajā kopējā statistiski teritoriālo vienību klasifikācijai jeb NUTS 3. līmeņa intensitātes (turpmāk - 2021. gada NUTS 3 dati) reģionā, kurā tiek īstenots atbalstāmais projekts, vismaz piecus gadus lielajiem komersantiem vai trīs gadus vidējiem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aktivitātes ietvaros atbalstu ir tiesīgi saņemt arī mazie  uzņēmumi, arī uz tiem ir jāattiecina Komisijas regulas Nr. 651/2014 14. panta 5. punkta prasības par sākotnējā ieguldījuma saglabāšanu, attiecīgi lūdzam precizēt 23.3.apakšpunktu, lai nodrošinātu tā atbilstību Komisijas regulas Nr. 651/2014 14. panta 5.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papildinot ar mazajiem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atbilstoši Komisijas regulas Nr. </w:t>
            </w:r>
            <w:r w:rsidR="00000000" w:rsidRPr="00000000" w:rsidDel="00000000">
              <w:rPr>
                <w:rtl w:val="0"/>
              </w:rPr>
              <w:t xml:space="preserve">651/2014</w:t>
            </w:r>
            <w:r w:rsidR="00000000" w:rsidRPr="00000000" w:rsidDel="00000000">
              <w:rPr>
                <w:rtl w:val="0"/>
              </w:rPr>
              <w:t xml:space="preserve"> 14. panta 5. punktā noteiktajām prasībām sākotnējie ieguldījumi pēc projekta pabeigšanas paliek Latvijas Republikā attiecīgajā kopējā statistiski teritoriālo vienību klasifikācijai jeb NUTS 3. līmeņa intensitātes (turpmāk -  NUTS 3) reģionā, kurā tiek īstenots atbalstāmais projekts, vismaz piecus gadus lielajiem komersantiem vai trīs gadus mazajiem, vidējiem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atbilstoši Komisijas regulas Nr. </w:t>
            </w:r>
            <w:r w:rsidR="00000000" w:rsidRPr="00000000" w:rsidDel="00000000">
              <w:rPr>
                <w:rtl w:val="0"/>
              </w:rPr>
              <w:t xml:space="preserve">651/2014</w:t>
            </w:r>
            <w:r w:rsidR="00000000" w:rsidRPr="00000000" w:rsidDel="00000000">
              <w:rPr>
                <w:rtl w:val="0"/>
              </w:rPr>
              <w:t xml:space="preserve"> 14. panta 5. punktā noteiktajām prasībām sākotnējie ieguldījumi pēc projekta pabeigšanas paliek Latvijas Republikā attiecīgajā kopējā statistiski teritoriālo vienību klasifikācijai jeb NUTS 3. līmenān intensitātes (turpmāk - 2021. gada NUTS 3 dati) reģionā, kurā tiek īstenots atbalstāmais projekts, vismaz piecus gadus lielajiem komersantiem vai trīs gadus vidējiem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punktu (vārdu "līmenis").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atbilstoši Komisijas regulas Nr. 651/2014 14. panta 5. punktā noteiktajām prasībām sākotnējie ieguldījumi pēc projekta pabeigšanas paliek Latvijas Republikā attiecīgajā kopējā statistiski teritoriālo vienību klasifikācijai jeb NUTS 3. līmeņa intensitātes (turpmāk - 2021. gada NUTS 3 dati) reģionā, kurā tiek īstenots atbalstāmais projekts, vismaz piecus gadus lielajiem komersantiem vai trīs gadus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vārdā "līmenis"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atbilstoši Komisijas regulas Nr. </w:t>
            </w:r>
            <w:r w:rsidR="00000000" w:rsidRPr="00000000" w:rsidDel="00000000">
              <w:rPr>
                <w:rtl w:val="0"/>
              </w:rPr>
              <w:t xml:space="preserve">651/2014</w:t>
            </w:r>
            <w:r w:rsidR="00000000" w:rsidRPr="00000000" w:rsidDel="00000000">
              <w:rPr>
                <w:rtl w:val="0"/>
              </w:rPr>
              <w:t xml:space="preserve"> 14. panta 5. punktā noteiktajām prasībām sākotnējie ieguldījumi pēc projekta pabeigšanas paliek Latvijas Republikā attiecīgajā kopējā statistiski teritoriālo vienību klasifikācijai jeb NUTS 3. līmeņa intensitātes (turpmāk -  NUTS 3) reģionā, kurā tiek īstenots atbalstāmais projekts, vismaz piecus gadus lielajiem komersantiem vai trīs gadus mazajiem, vidējiem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tiek pārkāptas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1407/2013</w:t>
            </w:r>
            <w:r w:rsidR="00000000" w:rsidRPr="00000000" w:rsidDel="00000000">
              <w:rPr>
                <w:rtl w:val="0"/>
              </w:rPr>
              <w:t xml:space="preserve">, atbilstoši </w:t>
            </w:r>
            <w:r w:rsidR="00000000" w:rsidRPr="00000000" w:rsidDel="00000000">
              <w:rPr>
                <w:rtl w:val="0"/>
              </w:rPr>
              <w:t xml:space="preserve">Komercdarbības atbalsta kontroles likuma</w:t>
            </w:r>
            <w:r w:rsidR="00000000" w:rsidRPr="00000000" w:rsidDel="00000000">
              <w:rPr>
                <w:rtl w:val="0"/>
              </w:rPr>
              <w:t xml:space="preserve"> IV un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komercdarbības atbalsta gadījumā Komercdarbības atbalsta kontroles likuma IV un V nodaļas nosacījumi vienlaikus nevar tikt piemēroti, lūdzam šā punkta pēdējā teikumā daļā saikli "un" aizstāt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aizstājot saikli "un" ar saikli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tiek pārkāptas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1407/2013</w:t>
            </w:r>
            <w:r w:rsidR="00000000" w:rsidRPr="00000000" w:rsidDel="00000000">
              <w:rPr>
                <w:rtl w:val="0"/>
              </w:rPr>
              <w:t xml:space="preserve">,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Ja tiek pārkāptas regulas Nr. </w:t>
            </w:r>
            <w:r w:rsidR="00000000" w:rsidRPr="00000000" w:rsidDel="00000000">
              <w:rPr>
                <w:rtl w:val="0"/>
              </w:rPr>
              <w:t xml:space="preserve"> 651/2014</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 651/2014</w:t>
            </w:r>
            <w:r w:rsidR="00000000" w:rsidRPr="00000000" w:rsidDel="00000000">
              <w:rPr>
                <w:rtl w:val="0"/>
              </w:rPr>
              <w:t xml:space="preserve">, atbilstoši Komercdarbības atbalsta kontroles likuma IV un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komercdarbības atbalsta gadījumā Komercdarbības atbalsta kontroles likuma IV un V nodaļas nosacījumi vienlaikus nevar tikt piemēroti, lūdzam šā punkta pēdējā teikumā daļā saikli "un" aizstāt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aizstājot saikli "un" ar saikli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Ja tiek pārkāptas regulas Nr. </w:t>
            </w:r>
            <w:r w:rsidR="00000000" w:rsidRPr="00000000" w:rsidDel="00000000">
              <w:rPr>
                <w:rtl w:val="0"/>
              </w:rPr>
              <w:t xml:space="preserve"> 651/2014</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 651/2014</w:t>
            </w:r>
            <w:r w:rsidR="00000000" w:rsidRPr="00000000" w:rsidDel="00000000">
              <w:rPr>
                <w:rtl w:val="0"/>
              </w:rPr>
              <w:t xml:space="preserve">,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23-TA-1088</w:t>
    </w:r>
    <w:r>
      <w:br/>
    </w:r>
    <w:r w:rsidR="00000000" w:rsidRPr="00000000" w:rsidDel="00000000">
      <w:rPr>
        <w:rtl w:val="0"/>
      </w:rPr>
      <w:t xml:space="preserve">28.06.2023. 14.30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23-TA-1088</w:t>
    </w:r>
    <w:r>
      <w:br/>
    </w:r>
    <w:r w:rsidR="00000000" w:rsidRPr="00000000" w:rsidDel="00000000">
      <w:rPr>
        <w:rtl w:val="0"/>
      </w:rPr>
      <w:t xml:space="preserve">28.06.2023. 14.30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Izziņa_23-TA-1088.docx</dc:title>
</cp:coreProperties>
</file>

<file path=docProps/custom.xml><?xml version="1.0" encoding="utf-8"?>
<Properties xmlns="http://schemas.openxmlformats.org/officeDocument/2006/custom-properties" xmlns:vt="http://schemas.openxmlformats.org/officeDocument/2006/docPropsVTypes"/>
</file>