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25-TA-1364: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(11.04.2024.)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25.09.2025. 16:54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ietvertas atsauces uz </w:t>
            </w:r>
            <w:r w:rsidR="00000000" w:rsidRPr="00000000" w:rsidDel="00000000">
              <w:rPr>
                <w:i w:val="1"/>
                <w:rtl w:val="0"/>
              </w:rPr>
              <w:t xml:space="preserve">Eiropas Parlamenta un Padomes 2024. gada 9. oktobra Regulu Nr. 2024/2747 ar ko izveido pasākumu satvaru saistībā ar iekšējā tirgus ārkārtas situāciju un iekšējā tirgus noturību un groza Padomes Regulu (EK) Nr. 2679/98 (Iekšējā tirgus ārkārtas situācijas un noturības akts)</w:t>
            </w:r>
            <w:r w:rsidR="00000000" w:rsidRPr="00000000" w:rsidDel="00000000">
              <w:rPr>
                <w:rtl w:val="0"/>
              </w:rPr>
              <w:t xml:space="preserve"> un </w:t>
            </w:r>
            <w:r w:rsidR="00000000" w:rsidRPr="00000000" w:rsidDel="00000000">
              <w:rPr>
                <w:i w:val="1"/>
                <w:rtl w:val="0"/>
              </w:rPr>
              <w:t xml:space="preserve">Eiropas Parlamenta un Padomes 2019. gada 20. jūnija Regulu Nr. 2019/1020 par tirgus uzraudzību un produktu atbilstību un ar ko groza Direktīvu 2004/42/EK un Regulas (EK) Nr. 765/2008 un (ES) Nr. 305/2011</w:t>
            </w:r>
            <w:r w:rsidR="00000000" w:rsidRPr="00000000" w:rsidDel="00000000">
              <w:rPr>
                <w:rtl w:val="0"/>
              </w:rPr>
              <w:t xml:space="preserve">. Skaidrojam, ka, lai gan regulas saskaņā ar Līguma par Eiropas Savienības darbību 288.panta otro daļu ir vispārpiemērojamas, tās uzliek saistības kopumā un ir tieši piemērojamas visās dalībvalstīs, aicinām to prasību ievērošanu un nacionālo tiesību aktu sasaisti atspoguļot anotācijas 5.4. apakšsadaļas 1. tabulā. Minētās tabulas mērķis ir parādīt, kā nacionālais tiesību akts atbilst attiecīgajam Eiropas Savienības tiesību aktam un nodrošina tā prasību izpildi. Kā arī, ja tiesību akts ietver tiešas atsauces uz regulas normām un to vienībām, tas pēc būtības uzskatāms par regulu prasību ieviešana, jo tādējādi tiek nodrošināta regulas prasību praktiskā piemērošana.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5.3.sadaļa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121.1.3.</w:t>
            </w:r>
            <w:r w:rsidR="00000000" w:rsidRPr="00000000" w:rsidDel="00000000">
              <w:rPr>
                <w:rtl w:val="0"/>
              </w:rPr>
              <w:t xml:space="preserve">, </w:t>
            </w:r>
            <w:r w:rsidR="00000000" w:rsidRPr="00000000" w:rsidDel="00000000">
              <w:rPr>
                <w:rtl w:val="0"/>
              </w:rPr>
              <w:t xml:space="preserve">121.1.4.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121.1.10.</w:t>
            </w:r>
            <w:r w:rsidR="00000000" w:rsidRPr="00000000" w:rsidDel="00000000">
              <w:rPr>
                <w:rtl w:val="0"/>
              </w:rPr>
              <w:t xml:space="preserve"> apakšpunktā un </w:t>
            </w:r>
            <w:r w:rsidR="00000000" w:rsidRPr="00000000" w:rsidDel="00000000">
              <w:rPr>
                <w:rtl w:val="0"/>
              </w:rPr>
              <w:t xml:space="preserve">6.3.</w:t>
            </w:r>
            <w:r w:rsidR="00000000" w:rsidRPr="00000000" w:rsidDel="00000000">
              <w:rPr>
                <w:rtl w:val="0"/>
              </w:rPr>
              <w:t xml:space="preserve">  apakšnodaļā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- 02.10.2025.)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4.1. apakšpunkta redakciju, lai nodrošinātu normu labāku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4.1.apakšpunkts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121.1.3.</w:t>
            </w:r>
            <w:r w:rsidR="00000000" w:rsidRPr="00000000" w:rsidDel="00000000">
              <w:rPr>
                <w:rtl w:val="0"/>
              </w:rPr>
              <w:t xml:space="preserve">, </w:t>
            </w:r>
            <w:r w:rsidR="00000000" w:rsidRPr="00000000" w:rsidDel="00000000">
              <w:rPr>
                <w:rtl w:val="0"/>
              </w:rPr>
              <w:t xml:space="preserve">121.1.4.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121.1.10.</w:t>
            </w:r>
            <w:r w:rsidR="00000000" w:rsidRPr="00000000" w:rsidDel="00000000">
              <w:rPr>
                <w:rtl w:val="0"/>
              </w:rPr>
              <w:t xml:space="preserve"> apakšpunktu un </w:t>
            </w:r>
            <w:r w:rsidR="00000000" w:rsidRPr="00000000" w:rsidDel="00000000">
              <w:rPr>
                <w:rtl w:val="0"/>
              </w:rPr>
              <w:t xml:space="preserve">6.3.</w:t>
            </w:r>
            <w:r w:rsidR="00000000" w:rsidRPr="00000000" w:rsidDel="00000000">
              <w:rPr>
                <w:rtl w:val="0"/>
              </w:rPr>
              <w:t xml:space="preserve">  apakšnodaļu.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09.09.2025. 20:06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papildus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Nr. 215 ar prasībām, kas izriet no Direktīvas 2024/2749, lai nodrošinātu, ka iekšējā tirgus ārkārtas situācijas režīma gadījumā netiktu kavēta tādu radioiekārtu atbilstības novērtēšana, laišana tirgū, tirgus uzraudzība, gadījumā, ja tās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1.2.sadaļa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risinājuma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definīcijām, nodaļām (4.</w:t>
            </w:r>
            <w:r w:rsidR="00000000" w:rsidRPr="00000000" w:rsidDel="00000000">
              <w:rPr>
                <w:vertAlign w:val="superscript"/>
                <w:rtl w:val="0"/>
              </w:rPr>
              <w:t xml:space="preserve">1</w:t>
            </w:r>
            <w:r w:rsidR="00000000" w:rsidRPr="00000000" w:rsidDel="00000000">
              <w:rPr>
                <w:rtl w:val="0"/>
              </w:rPr>
              <w:t xml:space="preserve"> - 4.</w:t>
            </w:r>
            <w:r w:rsidR="00000000" w:rsidRPr="00000000" w:rsidDel="00000000">
              <w:rPr>
                <w:vertAlign w:val="superscript"/>
                <w:rtl w:val="0"/>
              </w:rPr>
              <w:t xml:space="preserve">3</w:t>
            </w:r>
            <w:r w:rsidR="00000000" w:rsidRPr="00000000" w:rsidDel="00000000">
              <w:rPr>
                <w:rtl w:val="0"/>
              </w:rPr>
              <w:t xml:space="preserve">), kas nosaka, kā būtu veicama radioiekārtu atbilstības novērtēšana gadījumā, ja tās tiek atzītas par krīzē būtisku preci, atkāpes radioiekārtu atbilstības novērtēšanas procedūrām, kuras prasa obligātu paziņotās institūcijas iesaistīšanos, kā arī atbilstības prezumpciju un tirgus uzraudzību radioiekārtām, kas atzītas par krīzē būtiskām precēm.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attiecīgi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problēmas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Direktīvu 2024/2749 veikti grozījumi Direktīvā 2014/53, kas pārņemta Noteikumos Nr. 215. Līdz ar to Noteikumus Nr. 215 nepieciešams papildināt ar definīcijām, nodaļām, lai noteiktu, kā notiek radioiekārtu atbilstības novērtēšana gadījumā, ja tās atzītas par krīzē būtiskām precēm, kādas atkāpes attiecībā uz atbilstības novērtēšanas procedūrām var tikt pieļautas, kā arī atbilstības prezumpciju un tirgus uzraudzību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 spēkā esošie Noteikumi Nr. 215 paredz, ka radioiekārtu atbilstības novērtēšanu veic ar obligātu paziņotās institūcijas iesaistīšanos, ka radioiekārtām pievieno atbilstības deklarāciju, kā arī tās marķē ar CE atbilstības marķējumu. Grozījumi Direktīvā 2024/53 paredz, ka, ja iekšējā tirgus ārkārtas situācijas režīma aktivizācijas gadījumā, radioiekārtas tiek atzītas par krīzē būtisku preci, tad paziņotās institūcijas šādām radioiekārtām atbilstības novērtēšanu veic prioritārā kārtā. Tas nozīmē, ka p</w:t>
            </w:r>
            <w:r w:rsidR="00000000" w:rsidRPr="00000000" w:rsidDel="00000000">
              <w:rPr>
                <w:rtl w:val="0"/>
              </w:rPr>
              <w:t xml:space="preserve">aziņotās institūcijas piešķir prioritāti tādu radioiekārtu, kas atzītas par krīzē būtisku preci, iesniegtajiem pieteikumiem atbilstības novērtēšanai, salīdzinājumā ar citiem iesniegtajiem pieteikumiem. Vienlaikus piešķirot prioritāti atbilstības novērtēšanas institūcijas nedrīkst prasīt papildus maksu par tādu radioiekārtu atbilstības novērtēšanu, kas atzītas par krīzē būtisku preci. Kā arī grozījumi Direktīvā 2014/53 paredz, ka tirgū var laist radioiekārtas, kurām nav veikta atbilstības novērtēšana ar paziņotās institūcijas iesaistīšanos. Tādā gadījumā ražotājam ir jāapliecina, ka radioiekārtas atbilst Noteikumos Nr. 215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uz radioiekārtām jānorāda informācija, ka tā laista tirgū kā "krīzē būtiska prece". Atļauju laist tirgū "krīzē būtisku preci" piešķir tirgus uzraudzības iestāde - Patērētāju tiesību aizsardzības centrs. Atļaujā norāda prasības, saskaņā ar kurām radioiekārtas drīkst laist tirgū. Direktīva 2024/2749 paredz, ka atļauja, ko tirgus uzraudzības iestāde ir piešķīrusi, ir derīga attiecīgajā valsts teritorijā un jebkuras citas Eiropas Savienības dalībvalsts teritorijā, kuru kompetentās iestādes ir atzinušas pirms iekšējā tirgus ārkārtas režīma aktivizēšanas. Uz radioiekārtām, kurām piešķirta atļauja iekšējā tirgus ārkārtas situācijas režīma gadījumā nav nepieciešams norādīt CE atbilstības marķējumu. Vienlaikus grozījumi Direktīvā 2024/29 paredz, ka Eiropas Komisija var pieņemt īstenošanas aktus, kuros uzskaita piemērojamos standartus vai nosaka kopējās specifikācijas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uzraudzības iestāde prioritāri veic tirgus uzraudzību tādām radioiekārtām, kas atzītas par krīzē būtisku preci. Šādā gadījumā tirgus uzraudzības iestāde nepieciešamības gadījumā sadarbojas ar citām tirgus uzraudzības iestādēm, apmainoties ar ekspertiem, kā arī gadījumos, kad nepieciešams veikt testēšanu.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papildus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215 ar kuriem ir pārņemtas arī Direktīvas 2014/53 prasības cita starpā nosaka arī būtiskās prasības un to ievērošanas uzraudzības mehānismu radioiekārtām, institūciju, kas veic tirgus uzraudzību, kārtību, kādā tiek veikta tirgus uzraudzība. Noteikumu Nr. 215 2.8. nodaļā minētas atbilstības novērtēšanas procedūras, ar kurām ražotājs, iesaistot atbilstības novērtēšanas institūciju, kas ir tiesīga veikt atbilstības novērtēšanu, apliecina radioiekārtas atbilstību noteikumos minētajām būtiskajām prasībām. Vienlaikus Noteikumos Nr. 215 noteiktas arī prasības paziņotajām institūcijām atbilstības pakalpojumu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215 paredz, ka ražotājs apliecina radioiekārtas atbilstību šo Noteikumos Nr. 215 minētajām būtiskajām prasībām, izmantojot vienu no Noteikumos Nr. 215 norādītajām atbilstības novērtēšanas procedūrām. Radioiekārtu atbilstības novērtēšanu veic Eiropas Komisijai paziņotās atbilstības novērtēšanas institūcijas. Ražotājs sagatavo radioiekārtai atbilstības deklarāciju, radioiekārtu marķē ar CE atbilstības marķējumu pirms tās laišanas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Radioiekārtu tirgus uzraudzību veic Patērētāju tiesību aizsardzības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jaunajā apakšpunkta 4.1. redakcijā paredzēts piemērot apakšpunktus 121.1. pilnā apjomā, 121.2., 121.3., 121.4., kas ir pretrunā ar 4. punkta būtību un var būt piemērotas tikai civilām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4.1. apakšpunkta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pašlaik spēkā esošo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prasības nepiemēro radioiekārtām: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121.1.1., 121.1.2., 121.1.3., 121.1.4., 121.1.10. apakšpunktā un 6.3. apakšnodaļā minētās radioiekārtas);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121.1.3.</w:t>
            </w:r>
            <w:r w:rsidR="00000000" w:rsidRPr="00000000" w:rsidDel="00000000">
              <w:rPr>
                <w:rtl w:val="0"/>
              </w:rPr>
              <w:t xml:space="preserve">, </w:t>
            </w:r>
            <w:r w:rsidR="00000000" w:rsidRPr="00000000" w:rsidDel="00000000">
              <w:rPr>
                <w:rtl w:val="0"/>
              </w:rPr>
              <w:t xml:space="preserve">121.1.4.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121.1.10.</w:t>
            </w:r>
            <w:r w:rsidR="00000000" w:rsidRPr="00000000" w:rsidDel="00000000">
              <w:rPr>
                <w:rtl w:val="0"/>
              </w:rPr>
              <w:t xml:space="preserve"> apakšpunktu un </w:t>
            </w:r>
            <w:r w:rsidR="00000000" w:rsidRPr="00000000" w:rsidDel="00000000">
              <w:rPr>
                <w:rtl w:val="0"/>
              </w:rPr>
              <w:t xml:space="preserve">6.3.</w:t>
            </w:r>
            <w:r w:rsidR="00000000" w:rsidRPr="00000000" w:rsidDel="00000000">
              <w:rPr>
                <w:rtl w:val="0"/>
              </w:rPr>
              <w:t xml:space="preserve">  apakšnodaļu.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2024. gada 2. aprīļa noteikumos Nr. 215 "Radioiekārtu atbilstības novērtēšanas, piedāvāšanas tirgū, uzstādīšanas, lietošanas un uzraudzības noteikumi"" (turpmāk – projekts) sākotnējās ietekmes novērtējuma ziņojumu (turpmāk – anotācija) ar pamatojumu tam, ka projekta 3. punktā ietvertajā Ministru kabineta 2024. gada 2. aprīļa noteikumu Nr. 215 "Radioiekārtu atbilstības novērtēšanas, piedāvāšanas tirgū, uzstādīšanas, lietošanas un uzraudzības noteikumi" (turpmāk – Noteikumi) 4.1. apakšpunktā svītrota atsauce uz Noteikumu 121.1.10. apakšpunktu, ņemot vērā to, ka anotācijas 1.3. apakšsadaļā ir norādīts, ka Noteikumu 4.1. apakšpunktā tiek veikts redakcionāls grozījums, taču atsauces uz Noteikumu 121.1.10. apakšpunktu svītrošana ir grozījums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121.1.3.</w:t>
            </w:r>
            <w:r w:rsidR="00000000" w:rsidRPr="00000000" w:rsidDel="00000000">
              <w:rPr>
                <w:rtl w:val="0"/>
              </w:rPr>
              <w:t xml:space="preserve">, </w:t>
            </w:r>
            <w:r w:rsidR="00000000" w:rsidRPr="00000000" w:rsidDel="00000000">
              <w:rPr>
                <w:rtl w:val="0"/>
              </w:rPr>
              <w:t xml:space="preserve">121.1.4.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121.1.10.</w:t>
            </w:r>
            <w:r w:rsidR="00000000" w:rsidRPr="00000000" w:rsidDel="00000000">
              <w:rPr>
                <w:rtl w:val="0"/>
              </w:rPr>
              <w:t xml:space="preserve"> apakšpunktu un </w:t>
            </w:r>
            <w:r w:rsidR="00000000" w:rsidRPr="00000000" w:rsidDel="00000000">
              <w:rPr>
                <w:rtl w:val="0"/>
              </w:rPr>
              <w:t xml:space="preserve">6.3.</w:t>
            </w:r>
            <w:r w:rsidR="00000000" w:rsidRPr="00000000" w:rsidDel="00000000">
              <w:rPr>
                <w:rtl w:val="0"/>
              </w:rPr>
              <w:t xml:space="preserve">  apakšnodaļu.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Ministru kabineta noteikumu projekta 3.punktu atbilstoši Ministru kabineta 2024. gada 2. aprīļa noteikumu Nr. 215 “Radioiekārtu atbilstības novērtēšanas, piedāvāšanas tirgū, uzstādīšanas, lietošanas un uzraudzības noteikumi” 4.1. apakšpunkta mērķim: noteikt, ka radioiekārtām, kas paredzētas valsts aizsardzības vajadzībām un tiek lietotas tikai nacionālajā radiofrekvenču plānā noteiktajās radiofrekvenču joslās, kuras iedalītas lietošanai tikai valsts aizsardzībai, ir attiecināmas un piemērojamas Ministru kabineta noteikumu </w:t>
            </w:r>
            <w:r w:rsidR="00000000" w:rsidRPr="00000000" w:rsidDel="00000000">
              <w:rPr>
                <w:b w:val="1"/>
                <w:rtl w:val="0"/>
              </w:rPr>
              <w:t xml:space="preserve">121.1.1., 121.1.2., 121.1.3., 121.1.4., 121.1.10</w:t>
            </w:r>
            <w:r w:rsidR="00000000" w:rsidRPr="00000000" w:rsidDel="00000000">
              <w:rPr>
                <w:rtl w:val="0"/>
              </w:rPr>
              <w:t xml:space="preserve">. apakšpunktā un 6.3. apakšnodaļā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4.1.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121.1.1., 121.1.2., 121.1.3., 121.1.4., 121.1.10. apakšpunktā un 6.3. apakšnodaļā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121.1.3.</w:t>
            </w:r>
            <w:r w:rsidR="00000000" w:rsidRPr="00000000" w:rsidDel="00000000">
              <w:rPr>
                <w:rtl w:val="0"/>
              </w:rPr>
              <w:t xml:space="preserve">, </w:t>
            </w:r>
            <w:r w:rsidR="00000000" w:rsidRPr="00000000" w:rsidDel="00000000">
              <w:rPr>
                <w:rtl w:val="0"/>
              </w:rPr>
              <w:t xml:space="preserve">121.1.4.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121.1.10.</w:t>
            </w:r>
            <w:r w:rsidR="00000000" w:rsidRPr="00000000" w:rsidDel="00000000">
              <w:rPr>
                <w:rtl w:val="0"/>
              </w:rPr>
              <w:t xml:space="preserve"> apakšpunktu un </w:t>
            </w:r>
            <w:r w:rsidR="00000000" w:rsidRPr="00000000" w:rsidDel="00000000">
              <w:rPr>
                <w:rtl w:val="0"/>
              </w:rPr>
              <w:t xml:space="preserve">6.3.</w:t>
            </w:r>
            <w:r w:rsidR="00000000" w:rsidRPr="00000000" w:rsidDel="00000000">
              <w:rPr>
                <w:rtl w:val="0"/>
              </w:rPr>
              <w:t xml:space="preserve">  apakšnodaļu.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Noteikumos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5.punktu ar jauniem 5.15. un 5.16. apakšpunktiem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krīzē būtiskas preces - Eiropas Parlamenta un Padomes 2024. gada 9. oktobra Regulas Nr. 2024/2747 ar ko izveido pasākumu satvaru saistībā ar iekšējā tirgus ārkārtas situāciju un iekšējā tirgus noturību un groza Padomes Regulu (EK) Nr. 2679/98 (Iekšējā tirgus ārkārtas situācijas un noturības akts) (turpmāk Regula Nr. 2024/2747) 3. panta 6. punktā definētās preces.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 iekšējā tirgus ārkārtas situācijas režīms - Regulas Nr. 2024/2747 3. panta 3. punktā definētais iekšējā tirgus ārkārtas situācijas režīms."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krīzē būtiskas preces - Eiropas Parlamenta un Padomes 2024. gada 9. oktobra Regulas Nr. 2024/2747 ar ko izveido pasākumu satvaru saistībā ar iekšējā tirgus ārkārtas situāciju un iekšējā tirgus noturību un groza Padomes Regulu (EK) Nr. 2679/98 (Iekšējā tirgus ārkārtas situācijas un noturības akts) (turpmāk Regula Nr. 2024/2747) 3. panta 6. punktā definētās preces.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 iekšējā tirgus ārkārtas situācijas režīms - Regulas Nr. 2024/2747 3. panta 3. punktā definētais iekšējā tirgus ārkārtas situācijas režīms.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14. un 15.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krīzē būtiskas preces - Eiropas Parlamenta un Padomes 2024. gada 9. oktobra Regulas Nr. 2024/2747 ar ko izveido pasākumu satvaru saistībā ar iekšējā tirgus ārkārtas situāciju un iekšējā tirgus noturību un groza Padomes Regulu (EK) Nr. 2679/98 (Iekšējā tirgus ārkārtas situācijas un noturības akts) (turpmāk Regula Nr. 2024/2747) 3. panta 6. punktā definētās preces.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iekšējā tirgus ārkārtas situācijas režīms - Regulas Nr. 2024/2747 3. panta 3. punktā definētais iekšējā tirgus ārkārtas situācijas režīms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Noteikumos lietotie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5.14. mobilo sakaru galiekārtu lokalizācijas sistēma - radioiekārta, ko izmanto cilvēku meklēšanas vai glābšanas operācijās un kura imitē mobilo sakaru tīkla bāzes stacijas darbību, lai noteiktu mobilā tīkla galiekārtu atrašanās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- 24.09.2025.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mobilo sakaru galiekārtu lokalizācijas sistēmas, kā vienas no klātbūtnes noteikšanas sistēmām, skaidrojums jau ir ietverts Ministru kabineta noteikumos Nr.488  “Noteikumi par Valsts robežsardzē izmantojamo tehnisko līdzekļu veidiem un šo tehnisko līdzekļu izmantošanu, kā arī tehnisko līdzekļu izmantošanas rezultātā iegūto datu apstrādi”, apsvērt Noteikumu projekta 5. punkta svītrošanu. Attiecīgi, ja nepieciešams,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5.14. mobilo sakaru galiekārtu lokalizācijas sistēma - radioiekārta, ko izmanto cilvēku meklēšanas vai glābšanas operācijās un kura imitē mobilo sakaru tīkla bāzes stacijas darbību, lai noteiktu mobilā tīkla galiekārtu atrašanās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 punktu, ņemot vērā to, ka tajā ietvertais Noteikumu 5.14. apakšpunkts dublē Ministru kabineta 2025. gada 12. augusta noteikumu Nr. 488 "Noteikumi par Valsts robežsardzē izmantojamo tehnisko līdzekļu veidiem un šo tehnisko līdzekļu izmantošanu, kā arī tehnisko līdzekļu izmantošanas rezultātā iegūto datu apstrādi" 3.1.3. apakšpunktā ietverto termina "mobilo sakaru galiekārtu lokalizācijas sistēmas"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 </w:t>
            </w:r>
            <w:r w:rsidR="00000000" w:rsidRPr="00000000" w:rsidDel="00000000">
              <w:rPr>
                <w:rtl w:val="0"/>
              </w:rPr>
              <w:t xml:space="preserve">nodaļa</w:t>
            </w:r>
            <w:r w:rsidR="00000000" w:rsidRPr="00000000" w:rsidDel="00000000">
              <w:rPr>
                <w:rtl w:val="0"/>
              </w:rPr>
              <w:t xml:space="preserve">,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121.1.5.</w:t>
            </w:r>
            <w:r w:rsidR="00000000" w:rsidRPr="00000000" w:rsidDel="00000000">
              <w:rPr>
                <w:rtl w:val="0"/>
              </w:rPr>
              <w:t xml:space="preserve">, </w:t>
            </w:r>
            <w:r w:rsidR="00000000" w:rsidRPr="00000000" w:rsidDel="00000000">
              <w:rPr>
                <w:rtl w:val="0"/>
              </w:rPr>
              <w:t xml:space="preserve">121.1.6.</w:t>
            </w:r>
            <w:r w:rsidR="00000000" w:rsidRPr="00000000" w:rsidDel="00000000">
              <w:rPr>
                <w:rtl w:val="0"/>
              </w:rPr>
              <w:t xml:space="preserve">, </w:t>
            </w:r>
            <w:r w:rsidR="00000000" w:rsidRPr="00000000" w:rsidDel="00000000">
              <w:rPr>
                <w:rtl w:val="0"/>
              </w:rPr>
              <w:t xml:space="preserve">121.1.7.</w:t>
            </w:r>
            <w:r w:rsidR="00000000" w:rsidRPr="00000000" w:rsidDel="00000000">
              <w:rPr>
                <w:rtl w:val="0"/>
              </w:rPr>
              <w:t xml:space="preserve">, </w:t>
            </w:r>
            <w:r w:rsidR="00000000" w:rsidRPr="00000000" w:rsidDel="00000000">
              <w:rPr>
                <w:rtl w:val="0"/>
              </w:rPr>
              <w:t xml:space="preserve">121.1.8.</w:t>
            </w:r>
            <w:r w:rsidR="00000000" w:rsidRPr="00000000" w:rsidDel="00000000">
              <w:rPr>
                <w:rtl w:val="0"/>
              </w:rPr>
              <w:t xml:space="preserve">, </w:t>
            </w:r>
            <w:r w:rsidR="00000000" w:rsidRPr="00000000" w:rsidDel="00000000">
              <w:rPr>
                <w:rtl w:val="0"/>
              </w:rPr>
              <w:t xml:space="preserve">121.1.10. </w:t>
            </w:r>
            <w:r w:rsidR="00000000" w:rsidRPr="00000000" w:rsidDel="00000000">
              <w:rPr>
                <w:rtl w:val="0"/>
              </w:rPr>
              <w:t xml:space="preserve">apakšpunkts</w:t>
            </w:r>
            <w:r w:rsidR="00000000" w:rsidRPr="00000000" w:rsidDel="00000000">
              <w:rPr>
                <w:rtl w:val="0"/>
              </w:rPr>
              <w:t xml:space="preserve"> un </w:t>
            </w:r>
            <w:r w:rsidR="00000000" w:rsidRPr="00000000" w:rsidDel="00000000">
              <w:rPr>
                <w:rtl w:val="0"/>
              </w:rPr>
              <w:t xml:space="preserve">130. </w:t>
            </w:r>
            <w:r w:rsidR="00000000" w:rsidRPr="00000000" w:rsidDel="00000000">
              <w:rPr>
                <w:rtl w:val="0"/>
              </w:rPr>
              <w:t xml:space="preserve">punkts</w:t>
            </w:r>
            <w:r w:rsidR="00000000" w:rsidRPr="00000000" w:rsidDel="00000000">
              <w:rPr>
                <w:rtl w:val="0"/>
              </w:rPr>
              <w:t xml:space="preserve"> neattiecas uz mobilo sakaru galiekārtu lokalizācijas sistēmām, kuras paredzētas Valsts robežsardzes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punktā ietvertais Noteikumu 8.</w:t>
            </w:r>
            <w:r w:rsidR="00000000" w:rsidRPr="00000000" w:rsidDel="00000000">
              <w:rPr>
                <w:vertAlign w:val="superscript"/>
                <w:rtl w:val="0"/>
              </w:rPr>
              <w:t xml:space="preserve">1</w:t>
            </w:r>
            <w:r w:rsidR="00000000" w:rsidRPr="00000000" w:rsidDel="00000000">
              <w:rPr>
                <w:rtl w:val="0"/>
              </w:rPr>
              <w:t xml:space="preserve"> punkts paredz, kādas Noteikumu normas neattiecas uz mobilo sakaru galiekārtu lokalizācijas sistēmām, kuras paredzētas Valsts robežsardzes darbības nodrošināšanai. No Noteikumos ietvertā regulējuma izriet, ka Noteikumu mērķis ir nodrošināt, ka radioiekārtas nekaitē cilvēku veselībai un videi, tāpēc arī radioiekārtām, kas minētas projekta 6. punktā ietvertajā Noteikumu 8.</w:t>
            </w:r>
            <w:r w:rsidR="00000000" w:rsidRPr="00000000" w:rsidDel="00000000">
              <w:rPr>
                <w:vertAlign w:val="superscript"/>
                <w:rtl w:val="0"/>
              </w:rPr>
              <w:t xml:space="preserve">1</w:t>
            </w:r>
            <w:r w:rsidR="00000000" w:rsidRPr="00000000" w:rsidDel="00000000">
              <w:rPr>
                <w:rtl w:val="0"/>
              </w:rPr>
              <w:t xml:space="preserve"> punktā, ir jābūt nekaitīgām cilvēku veselībai un videi. Ņemot vērā minēto, lūdzam papildināt anotāciju ar informāciju, kā tiks nodrošināts, ka šīs radioiekārtas nerada kaitējumu cilvēku veselībai un videi, vai kurā normatīvajā aktā ir noteiktas prasības, kurām jāatbilst šīm radioiekārtām.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 </w:t>
            </w:r>
            <w:r w:rsidR="00000000" w:rsidRPr="00000000" w:rsidDel="00000000">
              <w:rPr>
                <w:rtl w:val="0"/>
              </w:rPr>
              <w:t xml:space="preserve">nodaļa</w:t>
            </w:r>
            <w:r w:rsidR="00000000" w:rsidRPr="00000000" w:rsidDel="00000000">
              <w:rPr>
                <w:rtl w:val="0"/>
              </w:rPr>
              <w:t xml:space="preserve">,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121.1.5.</w:t>
            </w:r>
            <w:r w:rsidR="00000000" w:rsidRPr="00000000" w:rsidDel="00000000">
              <w:rPr>
                <w:rtl w:val="0"/>
              </w:rPr>
              <w:t xml:space="preserve">, </w:t>
            </w:r>
            <w:r w:rsidR="00000000" w:rsidRPr="00000000" w:rsidDel="00000000">
              <w:rPr>
                <w:rtl w:val="0"/>
              </w:rPr>
              <w:t xml:space="preserve">121.1.6.</w:t>
            </w:r>
            <w:r w:rsidR="00000000" w:rsidRPr="00000000" w:rsidDel="00000000">
              <w:rPr>
                <w:rtl w:val="0"/>
              </w:rPr>
              <w:t xml:space="preserve">, </w:t>
            </w:r>
            <w:r w:rsidR="00000000" w:rsidRPr="00000000" w:rsidDel="00000000">
              <w:rPr>
                <w:rtl w:val="0"/>
              </w:rPr>
              <w:t xml:space="preserve">121.1.7.</w:t>
            </w:r>
            <w:r w:rsidR="00000000" w:rsidRPr="00000000" w:rsidDel="00000000">
              <w:rPr>
                <w:rtl w:val="0"/>
              </w:rPr>
              <w:t xml:space="preserve">, </w:t>
            </w:r>
            <w:r w:rsidR="00000000" w:rsidRPr="00000000" w:rsidDel="00000000">
              <w:rPr>
                <w:rtl w:val="0"/>
              </w:rPr>
              <w:t xml:space="preserve">121.1.8.</w:t>
            </w:r>
            <w:r w:rsidR="00000000" w:rsidRPr="00000000" w:rsidDel="00000000">
              <w:rPr>
                <w:rtl w:val="0"/>
              </w:rPr>
              <w:t xml:space="preserve">, </w:t>
            </w:r>
            <w:r w:rsidR="00000000" w:rsidRPr="00000000" w:rsidDel="00000000">
              <w:rPr>
                <w:rtl w:val="0"/>
              </w:rPr>
              <w:t xml:space="preserve">121.1.10. </w:t>
            </w:r>
            <w:r w:rsidR="00000000" w:rsidRPr="00000000" w:rsidDel="00000000">
              <w:rPr>
                <w:rtl w:val="0"/>
              </w:rPr>
              <w:t xml:space="preserve">apakšpunkts</w:t>
            </w:r>
            <w:r w:rsidR="00000000" w:rsidRPr="00000000" w:rsidDel="00000000">
              <w:rPr>
                <w:rtl w:val="0"/>
              </w:rPr>
              <w:t xml:space="preserve"> un </w:t>
            </w:r>
            <w:r w:rsidR="00000000" w:rsidRPr="00000000" w:rsidDel="00000000">
              <w:rPr>
                <w:rtl w:val="0"/>
              </w:rPr>
              <w:t xml:space="preserve">130. </w:t>
            </w:r>
            <w:r w:rsidR="00000000" w:rsidRPr="00000000" w:rsidDel="00000000">
              <w:rPr>
                <w:rtl w:val="0"/>
              </w:rPr>
              <w:t xml:space="preserve">punkts</w:t>
            </w:r>
            <w:r w:rsidR="00000000" w:rsidRPr="00000000" w:rsidDel="00000000">
              <w:rPr>
                <w:rtl w:val="0"/>
              </w:rPr>
              <w:t xml:space="preserve"> neattiecas uz mobilo sakaru galiekārtu lokalizācijas sistēmām, kuras paredzētas Valsts robežsardzes darbības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5.15.un 5.16.apakšpunkti un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4.</w:t>
            </w:r>
            <w:r w:rsidR="00000000" w:rsidRPr="00000000" w:rsidDel="00000000">
              <w:rPr>
                <w:vertAlign w:val="superscript"/>
                <w:rtl w:val="0"/>
              </w:rPr>
              <w:t xml:space="preserve">3 </w:t>
            </w:r>
            <w:r w:rsidR="00000000" w:rsidRPr="00000000" w:rsidDel="00000000">
              <w:rPr>
                <w:rtl w:val="0"/>
              </w:rPr>
              <w:t xml:space="preserve">nodaļu punkti stājas spēkā 2026. gada 30. maijā.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attiecīgi papildināts ar spēka stāšanas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informatīvo atsauci uz Eiropas Savienības direktīvām ar 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Informatīva atsauce uz Eiropas Savienības direktīvām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w:t>
            </w:r>
            <w:r w:rsidR="00000000" w:rsidRPr="00000000" w:rsidDel="00000000">
              <w:rPr>
                <w:b w:val="1"/>
                <w:vertAlign w:val="superscript"/>
                <w:rtl w:val="0"/>
              </w:rPr>
              <w:t xml:space="preserve">3 </w:t>
            </w:r>
            <w:r w:rsidR="00000000" w:rsidRPr="00000000" w:rsidDel="00000000">
              <w:rPr>
                <w:vertAlign w:val="superscript"/>
                <w:rtl w:val="0"/>
              </w:rPr>
              <w:t xml:space="preserve"> </w:t>
            </w:r>
            <w:r w:rsidR="00000000" w:rsidRPr="00000000" w:rsidDel="00000000">
              <w:rPr>
                <w:b w:val="1"/>
                <w:rtl w:val="0"/>
              </w:rPr>
              <w:t xml:space="preserve">Atbilstības prezumpcija un tirgus uzraudzība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12</w:t>
            </w:r>
            <w:r w:rsidR="00000000" w:rsidRPr="00000000" w:rsidDel="00000000">
              <w:rPr>
                <w:rtl w:val="0"/>
              </w:rPr>
              <w:t xml:space="preserve"> Radioiekārtas, kuras Eiropas Komisija ar īstenošanas aktu atzinusi par krīzē būtiskām precēm, uzskaitot piemērojamos standartus vai nosakot kopējas specifikācijas radioiekārtām, atbilst šo noteikumu 2.2. apakšnodaļas 10. un 11. punktā minētajām būtiskajām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13</w:t>
            </w:r>
            <w:r w:rsidR="00000000" w:rsidRPr="00000000" w:rsidDel="00000000">
              <w:rPr>
                <w:rtl w:val="0"/>
              </w:rPr>
              <w:t xml:space="preserve"> Ja vien radioiekārtas, uz kurām attiecas standarti vai kopējās specifikācijas, kas minētas 120.</w:t>
            </w:r>
            <w:r w:rsidR="00000000" w:rsidRPr="00000000" w:rsidDel="00000000">
              <w:rPr>
                <w:vertAlign w:val="superscript"/>
                <w:rtl w:val="0"/>
              </w:rPr>
              <w:t xml:space="preserve">12</w:t>
            </w:r>
            <w:r w:rsidR="00000000" w:rsidRPr="00000000" w:rsidDel="00000000">
              <w:rPr>
                <w:rtl w:val="0"/>
              </w:rPr>
              <w:t xml:space="preserve"> punktā, nerada risku cilvēku veselībai vai drošībai, radioiekārtas, kas atbilst minētajiem standartiem vai kopējām specifikācijām un kas laistas tirgū, uzskata par atbilstošām šo noteikumu būtiskajām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14</w:t>
            </w:r>
            <w:r w:rsidR="00000000" w:rsidRPr="00000000" w:rsidDel="00000000">
              <w:rPr>
                <w:rtl w:val="0"/>
              </w:rPr>
              <w:t xml:space="preserve"> Tirgus uzraudzības iestāde uzraudzību prioritāri veic tām radioiekārtām, kas atzītas par krīzē būtisku preci."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attiecīgi  papildināts ar 4.</w:t>
            </w:r>
            <w:r w:rsidR="00000000" w:rsidRPr="00000000" w:rsidDel="00000000">
              <w:rPr>
                <w:vertAlign w:val="superscript"/>
                <w:rtl w:val="0"/>
              </w:rPr>
              <w:t xml:space="preserve">3</w:t>
            </w:r>
            <w:r w:rsidR="00000000" w:rsidRPr="00000000" w:rsidDel="00000000">
              <w:rPr>
                <w:rtl w:val="0"/>
              </w:rPr>
              <w:t xml:space="preserve"> nodaļu.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b w:val="1"/>
                <w:vertAlign w:val="superscript"/>
                <w:rtl w:val="0"/>
              </w:rPr>
              <w:t xml:space="preserve">2</w:t>
            </w:r>
            <w:r w:rsidR="00000000" w:rsidRPr="00000000" w:rsidDel="00000000">
              <w:rPr>
                <w:b w:val="1"/>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radioiekārtas, kurām nav veiktas šo noteikumu 2.8. apakšnodaļā minētās atbilstības novērtēšanas procedūras, ja ir apliecināta atbilstība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5</w:t>
            </w:r>
            <w:r w:rsidR="00000000" w:rsidRPr="00000000" w:rsidDel="00000000">
              <w:rPr>
                <w:rtl w:val="0"/>
              </w:rPr>
              <w:t xml:space="preserve"> Tirgus uzraudzības iestāde nekavējoties informē Eiropas Komisiju un pārējās dalībvalstis par atļaujām, kas piešķirtas saskaņā ar šo noteikumu 120.</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6</w:t>
            </w:r>
            <w:r w:rsidR="00000000" w:rsidRPr="00000000" w:rsidDel="00000000">
              <w:rPr>
                <w:rtl w:val="0"/>
              </w:rPr>
              <w:t xml:space="preserve"> Uz radioiekārtām, kuras atļauts laist tirgū saskaņā ar 120.</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7</w:t>
            </w:r>
            <w:r w:rsidR="00000000" w:rsidRPr="00000000" w:rsidDel="00000000">
              <w:rPr>
                <w:rtl w:val="0"/>
              </w:rPr>
              <w:t xml:space="preserve"> Radioiekārtu ražotāji, kuriem tiek piemērota šo noteikumu 120.</w:t>
            </w:r>
            <w:r w:rsidR="00000000" w:rsidRPr="00000000" w:rsidDel="00000000">
              <w:rPr>
                <w:vertAlign w:val="superscript"/>
                <w:rtl w:val="0"/>
              </w:rPr>
              <w:t xml:space="preserve">4</w:t>
            </w:r>
            <w:r w:rsidR="00000000" w:rsidRPr="00000000" w:rsidDel="00000000">
              <w:rPr>
                <w:rtl w:val="0"/>
              </w:rPr>
              <w:t xml:space="preserve"> punktā minētā atkāpe, izmantojot 2.12. apakšnodaļā minēto tehnisko dokumentāciju, apliecina, ka attiecīgās radioiekārtas atbilst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 </w:t>
            </w:r>
            <w:r w:rsidR="00000000" w:rsidRPr="00000000" w:rsidDel="00000000">
              <w:rPr>
                <w:rtl w:val="0"/>
              </w:rPr>
              <w:t xml:space="preserve">Tirgus uzraudzības iestāde izsniegtajā  atļaujā, kas izdota pamatojoties uz 120.</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1. procedūru aprakstu, ar kurām pierādīta atbilstība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2. prasības attiecībā uz konkrētās radioiekārtas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4. prasības, kas attiecas uz vajadzību nodrošināt nepārtrauktu atbilstības novērtēšanu, kura skar konkrēto radioiekārtu;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pasākumus, kas jāveic attiecībā uz konkrēto tirgū laisto radioiekārtu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9</w:t>
            </w:r>
            <w:r w:rsidR="00000000" w:rsidRPr="00000000" w:rsidDel="00000000">
              <w:rPr>
                <w:rtl w:val="0"/>
              </w:rPr>
              <w:t xml:space="preserve"> Radioiekārtas, kurām piešķirta atļauja, saskaņā ar šo noteikumu 120.</w:t>
            </w:r>
            <w:r w:rsidR="00000000" w:rsidRPr="00000000" w:rsidDel="00000000">
              <w:rPr>
                <w:vertAlign w:val="superscript"/>
                <w:rtl w:val="0"/>
              </w:rPr>
              <w:t xml:space="preserve">4</w:t>
            </w:r>
            <w:r w:rsidR="00000000" w:rsidRPr="00000000" w:rsidDel="00000000">
              <w:rPr>
                <w:rtl w:val="0"/>
              </w:rPr>
              <w:t xml:space="preserve"> punktā minēto atkāpi, netiek marķētas ar CE atbilstības marķējumu.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10</w:t>
            </w:r>
            <w:r w:rsidR="00000000" w:rsidRPr="00000000" w:rsidDel="00000000">
              <w:rPr>
                <w:rtl w:val="0"/>
              </w:rPr>
              <w:t xml:space="preserve"> Tirgus uzraudzības iestāde, ņemot vērā šo noteikumu 120.</w:t>
            </w:r>
            <w:r w:rsidR="00000000" w:rsidRPr="00000000" w:rsidDel="00000000">
              <w:rPr>
                <w:vertAlign w:val="superscript"/>
                <w:rtl w:val="0"/>
              </w:rPr>
              <w:t xml:space="preserve">4</w:t>
            </w:r>
            <w:r w:rsidR="00000000" w:rsidRPr="00000000" w:rsidDel="00000000">
              <w:rPr>
                <w:rtl w:val="0"/>
              </w:rPr>
              <w:t xml:space="preserve"> un 120.</w:t>
            </w:r>
            <w:r w:rsidR="00000000" w:rsidRPr="00000000" w:rsidDel="00000000">
              <w:rPr>
                <w:vertAlign w:val="superscript"/>
                <w:rtl w:val="0"/>
              </w:rPr>
              <w:t xml:space="preserve">5</w:t>
            </w:r>
            <w:r w:rsidR="00000000" w:rsidRPr="00000000" w:rsidDel="00000000">
              <w:rPr>
                <w:rtl w:val="0"/>
              </w:rPr>
              <w:t xml:space="preserve"> punktu  ir tiesīga radioaparātiem veikt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11</w:t>
            </w:r>
            <w:r w:rsidR="00000000" w:rsidRPr="00000000" w:rsidDel="00000000">
              <w:rPr>
                <w:rtl w:val="0"/>
              </w:rPr>
              <w:t xml:space="preserve"> Šo noteikumu 120.</w:t>
            </w:r>
            <w:r w:rsidR="00000000" w:rsidRPr="00000000" w:rsidDel="00000000">
              <w:rPr>
                <w:vertAlign w:val="superscript"/>
                <w:rtl w:val="0"/>
              </w:rPr>
              <w:t xml:space="preserve">5</w:t>
            </w:r>
            <w:r w:rsidR="00000000" w:rsidRPr="00000000" w:rsidDel="00000000">
              <w:rPr>
                <w:rtl w:val="0"/>
              </w:rPr>
              <w:t xml:space="preserve"> - 120.</w:t>
            </w:r>
            <w:r w:rsidR="00000000" w:rsidRPr="00000000" w:rsidDel="00000000">
              <w:rPr>
                <w:vertAlign w:val="superscript"/>
                <w:rtl w:val="0"/>
              </w:rPr>
              <w:t xml:space="preserve">8</w:t>
            </w:r>
            <w:r w:rsidR="00000000" w:rsidRPr="00000000" w:rsidDel="00000000">
              <w:rPr>
                <w:rtl w:val="0"/>
              </w:rPr>
              <w:t xml:space="preserve"> punktā minētās atļaujas piešķiršanas procedūra neietekmē šo noteikumu 2.8. apakšnodaļā noteikto attiecīgo atbilstības novērtēšanas procedūru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attiecīgi papildināts ar 4.</w:t>
            </w:r>
            <w:r w:rsidR="00000000" w:rsidRPr="00000000" w:rsidDel="00000000">
              <w:rPr>
                <w:vertAlign w:val="superscript"/>
                <w:rtl w:val="0"/>
              </w:rPr>
              <w:t xml:space="preserve">2</w:t>
            </w:r>
            <w:r w:rsidR="00000000" w:rsidRPr="00000000" w:rsidDel="00000000">
              <w:rPr>
                <w:rtl w:val="0"/>
              </w:rPr>
              <w:t xml:space="preserve">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b w:val="1"/>
                <w:vertAlign w:val="superscript"/>
                <w:rtl w:val="0"/>
              </w:rPr>
              <w:t xml:space="preserve">1</w:t>
            </w:r>
            <w:r w:rsidR="00000000" w:rsidRPr="00000000" w:rsidDel="00000000">
              <w:rPr>
                <w:b w:val="1"/>
                <w:rtl w:val="0"/>
              </w:rPr>
              <w:t xml:space="preserve"> Tādu radioiekārtu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w:t>
            </w:r>
            <w:r w:rsidR="00000000" w:rsidRPr="00000000" w:rsidDel="00000000">
              <w:rPr>
                <w:rtl w:val="0"/>
              </w:rPr>
              <w:t xml:space="preserve"> Paziņotās institūcijas prioritārā kārtā izskata pieteikumus par tādu radioiekārtu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2</w:t>
            </w:r>
            <w:r w:rsidR="00000000" w:rsidRPr="00000000" w:rsidDel="00000000">
              <w:rPr>
                <w:rtl w:val="0"/>
              </w:rPr>
              <w:t xml:space="preserve"> Prioritātes piešķiršana radioiekārtu atbilstības novērtēšanas pieteikumiem nerada nesamērīgas papildu izmaksas ražotājiem, kas iesnieguši 120.</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.3</w:t>
            </w:r>
            <w:r w:rsidR="00000000" w:rsidRPr="00000000" w:rsidDel="00000000">
              <w:rPr>
                <w:rtl w:val="0"/>
              </w:rPr>
              <w:t xml:space="preserve"> Paziņotās institūcijas krīzes gadījumā cenšas palielināt savas testēšanas iespējas attiecībā uz radioiekārtām, kas atzītas par krīzē būtisku preci un par kurām tām ir paziņots."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attiecīgi papildināts ar 4.</w:t>
            </w:r>
            <w:r w:rsidR="00000000" w:rsidRPr="00000000" w:rsidDel="00000000">
              <w:rPr>
                <w:vertAlign w:val="superscript"/>
                <w:rtl w:val="0"/>
              </w:rPr>
              <w:t xml:space="preserve">1</w:t>
            </w:r>
            <w:r w:rsidR="00000000" w:rsidRPr="00000000" w:rsidDel="00000000">
              <w:rPr>
                <w:rtl w:val="0"/>
              </w:rPr>
              <w:t xml:space="preserve">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mērķa aprakstu, aizstājot vārdu "nepārtopamu" ar vārdu "nepārprotamu", kā arī izvērtēt, vai attiecībā uz veicamajiem grozījumiem ir atbilstoši norādīt, ka tie paredz tikai tehniskus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sadaļas "Problēmas apraksts" ceturtās rindkopas pirmais teikums "2025. gada 14. augustā stājas spēkā grozījumi Ministru kabineta noteikumos Nr. 488  “Noteikumi par Valsts robežsardzē izmantojamo tehnisko līdzekļu veidiem un šo tehnisko līdzekļu izmantošanu, kā arī tehnisko līdzekļu izmantošanas rezultātā iegūto datu apstrādi” (prot. Nr. 31, 26. §), kas paredz, ka Valsts robežsardze darbības nodrošināšanai plāno izmantot Mobilo sakaru galiekārtu lokalizācijas sistēmas, kas ir radioiekārtas.", jo 2025. gada 12. augustā tika pieņemti Ministru kabineta noteikumi Nr. 488  “Noteikumi par Valsts robežsardzē izmantojamo tehnisko līdzekļu veidiem un šo tehnisko līdzekļu izmantošanu, kā arī tehnisko līdzekļu izmantošanas rezultātā iegūto datu apstrādi” kā jauns normatīvais akts, tāpēc nav korekta norāde par to, ka "stājās spēkā grozījumi Ministru kabineta noteikumos". Papildus norādāms, ka Ministru kabineta noteikumu Nr. 488  “Noteikumi par Valsts robežsardzē izmantojamo tehnisko līdzekļu veidiem un šo tehnisko līdzekļu izmantošanu, kā arī tehnisko līdzekļu izmantošanas rezultātā iegūto datu apstrādi” 3.1.3. apakšpunktā ir noteikts, ka Valsts robežsardze izmanto mobilo sakaru galiekārtu lokalizācijas sistēmas, kas ir radioiekārtas. Skatīt piedāvāto redakciju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14. augustā stājas spēkā Ministru kabineta noteikumi Nr. 488  “Noteikumi par Valsts robežsardzē izmantojamo tehnisko līdzekļu veidiem un šo tehnisko līdzekļu izmantošanu, kā arī tehnisko līdzekļu izmantošanas rezultātā iegūto datu apstrādi” (prot. Nr. 31, 26. §), kas nosaka, ka Valsts robežsardze darbības nodrošināšanai izmanto mobilo sakaru galiekārtu lokalizācijas sistēmas, kas ir radioiekārtas.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Radioiekārtu atbilstības novērtēšanas, piedāvāšanas tirgū, uzstādīšanas, lietošanas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papildināt šo noteikumu projektu ar papildus normām (izteikts EM iebildumu formā), kas nepieciešamas, lai nacionālajā tiesību sistēmā tiktu pārņemtas Direktīvas 2024/2749/ES prasības, līdz ar to neradot papildus administratīvo slogu veicot papildus grozījumus normatīvajā regulējumā par radioiekārtām.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papildus prasības un grozījumi saistīti ar Iekšējā tirgus ārkārtējā stāvokļa un noturības aktu (IMERA), kura mērķis ir nodrošināt pirmās nepieciešamības preču, pakalpojumu un personu nepārtrauktu pārvietošanos visā ES krīzes laikā un saistošo tiesību aktu – Direktīva 2024/2749/ES, kas groza vairākas esošas direktīvas (piemēram, Direktīvu 2000/14/EK, 2006/42/EK, 2010/35/ES, 2014/29/ES, 2014/30/ES, 2014/33/ES, 2014/34/ES, 2014/35/ES, 2014/53/ES un 2014/68/ES) saistībā ar ārkārtas procedūrām atbilstības novērtēšanai.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attiecīgi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Radioiekārtu atbilstības novērtēšanas, piedāvāšanas tirgū, uzstādīšanas, lietošanas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 traucējoša iekārta – iekārta, kura rada vai var radīt kaitīgus radiotraucējumus;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Ministru kabineta noteikumu projekta 4.punkta nepieciešamību, ņemot vērā, ka netiek mainīts Ministru kabineta 2024. gada 2. aprīļa noteikumos Nr. 215 “Radioiekārtu atbilstības novērtēšanas, piedāvāšanas tirgū, uzstādīšanas, lietošanas un uzraudzības noteikumi” noteiktais termina “traucējoša iekārta”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121.1.10. tā darbojas saskaņā ar lietošanas uzraudzības institūcijas izsniegtu radiofrekvences piešķīruma lietošanas atļauju vai koplietojamu radiofrekvences piešķīruma lietošanas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121.1.10.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"121.1.1.10. tā darbojas saskaņā ar lietošanas uzraudzības institūcijas izsniegtu radiofrekvences piešķīruma lietošanas atļauju vai </w:t>
            </w:r>
            <w:r w:rsidR="00000000" w:rsidRPr="00000000" w:rsidDel="00000000">
              <w:rPr>
                <w:b w:val="1"/>
                <w:rtl w:val="0"/>
              </w:rPr>
              <w:t xml:space="preserve">koplietojama </w:t>
            </w:r>
            <w:r w:rsidR="00000000" w:rsidRPr="00000000" w:rsidDel="00000000">
              <w:rPr>
                <w:rtl w:val="0"/>
              </w:rPr>
              <w:t xml:space="preserve">radiofrekvences piešķīruma lietošanas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121.1.10. tā darbojas saskaņā ar lietošanas uzraudzības institūcijas izsniegtu radiofrekvences piešķīruma lietošanas atļauju vai koplietojama radiofrekvences piešķīruma lietošanas atļauju;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 Lietošanas uzraudzības institūcija var noteikt uzstādīšanas un lietošanas ierobežojumus radioiekārtām, kuras nav ietvertas koplietojamā radiofrekvenču piešķīruma lietošanas atļaujā un kuru lietošana nav vienāda visā ES, 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 Lietošanas uzraudzības institūcija var noteikt uzstādīšanas un lietošanas ierobežojumus radioiekārtām, kuras nav ietvertas </w:t>
            </w:r>
            <w:r w:rsidR="00000000" w:rsidRPr="00000000" w:rsidDel="00000000">
              <w:rPr>
                <w:b w:val="1"/>
                <w:rtl w:val="0"/>
              </w:rPr>
              <w:t xml:space="preserve">koplietojama radiofrekvences</w:t>
            </w:r>
            <w:r w:rsidR="00000000" w:rsidRPr="00000000" w:rsidDel="00000000">
              <w:rPr>
                <w:rtl w:val="0"/>
              </w:rPr>
              <w:t xml:space="preserve"> piešķīruma lietošanas atļaujā un kuru lietošana nav vienāda visā ES,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129.1. nodrošinātu valsts aizsardzību, drošību un sabiedrisko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129.2. nodrošinātu racionālu un efektīvu radiofrekvenču spektra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129.3. novērstu kaitīgus radiotraucējumus;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129.4. atbrīvotu radiofrekvenču joslas citiem radiosakaru veidiem vai radiosakaru sistēmām, kuru ieviešana ir paredzēta nacionālajā radiofrekvenču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129.5. nodrošinātu ārvalstu augstāko amatpersonu delegāciju vizītes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 Lietošanas uzraudzības institūcija var noteikt uzstādīšanas un lietošanas ierobežojumus radioiekārtām, kuras nav ietvertas koplietojama radiofrekvences piešķīruma lietošanas atļaujā un kuru lietošana nav vienāda visā ES, lai: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lietošanas uzraudzības institūcija, veicot šo noteikumu </w:t>
            </w:r>
            <w:r w:rsidR="00000000" w:rsidRPr="00000000" w:rsidDel="00000000">
              <w:rPr>
                <w:rtl w:val="0"/>
              </w:rPr>
              <w:t xml:space="preserve">135.8. </w:t>
            </w:r>
            <w:r w:rsidR="00000000" w:rsidRPr="00000000" w:rsidDel="00000000">
              <w:rPr>
                <w:rtl w:val="0"/>
              </w:rPr>
              <w:t xml:space="preserve">apakšpunktā</w:t>
            </w:r>
            <w:r w:rsidR="00000000" w:rsidRPr="00000000" w:rsidDel="00000000">
              <w:rPr>
                <w:rtl w:val="0"/>
              </w:rPr>
              <w:t xml:space="preserve"> minētās pārbaudes, nekustamajā īpašumā konstatē radioiekārtu, kas darbojas bez radiofrekvences piešķīruma lietošanas atļaujas vai pārkāpjot koplietojamā radiofrekvenču piešķīruma lietošanas atļaujā noteiktās tehniskās prasības, nekustamā īpašuma īpašnieka, valdītāja vai tā pilnvarotās personas pienākums ir pēc lietošanas uzraudzības institūcijas pilnvarotās amatpersonas pieprasījuma sniegt tās rīcībā esošās ziņas par nekustamajā īpašumā esošās stacionāri uzstādītās radioiekārtas īpašnieku vai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154.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lietošanas uzraudzības institūcija, veicot šo noteikumu 135.8. apakšpunktā minētās pārbaudes, nekustamajā īpašumā konstatē radioiekārtu, kas darbojas bez radiofrekvences piešķīruma lietošanas atļaujas vai pārkāpjot </w:t>
            </w:r>
            <w:r w:rsidR="00000000" w:rsidRPr="00000000" w:rsidDel="00000000">
              <w:rPr>
                <w:b w:val="1"/>
                <w:rtl w:val="0"/>
              </w:rPr>
              <w:t xml:space="preserve">koplietojama radiofrekvences</w:t>
            </w:r>
            <w:r w:rsidR="00000000" w:rsidRPr="00000000" w:rsidDel="00000000">
              <w:rPr>
                <w:rtl w:val="0"/>
              </w:rPr>
              <w:t xml:space="preserve"> piešķīruma lietošanas atļaujā noteiktās tehniskās prasības, nekustamā īpašuma īpašnieka, valdītāja vai tā pilnvarotās personas pienākums ir pēc lietošanas uzraudzības institūcijas pilnvarotās amatpersonas pieprasījuma sniegt tās rīcībā esošās ziņas par nekustamajā īpašumā esošās stacionāri uzstādītās radioiekārtas īpašnieku vai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lietošanas uzraudzības institūcija, veicot šo noteikumu </w:t>
            </w:r>
            <w:r w:rsidR="00000000" w:rsidRPr="00000000" w:rsidDel="00000000">
              <w:rPr>
                <w:rtl w:val="0"/>
              </w:rPr>
              <w:t xml:space="preserve">135.8. </w:t>
            </w:r>
            <w:r w:rsidR="00000000" w:rsidRPr="00000000" w:rsidDel="00000000">
              <w:rPr>
                <w:rtl w:val="0"/>
              </w:rPr>
              <w:t xml:space="preserve">apakšpunktā</w:t>
            </w:r>
            <w:r w:rsidR="00000000" w:rsidRPr="00000000" w:rsidDel="00000000">
              <w:rPr>
                <w:rtl w:val="0"/>
              </w:rPr>
              <w:t xml:space="preserve"> minētās pārbaudes, nekustamajā īpašumā konstatē radioiekārtu, kas darbojas bez radiofrekvences piešķīruma lietošanas atļaujas vai pārkāpjot koplietojama radiofrekvences piešķīruma lietošanas atļaujā noteiktās tehniskās prasības, nekustamā īpašuma īpašnieka, valdītāja vai tā pilnvarotās personas pienākums ir pēc lietošanas uzraudzības institūcijas pilnvarotās amatpersonas pieprasījuma sniegt tās rīcībā esošās ziņas par nekustamajā īpašumā esošās stacionāri uzstādītās radioiekārtas īpašnieku vai lietotāju.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25-TA-1364</w:t>
    </w:r>
    <w:r>
      <w:br/>
    </w:r>
    <w:r w:rsidR="00000000" w:rsidRPr="00000000" w:rsidDel="00000000">
      <w:rPr>
        <w:rtl w:val="0"/>
      </w:rPr>
      <w:t xml:space="preserve">11.11.2025. 16.20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25-TA-1364</w:t>
    </w:r>
    <w:r>
      <w:br/>
    </w:r>
    <w:r w:rsidR="00000000" w:rsidRPr="00000000" w:rsidDel="00000000">
      <w:rPr>
        <w:rtl w:val="0"/>
      </w:rPr>
      <w:t xml:space="preserve">11.11.2025. 16.20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Izziņa_25-TA-1364.docx</dc:title>
</cp:coreProperties>
</file>

<file path=docProps/custom.xml><?xml version="1.0" encoding="utf-8"?>
<Properties xmlns="http://schemas.openxmlformats.org/officeDocument/2006/custom-properties" xmlns:vt="http://schemas.openxmlformats.org/officeDocument/2006/docPropsVTypes"/>
</file>