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24-TA-3274: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3.1.1. specifiskā atbalsta mērķa "Attīstīt ilgtspējīgu, pret klimatu izturīgu, inteliģentu, drošu un vairākveidu TEN-T infrastruktūru" 3.1.1.5. pasākuma "Nacionālās nozīmes centru maģistrālo ielu un esošo maršrutu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ietvaros izmaksas ir attiecināmas no 2022. gada 25. novembra, izņemot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20.15.</w:t>
            </w:r>
            <w:r w:rsidR="00000000" w:rsidRPr="00000000" w:rsidDel="00000000">
              <w:rPr>
                <w:rtl w:val="0"/>
              </w:rPr>
              <w:t xml:space="preserve"> un </w:t>
            </w:r>
            <w:r w:rsidR="00000000" w:rsidRPr="00000000" w:rsidDel="00000000">
              <w:rPr>
                <w:rtl w:val="0"/>
              </w:rPr>
              <w:t xml:space="preserve">21.1. </w:t>
            </w:r>
            <w:r w:rsidR="00000000" w:rsidRPr="00000000" w:rsidDel="00000000">
              <w:rPr>
                <w:rtl w:val="0"/>
              </w:rPr>
              <w:t xml:space="preserve">apakšpunktā</w:t>
            </w:r>
            <w:r w:rsidR="00000000" w:rsidRPr="00000000" w:rsidDel="00000000">
              <w:rPr>
                <w:rtl w:val="0"/>
              </w:rPr>
              <w:t xml:space="preserve"> minētās izmaksas, kas ir attiecināmas, ja tās veiktas pēc 2021. gada 1. janvāra. Projekta iesniegumā neiekļauj pabeigtas darbības un finansējumu tām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pasākuma ietvaros izmaksas ir attiecināmas no 2022. gada 25. novembra, savukārt atsevišķos gadījumos – jau no 2021. gada 1. janvāra (20.1., 20.2., 20.15. un 21.1. apakšpunktā minētajām izmaksām). Norādām, ka anotācijā nav sniegts skaidrojums, kāpēc tieši šie datumi ir noteikti kā attiecināmo izmaksu sākuma robeža un kā tie izriet no atbilstošā normatīvā vai politikas plānošanas dokumenta regulējuma. Ievērojot minēto, lūdzam attiecīgi papildināt anotāciju, sniedzot skaidrojumu par attiecināmo izmaksu perioda izvēli, lai nodrošinātu tiesisko noteiktību un pārskatāmību, kā arī pamatotu minēto datumu atbilstību Eiropas Savienības fondu regulējumam un finansējuma piešķiršanas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projekta anotācijas 1.3.sadaļu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nosaka, ka pasākuma ietvaros izmaksas ir attiecināmas no 2022. gada 25. novembra, izņemot noteikumu 20.1., 20.2., 20.15. un 20.16. apakšpunktā minētās izmaksas, kas ir attiecināmas, ja tās veiktas pēc 2021.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attiecināmības termiņš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2021. gada 1. janvāra, ņemot vērā, ka no 2021. gada 1. janvāra Latvijas Republikā sākās ES fondu 2021.–2027. gada plānošanas periods un, tai skaitā attiecināmības termiņu nosaka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63.panta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2022. gada 25. novembra ņemot vērā, ka Eiropas Komisija 2022.gada 25. novembrī apstiprināja ES kohēzijas politikas programmu 2021.–2027. gadam (EK lēmums pieejams: https://www.esfondi.lv/profesionaliem/planosana/planosanas-dokumenti/2021-2027-gada), paredzot 3.1.1. specifiskā atbalsta mērķi 3.1.1. “Attīstīt ilgtspējīgu, pret klimatu izturīgu, inteliģentu, drošu un vairākveidu TEN-T infrastruktūru”, kura ietvaros tiks īstenots 3.1.1.5. pasākums “Nacionālās nozīmes centru maģistrālo ielu un esošo maršrutu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šādi datumi ir noteikti ievērojot ES fondu normatīvo regulējumu, tai skaitā, jāņem vērā, ka atsevišķos gadījumos, piemēram, potenciālie finansējuma saņēmēji būvprojekta izstrādi ir uzsākuši pirms 2025. gada vai noteikumu projekta spēkā stāšanās, līdz ar to, lai mazinātu iespējamos finanšu riskus, noteikumu projekts paredz noteiktas izmaksas attiecināt ar atpakaļejošu spēku ievērojot ES fondu normatīvo regulējumu un jau iepriekš īstenoto praksi citu ES fondu 2021-2027. gada plānošanas perioda specifisko atbalsta mērķu īstenošanā/īstenošanas noteikumos (piemēram,  Ministru kabineta 2024. gada 23. jūlijā noteikumos Nr. 505, Ministru kabineta 2024. gada 9. jūlija noteikumos Nr. 447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jāņem vērā, ka pašvaldībām (finansējuma saņēmējiem) ir ierobežotas finanšu iespējas. Līdz ar to, lai mazinātu papildu finanšu/fiskālo slogu, kā arī nodrošinātu savlaicīgu projektu īstenošanas uzsākšanu (tostarp atbilstoši ES fondu ieviešanas laika grafikam) ir būtiski paredzēt iespēju attiecināt noteiktas izmaksas jau iepriekš (projekta ieviešanas sākotnējā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Pasākuma ietvaros izmaksas ir attiecināmas no 2022. gada 25. novembra, izņemot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20.15.</w:t>
            </w:r>
            <w:r w:rsidR="00000000" w:rsidRPr="00000000" w:rsidDel="00000000">
              <w:rPr>
                <w:rtl w:val="0"/>
              </w:rPr>
              <w:t xml:space="preserve"> un </w:t>
            </w:r>
            <w:r w:rsidR="00000000" w:rsidRPr="00000000" w:rsidDel="00000000">
              <w:rPr>
                <w:rtl w:val="0"/>
              </w:rPr>
              <w:t xml:space="preserve">20.16. </w:t>
            </w:r>
            <w:r w:rsidR="00000000" w:rsidRPr="00000000" w:rsidDel="00000000">
              <w:rPr>
                <w:rtl w:val="0"/>
              </w:rPr>
              <w:t xml:space="preserve">apakšpunktā</w:t>
            </w:r>
            <w:r w:rsidR="00000000" w:rsidRPr="00000000" w:rsidDel="00000000">
              <w:rPr>
                <w:rtl w:val="0"/>
              </w:rPr>
              <w:t xml:space="preserve"> minētās izmaksas, kas ir attiecināmas, ja tās veiktas pēc 2021. gada 1. janvāra. Projekta iesniegumā neiekļauj pabeigtas darbības un finansējumu tām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nacionālās nozīmes centru maģistrālo ielu un esošo maršrutu attīstība, kas nodrošina atsevišķu pilsētu daļu efektīvu savstarpējo sasaisti un sasaisti ar Eiropas transporta tīklu (turpmāk – TEN-T), alternatīvu kravas ceļu izbūve, pārbūve vai modernizācija, veicot ieguldījumus nacionālās nozīmes centru ielās, kas ietilpst TEN-T pamattīkla vai vispārējā tīkla maršrutu turpinājumos valstpilsētu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Ventspils valstspilsētas pašvaldības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SIA “Konsorts” 2024. gada 12. decembra izvērtējuma ziņojumā “Sākotnējais izvērtējums ES fondu 2021.-2027. gada plānošanas perioda SAM 3.1.1. pasākumam 3.1.1.5. “Nacionālas nozīmes centru maģistrālo ielu un esošo maršrutu attīstība” un konsultatīvais atbalsts” (turpmāk – Ziņojums) norādīts:</w:t>
            </w:r>
            <w:r w:rsidR="00000000" w:rsidRPr="00000000" w:rsidDel="00000000">
              <w:rPr>
                <w:i w:val="1"/>
                <w:rtl w:val="0"/>
              </w:rPr>
              <w:t xml:space="preserve">“Papildus var tikt atbalstīti:</w:t>
            </w:r>
            <w:r w:rsidR="00000000" w:rsidRPr="00000000" w:rsidDel="00000000">
              <w:rPr>
                <w:i w:val="1"/>
                <w:rtl w:val="0"/>
              </w:rPr>
              <w:t xml:space="preserve">[..]</w:t>
            </w:r>
            <w:r w:rsidR="00000000" w:rsidRPr="00000000" w:rsidDel="00000000">
              <w:rPr>
                <w:i w:val="1"/>
                <w:rtl w:val="0"/>
              </w:rPr>
              <w:t xml:space="preserve">- ieguldījumi ielās/ielu posmos, kas neietilpst TEN-T autoceļa maršrutā, piemēram, savienojot TEN-T ielu ar rūpnieciskās apbūves teritoriju vai multimodālu loģistikas platformu, ja tam ir pamatojums.</w:t>
            </w:r>
            <w:r w:rsidR="00000000" w:rsidRPr="00000000" w:rsidDel="00000000">
              <w:rPr>
                <w:i w:val="1"/>
                <w:rtl w:val="0"/>
              </w:rPr>
              <w:t xml:space="preserve">[..]”.</w:t>
            </w:r>
            <w:r w:rsidR="00000000" w:rsidRPr="00000000" w:rsidDel="00000000">
              <w:rPr>
                <w:i w:val="1"/>
                <w:rtl w:val="0"/>
              </w:rPr>
              <w:t xml:space="preserve">Ņemot vērā Ziņojumā norādīto, lūdzam:</w:t>
            </w:r>
            <w:r w:rsidR="00000000" w:rsidRPr="00000000" w:rsidDel="00000000">
              <w:rPr>
                <w:i w:val="1"/>
                <w:rtl w:val="0"/>
              </w:rPr>
              <w:t xml:space="preserve">Noteikumu projekta 2. punktu izteikt šādā redakcijā:</w:t>
            </w:r>
            <w:r w:rsidR="00000000" w:rsidRPr="00000000" w:rsidDel="00000000">
              <w:rPr>
                <w:i w:val="1"/>
                <w:rtl w:val="0"/>
              </w:rPr>
              <w:t xml:space="preserve">“2. Pasākuma mērķis ir nacionālās nozīmes centru maģistrālo ielu un esošo maršrutu attīstība, kas nodrošina atsevišķu pilsētu daļu efektīvu savstarpējo sasaisti un sasaisti ar Eiropas transporta tīklu (turpmāk – TEN-T), alternatīvu kravas ceļu izbūve, pārbūve vai modernizācija, veicot ieguldījumus nacionālās nozīmes centru ielās, kas ietilpst TEN-T pamattīkla </w:t>
            </w:r>
            <w:r w:rsidR="00000000" w:rsidRPr="00000000" w:rsidDel="00000000">
              <w:rPr>
                <w:i w:val="1"/>
                <w:u w:val="single"/>
                <w:rtl w:val="0"/>
              </w:rPr>
              <w:t xml:space="preserve">vai tieša pieslēguma TEN-T pamattīkla ielas posmam, </w:t>
            </w:r>
            <w:r w:rsidR="00000000" w:rsidRPr="00000000" w:rsidDel="00000000">
              <w:rPr>
                <w:i w:val="1"/>
                <w:rtl w:val="0"/>
              </w:rPr>
              <w:t xml:space="preserve"> vai vispārējā tīkla maršrutu turpinājumos valstpilsētu teritorijās.”.</w:t>
            </w:r>
            <w:r w:rsidR="00000000" w:rsidRPr="00000000" w:rsidDel="00000000">
              <w:rPr>
                <w:i w:val="1"/>
                <w:rtl w:val="0"/>
              </w:rPr>
              <w:t xml:space="preserve">Noteikumu projekta 17.1. apakšpunktu izteikt šādā redakcijā:</w:t>
            </w:r>
            <w:r w:rsidR="00000000" w:rsidRPr="00000000" w:rsidDel="00000000">
              <w:rPr>
                <w:i w:val="1"/>
                <w:rtl w:val="0"/>
              </w:rPr>
              <w:t xml:space="preserve">“17.1. TEN-T pamattīkla </w:t>
            </w:r>
            <w:r w:rsidR="00000000" w:rsidRPr="00000000" w:rsidDel="00000000">
              <w:rPr>
                <w:i w:val="1"/>
                <w:u w:val="single"/>
                <w:rtl w:val="0"/>
              </w:rPr>
              <w:t xml:space="preserve">vai tieša pieslēguma TEN-T pamattīkla ielas posmam,</w:t>
            </w:r>
            <w:r w:rsidR="00000000" w:rsidRPr="00000000" w:rsidDel="00000000">
              <w:rPr>
                <w:i w:val="1"/>
                <w:rtl w:val="0"/>
              </w:rPr>
              <w:t xml:space="preserve"> vai vispārējā tīkla maršrutos ietilpstošu nacionālo nozīmes centru maģistrālo ielu un esošo maršrutu attīstība, kas nodrošina atsevišķu pilsētu daļu efektīvu savstarpējo sasaisti un sasaisti ar TEN-T tīklu, alternatīvu kravas ceļu izbūve, pārbūve vai modernizācija;”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iepriekš Satiksmes ministrija ir vairākkārt sniegusi viedokli, tai skaitā gan 3.1.1.5.pasākuma sākotnējā izvērtējuma izstrādes procesā, gan Eiropas Savienības (turpmāk – ES)  fondu 2021. - 2027. gada plānošanas perioda Uzraudzības komitejas apakškomitejas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atbilstoši ES kohēzijas politikas programmas 2021.–2027.gadam (turpmāk – Programma) 3.1. prioritātes investīciju tvērumam, 3.1.1.5.pasākumā ir atbalstāmi un veicami ieguldījumi nacionālās nozīmes centru ielās, kas ietilpst TEN-T pamattīkla vai vispārējā tīkla maršrutu turpinājumos valstpilsētu teritorijās un sniedz ieguldījumu Programmas politikas mērķa iznākuma rādītāja “Jaunu vai modernizētu autoceļu garums – TEN-T” sasniegšanā. Līdz ar to 3.1.1.5.pasākuma ietvaros netiek atbalstīti ieguldījumi 1) ielu posmos, kas neatbilsts Ministru kabineta 2009. gada 29. septembra noteikumu Nr. 1104 “Noteikumi par valsts autoceļu un valsts autoceļu maršrutā ietverto pašvaldībām piederošo autoceļu posmu sarakstiem” 1.pielikumam un nav iekļauti 3.1.1.5.pasākuma sākotnējā izvērtējumā, kā arī 2) pieslēgumu ar TEN-T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nacionālās nozīmes centru maģistrālo ielu un esošo maršrutu attīstība, kas nodrošina atsevišķu pilsētu daļu efektīvu savstarpējo sasaisti un sasaisti ar Eiropas transporta tīklu (turpmāk – TEN-T), alternatīvu kravas ceļu izbūve, pārbūve vai modernizācija, veicot ieguldījumus nacionālās nozīmes centru ielās, kas ietilpst TEN-T pamattīkla vai vispārējā tīkla maršrutu turpinājumos valstpilsētu teritorijās.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kopējais plānotais finansējums ir ne vairāk kā 18 933 112 </w:t>
            </w:r>
            <w:r w:rsidR="00000000" w:rsidRPr="00000000" w:rsidDel="00000000">
              <w:rPr>
                <w:i w:val="1"/>
                <w:rtl w:val="0"/>
              </w:rPr>
              <w:t xml:space="preserve">euro</w:t>
            </w:r>
            <w:r w:rsidR="00000000" w:rsidRPr="00000000" w:rsidDel="00000000">
              <w:rPr>
                <w:rtl w:val="0"/>
              </w:rPr>
              <w:t xml:space="preserve">, tai skaitā Kohēzijas fonda finansējums 16 093 145 </w:t>
            </w:r>
            <w:r w:rsidR="00000000" w:rsidRPr="00000000" w:rsidDel="00000000">
              <w:rPr>
                <w:i w:val="1"/>
                <w:rtl w:val="0"/>
              </w:rPr>
              <w:t xml:space="preserve">euro</w:t>
            </w:r>
            <w:r w:rsidR="00000000" w:rsidRPr="00000000" w:rsidDel="00000000">
              <w:rPr>
                <w:rtl w:val="0"/>
              </w:rPr>
              <w:t xml:space="preserve"> un nacionālais līdzfinansējums (pašvaldību finansējums) – 2 839 967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elastības finansējumu, aicinām papildināt noteikumu projekta 5. punktu aiz vārda "plānotais" ar vārdiem "un pieejamais", kā arī svītrot vārdus "ne vairāk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kopējais plānotais un pieejamais finansējums ir 18 933 112 euro, tai skaitā Kohēzijas fonda finansējums 16 093 145 euro un nacionālais līdzfinansējums (pašvaldību finansējums) – 2 839 967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kopējais plānotais un pieejamais finansējums ir ne vairāk kā 18 933 112 </w:t>
            </w:r>
            <w:r w:rsidR="00000000" w:rsidRPr="00000000" w:rsidDel="00000000">
              <w:rPr>
                <w:i w:val="1"/>
                <w:rtl w:val="0"/>
              </w:rPr>
              <w:t xml:space="preserve">euro</w:t>
            </w:r>
            <w:r w:rsidR="00000000" w:rsidRPr="00000000" w:rsidDel="00000000">
              <w:rPr>
                <w:rtl w:val="0"/>
              </w:rPr>
              <w:t xml:space="preserve">, tai skaitā Kohēzijas fonda finansējums 16 093 145 </w:t>
            </w:r>
            <w:r w:rsidR="00000000" w:rsidRPr="00000000" w:rsidDel="00000000">
              <w:rPr>
                <w:i w:val="1"/>
                <w:rtl w:val="0"/>
              </w:rPr>
              <w:t xml:space="preserve">euro</w:t>
            </w:r>
            <w:r w:rsidR="00000000" w:rsidRPr="00000000" w:rsidDel="00000000">
              <w:rPr>
                <w:rtl w:val="0"/>
              </w:rPr>
              <w:t xml:space="preserve"> un nacionālais līdzfinansējums (pašvaldību finansējums) – 2 839 967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 īsteno līdz 2029. gada 31. decembrim, sasniedzot iznākuma rādītāju – jaunu vai modernizētu autoceļu garums – TEN-T – 5,8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2021.-2027.gadam (turpmāk - programma) rādītāja RCO 43 "Jaunu vai modernizētu autoceļu garums – TEN-T" vērtība ir 3,5km. Lai nodrošinātu informācijas izsekojamību, lūdzam papildināt anotāciju ar informāciju par šī pasākuma ietekmi uz programmas 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nepieciešamību precizēt arī attiecīgā rādītāja metodoloģijas aprakstu, papildinot to ar informāciju par 3.1.1.5.pasākumu, ņemot vērā, ka šī pasākuma ietvaros tiek plānots sasniegt konkrēto programmas iznākuma rādītāju.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“Pašreizējā situācija, problēmas un risinājumi” papildināta, nosakot, ka pasākuma ietvaros īstenotie projekti veicinās Programmas rādītāja RCO 43 “Jaunu vai modernizētu autoceļu garums – TEN-T”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Satiksmes ministrija izvērtēs un nepieciešamības gadījumā precizēs pasākuma radītāju metodoloģijas aprakstu, ņemot vērā, ka pasākuma ietvaros īstenotie projekti veicinās Eiropas Savienības kohēzijas politikas programmas 2021.-2027.gadam rādītāja RCO 43 “Jaunu vai modernizētu autoceļu garums – TEN-T”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 īsteno līdz 2029. gada 31. decembrim, sasniedzot iznākuma rādītāju – jaunu vai modernizētu autoceļu garums – TEN-T – 5,8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kas pēc projekta apstiprināšanas ir finansējuma saņēmējs (turpmāk – finansējuma saņēmējs), sagatavo projekta iesniegumu atbilstoši projektu iesniegumu atlases nolikumā noteiktajām prasībām, pievienojot projektam veikto izmaksu un ieguvumu analīzi, un iesniedz to sadarbības iestādē, izmantojot Kohēzijas politikas fondu vadības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kuriem projektiem ir jāveic izmaksu un ieguvumu analīze, piemēram, pievienojot projektam veikto izmaksu un ieguvumu analīzi projektu iesniegumiem, kuriem kopējās izmaksas pārsniedz 1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kas pēc projekta apstiprināšanas ir finansējuma saņēmējs (turpmāk – finansējuma saņēmējs), sagatavo projekta iesniegumu atbilstoši projektu iesniegumu atlases nolikumā noteiktajām prasībām, pievienojot projektam veikto izmaksu un ieguvumu analīzi projektu iesniegumiem, kuriem kopējās izmaksas pārsniedz 1 milj. </w:t>
            </w:r>
            <w:r w:rsidR="00000000" w:rsidRPr="00000000" w:rsidDel="00000000">
              <w:rPr>
                <w:i w:val="1"/>
                <w:rtl w:val="0"/>
              </w:rPr>
              <w:t xml:space="preserve">euro</w:t>
            </w:r>
            <w:r w:rsidR="00000000" w:rsidRPr="00000000" w:rsidDel="00000000">
              <w:rPr>
                <w:rtl w:val="0"/>
              </w:rPr>
              <w:t xml:space="preserve">, un iesniedz to sadarbības iestādē, izmantojot Kohēzijas politikas fondu vadības informācijas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Ventspils valstspilsētas pašvaldības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Atkārtoti vēršam uzmanību varbūtībai, ka nekustamie īpašumi, kuros plānots veikt ieguldījumus, kā objekti var būt reģistrēti Nekustamā īpašuma valsts kadastra informācijas sistēmā (pašvaldībai piekritīga zeme), bet to īpašuma tiesības nav nostiprinātas zemesgrāmatā finansiālu iemeslu dēļ.</w:t>
            </w:r>
            <w:r w:rsidR="00000000" w:rsidRPr="00000000" w:rsidDel="00000000">
              <w:rPr>
                <w:i w:val="1"/>
                <w:rtl w:val="0"/>
              </w:rPr>
              <w:t xml:space="preserve">Lai atslogotu pašvaldības budžetu, lūdzam Noteikumu projekta 20. punktu papildināt ar jaunu apakšpunktu:</w:t>
            </w:r>
            <w:r w:rsidR="00000000" w:rsidRPr="00000000" w:rsidDel="00000000">
              <w:rPr>
                <w:i w:val="1"/>
                <w:rtl w:val="0"/>
              </w:rPr>
              <w:t xml:space="preserve">“20.20. ar īpašuma tiesību nostiprināšanu zemesgrāmatā saistītās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šobrīd noteikumu projekta 20.3.apakšpunkts nosaka, ka projekta ietvaros ir attiecināmas - zemes iegādes izmaksas, tai skaitā ar īpašuma tiesību nostiprināšanu zemesgrāmatā saistītās izmaksas, ja zemes iegāde ir tieši nepieciešama projektā paredzētās būvniecības īstenošanai, bet ne vairāk kā 10 procenti no projekta attiecināmo izmaksu kopsummas.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atbilstoši Finanšu ministrijas kā ES fondu vadošās iestādes izstrādāto vadlīniju Nr. 1.2. “Vadlīnijas attiecināmo izmaksu noteikšanai Eiropas Savienības Kohēzijas politikas programmas 2021.-2027.gada plānošanas periodā” grozījumu projektam - ja ar  nekustamā īpašuma nostiprināšanu Zemesgrāmatā saistītās izmaksas ir radušās uz nekustamā īpašuma un/vai zemes atsavināšanas pamata, tad valsts nodeva par īpašuma tiesību un ķīlas tiesību nostiprināšanu zemesgrāmatā, zvērināta notāra atlīdzība (zvērināta notāra atlīdzība par pirkuma līguma sastādīšanu, apliecināšanu, nostiprinājuma lūgumu zemesgrāmatai) ir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ar velosipēdu un gājēju ceļiem saistītās izmaksas, ne vairāk kā 10 procentu apmērā no būvdarbu attiecināmo izmaksu kopsummas ar nosacījumu, ka minētajām darbībām nav nepieciešama zemes iegāde un tās nedalāmi saistītas 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atbalsts mikromobilitātes infrastruktūrai ir būtisks instruments pilsētvides stāvokļa uzlabošanā, gaisa kvalitātes jautājumu risināšanā pilsētvidē, pilsētas iedzīvotāju veselības stāvokļa uzlabošanā, kā arī pastarpināti sniedz ieguldījumu Latvijas emisiju samazināšanas mērķu izpildē, Klimata un enerģētikas ministrija uzskata, ka ar velosipēdu un gājēju ceļiem saistītās tiešās attiecināmās izmaksas ir jānosaka lielākā apjomā nekā 10 procenti, piemēram, 20 procentu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precizēts - nenosakot izmaksu ierobežojumus ar velosipēdu un gājēju ceļu izbūvi saistītajām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ar velosipēdu un gājēju ceļiem saistītās izmaksas, ar nosacījumu, ka minētajām darbībām nav nepieciešama zemes iegāde un tās nedalāmi saistītas 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netiešās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vienotās likmes apmēru netiešajām attiecināmajām izmaksām (atbilstoši vadošās iestādes vadlīniju Nr. 1.1. "Vadlīnijas par vienkāršoto izmaksu izmantošanas iespējām un to piemērošana Eiropas Savienības kohēzijas politikas programmas 2021.–2027.gadam ietvaros" 27.p. sniegtajam skaidrojumam).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vadošās iestādes vadlīnijās Nr. 1.2 “Vadlīnijas attiecināmo izmaksu noteikšanai Eiropas Savienības kohēzijas politikas programmas 2021.-2027.gada plānošanas periodā” ierosinātie grozījumi, pašlaik ir saskaņošanas procesā un gala versija vēl nav apstiprināta, līdz ar to aicinām ņemt vērā, ka tajā vēl iespējamas izmaiņas, t.sk. tādas, kas ietekmētu arī šo noteikumu projektu un tajā ietvertos attiecināmības nosacījumus. Tāpat lūdzam izvērtēt, vai 21.punkts nav pretrunā ar 22.punktu, t.i. paredzot būvuzraudzības un autoruzraudzības izmaksas gan kā netiešās izmaksas, kam piemērojama vienotā likme, gan piemērojot tam 10% ierobežojumu no būvdarbu līguma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varētu tikt virzīts apstiprināšanai Ministru kabinetā (turpmāk - MK) pirms vadlīniju apstiprināšanas, taču tajā ietvertas atsevišķas normas atbilstoši plānotajiem grozījumiem (t.i. atkāpes no ierobežojumiem), aicinām anotāciju papildināt ar a) pamatojumu atkāpei no spēkā esošajām vadlīnijām; b) informāciju, ka Atbildīgā iestāde vajadzības gadījumā vērtēs grozījumu nepieciešamību apstiprinātajos MK noteikumos balstoties uz vadlīniju versiju pēc grozījumiem, ievērojot visus tajā ietvertos nosacījumus, t.sk. pārvērtējot visas izmaksu pozīcijas, attiecināšanas nosacījumus un izmaiņu ietekmi uz jau īstenošanā esošajiem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netiešās attiecināmās izmaksas plāno kā vienu izmaksu pozīciju, piemērojot netiešo izmaksu vienoto likmi 15 procentu apmērā no tiešajām attiecināmajām personāla izmaksām (projekta vadības personāla izmaksas). Netiešo izmaksu vienoto likmi piemēro personāla izmaksām, kuras radušās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anotācijas 1.3.sadaļa ir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ņemti vērā vadošās iestādes vadlīnijās Nr. 1.2 “Vadlīnijas attiecināmo izmaksu noteikšanai Eiropas Savienības kohēzijas politikas programmas 2021.-2027.gada plānošanas periodā” (turpmāk - vadlīnijas Nr. 1.2) ierosinātie grozījumi, kas tostarp paredz autoruzraudzības un būvuzraudzības izmaksu ierobežojumu svītrošanu (autoruzraudzības un būvdarbu būvuzraudzības izmaksas ir iekļautas projekta tiešajās attiecināmajās izmaksās, jo tās pēc būtības ir tieši saistītas ar projekta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apstiprināšanas un vadlīniju Nr. 1.2 grozījumu apstiprināšanas atbildīgā iestāde vajadzības gadījumā vērtēs, vai noteikumos veicami grozījumi, balstoties uz aktuālo vadošās iestādes vadlīniju Nr. 1.2 redakciju, ievērojot visus tajā ietvertos nosacījumus, t.sk. pārvērtējot visas izmaksu pozīcijas, attiecināšanas nosacījumus un izmaiņu ietekmi uz jau īstenošanā esošo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20.19. </w:t>
            </w:r>
            <w:r w:rsidR="00000000" w:rsidRPr="00000000" w:rsidDel="00000000">
              <w:rPr>
                <w:rtl w:val="0"/>
              </w:rPr>
              <w:t xml:space="preserve">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projekta komunikācijas un vizuālās identitātes prasību nodrošināšanas izmaksas, informācijas un publicitātes pasākumu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normas interpretāciju, lūdzam svītrot noteikumu projekta 21.2. apakšpunktā vārdus "informācijas un publicitātes pasākumu izmaksas", ja vien ar tām nav saprotamas tādas izmaksas, kas nav attiecināmas uz noteikumu projekta 31.12. apakšpunktā minēto finansējuma saņēmēja pienākumu. Gadījumā, ja ar minētajām izmaksām saprotamas tādas, kas nav attiecināmas uz noteikumu projekta 31.12. apakšpunktā minēto finansējuma saņēmēja pienākumu, lūdzam papildināt noteikumu projektu ar atbilstošu finansējuma saņēmēja pienākumu vai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Pievienotās vērtības nodokļa maksājumi, kas tiešā veidā saistīti ar projektu, ir attiecināmās izmaksas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(turpmāk – Regula 2021/1060), 64. panta 1. punkta "c" apakšpunkta nosacījumiem, ja tos nevar atgūt atbilstoši normatīvajiem aktiem par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punkta izriet, ka </w:t>
            </w:r>
            <w:r w:rsidR="00000000" w:rsidRPr="00000000" w:rsidDel="00000000">
              <w:rPr>
                <w:u w:val="single"/>
                <w:rtl w:val="0"/>
              </w:rPr>
              <w:t xml:space="preserve">darbībām (t.i. projektiem), kuru kopējās izmaksas ir mazākas nekā 5 000 000 euro (ieskaitot pievienotās vērtības nodokli), pievienotās vērtības nodokļa izmaksas ir attiecināmas</w:t>
            </w:r>
            <w:r w:rsidR="00000000" w:rsidRPr="00000000" w:rsidDel="00000000">
              <w:rPr>
                <w:rtl w:val="0"/>
              </w:rPr>
              <w:t xml:space="preserve">; savukārt no "ii" punkta izriet, ka </w:t>
            </w:r>
            <w:r w:rsidR="00000000" w:rsidRPr="00000000" w:rsidDel="00000000">
              <w:rPr>
                <w:u w:val="single"/>
                <w:rtl w:val="0"/>
              </w:rPr>
              <w:t xml:space="preserve">darbībām (t.i. projektiem), kuru kopējās izmaksas ir vismaz 5 000 000 euro (ieskaitot pievienotās vērtības nodokli), pievienotās vērtības nodokļa izmaksas ir attiecināmas gadījumos, kad tas nav atgūstams saskaņā ar pievienotās vērtības nodokli reglamentējošiem valsts tiesību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nepieciešamību precizēt noteikumu projekta 24. punktu, ņemot vērā, ka paredzēts īstenot gan tādus projektus, kuru kopējās izmaksas ir mazākas nekā 5 000 000 euro (ieskaitot pievienotās vērtības nodokli), gan tādus projektus, kuru kopējās izmaksas ir vismaz 5 000 000 euro (ieskaitot pievienotās vērtības nodokli), izsakot to,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Pasākuma atbalstāmo darbību ietvaros ir attiecināms pievienotās vērtības nodoklis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projektiem, kuru kopējās izmaksas ir mazākas nekā 5 000 000 euro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projektiem, kuru kopējās izmaksas ir vismaz 5 000 000 euro (ieskaitot pievienotās vērtības nodokli) gadījumos, kad tas nav atgūstams saskaņā ar normatīvajiem aktiem pievienotās vērtības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atbalstāmo darbību ietvaros ir attiecināms pievienotās vērtības nodoklis tiešajām attiecināmajām izmaksām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(turpmāk – Regula 2021/1060), 64. panta 1. punkta "c" apakšpunkta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20.18. </w:t>
            </w:r>
            <w:r w:rsidR="00000000" w:rsidRPr="00000000" w:rsidDel="00000000">
              <w:rPr>
                <w:rtl w:val="0"/>
              </w:rPr>
              <w:t xml:space="preserve">apakšpunktā</w:t>
            </w:r>
            <w:r w:rsidR="00000000" w:rsidRPr="00000000" w:rsidDel="00000000">
              <w:rPr>
                <w:rtl w:val="0"/>
              </w:rPr>
              <w:t xml:space="preserve"> minētās projekta vadības personāla atlīdzības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ierobežojums 34 422 euro un 84 787 euro tiek noteikts Eiropas Savienības fondu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20.19. </w:t>
            </w:r>
            <w:r w:rsidR="00000000" w:rsidRPr="00000000" w:rsidDel="00000000">
              <w:rPr>
                <w:rtl w:val="0"/>
              </w:rPr>
              <w:t xml:space="preserve">apakšpunktā</w:t>
            </w:r>
            <w:r w:rsidR="00000000" w:rsidRPr="00000000" w:rsidDel="00000000">
              <w:rPr>
                <w:rtl w:val="0"/>
              </w:rPr>
              <w:t xml:space="preserve"> minētās projekta vadības personāla atlīdzības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uzkrāj datus par projekta ietekmi uz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noteikumu projekta 31.3. apakšpunktu vai precizēt tā redakciju, skaidri norādot, ka finansējuma saņēmējs projekta īstenošanas laikā uzkrāj datus par faktiski sasniegtajiem šo noteikumu 10. punktā minētajiem rādītājiem, nevis par projekta ietekmi uz šiem rādītājiem. Tāpat, lai mazinātu administratīvo slogu finansējuma saņēmējiem, aicinām izvērtēt noteikumu projekta 31.4. apakšpunktā ietvertā nosacījuma par datu uzkrāšanu lietderību vai arī anotācijā sniegt papildu skaidrojumu par šo datu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29.3. apakšpunkts precizēts, paredzot, ka finansējuma saņēmējs projekta īstenošanas laikā uzkrāj datus par faktiski sasniegtajiem šo noteikumu 10. punktā minētajiem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lai mazinātu administratīvo un birokrātisko slogu ES fondu ieviešanā/uzraudzībā iesaistītajām institūcijām, kā arī finansējuma saņēmējiem, noteikumu projektā svītrots nosacījums, ka finansējuma saņēmējs uzkrāj datus par laika ietaupījumu (dienas gadā) no uzlabotas transporta infrastruktūras.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uzkrāj datus par faktiski sasniegto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rādītāju;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ievēro horizontālo principu "Vienlīdzība, iekļaušana, nediskriminācija un pamattiesību ievērošana" un uzkrāj datus par projekta ietekmi uz horizontālā principa rādītāju – objektu skaits, kuros Kohēzijas fonda ieguldījumu rezultātā ir nodrošināta vides un informācijas pieejamība – un citiem horizontālo principu rādītājiem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redakcionāli precizēt horizontālā principa "Vienlīdzība, iekļaušana, nediskriminācija un pamattiesību ievērošana" (HP VINPI) rādītāja redakciju atbilstoši 26.02.2025. grozījumiem HP VINPI vadlīniju 4.pielikumā [1]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ievēro horizontālo principu "Vienlīdzība, iekļaušana, nediskriminācija un pamattiesību ievērošana" un uzkrāj datus par projekta ietekmi uz horizontālā principa rādītāju – objektu, kuros ir nodrošināta vides un informācijas piekļūstamība, skaits – un citiem horizontālā principa rādītājiem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ievēro horizontālo principu "Vienlīdzība, iekļaušana, nediskriminācija un pamattiesību ievērošana" un uzkrāj datus par projekta ietekmi uz horizontālā principa rādītāju – objektu, kuros ir nodrošināta vides un informācijas piekļūstamība, skaits – un citiem horizontālo principu rādītājiem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 līdz projekta pabeigšanai;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par termiņu, kādā zemesgrāmatā nostiprināmas finansējuma saņēmēja tiesības uz konkrēto objektu vai īpašumu, lūdzam aizstāt noteikumu projekta 29.10. apakšpunktā vārdus "līdz projekta pabeigšanai" ar vārdiem "līdz noslēguma maksājuma pieprasījuma iesniegšanai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 </w:t>
            </w:r>
            <w:r w:rsidR="00000000" w:rsidRPr="00000000" w:rsidDel="00000000">
              <w:rPr>
                <w:u w:val="single"/>
                <w:rtl w:val="0"/>
              </w:rPr>
              <w:t xml:space="preserve">līdz noslēguma maksājuma pieprasījuma iesniegšanai sadarbības iestādē</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 līdz noslēguma maksājuma pieprasījuma iesniegšanai sadarbības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varbūtībai, ka nekustamie īpašumi, kuros plānots veikt ieguldījumus, kā objekti var būt reģistrēti Nekustamā īpašuma valsts kadastra informācijas sistēmā (pašvaldībai piekritīga zeme), bet to īpašuma tiesības nav nostiprinātas zemesgrāmatā finansiālu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atslogotu pašvaldības budžetu, lūdzam: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 Noteikumu 31.11.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“31.11. 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priekšlikums netiek atbalstīts, lūdzam noteikt, ka projekta iesniedzēja tiesības veikt ieguldījumus zemes īpašumā nostiprina zemesgrāmatās </w:t>
            </w:r>
            <w:r w:rsidR="00000000" w:rsidRPr="00000000" w:rsidDel="00000000">
              <w:rPr>
                <w:u w:val="single"/>
                <w:rtl w:val="0"/>
              </w:rPr>
              <w:t xml:space="preserve">līdz projekta noslēguma maksājuma veikšanai</w:t>
            </w:r>
            <w:r w:rsidR="00000000" w:rsidRPr="00000000" w:rsidDel="00000000">
              <w:rPr>
                <w:rtl w:val="0"/>
              </w:rPr>
              <w:t xml:space="preserve"> (izņemot gadījumu, ja pašvaldības īpašums uz normatīvā akta, līguma vai pašvaldības lēmuma pamata ir nodots pašvaldības iestādes – projekta iesniedzēja –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 Noteikumu projekta 20. punktu papildināt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“20.20. ar īpašuma tiesību nostiprināšanu zemesgrāmatā saistītās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29.10.apakšpunkts precizēts, nosakot, ka Finansējuma saņēmēja tiesības uz konkrēto objektu vai īpašumu ir nostiprinātas zemesgrāmatā līdz projekta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pabeigšanu” būtu saprotams, ka projekts ir pilnībā pabeigts, t.i., pieņemot, ka pilnībā pabeigti darbi/projekts, piemēram, konkrētais objekts ir nodots ekspluatācijā saskaņā ar būvniecības jomu reglamentējošajiem normatīvajiem aktiem un veikts noslēguma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jau šobrīd noteikumu projekta 20.3.apakšpunkts nosaka, ka projekta ietvaros ir attiecināmas - zemes iegādes izmaksas, tai skaitā ar īpašuma tiesību nostiprināšanu zemesgrāmatā saistītās izmaksas, ja zemes iegāde ir tieši nepieciešama projektā paredzētās būvniecības īstenošanai, bet ne vairāk kā 10 procenti no projekta attiecināmo izmaksu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atbilstoši Finanšu ministrijas kā ES fondu vadošās iestādes izstrādāto vadlīniju Nr. 1.2. “Vadlīnijas attiecināmo izmaksu noteikšanai Eiropas Savienības Kohēzijas politikas programmas 2021.-2027.gada plānošanas periodā” grozījumu projektam - ja ar  nekustamā īpašuma nostiprināšanu Zemesgrāmatā saistītās izmaksas ir radušās uz nekustamā īpašuma un/vai zemes atsavināšanas pamata, tad valsts nodeva par īpašuma tiesību un ķīlas tiesību nostiprināšanu zemesgrāmatā, zvērināta notāra atlīdzība (zvērināta notāra atlīdzība par pirkuma līguma sastādīšanu, apliecināšanu, nostiprinājuma lūgumu zemesgrāmatai) ir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 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 līdz noslēguma maksājuma pieprasījuma iesniegšanai sadarbības iestādē;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 un, kur tas ir attiecināms un atbilstošs ieguldījumu specifikai, īsteno sociāli atbildīgu iepirkumu, kā arī piemēro inovatīvā publiskā iepirkuma nosacījumus,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nolūkā lūdzam izvērtēt iespēju precizēt noteikumu projekta 32. punkta redakciju, paredzot sociāli atbildīgā iepirkuma un inovatīva publiskā iepirkuma piemērošanu kā iespēju, nevis obligātu pienākumu, izsakot 32.punkta redakciju, piemēram, zemāk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 un, kur tas ir attiecināms un atbilstošs ieguldījumu specifikai, var īstenot sociāli atbildīgu iepirkumu, kā arī piemērot inovatīvā publiskā iepirkuma nosacījumus,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 zaļais publiskais iepirkums – un, kur tas ir attiecināms un atbilstošs ieguldījumu specifikai, var īstenot sociāli atbildīgu iepirkumu, kā arī piemēro inovatīvā publiskā iepirkuma nosacījumus,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 un, kur tas ir attiecināms un atbilstošs ieguldījumu specifikai, īsteno sociāli atbildīgu iepirkumu, kā arī piemēro inovatīvā publiskā iepirkuma nosacījumus,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tas ir visā noteikumu projekta tekstā,  aicinām vārda "pieejamība" vietā lietot terminu "piekļūstamība".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w:t>
            </w:r>
            <w:r w:rsidR="00000000" w:rsidRPr="00000000" w:rsidDel="00000000">
              <w:rPr>
                <w:b w:val="1"/>
                <w:u w:val="single"/>
                <w:rtl w:val="0"/>
              </w:rPr>
              <w:t xml:space="preserve">piekļūstamības</w:t>
            </w:r>
            <w:r w:rsidR="00000000" w:rsidRPr="00000000" w:rsidDel="00000000">
              <w:rPr>
                <w:rtl w:val="0"/>
              </w:rPr>
              <w:t xml:space="preserve"> un izmantojamības nodrošināšana – zaļais publiskais iepirkums – un, kur tas ir attiecināms un atbilstošs ieguldījumu specifikai, īsteno sociāli atbildīgu iepirkumu, kā arī piemēro inovatīvā publiskā iepirkuma nosacījumus,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 zaļais publiskais iepirkums – un, kur tas ir attiecināms un atbilstošs ieguldījumu specifikai, var īstenot sociāli atbildīgu iepirkumu, kā arī piemēro inovatīvā publiskā iepirkuma nosacījumus,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sadaļā "Projekta īstenošanas nosacījumi" redakcionāli precizēt horizontālā principa "Vienlīdzība, iekļaušana, nediskriminācija un pamattiesību ievērošana" (HP VINPI) rādītāja redakciju atbilstoši 26.02.2025. grozījumiem HP VINPI vadlīniju 4.pielikumā [1]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objektu, kuros ir nodrošināta vides un informācijas piekļūstamība,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 sadaļas 5.3.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 sadaļas 5.3. apakšpunktu, kā arī punktā “Cita informācija” otrajā teikumā vārdus “Minētais finansējums” aizstāt ar vārdiem “Kohēzijas fonda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pasākumam būs tieša vai netieša ietekme uz horizontālo principu "Klimatdrošināšana".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redakcionāli precizēt horizontālā principa "Vienlīdzība, iekļaušana, nediskriminācija un pamattiesību ievērošana" (HP VINPI) rādītāja redakciju atbilstoši 26.02.2025. grozījumiem HP VINPI vadlīniju 4.pielikumā [1]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objektu, kuros ir nodrošināta vides un informācijas piekļūstamība,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24-TA-3274</w:t>
    </w:r>
    <w:r>
      <w:br/>
    </w:r>
    <w:r w:rsidR="00000000" w:rsidRPr="00000000" w:rsidDel="00000000">
      <w:rPr>
        <w:rtl w:val="0"/>
      </w:rPr>
      <w:t xml:space="preserve">01.07.2025. 10.52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24-TA-3274</w:t>
    </w:r>
    <w:r>
      <w:br/>
    </w:r>
    <w:r w:rsidR="00000000" w:rsidRPr="00000000" w:rsidDel="00000000">
      <w:rPr>
        <w:rtl w:val="0"/>
      </w:rPr>
      <w:t xml:space="preserve">01.07.2025. 10.52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Izziņa_24-TA-3274.docx</dc:title>
</cp:coreProperties>
</file>

<file path=docProps/custom.xml><?xml version="1.0" encoding="utf-8"?>
<Properties xmlns="http://schemas.openxmlformats.org/officeDocument/2006/custom-properties" xmlns:vt="http://schemas.openxmlformats.org/officeDocument/2006/docPropsVTypes"/>
</file>