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25-TA-204: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Eiropas Savienības Atveseļošanas un noturības mehānisma plāna 1.3.1.1.i. investīcijas "Glābšanas dienestu kapacitātes stiprināšana, īpaši Valsts ugunsdzēsības un glābšanas dienesta infrastruktūras un materiāltehniskās bāzes modernizācija" mērķa Nr. 23 "Katastrofu pārvaldības un ārkārtas reaģēšanas centru ar gandrīz nulles enerģijas patēriņu būvniecība" īstenošanas termiņa pagarinājumu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1.3.1.1.i. investīcijas "Glābšanas dienestu kapacitātes stiprināšana, īpaši Valsts ugunsdzēsības un glābšanas dienesta infrastruktūras un materiāltehniskās bāzes modernizācija" mērķa Nr. 23 "Katastrofu pārvaldības un ārkārtas reaģēšanas centru ar gandrīz nulles enerģijas patēriņu būvniecība" īstenošanas termiņa pagarinājumu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 Tabulas “Nojaucamie objekti, kuros darbi pārklājas ar jauno KPC būvniecību“ kolonnu “KPC nodošana pasūtītājam, lietotājiem un veco ēku atbrīvošana”, iekļaujot tajā plānoto 2026.gada mēnesi (nevis ceturksni), lai neveidotos pretrunīga informācija, ka veco depo ēku demontāža varēs tikt uzsākta ne ātrāk kā 2026. gada 1. vai 2. ceturksnī, demontāžas pasākumu īstenošanai nepieciešami 3-5 mēneši – tā lai saprotami varētu nolasīt, ka projektu plānots pabeigt ne vēlāk kā līdz 2026. gada 31. jūlijam. Attiecīgi lūgums precizēt teikumu, ka Investīciju projekta pabeigšana būs iespējama ne ātrāk par 2026. gada 3. ceturksni – skaidri uzrakstot, ka Investīciju projekta pabeigšana plānota līdz 2026.gada 31.jūlijam.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neveidotos pretrunīga informācija, Informatīvā ziņojuma 4. tabulas "Nojaucamie objekti, kuros darbi pārklājas ar jauno KPC būvniecību" aile "Demontāžas ilgums, mēneši" tika svītrota un aile "KPC nodošana pasūtītājam, lietotājiem un veco ēku atbrīvošana" tika attiecīgi precizēta.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Iekšlietu ministrijai sadarbībā ar Nodrošinājuma valsts aģentūru kā Eiropas Savienības Atveseļošanas un noturības mehānisma plāna finansējuma saņēmēju nodrošināt šā protokollēmuma 2. punktā norādītā mērķa sasniegšanu tajā noteiktajā termiņā un iesniegt mērķa sasniegšanas pamatojošo dokumentāciju Kohēzijas politikas fondu vadības informācijas sistēmā līdz 2026. gada 31. augustam.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Ministru kabineta sēdes protokollēmumu, norādot uz nepieciešamību informatīvā ziņojuma apstiprināšanas gadījumā grozīt Vienošanos par Atveseļošanas fonda plāna Investīciju projekta īstenošanu (skat. informatīvā ziņojuma 4. lpp. norādīto: "</w:t>
            </w:r>
            <w:r w:rsidR="00000000" w:rsidRPr="00000000" w:rsidDel="00000000">
              <w:rPr>
                <w:i w:val="1"/>
                <w:rtl w:val="0"/>
              </w:rPr>
              <w:t xml:space="preserve">Pēc šī informatīvā ziņojuma apstiprināšanas, Vienošanās par Atveseļošanas fonda plāna Investīciju projekta īstenošanu tiks grozīta</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4. Iekšlietu ministrijai vienošanās par šā protokollēmuma 2. punktā norādītā investīciju projekta īstenošanu noteiktajā kārtībā sagatavot un iesniegt Centrālajā finanšu un līgumu aģentūrā priekšlikumus Vienošanās grozījumiem atbilstoši informatīvajā ziņojumā norādītajam.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25-TA-204</w:t>
    </w:r>
    <w:r>
      <w:br/>
    </w:r>
    <w:r w:rsidR="00000000" w:rsidRPr="00000000" w:rsidDel="00000000">
      <w:rPr>
        <w:rtl w:val="0"/>
      </w:rPr>
      <w:t xml:space="preserve">15.07.2025. 14.05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25-TA-204</w:t>
    </w:r>
    <w:r>
      <w:br/>
    </w:r>
    <w:r w:rsidR="00000000" w:rsidRPr="00000000" w:rsidDel="00000000">
      <w:rPr>
        <w:rtl w:val="0"/>
      </w:rPr>
      <w:t xml:space="preserve">15.07.2025. 14.05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Izziņa_25-TA-204.docx</dc:title>
</cp:coreProperties>
</file>

<file path=docProps/custom.xml><?xml version="1.0" encoding="utf-8"?>
<Properties xmlns="http://schemas.openxmlformats.org/officeDocument/2006/custom-properties" xmlns:vt="http://schemas.openxmlformats.org/officeDocument/2006/docPropsVTypes"/>
</file>