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21-TA-1660: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Rīkojuma projekts "Par Interact IV labas teritoriālās sadarbības programmu pārvaldības programmas 2021.–2027. gadam projektu"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Interact IV labas teritoriālās sadarbības programmu pārvaldības programmas 2021.–2027. gadam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“Par Interact IV labas teritoriālās sadarbības programmu pārvaldības programmas 2021.–2027. gadam projektu” 1.sadaļas “Kopīgā programmas stratēģija: galvenie attīstības politikas uzdevumi un politikas risinājumi” apakšsadaļā “Vājās puses” pirmspēdējā rindkopā vārdus “naiconālajām ES struktūrfondu un Kohēzijas fonda darbības programmām “Izaugsme un nodarbinātība”” ar vārdiem “nacionālo ES struktūrfondu un Kohēzijas fonda darbības programmu “Izaugsme un nodarbinātība””, ņemot vērā, ka ES struktūrfondu un Kohēzijas fonda 2014.-2020.gada plānošanas periodā tiek īstenota viena darbības programma “Izaugsme un nodarbinātība”.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ES struktūrfondu un Kohēzijas fonda darbības programmu “Izaugsme un nodarbinātība””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Interact IV labas teritoriālās sadarbības programmu pārvaldības programmas 2021.–2027. gadam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Interact IV labas teritoriālās sadarbības programmu pārvaldības programmas 2021.–2027. gadam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rīkojuma projekta "Par Interact IV labas teritoriālās sadarbības programmu pārvaldības programmas 2021.–2027. gadam projektu" 1.sadaļas "Kopīgā programmas stratēģija: galvenie attīstības politikas uzdevumi un politikas risinājumi" apakšsadaļā "Vājās puses" pirmspēdējā rindkopā precizēt norādīto informāciju attiecībā uz ES struktūrfondu un Kohēzijas fonda 2021.-2027.gada plānošanas periodu, norādot korektu programmas nosaukumu - Eiropas Savienības kohēzijas politikas programma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Interact IV labas teritoriālās sadarbības programmu pārvaldības programmas 2021.–2027. gadam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Interact IV labas teritoriālās sadarbības programmu pārvaldības programmas 2021.–2027. gadam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"Par Interact IV labas teritoriālās sadarbības programmu pārvaldības programmas 2021.–2027. gadam projektu" 1.sadaļas "Kopīgā programmas stratēģija: galvenie attīstības politikas uzdevumi un politikas risinājumi" apakšsadaļā "Vājās puses" pirmspēdējā rindkopā minēto, lūdzam skaidrot, kā Interreg programmas ietvaros plānots risināt un nodrošināt plānoto investīciju un darbību nepārklāšanās risku, sinerģijas un demarkācijas nodrošināšanu ar investīcijām, kas tiek īstenotas ES struktūrfondu un Kohēzijas fonda 2014.-2020.gada plānošanas perioda darbības programmas “Izaugsme un nodarbinātība” ietvaros un kas plānotas ES kohēzijas politikas programmas 2021.-2027.gadam ietvaros, kā arī ES Atveseļošanas un noturības mehānisma plāna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Interact programmas īpatnību - Interact programma sniegs konsultatīvo atbalstu, organizēs apmācības un pieredzes apmaiņas pasākumus Interreg vadības īstenošanā iesaistītajām institūcijām ar mērķi palielināt institucionālo kapacitāti un veicināt kvalitatīvu un efektīvu Interreg programmu īstenošanu, kā arī to, ka tās ietvaros netiks atlasīti un īstenoti projekti parastajā izpratnē, sinerģijas un demarkacijas nodrošināšanas mehānismi tiek iestrādāti katras </w:t>
            </w:r>
            <w:r w:rsidR="00000000" w:rsidRPr="00000000" w:rsidDel="00000000">
              <w:rPr>
                <w:u w:val="single"/>
                <w:rtl w:val="0"/>
              </w:rPr>
              <w:t xml:space="preserve">Interreg programmas ieviešanas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sinerģiju starp ES programmām un nacionālajām interesēm, Vides aizsardzības un reģionālās attīstības ministrijas kā nacionālās atbildīgas iestādes (turpmāk - NAI) darbu atbalstīs nacionālā apakškomiteja (turpmāk – NAK). NAK pienākums ir konsultēt NAI (pēc pieprasījuma), sniedzot viedokli par Latvijas Republikā reģistrēto potenciālo finansējuma saņēmēju programmas ietvaros iesniegto projektu iesniegumu atbilstību nacionālajiem un reģionālajiem plānošanas dokumentiem un to prioritātēm, kā arī par projektu plānoto aktivitāšu pārklāšanos risku vai papildinātību ar citu finanšu instrumentu finansēto projektu aktivitātēm.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ka NAK sastāvā ir pa vienam pārstāvim no Aizsardzības ministrijas, Ārlietu ministrijas, Ekonomikas ministrijas, Finanšu ministrijas, Iekšlietu ministrijas, Izglītības un zinātnes ministrijas, Kultūras ministrijas, Labklājības ministrijas, Pārresoru koordinācijas centra, Satiksmes ministrijas, Tieslietu ministrijas, Veselības ministrijas, Vides aizsardzības un reģionālās attīstības ministrijas un Zemkopības ministrijas un Lauku atbalsta dienesta kā arī pa vienām pārstāvim no katra plānošanas reģiona.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Koordināciju, sinerģiju, papildinātību un demarkāciju starp Programmu, ES finansētajām, kā arī citām nacionālām ERAF un Kohēzijas fonda programmām un Atveseļošanās un noturības mehānismā paredzētajiem pasākumiem un investīcijām turpmāk nodrošinās programmas Uzraudzības komitejā un/vai ES dalībvalstu nacionālajās apakškomitejās pārstāvētās iestādes. Šo iestāžu pārstāvji novērtēs Programmas projektu iesniegumu stratēģisko nozīmi un darbību papildināmību ar aktivitātēm, kuras finansē nacionālajā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Interact IV labas teritoriālās sadarbības programmu pārvaldības programmas 2021.–2027. gadam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ministram parakstīt dokumentu, kas apliecina piekrišanu programmas saturam un nacionālā līdzfinansējuma nodrošināšanai (2. pielikums) (turpmāk – piekrišana) atbilstoši Eiropas Parlamenta un Padomes 2021. gada 24. jūnija Regulas (ES) Nr. 2021/1059 par īpašajiem noteikumiem attiecībā uz Eiropas teritoriālās sadarbības mērķi (Interreg), kas saņem atbalstu no Eiropas Reģionālās attīstības fonda un ārējās finansēšanas instrumentiem, 16. panta 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2021. gada 24. jūnija Regulas (ES) Nr. 2021/1059 par īpašajiem noteikumiem attiecībā uz Eiropas teritoriālās sadarbības mērķi (Interreg), kas saņem atbalstu no Eiropas Reģionālās attīstības fonda un ārējās finansēšanas instrumentiem, 16. panta 5. punktā ir divas daļas. Attiecīgi aicinām izvērtēt un precizēt atsauci uz regulas normu, ja konkrētajā vietā (rīkojuma projekta 2. punktā vai citviet, piemēram, anotācijas 5.4. sadaļā) nepieciešams norādīt tikai vienu no daļām (16. panta 5. punkta pirmā daļa vai 16. panta 5. punkta otrā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un anotācijā precizēta atsauce uz regulas normu, norādot Interreg regulas 16. panta 5. punkta pirmo 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ministram parakstīt dokumentu, kas apliecina piekrišanu programmas saturam un nacionālā līdzfinansējuma nodrošināšanai (2. pielikums) (turpmāk – piekrišana) atbilstoši Eiropas Parlamenta un Padomes 2021. gada 24. jūnija Regulas (ES) Nr. 2021/1059 par īpašajiem noteikumiem attiecībā uz Eiropas teritoriālās sadarbības mērķi (Interreg), kas saņem atbalstu no Eiropas Reģionālās attīstības fonda un ārējās finansēšanas instrumentiem, 16. panta 5. punkta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Piekrišana Interact IV labas teritoriālās sadarbības programmu pārvaldības programmas 2021.–2027. gadam saturam un nacionālā līdzfinansējuma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2. pielikuma preambulā, atsaucoties uz attiecīgajiem dokumentiem, lietot pareizu locījumu (piemēram: [..] t.i., Eiropas Parlamenta un Padomes 2021. gada 24. jūnija Regulu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manuāli aizpildīt anotācijas 3.sadaļas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 sadaļā ietverta norāde, ka Interact IV labas teritoriālās sadarbības programmu pārvaldības programma 2021.–2027. gadam ir izstrādāta atbilstoši nacionālajiem plānošanas dokumentiem. Ņemot vērā, ka norāde ir vispārīga un detalizētāk atbilstība nav aprakstīta, aicinām papildināt anotācijas 1.2. sadaļu ar aprakstu par programmas projekta atbilstību konkrētiem nacionālajiem plānošanas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ir papildināta ar informāciju par NAP2027.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anotācijas 1. pielikumā dažviet minēta informācija, kuru derētu iekļaut arī anotācijā (piemēram, par stratēģiskās ietekmes uz vides novērtējuma neveikšanas pamatojumu), attiecīgi aicinām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pamatojums par stratēģiskās ietekmes uz vides novērtējuma neveikšanu.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21-TA-1660</w:t>
    </w:r>
    <w:r>
      <w:br/>
    </w:r>
    <w:r w:rsidR="00000000" w:rsidRPr="00000000" w:rsidDel="00000000">
      <w:rPr>
        <w:rtl w:val="0"/>
      </w:rPr>
      <w:t xml:space="preserve">27.01.2022. 11.27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21-TA-1660</w:t>
    </w:r>
    <w:r>
      <w:br/>
    </w:r>
    <w:r w:rsidR="00000000" w:rsidRPr="00000000" w:rsidDel="00000000">
      <w:rPr>
        <w:rtl w:val="0"/>
      </w:rPr>
      <w:t xml:space="preserve">27.01.2022. 11.27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Izziņa_21-TA-1660.docx</dc:title>
</cp:coreProperties>
</file>

<file path=docProps/custom.xml><?xml version="1.0" encoding="utf-8"?>
<Properties xmlns="http://schemas.openxmlformats.org/officeDocument/2006/custom-properties" xmlns:vt="http://schemas.openxmlformats.org/officeDocument/2006/docPropsVTypes"/>
</file>