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23-TA-548: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Eiropas Savienības kohēzijas politikas programmas 2021. – 2027. gadam 2.2.3. specifiskā atbalsta mērķa “Uzlabot dabas aizsardzību un bioloģisko daudzveidību, “zaļo” infrastruktūru, it īpaši pilsētvidē, un samazināt piesārņojumu” 2.2.3.4. pasākuma “Vides monitoringa attīstība harmonizētai vides un klimata datu informācijas nodrošināšanai” projektu iesniegumu pirmās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projektu ar punktu, kas nosaka pasākuma mērķa grupu, nodrošinot vienotu pieeju nosacījumiem, kas ietverami MK noteikumos par ES fondu investīciju īstenošanu.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Eiropas Savienības kohēzijas politikas programmu 2021.–2027.gadam (turpmāk – Programma) mērķa grupai ir plašs tvērums – visa sabiedrība kopumā, kas iegūs pozitīvu efektu no vides monitoringa datu kvalitātes uzlabošanas.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Vadlīniju Ministru kabineta noteikumu par specifiskā atbalsta mērķa īstenošanu izstrādei Eiropas Savienības fondu 2021.—2027. gada plānošanas periodā II nodaļas 3. punktu mērķa grupu var nedefinēt, piemēram, ja programmā noteiktā mērķa grupa faktiski ir visi Latvijas iedzīvotāji, kas ir pielīdzināms 2.2.3.4.SAMP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 Vispārīgie jautājumi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un sadarbības partneris (ja attiecināms), iesaistoties projekta īstenošanā, nodrošina, ka atlases kārtas ietvaros iegādātās iekārtas, informācijas sistēmas un izveidotā infrastruktūra tiek izmantota tikai pārvaldes uzdevumu un deleģēto pārvaldes uzdevumu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anotācijā norādīto, ka "</w:t>
            </w:r>
            <w:r w:rsidR="00000000" w:rsidRPr="00000000" w:rsidDel="00000000">
              <w:rPr>
                <w:i w:val="1"/>
                <w:rtl w:val="0"/>
              </w:rPr>
              <w:t xml:space="preserve">meteoroloģiskā radara iegūtos datus tieši izmantos LVĢMC tikai deleģēto valsts pārvaldes uzdevumu īstenošanai saskaņā ar VARAM deleģēšanas līgumu, kā arī Valsts akciju sabiedrība “Latvijas Gaisa satiksme”, tomēr pēc datu apkopošanas un sagatavošanas, nav izslēgts, ka meteoroloģiskie dati var tikt izmantoti arī citiem lietotājiem</w:t>
            </w:r>
            <w:r w:rsidR="00000000" w:rsidRPr="00000000" w:rsidDel="00000000">
              <w:rPr>
                <w:rtl w:val="0"/>
              </w:rPr>
              <w:t xml:space="preserve">", secināms, ka projekta ietvaros izveidoto infrastruktūru tiek plānots izmantot saimnieciskās darbības veikšanai.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Komisijas paziņojuma par Līguma par Eiropas Savienības darbību 107. panta 1. punktā minēto valsts atbalsta jēdzienu (2016/C 262/01) 207.punktam: "</w:t>
            </w:r>
            <w:r w:rsidR="00000000" w:rsidRPr="00000000" w:rsidDel="00000000">
              <w:rPr>
                <w:i w:val="1"/>
                <w:rtl w:val="0"/>
              </w:rPr>
              <w:t xml:space="preserve">Ja jaukta izmantojuma gadījumā infrastruktūru izmanto galvenokārt tikai nesaimnieciskajai darbībai, Komisija uzskata, ka valsts atbalsta noteikumi uz attiecīgo finansējumu var vispār neattiekties ar nosacījumu, ka saimnieciskā darbība ir vienīgi papildinoša, tas ir, šī darbība ir tieši saistīta ar infrastruktūras ekspluatāciju un tai nepieciešama vai nesaraujami saistīta ar tās galveno nesaimniecisko izmantojumu. Šis nosacījums būtu uzskatāms par izpildītu, ja saimnieciskajai darbībai patērē tos pašus resursus kā pamata nesaimnieciskajai darbībai, piemēram, tos pašus materiālus, iekārtas, darbaspēku vai pamatkapitālu. Papildinošās saimnieciskās darbības apjomam ir jāpaliek ierobežotam attiecībā pret infrastruktūras jaudu. Kā piemērus šādai papildinošai saimnieciskajai darbībai var minēt praksi, ka pētniecības organizācija dažkārt izīrē savas iekārtas un laboratorijas ražošanas nozaru partneriem.</w:t>
            </w:r>
            <w:r w:rsidR="00000000" w:rsidRPr="00000000" w:rsidDel="00000000">
              <w:rPr>
                <w:rtl w:val="0"/>
              </w:rPr>
              <w:t xml:space="preserve">" Šajā kontekstā infrastruktūras saimniecisko izmantojumu var uzskatīt par papildinošu, ja šai darbībai ik gadu atvēlētā jauda nepārsniedz 20 % no infrastruktūras kopējās gada jaudas. Ja infrastruktūras izmantojums ir paredzēts tāds, kā anotācijā skaidrots, tad lūdzam precizēt MK noteikumu projektu, paredzot nosacījumus papildinošas saimnieciskas darbības veikšanai, kā arī nosacījumus tās uzraudzībai visā projekta ietvaros izveidotās infrastruktūras amortizācijas perioda laikā, un novēršot pretrunas ar anotācijā skaidroto un MK noteikumu projekta 16.punktā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lūdzam arī norādīt, ka atbildīgā iestāde sagatavos metodiku par 20% nosacījuma kontroli (t.sk., nosakot tajā arī 20% nosacījuma uzraudzības sākuma punktu papildinošās saimnieciskās darbības gadījumā). Vēršam uzmanību, ka metodikai ir jābūt apstiprinātai pirms projektu iesniegumu atlases izsludināšanas.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izveidotā infrastruktūra tiks izmantota tikai valsts pārvaldes uzdevumu un valsts deleģēto valsts pārvaldes uzdevumu izpildei vides monitoringa jomās atbilstoši VARAM deleģēšanas līgumam un līgumam ar Latvijas Gaisa satiksmi. Meteoroloģiskie dati, kas iegūti no radara ir daļēji pieejami LVĢMC mājas lapā bez maksas jebkuram interesentam. LVĢMC meteoroloģiskā radara datus ne līdz šim, ne arī turpmāk neizmantos saimnieciskajai darbībai, tajā skaitā papildinošai saimnieciskai darbībai. Veikti papildinājumi anotācijas 1.3. sadaļā.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un sadarbības partneris (ja attiecināms), iesaistoties projekta īstenošanā, nodrošina, ka atlases kārtas ietvaros iegādātās iekārtas, informācijas sistēmas un izveidotā infrastruktūra tiek izmantota tikai pārvaldes uzdevumu un deleģēto pārvaldes uzdevumu īstenošanai.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kārtas ietvaros saskaņā ar vides politikas plānošanas dokumentos, deleģēšanas vai sadarbības līgumos noteiktajiem uzdevumiem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plašāk izvērtēt MK noteikumu projekta 19.punktā minētajām atbalstāmajām darbībām vienkāršoto izmaksu piemērošanas iespējas. Skaidrojam, ka galvenā vienkāršoto izmaksu nodrošinātā priekšrocība ir ievērojami mazināts administratīvais slogs, kā arī tiek samazināta kļūdu rašanās iespēja. Turklāt, izmantojot vienkāršotās izmaksas, saistītos cilvēkresursus un administratīvās darbības var vairāk novirzīt politikas mērķu īstenošanai un tie vairs nav jākoncentrē uz finanšu dokumentu apkopošanu un pārbaudi. Gadījumā, ja vienkāršoto izmaksu piemērošana papildus jau plānotajam nav iespējama, lūdzam pamatojumu norādīt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 ietvaros ir paredzēti 2 projekti, kuru īstenošanai ir nepieciešama specifisku iekārtu izstrāde, kas tiks pasūtītas konkrētam ražotājam ar īpašiem nosacījumiem to izstrādē, nevienā citā projektā, kas tiks īstenots 2021. – 2027. gada finanšu plānošanas perioda ietvaros, līdzīgu iekārtu izstrāde un specifisku darbību veikšana nav paredzēta, līdz ar to, pamatojoties uz resursu lietderīgu izmantošanu, nav nepieciešams veikt vienkāršoto izmaksu metodikas izstrādi, paredzot to vien 2 projektiem. Turklāt, izņemot personāla izmaksas, kam ir piemērota vienotā likme, neviena cita darbība nav lētāka par 200 000 euro, līdz ar to plašāka vienkāršoto izmaksu metodikas piemērošana netiek paredzēta. Redakcija precizēta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Atlases kārtas ietvaros saskaņā ar vides politikas plānošanas dokumentos, deleģēšanas vai sadarbības līgumos noteiktajiem uzdevumiem ir atbalstāmas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21.9. atlīdzības izmaksas projekta vadībā un īstenošanā iesaistītajam personālam, kas projektā tiek nodarbināti vismaz 30 procentu apmērā no darba laika, tai skaitā valsts sociālās apdrošināšanas obligātās iemaksas, piemērojot vienoto likmi septiņu procentu apmērā no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noteiktajām tiešajām attiecināmajām izmaksās, kas nav atlīdzības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21.9. apakšpunktu ar informāciju, vai norādītās tiešās attiecināmās projekta īstenošanas personāla atlīdzības izmaksas ir attiecināmas gan uz finansējuma saņēmēju, gan uz sadarbības partneriem. Atbilstoši lūdzam precizēt arī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MK noteikumu projekta 21.9.apakšpunktu ar atsauci uz Regulas Nr. 2021/1060 55. panta 1. punktu, to redakcionāli precizējot piedāvātajā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tiešās attiecināmās projekta vadības un īstenošanas personāla atlīdzības izmaksas, kuras saskaņā ar Regulas Nr. 2021/1060 55. panta 1. punktu projekta iesniegumā plāno kā vienu izmaksu pozīciju, piemērojot izmaksu vienoto likmi 7 procentu apmērā no šo noteikumu 21. punktā noteiktajām tiešajām attiecināmajām izmaksās, kas nav atlīdzības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20.9. apakšpunkta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 tiešās attiecināmās projekta vadības un īstenošanas personāla atlīdzības izmaksas, tai skaitā valsts sociālās apdrošināšanas obligātās iemaksas, kuras saskaņā ar Regulas Nr. 2021/1060 55. panta 1. punktu projekta iesniegumā plāno kā vienu izmaksu pozīciju, piemērojot izmaksu vienoto likmi sešu procentu apmērā no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noteiktajām tiešajām attiecināmajām izmaksās, kas nav atlīdzības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 finansējuma saņēmēja personāla darba braucienu un iekšzemes komandējumu transporta izmaksas (maksa par degvielu, sabiedriskā transporta izmantošana), kurām piemēro metodiku par vienas vienības izmaksu standarta likmes aprēķināšanu un piemērošanu viena kilometra izmaksām. Minēto metodiku nepiemēro piegādēm un pakalpojumiem, kuri iepirkti (noslēgts līgums) saskaņā ar publisko iepirkumu regulējumu;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norādot, kā projektā tiks nodrošināta vienota pieeja, ja viena un tā pati izmaksu pozīciju tiks segta, izmantojot vienkāršotās izmaksas un faktiskās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iepirkums nav šķērslis piemērot vienkāršotās izmaksas, līdz ar to lūdzam svītrot MK noteikumu projekta 21.10.apakšpunkta pēdējo teikumu </w:t>
            </w:r>
            <w:r w:rsidR="00000000" w:rsidRPr="00000000" w:rsidDel="00000000">
              <w:rPr>
                <w:rtl w:val="0"/>
              </w:rPr>
              <w:t xml:space="preserve">vai sniegt detalizētāku informāciju anotācijā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MK noteikumu projekta 21.10.apakšpunktu, norādot konkrētu atsauci uz piemērojamo metodiku atbilstoši piedāvātajai redakcijai.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finansējuma saņēmēja personāla darba braucienu un iekšzemes komandējumu transporta izmaksas (maksa par degvielu, sabiedriskā transporta izmantošana), kurām piemēro vadošās iestādes izstrādāto metodiku “Vienas vienības izmaksu standarta likmes aprēķina un piemērošanas metodika 1 km izmaksām darbības programmas “Izaugsme un nodarbinātība” un Eiropas Savienības kohēzijas politikas programmas 2021.–2027.gadam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redakcija anotācijā un noteikumu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projektu specifiku, nav identificēts risks vienas pozīcijas segšanai, izmantojot vienkāršotās un faktiskās izmaksas,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vienkāršotās izmaksas pasākuma ietvaros ir paredzētas personāla izmaksu segšanai, otrkārt, piegāžu un pakalpojumu iepirkumus saskaņā ar publisko iepirkumu regulējumu veiks pakalpojuma sniedzējs, taču komandējumu izmaksas (ja attiecināms) segs LVĢMC kā finansējuma saņēmējs, izmantojot noteikto metodiku, saskaņā ar Vienas vienības izmaksu standarta likmes aprēķina un piemērošanas metodikas iekšzemes komandējumu izmaksām darbības programmas “Izaugsme un nodarbinātība” un Eiropas Savienības kohēzijas politikas programmas 2021.–2027.gadam īstenošanai 3. zemsvītras atsauci:</w:t>
            </w:r>
            <w:r w:rsidR="00000000" w:rsidRPr="00000000" w:rsidDel="00000000">
              <w:rPr>
                <w:i w:val="1"/>
                <w:rtl w:val="0"/>
              </w:rPr>
              <w:t xml:space="preserve"> Metodikā noteiktās likmes nepiemēro, ja konkrētā/s izmaksu pozīcija/s tiek iepirktas ar publiskā iepirkuma starpniecību kā vesela pasākuma kopuma sastāvdaļa. </w:t>
            </w:r>
            <w:r w:rsidR="00000000" w:rsidRPr="00000000" w:rsidDel="00000000">
              <w:rPr>
                <w:i w:val="1"/>
                <w:rtl w:val="0"/>
              </w:rPr>
              <w:t xml:space="preserve">Atgādinām, ka normatīvais akts nevar saturēt atsauci uz metodiku, jo tas kvalificējas kā iekšējais normatīvais akts.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finansējuma saņēmēja un sadarbības partnera personāla darba braucienu un iekšzemes komandējumu un transporta pakalpojumu izmaksas (maksa par degvielu, sabiedriskā transporta izmantošana, viesnīcas izmaksas, dienas nauda), kurām piemēro metodiku par vienas vienības izmaksu standarta likmes aprēķināšanu un piemērošanu viena kilometra izmaksām un metodiku par iekšzemes komandējumu izmaksu segšanu;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dubultā finansējuma risku, ņemot vērā, ka šobrīd vienas un tās pašas izmaksas, piemēram, biroja tehniku, var attiecināt gan atbilstoši MK noteikumu projekta 21.11. apakšpunktam, gan atbilstoši MK noteikumu projekta 23. punktam kā netiešās attiecināmās izmaksas, piemērojot vienoto likmi 15% apmērā. Līdz ar to aicinām skaidri nodalīt, kādas izmaksas ir attiecināmas atbilstoši MK noteikumu projekta 21.11. apakšpunktam un kādas - atbilstoši MK noteikumu projekta 23. punktam, lai novērstu dubultā finansējuma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izstrādāts saskaņā ar Vadlīnijām attiecināmo izmaksu noteikšanai Eiropas Savienības kohēzijas politikas programmas 2021. – 2027. gada plānošanas periodā 9.3. punktu, kas nosaka, ka darba vietas aprīkojuma iegādes vai nomas izmaksas, tai skaitā aprīkojuma uzturēšanas un remonta izmaksas, attiecināmas ne vairāk kā 3000 euro apmērā vienai darba vietai visā projekta īstenošanas laikā. 20.11. apakšpunkts attiecas uz projekta īstenošanas personāla darba vietas ierīkošanu, kas projektā ir nodarbināts vismaz 30 % darba laika, ja darbinieks nodarbināts mazāk kā 30 % no darba laika, uz tā darba vietas ierīkošanu attiecas 21. punktā norādītas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 personālam, kas projektā ir nodarbināts vismaz 30 procentus darba laika,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21.11.apakšpunktu ar informāciju, vai norādītās tiešās attiecināmās darba vietu aprīkojuma iegādes izmaksas ir attiecināmas gan uz finansējuma saņēmēju, gan uz sadarbības partneriem.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atbilstoši Finanšu ministrijas 2022.gada 25.augusta vadlīniju Nr. 1.2. "Vadlīnijas attiecināmo izmaksu noteikšanai Eiropas Savienības kohēzijas politikas programmas 2021.-2027.gada plānošanas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9.5. punktam, darba vietas aprīkojuma izmaksas ir attiecināmas atbilstoši darba laikam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33.punktam, daļlaika izmaksu attiecināšanas principa gadījumā jāņem vērā darbinieka iesaistes periods projektā pret projekta kopējo īstenošanas ilgumu un daļlaika proporcija darbam projektā.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precizēt MK noteikumu projekta attiecīgo apakšpunktu, kā arī vienlaikus lūdzam anotāciju papildināt ar skaidrojumu, ka tiks vērtēts aprīkojuma iegādes samērīgums attiecībā uz darbiniekiem, kuriem tiek piemērots daļlaika noslodzes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Darba vietas aprīkojuma iegādes izmaksas jaunu darba vietu radīšanai vai esošo darba vietu atjaunošanai, uzturēšanai un remontam ne vairāk kā 3000 euro apmērā vienai darba vietai visā projekta īstenošanas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21.11.1. Ja projekta vadības vai īstenošanas personāls ir nodarbināts projektā normālu darba laiku, jaunradītas darba vietas aprīkojuma iegādes vai nomas izmaksas ir attiecināmas 100%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 Ja projekta vadības vai īstenošanas personāls ir nodarbināts projektā nepilnu darba laiku, jaunradītas darba vietas aprīkojuma iegādes vai nomas izmaksas ir attiecināmas proporcionāli darba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21.11.3. Daļlaika izmaksu attiecināšanas principa gadījumā tiek ņemts vērā darbinieka iesaistes periods projektā pret projekta kopējo īstenošanas ilgumu, kā arī proporcionāli darba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un MK noteikumu projekts ar 20.11.1., 20.11.2. un 20.11.3. apakšpunktiem.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 darba vietas aprīkojuma iegādes izmaksas jaunu darba vietu radīšanai vai esošo darba vietu atjaunošanai, uzturēšanai un remontam ne vairāk kā 3000 </w:t>
            </w:r>
            <w:r w:rsidR="00000000" w:rsidRPr="00000000" w:rsidDel="00000000">
              <w:rPr>
                <w:i w:val="1"/>
                <w:rtl w:val="0"/>
              </w:rPr>
              <w:t xml:space="preserve">euro </w:t>
            </w:r>
            <w:r w:rsidR="00000000" w:rsidRPr="00000000" w:rsidDel="00000000">
              <w:rPr>
                <w:rtl w:val="0"/>
              </w:rPr>
              <w:t xml:space="preserve">apmērā vienai darba vietai visā projekta īstenošanas laikā personālam, kas projektā ir nodarbināts vismaz 30 procentus darba laika, ievērojot šādus nosacījumus: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projekta vadības un projekta īstenošanas personāls iestādē veic pienākumus, kas saistīti ne tikai ar projektu, bet arī ar konkrētās iestādes pamatdarbību vai citu finanšu instrumentu administrēšanu, daļu no atlīdzības izmaksām var segt no projekta tiešajām attiecināmajām personāla izmaksām proporcionāli laikam, kurā tiek veikti ar projektu saistītie pienākumi, atbilstoši personāla darbalaika uzskaitei.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22.punktu. Ja ir plānots tiešās attiecināmās projekta vadības personāla atlīdzības izmaksas segt atbilstoši Komisijas regulas Nr. 2021/1060 55. panta 1. punktam, tad Centrālā finanšu un līgumu aģentūra kā sadarbības iestāde pie maksājumu pieprasījumu izskatīšanas nepārbaudīs faktiskās personāla atlīdzības izmaksas, līdz ar to katrs projekta īstenotājs ir atbildīgs par atbilstošas grāmatvedības uzskaiti un Darba likumā noteikto normu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punkts dzēsts par atsevišķu darba laika uzskaiti.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Projekta izmaksas ir attiecināmas no 2023. gada 1. janvāra.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pamatojumu, kas nosaka finanšu plūsmas pirms projekta apstiprināšanas nodrošināšanas nosacījumus, kā arī atbildīgās iestādes pienākumus un atbildību gadījumos, ja pirms projekta apstiprināšanas būs radušās izmaksas, kas nav attiecināmas no ES fondu līdzekļiem, ņemot vērā MK noteikumu projekta 26.punktā noteikto, ka projekta izmaksas ir attiecināmas no 2023.gada 1. janvāra (proti, izmaksas ir paredzēts attiecināt pirms līguma vai vienošanās noslēgšanas).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MK noteikumu projektu ar nosacījumu, ka  nedrīkst attiecināt jau pabeigtas darbības, kas radušās pirms MK noteikumu apstiprināšanas vai līgumu un vienošanās noslēgšanas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pirms projekta apstiprināšanas būs radušās izmaksas, kas nav attiecināmas no ES fondu līdzekļiem, tas ir finansējuma saņēmēja risks un izmaksas tiek segtas no finansējuma saņēmēja līdzekļiem, jo finansējuma saņēmējs ir kapitālsabiedrība, līdz ar to atbildīgā iestāde nav atbildīga par finanšu plūsmu un radušajām izmaksām gadījumos, ja pirms projekta apstiprināšanas radušās izmaksas, kas nav attiecināmas no ES fondu līdzekļiem. Papildināta redakcija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izmaksas ir attiecināmas no 2023. gada 1. janvāra, taču projekta darbības nevar būt pabeigtas pirms projekta iesnieguma iesniegšanas sadarbības iestādē.</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Sadarbības iestāde nodrošina projektu izvērtēšanu viena mēneša laikā pēc projektu iesniegumu saņemšanas.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uztveramību un atbilstību Eiropas Savienības fondu 2021.-2027. gada plānošanas perioda vadības likumam, lūdzam MK noteikumu projekta 27.punktā noteikt, ka sadarbības iestāde lēmumu par projekta iesnieguma apstiprināšanu, apstiprināšanu ar nosacījumu vai noraidīšanu pieņem  viena mēneša laikā pēc projekta iesnieguma iesniegšanas beigu datuma. Vienlaikus lūdzam papildināt anotāciju, ka lēmuma pieņemšana būs viena mēneša laikā pēc projekta iesnieguma iesniegšanas beigu datuma.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Tostarp papildināts, ka projekta iesnieguma iesniegšanas beigu datums ir diena, kurā projekts iesniegts. Tā kā pasākuma ietvaros ir paredzēta divu projektu iesniegšana un īstenošana, un atlases kārtu indikatīvi paredzēts izsludināt sešu mēnešu garumā, lai netiktu kavēta investīciju apgūšana un projekta norise, projektu izvērtēšanu paredzēts uzsākt uzreiz pēc to saņemšanas un to izvērtēšanu veikt mēneša laikā. Precizēta redakcija noteikumu projektā un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pieņem lēmumu par projekta apstiprināšanu, apstiprināšanu ar nosacījumiem vai noraidīšanu viena mēneša laikā pēc projekta iesnieguma iesniegšanas beigu datuma.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prognozēto uzturēšanas izmaksu apmēru un tā detalizētus aprēķinus, vienlaikus sniedzot informāciju, ar kuru gadu uzturēšanas izmaksas plānotas (proti, pēc projekta pabeigšanas), kā arī norādīt, kāpēc finansējums to segšanai ir nodrošināmas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3. sadaļā par uzturēšanas izdevumiem.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6.punktā sniegto informāciju, norādot katram gadam arī valsts budžeta līdzfinansējuma apmēru. Vienlaikus lūdzam arī pārskatīt norādīto finansējuma sadalījumu pa gadiem, jo kopsummā tas neatbilst MK noteikumu projekta 7.punktā norādītajam finansējuma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informācija anotācijas 3. sadaļā par valsts budžeta līdzfinansējuma apmēru katram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pasākuma ietvaros projekta īstenotājs ir valsts kapitālsabiedrība, lūdzam anotācijas 3.sadaļā norādīt, kāpēc pasākuma ietvaros līdzfinansējums jānodrošina no valsts budžeta.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3. sadaļa: Finansējuma saņēmējs LVĢMC ir valsts kapitālsabiedrība, kurai deleģēta valsts pārvaldes uzdevumu izpilde un  investīciju projektu ietvaros tiks veikti ieguldījumi infrastruktūrā, kas nepieciešama valsts pārvaldes uzdevumu izpildes nodrošināšanai, līdz ar to projektu līdzfinansējums 15 % apmērā tiks nodrošināts no valsts budžeta. Skaidrojam, ka vides monitoringa projektu īstenošanai LVĢMC tiek paredzēts valsts budžeta līdzfinansējums, jo paredzētās darbības atbilst valsts pārvaldes uzdevumiem, kuri tiek noteikti VARAM deleģēšanas līgumā, kā arī atbilstoši likumam “Par aviāciju” un MK 2006.gada 15.augusta noteikumiem Nr. 657 “Gaisa kuģu lidojumiem nepieciešamās meteoroloģiskās informācijas sniegšanas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horizontālā principa "Vienlīdzība, iekļaušana, nediskriminācija un pamattiesību ievērošana" vispārīgām darbībām, kuras veicina personu ar invaliditāti vienlīdzīgas iespējas un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personu ar invaliditāti vienlīdzīgas iespējas un tiesības, projektā ieteicams iekļaut šādas vispārīgas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vai finansējuma saņēmēja tīmekļvietnē tiks izveidota sadaļa “Viegli lasīt”, kurā iekļauta īsa aprakstoša informācija par projektu un citu lasītājiem nepieciešamu informāciju vieglajā valodā, lai plašākai sabiedrībai nodrošinātu iespēju uzzināt par ES fondu ieguldījumiem;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nodrošinot informāciju publiskajā telpā, t.sk. tīmeklī, ir jānodrošina, ka to saturs ir piekļūstams cilvēkiem ar funkcionāliem traucējumiem, izmantojot vairākus sensoros (redze, dzirde, tauste) kanālus;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projekta vadības un īstenošanas personāla atlase tiks nodrošināta bez jebkādas tiešas vai netiešas diskriminācijas, veicina mazāk pārstāvētā dzimuma piesaisti, personu ar invaliditāti piesaisti un nediskriminē pēc rases, etniskās izcelsmes, dzimuma, vecuma, invaliditātes, reliģiskās, pārliecības, seksuālās orientācijas vai citiem apstākļiem. Vienlaikus visiem darbiniekiem ar invaliditāti tiks nodrošinātas vienlīdzīgas iespējas, tostarp nodrošinot piekļūstamību, pielāgojot darba vietu un tehnoloģijas.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precizējumi, papildinot to ar piedāvāto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8.1.9. uz personu ar invaliditāti vienlīdzīgām iespējām un tiesībām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rast iespēju papildināt sadaļu ar informāciju par horizontālā principa "Vienlīdzība, iekļaušana, nediskriminācija un pamattiesību ievērošana" vispārīgām darbībām, kas veicina dzimumu līdztiesību.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veicinātu dzimumu līdztiesību, projektā ieteicams iekļaut šādas vispārīgas darbības,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īstenojot projekta komunikācijas aktivitātes, tiks izvēlēta valoda un vizuālie tēli, kas mazina diskrimināciju un stereotipu veidošanos par kādu no dzimumiem, personām ar invaliditāti, reliģisko pārliecību, vecumu, rasi un etnisko izcelsmi vai seksuālo orientāciju (skat. metodisko materiālu “Ieteikumi diskrimināciju un stereotipus mazinošai komunikācijai ar sabiedrību” https://www.lm.gov.lv/lv/media/18838/download, https://www.lm.gov.lv/lv/metodiskie-materiali);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projektu vadībā un īstenošanā tiks ieviesti pasākumi, kas sekmē darba un ģimenes dzīves līdzsvaru, paredzot elastīga un nepilna laika darba iespēju nodrošināšanu vecākiem ar bērniem un personām, kuras aprūpē tuviniekus;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sievietēm un vīriešiem tiks nodrošināta vienlīdzīga darba samaksa un vienlīdzīgas karjeras izaugsmes iespējas, tostarp nodrošinot dalību apmācībās, semināros, komandējumos.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precizējumi, papildinot to ar piedāvāto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8.1.10. uz dzimumu līdztiesību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 - 24.04.2023.)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vienādu pieeju ES fondu pasākumu īstenošanas noteikumu anotācijas aizpildīšanai un, ievērojot vadlīnijās "Horizontālais princips “Vienlīdzība, iekļaušana, nediskriminācija un pamattiesību ievērošana” vadlīnijas īstenošanai un uzraudzībai  (2021-2027)" noteikto, lūdzam 8.2. sadaļā sniegt informāciju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pasākuma ietekmi uz horizontālo principu "Vienlīdzība, iekļaušana, nediskriminācija un pamattiesību ievērošana";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projektu iesniegumu vērtēšanas kritērija veidu, kura ietvaros projekta iesniedzējam ir jāsniedz informācija par šī horizontālā principa ievērošanu, paredzot specifiskas darbības, kas veicina vienlīdzību, iekļaušanu, nediskrimināciju un pamattiesību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citu informāciju, piemēram, informāciju par nosacījumu finansējuma saņēmējam veikt sociāli atbildīgus iepirkumus.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Pasākumam nav ietekmes uz horizontālo principu "Vienlīdzība, iekļaušana, nediskriminācija un pamattiesību ievērošana" (HP VINPI), jo tas ir izteikti tehnisks, vērsts uz tehnoloģiju pilnveidošanu vai nomaiņu u.tml. Vienlaikus, lai  nodrošinātu, ka projektu īstenošanā tiek veicināts horizontālais princips "Vienlīdzība, iekļaušana, nediskriminācija un  pamattiesību ievērošana" , projekta vērtēšanā tiks piemērots specifiskais atbilstības kritērijs. Kritērijā tiks vērtēts, vai projekta iesniegumā ir paredzēta vismaz viena specifiskā darbība, kas attiecas uz publicitāti, personālu vai publiskajiem iepirkumiem. Kritērijs netiks piemērots projektos, kuru satura dēļ nav iespējams īstenot nevienu HP VINPI darbību, jo netiek īstenota publicitāte un iepirkumi un netiek piesaistīts personāls.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precizējumi, papildinot to ar piedāvāto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atlases kārtai pieejamo finansējumu;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1.3.apakšpunktu ar vārdiem "plānoto un" pirms vārda "pieejamo".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1.3.apakšpunkta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atlases kārtai plānoto un pieejamo finansējumu;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Savienības Reģionālā attīstības fonda projekta (turpmāk – projekts) iesniedzējam (turpmāk – projekta iesniedzējs) un projekta sadarbības partnerim;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1.4.apakšpunktu ar norādi, ka tiek noteiktas prasības arī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1.4.apakšpunkta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prasības Eiropas Reģionālās attīstības fonda projekta (turpmāk – projekts) iesniedzējam (turpmāk – projekta iesniedzējs), finansējuma saņēmējam un sadarbības partnerim;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mērķteritorija ir Latvijas Republika.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vienotu regulējuma ietveršanu Eiropas Savienības fondus regulējošos noteikumos, lūdzam izteikt punktu šādā redakcijā: "Projekta īstenošanas vieta ir Latvijas Republika."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īstenošanas vieta ir Latvijas Republika.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3.punkta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īstenošanas vieta ir Latvijas Republika.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projektu iesniegumu pirmās atlases kārtas projektu uzraudzības rādītāji un to sasniedzamās vērtības līdz 2029.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MK noteikumu projekta 4.2.apakšpunktā minētā rādītāja sasniedzamajām vērtībām dalījumā pa 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iesūtīt Finanšu ministrijai aktualizētu pasākuma rādītāju metodoloģijas aprakstu, ņemot vērā pasākumā veiktās izmaiņas rādītāju vērtībās attiecībā uz sadalījumu kārtās.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 Rādītāju metodoloģiskais apraksts tiks iesūtīts tuvākajā laikā.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atlases kārtas projektu uzraudzības rādītāji un to sasniedzamās vērtības līdz 2029.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specifiskais rezultāta rādītājs – nodrošinātais klimata un vides monitorings. Specifiskais rezultāta rādītājs tiek sasniegts, ja projektu ietvaros veikti ieguldījumi 58 vietās, lai izveidotu jaunas vai modernizētas esošās monitoringa vietas, sasniedzot vērtību 242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rādītāja nosaukumu svītrojot vārdu "specifiskais". Atbilstošu precizējumu par šo rādītāju lūdzam veikt arī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rezultāta rādītājs – nodrošinātais klimata un vides monitorings. Rezultāta rādītājs tiek sasniegts, ja projektu ietvaros veikti ieguldījumi 58 vietās, lai izveidotu jaunas vai modernizēt</w:t>
            </w:r>
            <w:r w:rsidR="00000000" w:rsidRPr="00000000" w:rsidDel="00000000">
              <w:rPr>
                <w:b w:val="1"/>
                <w:rtl w:val="0"/>
              </w:rPr>
              <w:t xml:space="preserve">u</w:t>
            </w:r>
            <w:r w:rsidR="00000000" w:rsidRPr="00000000" w:rsidDel="00000000">
              <w:rPr>
                <w:rtl w:val="0"/>
              </w:rPr>
              <w:t xml:space="preserve"> esošās monitoringa vietas, sasniedzot vērtību 242 vietas.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Rādītāja nosaukums r.2.2.3.b precizēts. Vienlaikus ar MK noteikumu projekta tālāku virzību izskatīšanai tiks precizēts arī rādītāju metodoloģijas apraksts.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 rezultāta rādītājs – nodrošinātais klimata un vides monitorings. Rezultāta rādītājs tiek sasniegts, ja projektu ietvaros veikti ieguldījumi 58 vietās, lai izveidotu jaunas vai modernizētu esošās monitoringa vietas, sasniedzot vērtību 242 vietas.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iesniedzējs atlases kārtas ietvaros ir valsts kapitālsabiedrība, kurai ir deleģēti valsts pārvaldes uzdevumi valsts vides monitoringa veikšanai un vienotas vides informācijas sistēmas veidošanā un attīstībā, – Latvijas Vides, ģeoloģijas un meteoroloģijas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9.punktu ar informāciju, ka projekta iesniedzējs, kura projekta iesniegums ir apstiprināts, ir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9.punkta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Projekta iesniedzējs atlases kārtas ietvaros, kas pēc projekta iesnieguma apstiprināšanas kļūst par finansējuma saņēmēju, ir valsts kapitālsabiedrība, kurai ir deleģēti valsts pārvaldes uzdevumi valsts vides monitoringa veikšanai un vienotas vides informācijas sistēmas veidošanā un attīstībā, – Latvijas Vides, ģeoloģijas un meteoroloģijas centrs.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iesniedz vienu vai vairākus projekta iesniegumus. Ja projekta iesniedzējs plāno iesniegt vairākus projekta iesniegumus, tas nodrošina, ka visi projekti kopā nodrošina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noteikto uzraudzības rādītāju izpildi un nepārsniedz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finansējuma apjomu.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rīcību situācijā, ja tiks iesniegti vairāki projekta iesniegumi, proti, vai par katru tiks noslēgts līgums pa projekta īstenošanu, un kāda būs rīcība un sekas, ja visi projekti kopā nenodrošinās MK noteikumu projekta 4. vai 7.punktā noteikto nosacījumu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anotācijā. Skaidrojam, ka normatīvie akti neparedz iespēju par vairākiem projektiem slēgt vienu līgumu. Tā kā projektu atlase ir ierobežota, tad atbalstāms ir princips “CFLA konsultē vispirms”, lai izvairītos no situācijas, kad iesniegtie projekti nenodrošina MK noteikumu projektā ietverto nosacījumu izpildi, kā arī ir paredzēta iespēja projekta iesniegumu noraidīt precizēšanai, ja tas neatbilst noteiktajiem projektu iesniegumu vērtēšanas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Projekta iesniedzējs iesniedz vienu vai vairākus projekta iesniegumus. Ja projekta iesniedzējs plāno iesniegt vairākus projekta iesniegumus, tas nodrošina, ka visi projekti kopā nodrošina šo noteikumu </w:t>
            </w:r>
            <w:r w:rsidR="00000000" w:rsidRPr="00000000" w:rsidDel="00000000">
              <w:rPr>
                <w:rtl w:val="0"/>
              </w:rPr>
              <w:t xml:space="preserve">4. </w:t>
            </w:r>
            <w:r w:rsidR="00000000" w:rsidRPr="00000000" w:rsidDel="00000000">
              <w:rPr>
                <w:rtl w:val="0"/>
              </w:rPr>
              <w:t xml:space="preserve">punktā</w:t>
            </w:r>
            <w:r w:rsidR="00000000" w:rsidRPr="00000000" w:rsidDel="00000000">
              <w:rPr>
                <w:rtl w:val="0"/>
              </w:rPr>
              <w:t xml:space="preserve"> noteikto uzraudzības rādītāju izpildi un nepārsniedz šo noteikumu </w:t>
            </w:r>
            <w:r w:rsidR="00000000" w:rsidRPr="00000000" w:rsidDel="00000000">
              <w:rPr>
                <w:rtl w:val="0"/>
              </w:rPr>
              <w:t xml:space="preserve">7. </w:t>
            </w:r>
            <w:r w:rsidR="00000000" w:rsidRPr="00000000" w:rsidDel="00000000">
              <w:rPr>
                <w:rtl w:val="0"/>
              </w:rPr>
              <w:t xml:space="preserve">punktā</w:t>
            </w:r>
            <w:r w:rsidR="00000000" w:rsidRPr="00000000" w:rsidDel="00000000">
              <w:rPr>
                <w:rtl w:val="0"/>
              </w:rPr>
              <w:t xml:space="preserve"> noteikto finansējuma apjomu.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Projekta iesniedzējs ar sadarbības partneri slēdz rakstveida sadarbības līgumu par pušu pienākumiem, tiesībām un atbildību projekta mērķa, rezultātu un rādītāju sasniegšanā un šo noteikumu </w:t>
            </w:r>
            <w:r w:rsidR="00000000" w:rsidRPr="00000000" w:rsidDel="00000000">
              <w:rPr>
                <w:rtl w:val="0"/>
              </w:rPr>
              <w:t xml:space="preserve">31. </w:t>
            </w:r>
            <w:r w:rsidR="00000000" w:rsidRPr="00000000" w:rsidDel="00000000">
              <w:rPr>
                <w:rtl w:val="0"/>
              </w:rPr>
              <w:t xml:space="preserve">punktā</w:t>
            </w:r>
            <w:r w:rsidR="00000000" w:rsidRPr="00000000" w:rsidDel="00000000">
              <w:rPr>
                <w:rtl w:val="0"/>
              </w:rPr>
              <w:t xml:space="preserve"> noteikto prasību nodrošināšanā, kā arī sadarbības partnera izveidotās infrastruktūras vai iegādāto iekārtu uzturēšanā atbilstoši normatīvajiem aktiem par kārtību, kādā Eiropas Savienības fondu vadībā iesaistītās institūcijas nodrošina Eiropas Savienības fondu ieviešanu, tostarp projekta sadarbības partneru piesaistes nosacījumus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noteikumu projekta 13.punktā vārdus "kārtību, kādā Eiropas Savienības fondu vadībā iesaistītās institūcijas nodrošina Eiropas Savienības fondu ieviešanu, tostarp projekta sadarbības partneru piesaistes nosacījumus 2021.–2027. gada plānošanas periodā." ar vārdiem "kārtību, kādā Eiropas Savienības fondu vadībā iesaistītās institūcijas nodrošina Eiropas Savienības fondu ieviešanu 2021.–2027. gada plānošanas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13.punkta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Projekta iesniedzējs ar sadarbības partneri slēdz rakstveida sadarbības līgumu par pušu pienākumiem, tiesībām un atbildību projekta mērķa, rezultātu un rādītāju sasniegšanā un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noteikto prasību nodrošināšanā, kā arī sadarbības partnera izveidotās infrastruktūras vai iegādāto iekārtu uzturēšanā atbilstoši normatīvajam aktam par kārtību, kādā Eiropas Savienības fondu vadībā iesaistītās institūcijas nodrošina šo fondu ieviešanu 2021.–2027.gada plānošanas periodā.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sadarbībā ar sadarbības partneri (ja attiecināms) saskaņā ar projektu iesniegumu atlases nolikuma prasībām elektroniski sagatavo projekta iesniegumu un iesniedz Centrālajā finanšu un līgumu aģentūrā (turpmāk - sadarbības iestāde), izmantojot Kohēzijas politikas fondu vadības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aizstāt MK noteikumu projekta 17.punktā vārdus "Centrālajā finanšu un līgumu aģentūrā (turpmāk - sadarbības iestāde)" ar vārdiem "sadarbības iestādē", ņemot vērā, ka Centrālajā finanšu un līgumu aģentūra kā sadarbības iestāde ir nodefinēta Eiropas Savienības fondu 2021.-2027.gada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17.punkta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Projekta iesniedzējs sadarbībā ar sadarbības partneri (ja attiecināms) saskaņā ar projektu iesniegumu atlases nolikuma prasībām elektroniski sagatavo projekta iesniegumu un iesniedz sadarbības iestādē, izmantojot Kohēzijas politikas fondu vadības informācijas sistēmu.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Projekta vērtēšanu, lēmuma par projekta iesnieguma apstiprināšanu, apstiprināšanu ar nosacījumu vai noraidīšanu pieņemšanu,  līguma par projekta īstenošanu slēgšanu un  projekta īstenošanas uzraudzību nodrošina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svītrot šo punktu, ņemot vērā, ka minētie pienākumi sadarbības iestādei noteikti Eiropas Savienības fondu  2021.-2027.gada plānošanas perioda vadības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punkts svītrots, lai nedublētu ES fondu 2021.-2027. gada vadības likumu.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(LTRK - 25.04.2023.)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Vides aizsardzības un reģionālās attīstības ministrijas izstrādāto noteikumu projektu “Eiropas Savienības kohēzijas politikas programmas 2021. – 2027. gadam 2.2.3. specifiskā atbalsta mērķa “Uzlabot dabas aizsardzību un bioloģisko daudzveidību, “zaļo” infrastruktūru, it īpaši pilsētvidē, un samazināt piesārņojumu” 2.2.3.4. pasākuma “Vides monitoringa attīstība harmonizētai vides un klimata datu informācijas nodrošināšanai” projektu iesniegumu pirmās atlases kārtas īstenošanas noteikumi” (23-TA-548) (turpmāk - noteikumu projekts) un sniedz sekojošu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pašlaik Latvijā gaisa piesārņojuma monitoringam primāri tiek izmantotas references iekārtas (stacijas), kas sniedz ticamus, atkārtojamus un salīdzināmus datus, diemžēl šādas references stacijas gan iekārtu, gan uzturēšanas ziņā ir ļoti dārgas (to apstiprina arī  Rīgas domes Mājokļu un vides departamenta 2018.gada pētījums “Par Rīgas gaisa kvalitāti vietās ar trūkstošiem datiem, izmantojot tiešsaistes bezvadu sensoru tīklu”, pieejams: https://sus.lv/petijumi/petijums-par-rigas-gaisa-kvalitati-vietas-ar-trukstosiem-datiem-izmantojot-tiessaistes). Šī iemesla dēļ Latvijā joprojām nav pietiekošs gaisa kvalitātes datu pārklājums, tādēļ ne iedzīvotājiem, ne pašvaldībām nav zināmi galvenie piesārņojuma avoti apkaimju, reģionu, pagastu un ciemu līmenī, kā rezultātā nav iespējams pieņemt datos balstītus lēmumus par aktivitātēm gaisa kvalitātes uzlabošanai, nedz arī izmērīt ieviesto aktivitāšu efektivitāti. Aicinām izvērtēt iespējas un līdzīgi ka citās Eiropas valstīs izmantot jauno tehnoloģiju – kompaktu vides un gaisa kvalitātes sensoru staciju – izvietošanu kā papildinājumu references iekārtām, tādējādi nodrošinot indikatīvus datus nepieciešamā pārklājuma nodrošināšanai. Šādas kompaktas sensoru stacijas ir aptuveni 10 reizes lētākas nekā references iekārtās un to piegādātie dati ir atzīstami par pietiekami ticamiem.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projektā uzsvērts: “Pasākuma mērķis ir nodrošināt sabiedrību un iestādes ar savlaicīgu, kvalitatīvu un vispusīgu informāciju par vides stāvokļa izmaiņām, attīstot valsts vides monitoringa un kontroles sistēmas darbību un īstenojot sistemātiskus, regulārus un mērķtiecīgus vides stāvokļa novērojumus un mērījumus”.  Taču atbalstāmo darbību sarakstā nav ietvertas darbības datu apstrādei un attēlošanai tā, lai tie būtu pieejami, ērti lietojami un saprotami kā sabiedrībai, tā uzņēmumiem un citām organizācijām, ko piesārņojuma līmenis var ietekmēt, vai kas varētu būt arī vieni no piesārņojuma radītājiem. Piemēram, šobrīd no gaisa kvalitātes references iekārtām piegādātā informācija ir sadrumstalota, atrodas dažādās platformās un iedzīvotājam grūti uztverama. Aicinām rast risinājumu un attiecīgi papildināt Noteikumus ar atbilstošu attiecināmo darbību – pieejamu un saprotamu datu attēlošanu,  un paredzēt šīs darbības izmaksu segšanu.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plaša spektra un dažāda veida sensoru (pasīvo, mobilo, valkājamo u.c.) attīstību un pieejamību, aicinām pašvaldību un valsts iestādes, jautājumos, kas attiecas uz tehnoloģiju risinājumiem vides monitoringa jomā, veidot sadarbības ar tehnoloģiju uzņēmumiem, kuri pārzina jaunākos tehnoloģiskos risinājumus un to iespējas, tā veicinot noteikumu projekta mērķu sasniegšanu.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Īstenojot pasākuma projekta aktivitātes, valsts atmosfēras gaisa kvalitātes monitoringa tīkls Latvijā tiks papildināts ar četrām jaunām pilsētas fona un četrām jaunām autotransporta piesārņojuma avotu ietekmes stacijām, nozīmīgi paplašinot esošo tīklu.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projekta aktivitāti LVĢMC īsteno, pamatojoties uz Ministru kabineta 2009. gada 3. novembra noteikumiem Nr. 1290 „Noteikumi par gaisa kvalitāti” (turpmāk – MK noteikumi Nr. 1290) noteikto, ka LVĢMC pilda nacionālās gaisa kvalitātes references laboratorijas (turpmāk - NRL) funkcijas un atbild par valsts monitoringa tīkla izveidi un uzturēšanu, gaisa kvalitātes novērtēšanu, mērījumu sistēmu, iekārtu un laboratoriju akreditāciju, novērtējuma metožu analīzi un mērījumu precizitātes nodrošināšanu. Tāpat noteikumi nosaka arī citas prasības, kas jāievēro veicot gaisa kvalitātes novērtēšanu, kā būtiskākās var minēt mērāmās gaisu piesārņojošās vielas un parametri, gaisa kvalitātes novērtēšanas paņēmieni un kritēriji monitoringa staciju skaita un atrašanās vietas izvēlei.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NRL atbild, lai valsts monitoringa tīklā gaisa piesārņojuma līmeņa noteikšanai un mērīšanai tiktu izmantotas MK noteikumos Nr. 1290 noteiktās bāzes (references) metodes vai citas metodes, kurām ir sertifikāts par līdzvērtīgumu references metodei, tādējādi nodrošinot, ka Latvijas sabiedrībai, kā arī starptautiskajām sadarbības organizācijām un Eiropas Komisijai tiek sniegts ticams un reprezentatīvs gaisa kvalitātes novērtējums. MK noteikumi Nr. 1290 liedz gaisa kvalitātes vērtējumā izmantot mērījumus, kas iegūti ar citu metodi bez līdzvērtīguma pierādījuma references metodei, un tādā gadījumā šie mērījumi tiek uzskatīti par indikatīviem ar zemu ticamības pakāpi.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atbalstāmo darbību sarakstā nav ietvertas darbības valsts monitoringa tīkla datu apstrādei un attēlošanai, jo jaunās stacijas tiks pieslēgtas jau esošām mērījumu datu savākšanas un apstrādes sistēmai un izveidotajai attēlošanas platformai. Attēlošanas platforma ir pieejama LVĢMC vides portālā https://videscentrs.lvgmc.lv/gaiss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III. Atbalstāmās darbības un attiecināmās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Atlases kārtas ietvaros saskaņā ar vides politikas plānošanas dokumentos, deleģēšanas vai sadarbības līgumos noteiktajiem uzdevumiem ir atbalstāmas šādas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lietderību MK noteikumu projekta 19.punktā norādītajai atsaucei uz vides politikas plānošanas dokumentiem un deleģēšanas vai sadarbības līgumos noteiktajiem uzdevumiem. Vēršam uzmanību, ka MK noteikumu projektā ietveramajam atbalstāmo darbību tvērumam ir jāizriet no ES fondu kohēzijas politikas programmā 2021.-2027.gadam noteiktā, t.sk. sekmējot minētajā dokumentā noteikto mērķu un rādītāju sasniegšanu.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ieguldījumi tiek veikti valsts infrastruktūrā tajās jomās, kas izceltas kā prioritāras vides politikas plānošanas dokumentos, lai resursi tiktu izmantoti lietderīgi un novirzīti primāri nepieciešamākajām problēmām un ieguldījumiem to risināšanā. Atbalsta programmu veido, pamatojoties uz investīciju vajadzībām, kas noteiktas nozares dokumentos. Atbilstība deleģēšanas līgumam ir nepieciešama, jo finansējums tiek piešķirts tiesību subjektiem, kuri pilda valsts pārvaldes uzdevumus, tajā skaitā ar deleģēšanas līgumu deleģētos valsts pārvaldes uzdevumus.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Atlases kārtas ietvaros saskaņā ar vides politikas plānošanas dokumentos, deleģēšanas vai sadarbības līgumos noteiktajiem uzdevumiem ir atbalstāmas šādas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21.4.1. datu apstrādes sistēmu un pārraides iekārtu izstrāde (ja attiecināms) un uzstādīšana;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punkta redakciju, jo esošā redakcija liek domāt, ka datu apstrādes sistēmu un pārraides iekārtu izstrāde var arī netikt īstenota, jo iekavās ir atruna "ja attiecināms", taču uzstādīšana vienmēr ir attiecināma, t.sk. arī gadījumos, kad izstrāde nav veikta.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20.4.1. apakšpunta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20.4.1. datu apstrādes sistēmu un pārraides iekārtu izstrāde un uzstādīšana;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21.4.2. licenču un programmatūru, tostarp piesārņojošo vielu modelēšanas rīka iegādes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MK noteikumu projekta 21.4.2. un 21.4.3. apakšpunktā minētās izmaksas ir uzskatāmas par informācijas un komunikācijas tehnoloģiju uzturēšanas izmaksām/ biroja aprīkojuma iegādes izmaksām, kas ietilpst netiešajās izmaksās saskaņā ar vadošās iestādes vadlīniju Nr.1.1. "Vadlīnijas par vienkāršoto izmaksu izmantošanas iespējām un to piemērošana Eiropas Savienības kohēzijas politikas programmas 2021.–2027.gadam ietvaros" 29.-30.punktu.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20.4.2. un 20.4.3. apakšpunktos minētās izmaksas nav uzskatāmas par IKT izmaksām, kas iekļautas netiešo izmaksu kategorijā. Šajā pozīcijās minētās izmaksas ir atbalstāmo izmaksu daļa, nevis papildinājums, piemēram, piesārņojošo vielu modelēšanas rīka iegādes un konfigurēšanas izmaksas, kas ir viena no atbalstāmajām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20.4.2. licenču un programmatūru, tostarp piesārņojošo vielu modelēšanas rīka iegādes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darbinieku apmācības un sertifikācijas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kā MK noteikumu projekta 21.8.apakšpunktā minētās attiecināmās izmaksas ir saistītas ar MK noteikumu projekta 19.punktā plānotajām atbalstāmajām darbībām.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MK noteikumu projekta anotācija. Redakcija anotācijā: </w:t>
            </w:r>
            <w:r w:rsidR="00000000" w:rsidRPr="00000000" w:rsidDel="00000000">
              <w:rPr>
                <w:i w:val="1"/>
                <w:rtl w:val="0"/>
              </w:rPr>
              <w:t xml:space="preserve">Izmaksu pozīcijās ietverti arī ieguldījumi darbinieku apmācībās un sertifikācijas izmaksās, kas saistīti ar to, ka iegādājamās iekārtas ir specifiskas, ražotas un pielāgotas konkrētam pasūtījumam, tāpēc ražotājs piedāvā apmācības darbiniekiem darbam ar iekārtu, par to izsniedzot arī sertifikātus, lai nodrošinātu, ka turpmāk patstāvīgi veiktie mērījumi ir kalibrēti, un tos veicis darbinieks ar atbilstošām zināšanām.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20.8. darbinieku apmācības un sertifikācijas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 tiešās attiecināmās projekta vadības un īstenošanas personāla atlīdzības izmaksas, tai skaitā valsts sociālās apdrošināšanas obligātās iemaksas, kuras saskaņā ar Regulas Nr. 2021/1060 55. panta 1. punktu projekta iesniegumā plāno kā vienu izmaksu pozīciju, piemērojot izmaksu vienoto likmi 7 procentu apmērā no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noteiktajām tiešajām attiecināmajām izmaksās, kas nav atlīdzības izmaksas;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veikt precizējumus MK noteikumu projektā un anotācijā atbilstoši redakcijām, kas elektroniski saskaņotas ar Finanšu ministriju kā ES fondu vadošo iestādi.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 noteikumu projektā un anotācijā, personāla atlīdzības izmaksu vienoto likmi nosakot sešu procentu apmērā no pārējām tiešajām attiecināmajām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 tiešās attiecināmās projekta vadības un īstenošanas personāla atlīdzības izmaksas, tai skaitā valsts sociālās apdrošināšanas obligātās iemaksas, kuras saskaņā ar Regulas Nr. 2021/1060 55. panta 1. punktu projekta iesniegumā plāno kā vienu izmaksu pozīciju, piemērojot izmaksu vienoto likmi sešu procentu apmērā no šo noteikumu </w:t>
            </w:r>
            <w:r w:rsidR="00000000" w:rsidRPr="00000000" w:rsidDel="00000000">
              <w:rPr>
                <w:rtl w:val="0"/>
              </w:rPr>
              <w:t xml:space="preserve">20. </w:t>
            </w:r>
            <w:r w:rsidR="00000000" w:rsidRPr="00000000" w:rsidDel="00000000">
              <w:rPr>
                <w:rtl w:val="0"/>
              </w:rPr>
              <w:t xml:space="preserve">punktā</w:t>
            </w:r>
            <w:r w:rsidR="00000000" w:rsidRPr="00000000" w:rsidDel="00000000">
              <w:rPr>
                <w:rtl w:val="0"/>
              </w:rPr>
              <w:t xml:space="preserve"> noteiktajām tiešajām attiecināmajām izmaksās, kas nav atlīdzības izmaksas;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finansējuma saņēmēja un sadarbības partnera personāla darba braucienu un iekšzemes komandējumu transporta izmaksas (maksa par degvielu, sabiedriskā transporta izmantošana), kurām piemēro metodiku par vienas vienības izmaksu standarta likmes aprēķināšanu un piemērošanu viena kilometra izmaksām;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informācijas sakritību starp MK noteikumu projektu un anotāciju. Vēršam uzmanību, ka Finanšu ministrijas kā ES fondu vadošās iestādes izstrādātās horizontālās metodikas ir jāpiemēro, kā arī jānodrošina vienāda pieeja izmaksu attiecināšanā.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MK noteikumu projekta 20.10.apakšpunktā minētajām izmaksām ir piemērojama arī iekšzemes komandējumu metodika, īpaši ņemot vērā, ka anotācijā uz to ir atsauce, kā arī aicinām lietot pilnos metodiku nosaukumus.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Redakcijas noteikumu projektā un anotācijā precizētas atbilstoši redakcijām, kas elektroniski saskaņotas ar Finanšu ministriju kā ES fondu vadošo iestādi.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20.10. finansējuma saņēmēja un sadarbības partnera personāla darba braucienu un iekšzemes komandējumu un transporta pakalpojumu izmaksas (maksa par degvielu, sabiedriskā transporta izmantošana, viesnīcas izmaksas, dienas nauda), kurām piemēro metodiku par vienas vienības izmaksu standarta likmes aprēķināšanu un piemērošanu viena kilometra izmaksām un metodiku par iekšzemes komandējumu izmaksu segšanu;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20.11.3. daļlaika izmaksu attiecināšanas principa gadījumā tiek ņemts vērā darbinieka iesaistes periods projektā pret projekta kopējo īstenošanas ilgumu, kā arī proporcionāli darba slodzes procentuālajam sadalījumam.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pamatojumu, ka tiks vērtēts aprīkojuma iegādes samērīgums attiecībā uz darbiniekiem, kuriem tiek piemērots daļlaika noslodzes princips. Vēršam uzmanību, ka izziņas 7.punktā ir norādīts, ka minētais komentārs ir ņemts vērā un atbilstoši papildinājumi ir veikti anotācijā, taču fiziski precizējumi anotācijā nav veikti.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sadaļa "Risinājuma apraksts - citi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20.11.3. daļlaika izmaksu attiecināšanas principa gadījumā tiek ņemts vērā darbinieka iesaistes periods projektā pret projekta kopējo īstenošanas ilgumu, kā arī proporcionāli darba slodzes procentuālajam sadalījumam;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Projekta netiešās attiecināmās izmaksas atbalstāmo darbību īstenošanai plāno kā vienu izmaksu pozīciju, piemērojot netiešo izmaksu vienoto likmi 15 procentu apmērā no šo noteikumu </w:t>
            </w:r>
            <w:r w:rsidR="00000000" w:rsidRPr="00000000" w:rsidDel="00000000">
              <w:rPr>
                <w:rtl w:val="0"/>
              </w:rPr>
              <w:t xml:space="preserve">21.9. </w:t>
            </w:r>
            <w:r w:rsidR="00000000" w:rsidRPr="00000000" w:rsidDel="00000000">
              <w:rPr>
                <w:rtl w:val="0"/>
              </w:rPr>
              <w:t xml:space="preserve">apakšpunktā</w:t>
            </w:r>
            <w:r w:rsidR="00000000" w:rsidRPr="00000000" w:rsidDel="00000000">
              <w:rPr>
                <w:rtl w:val="0"/>
              </w:rPr>
              <w:t xml:space="preserve"> minētajām izmaksām. Ja projekta īstenošanai tiek piesaistīts sadarbības partneris, netiešo attiecināmo izmaksu sadalījums starp projekta iesniedzēju un sadarbības partneri tiek noteikts sadarbības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veikt redakcionālus precizējumus MK noteikumu projekta 23.punktā atbilstoši piedāvātajai redakcijai.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netiešās attiecināmās izmaksas atbalstāmo darbību īstenošanai plāno kā vienu izmaksu pozīciju, piemērojot netiešo izmaksu vienoto likmi 15 procentu apmērā no šo noteikumu 21.9.apakšpunktā minētajām tiešajām attiecināmajām personāla atlīdzības izmaksām. Ja projekta īstenošanai tiek piesaistīts sadarbības partneris, netiešo attiecināmo izmaksu sadalījums starp projekta iesniedzēju un sadarbības partneri tiek noteikts sadarbības līgumā.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21.punkta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Projekta netiešās attiecināmās izmaksas atbalstāmo darbību īstenošanai plāno kā vienu izmaksu pozīciju, piemērojot netiešo izmaksu vienoto likmi 15 procentu apmērā no šo noteikumu </w:t>
            </w:r>
            <w:r w:rsidR="00000000" w:rsidRPr="00000000" w:rsidDel="00000000">
              <w:rPr>
                <w:rtl w:val="0"/>
              </w:rPr>
              <w:t xml:space="preserve">20.9. </w:t>
            </w:r>
            <w:r w:rsidR="00000000" w:rsidRPr="00000000" w:rsidDel="00000000">
              <w:rPr>
                <w:rtl w:val="0"/>
              </w:rPr>
              <w:t xml:space="preserve">apakšpunktā</w:t>
            </w:r>
            <w:r w:rsidR="00000000" w:rsidRPr="00000000" w:rsidDel="00000000">
              <w:rPr>
                <w:rtl w:val="0"/>
              </w:rPr>
              <w:t xml:space="preserve"> minētajām tiešajām attiecināmajām personāla atlīdzības izmaksām. Ja projekta īstenošanai tiek piesaistīts sadarbības partneris, netiešo attiecināmo izmaksu sadalījums starp projekta iesniedzēju un sadarbības partneri tiek noteikts sadarbības līgumā.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Atlases kārtas ietvaros attiecināms ir projekta attiecināmo izmaksu pievienotās vērtības nodoklis, ja projekta iesniedzējs to nevar atgūt atbilstoši normatīvajiem aktiem nodokļu jomā.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64.panta 1.punkta c) apakšpunktā ir noteikti PVN izmaksu robežsliekšņi: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Pievienotās vērtības nodoklis ir attiecināmās izmaksas no ES fondu finansējuma šādos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darbībām, kuru kopējās izmaksas ir mazākas par 5 000 000 EUR (ieskaitot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darbībām, kuru kopējās izmaksas ir vismaz 5 milj. (ieskaitot PVN), ja tās nav atgūstamas saskaņā ar PVN reglamentējošiem valsts tiesību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pārskatīt MK noteikumu projekta 25.punkta redakciju, nepieciešamības gadījumā to precizējot atbilstoši minētajam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anotāciju papildināt ar aprakstu, ka tiks novērsts dubultā finansējuma risks.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šāda interpretācija ir iekļauta arī iepriekšējo ES finanšu plānošanas periodu īstenotajos projektos, un iebildumi nav saņemti. PVN ir bijis attiecināms, taču arī šobrīd nav pamata uzskatīt, ka tas varētu radīt problēmas projekta ieviešanā un paredzētajā investīciju apgūšanā, jo PVN samaksu kontrolē Valsts ieņēmumu dienests. Anotācijā ir ietverts skaidrojums ar atsauci uz Kopīgo noteikumu regulu: saskaņā ar Kopīgo noteikumu regulas 64.panta 1.punkta c) apakšpunktu  pievienotās vērtības nodoklis nav attiecināmās izmaksas, izņemot gadījumu, kad projektiem, kuru kopējās izmaksas ir vismaz 5 milj. euro (ieskaitot PVN) tas nav atgūstams saskaņā ar attiecīgās valsts tiesību aktiem PVN jomā. Līdz ar to 2.2.3.4. pasākuma pirmās projektu iesniegumu atlases kārtas ietvaros attiecināms ir projekta attiecināmo izmaksu pievienotās vērtības nodoklis, ja projekta iesniedzējs to nevar atgūt atbilstoši normatīvajiem aktiem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dubultā finansējuma risku veikts papildinājums anotācijā: Demarkācija ar Programmas ietvaros pasākumam paredzēto finansējumu un citu atbalsta programmu ietvaros sniegto atbalstu finansējuma saņēmējam un sadarbības partnerim projektos paredzēto atbalstāmo darbību īstenošanai un dubultās finansēšanas risku novēršana tiks nodrošināta projektu līmenī, pārbaudot Kohēzijas politikas fondu vadības informācijas sistēmu, pārliecinoties, ka vienas un tās pašas atbalstāmās darbības un attiecināmās izmaksas netiks finansētas dubultā.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Atlases kārtas ietvaros attiecināms ir projekta attiecināmo izmaksu pievienotās vērtības nodoklis, ja projekta iesniedzējs to nevar atgūt atbilstoši normatīvajiem aktiem nodokļu jomā.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Atlases kārtas un projekta īstenošanas un uzraudzības nosacījumi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papildināt MK noteikumu projektu ar punktu, kas nosaka sociāli atbildīga publiskā iepirkumu un inovatīvu publiskā iepirkumu piemērošanu.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28.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Atlases kārtas un projekta īstenošanas un uzraudzības nosacījumi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nodrošina projektu izvērtēšanu viena mēneša laikā pēc projekta iesnieguma iesniegšanas beigu datuma.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MK noteikumu projekta 25.punktu, nosakot, ka sadarbības iestāde pieņem lēmumu par projekta apstiprināšanu, par projekta apstiprināšanu ar nosacījumiem vai par projekta noraidīšanu, nevis nodrošina vērtēšanu, lai nodrošinātu nepārprotamu tiesību normu piemērošanu. Vienlaikus lūdzam anotācijā iekļaut pamatojumu saīsinātam lēmuma pieņemšanas termiņam.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Redakcija noteikumu projektā precizēta. Norādām, ka anotācijas sadaļa "Risinājuma apraksts - Projekta iesniegums, tā atlase un vērtēšanas process" sniedz skaidrojumu saīsinātam lēmumu pieņemšanas termiņam:</w:t>
            </w:r>
            <w:r w:rsidR="00000000" w:rsidRPr="00000000" w:rsidDel="00000000">
              <w:rPr>
                <w:i w:val="1"/>
                <w:rtl w:val="0"/>
              </w:rPr>
              <w:t xml:space="preserve"> Tā kā pasākuma ietvaros ir paredzēta divu projektu iesniegšana un īstenošana, un atlases kārtu indikatīvi paredzēts izsludināt sešu mēnešu garumā, lai netiktu kavēta investīciju apgūšana un projekta norise, projektu izvērtēšanu paredzēts uzsākt uzreiz pēc to saņemšanas un to izvērtēšanu veikt mēneša laikā. Šāds nosacījums iekļauts, lai intensificētu ES fondu 2021.–2027. gada plānošanas perioda investīcijas ar mērķi nodrošināt gan 2023. gada valsts budžeta likumā paredzēto izdevumu veikšanu, gan EK noteiktā ikgadēji deklarējamo izdevumu minimālā sliekšņa (n+3 princips)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Sadarbības iestāde pieņem lēmumu par projekta apstiprināšanu, apstiprināšanu ar nosacījumiem vai noraidīšanu viena mēneša laikā pēc projekta iesnieguma iesniegšanas beigu datuma.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 nodrošina informācijas un publicitātes pasākumus, kas noteikti Eiropas Parlamenta un Padomes 2021.gada 24.jūnija regulā (ES) Nr. 2021/1060</w:t>
            </w:r>
            <w:r w:rsidR="00000000" w:rsidRPr="00000000" w:rsidDel="00000000">
              <w:rPr>
                <w:i w:val="1"/>
                <w:rtl w:val="0"/>
              </w:rPr>
              <w:t xml:space="preserve">,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w:t>
            </w:r>
            <w:r w:rsidR="00000000" w:rsidRPr="00000000" w:rsidDel="00000000">
              <w:rPr>
                <w:rtl w:val="0"/>
              </w:rPr>
              <w:t xml:space="preserve"> un normatīvajos aktos par kārtību, kādā publisko informāciju par projektiem un nodrošina Eiropas Savienības fondu publicitātes, saziņas un vizuālās identitātes prasību ieviešanu 2021.–2027. gada plānošanas periodā;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MK noteikumu projekta 31.1.apakšpunktā norādīto atsauci uz normatīvajiem aktiem izteikt šādā redakcijā: "Eiropas Parlamenta un Padomes 2021.gada 24.jūnija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pantā un saskaņā ar kārtību, kādā Eiropas Savienības fondu vadībā iesaistītās institūcijas nodrošina šo fondu ieviešanu 2021.–2027.gada plānošanas periodā, kā arī Eiropas Savienības fondu 2021.–2027. gada plānošanas perioda un Atveseļošanas fonda komunikācijas un dizaina vadlīnijas."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31.1.apakšpunta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nodrošina informācijas un publicitātes pasākumus, kas noteikti </w:t>
            </w:r>
            <w:r w:rsidR="00000000" w:rsidRPr="00000000" w:rsidDel="00000000">
              <w:rPr>
                <w:i w:val="1"/>
                <w:rtl w:val="0"/>
              </w:rPr>
              <w:t xml:space="preserve">Eiropas Parlamenta un Padomes 2021.gada 24.jūnija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47. un 50. pantā un saskaņā ar kārtību, kādā Eiropas Savienības fondu vadībā iesaistītās institūcijas nodrošina šo fondu ieviešanu 2021.–2027.gada plānošanas periodā</w:t>
            </w:r>
            <w:r w:rsidR="00000000" w:rsidRPr="00000000" w:rsidDel="00000000">
              <w:rPr>
                <w:rtl w:val="0"/>
              </w:rPr>
              <w:t xml:space="preserve">, kā arī Eiropas Savienības fondu 2021.–2027. gada plānošanas perioda un Atveseļošanas fonda komunikācijas un dizaina vadlīnijās;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31.12. nosaka pienākumu būvdarbu veicējiem un pakalpojumu sniedzējiem, 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dzēst 31.12 apakšpunktu, lai nedublētu būviecības nozares normatīvos paredzēto.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31.12. apakšpunkta būtība ir noteikt nozarei specifiskas prasības, piemēram, atbilstība nozares tiesību aktu prasībām, atbilstība nozaru politikām. Ņemot vērā projektā paredzētās darbības, tiek izvirzīta prasība specifiski izcelt atsevišķas normas atkritumu apsaimniekošanā, kā arī prasība ir līdzīga ar citiem vides jomas specifisko atbalsta mērķu principa “Nenodarīt būtisku kaitējumu” aprakstiem. Ņemot vērā konkrētā  atkritumu veida apsaimniekošanas praksi Latvijā, prasības specifiski iekļautas arī Ministru kabineta noteikumos, uzliekot pienākumu CFLA kā sadarbības iestādei veikt pārbaudi, vai tiek ievērots HP “Nenodarīt būtisku kaitējumu”. Nosacījums ietverts arī apstiprinātajos projektu iesniegumu vērtēšanas kritērijos.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 nosaka pienākumu būvdarbu veicējiem un pakalpojumu sniedzējiem, 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31.13. sniedz informāciju par enerģijas patēriņu pirms projekta īstenošanas un trīs gadus pēc noslēguma maksājuma veikšanas šo noteikumu </w:t>
            </w:r>
            <w:r w:rsidR="00000000" w:rsidRPr="00000000" w:rsidDel="00000000">
              <w:rPr>
                <w:rtl w:val="0"/>
              </w:rPr>
              <w:t xml:space="preserve">21.3.</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21.5.</w:t>
            </w:r>
            <w:r w:rsidR="00000000" w:rsidRPr="00000000" w:rsidDel="00000000">
              <w:rPr>
                <w:rtl w:val="0"/>
              </w:rPr>
              <w:t xml:space="preserve"> </w:t>
            </w:r>
            <w:r w:rsidR="00000000" w:rsidRPr="00000000" w:rsidDel="00000000">
              <w:rPr>
                <w:rtl w:val="0"/>
              </w:rPr>
              <w:t xml:space="preserve">apakšpunktā</w:t>
            </w:r>
            <w:r w:rsidR="00000000" w:rsidRPr="00000000" w:rsidDel="00000000">
              <w:rPr>
                <w:rtl w:val="0"/>
              </w:rPr>
              <w:t xml:space="preserve"> minēto attiecināmo izmaksu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31.13. apakšpunktu papildināt ar atsaucēm uz pārējiem 21. punkta apakšpunktiem, kas paredz iekārtu iegādi, atbilstoši MKN projekta anotācijas skaidrojumam, ka Energoefektivitātes likuma 15. panta trešā daļa attiecas uz aktivitātēm, kurās tiek uzlabotas vai iegādātas ēkas, iekārtas, transportlīdzekļi.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izmaksu pozīcijas un to attiecināmību uz Energoefektivitātes likumu, secināts, ka tas attiecas uz 20.3. apakšpunktā aprakstīto izmaksu pozīciju par speciāli aprīkotu sauszemes transportlīdzekļu iegādi, kā arī 20.5. apakšpunktā aprakstīto pozīciju par jaunas infrastruktūras veidošanu vai veicamajiem būvdarbiem.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29.13. sniedz informāciju par enerģijas patēriņu pirms projekta īstenošanas un trīs gadus pēc noslēguma maksājuma veikšanas šo noteikumu </w:t>
            </w:r>
            <w:r w:rsidR="00000000" w:rsidRPr="00000000" w:rsidDel="00000000">
              <w:rPr>
                <w:rtl w:val="0"/>
              </w:rPr>
              <w:t xml:space="preserve">20.3.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20.5. </w:t>
            </w:r>
            <w:r w:rsidR="00000000" w:rsidRPr="00000000" w:rsidDel="00000000">
              <w:rPr>
                <w:rtl w:val="0"/>
              </w:rPr>
              <w:t xml:space="preserve">apakšpunktā</w:t>
            </w:r>
            <w:r w:rsidR="00000000" w:rsidRPr="00000000" w:rsidDel="00000000">
              <w:rPr>
                <w:rtl w:val="0"/>
              </w:rPr>
              <w:t xml:space="preserve"> minēto attiecināmo izmaksu gadījumā.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Pēc līguma par projekta īstenošanu noslēgšanas sadarbības iestāde, pamatojoties uz finansējuma saņēmēja rakstisku avansa pieprasījumu, atbilstoši normatīvajiem aktiem par valsts budžeta līdzekļu plānošanas kārtību Eiropas Savienības fondu projektu īstenošanai un maksājumu veikšanai 2021. – 2027. gada plānošanas periodā nodrošina finansējuma saņēmējam avansa maksājumus, kurus var izmaksāt vairākos maksājumos, ievērojot, ka avansa un starpposma maksājumu kopsumma nepārsniedz 100 procentus no projektam piešķirtā Eiropas Reģionālā attīstības fonda finansējuma un valsts budžeta 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MK noteikumu projekta 30. punktu, nosakot, ka avansu var izmaksāt vairākos maksājumos.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30. punkts nosaka, ka avansu var izmaksāt vairākos maksājumos: </w:t>
            </w:r>
            <w:r w:rsidR="00000000" w:rsidRPr="00000000" w:rsidDel="00000000">
              <w:rPr>
                <w:i w:val="1"/>
                <w:rtl w:val="0"/>
              </w:rPr>
              <w:t xml:space="preserve">Pēc līguma par projekta īstenošanu noslēgšanas sadarbības iestāde, pamatojoties uz finansējuma saņēmēja rakstisku avansa pieprasījumu, atbilstoši normatīvajiem aktiem par valsts budžeta līdzekļu plānošanas kārtību Eiropas Savienības fondu projektu īstenošanai un maksājumu veikšanai 2021. – 2027. gada plānošanas periodā nodrošina finansējuma saņēmējam avansa maksājumus, </w:t>
            </w:r>
            <w:r w:rsidR="00000000" w:rsidRPr="00000000" w:rsidDel="00000000">
              <w:rPr>
                <w:b w:val="1"/>
                <w:i w:val="1"/>
                <w:rtl w:val="0"/>
              </w:rPr>
              <w:t xml:space="preserve">kurus var izmaksāt vairākos maksājumos</w:t>
            </w:r>
            <w:r w:rsidR="00000000" w:rsidRPr="00000000" w:rsidDel="00000000">
              <w:rPr>
                <w:i w:val="1"/>
                <w:rtl w:val="0"/>
              </w:rPr>
              <w:t xml:space="preserve">, ievērojot, ka avansa un starpposma maksājumu kopsumma nepārsniedz 100 procentus no projektam piešķirtā Eiropas Reģionālā attīstības fonda finansējuma un valsts budžeta finansējuma kopsummas.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Pēc līguma par projekta īstenošanu noslēgšanas sadarbības iestāde, pamatojoties uz finansējuma saņēmēja rakstisku avansa pieprasījumu, atbilstoši normatīvajiem aktiem par valsts budžeta līdzekļu plānošanas kārtību Eiropas Savienības fondu projektu īstenošanai un maksājumu veikšanai 2021. – 2027. gada plānošanas periodā nodrošina finansējuma saņēmējam avansa maksājumus, kurus var izmaksāt vairākos maksājumos, ievērojot, ka avansa un starpposma maksājumu kopsumma nepārsniedz 100 procentus no projektam piešķirtā Eiropas Reģionālās attīstības fonda finansējuma un valsts budžeta finansējuma kopsummas.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Avansa apguves termiņš finansējuma saņēmējam nepārsniedz deviņus mēnešus.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terminoloģiju uz "avansa maksājuma izlietošanas laiks " atbilstoši ES fondos lietotajai terminoloģijai.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33. punkta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Avansa maksājuma izlietošanas laiks finansējuma saņēmējam nepārsniedz deviņus mēnešus.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iespēju un no anotācijas svītrot teikumu "No netiešajām izmaksām netiek segtas personāla un darba braucienu izmaksas, bet tās var izmantot pārējo atbalstāmo darbību segšanai un citām administratīvajām izmaksām, kas minētas Vadlīnijās attiecināmo izmaksu noteikšanai Eiropas Savienības kohēzijas politikas programmas 2021.-2027. gada plānošanās periodā 6.2.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Teikums no anotācijas svītrots.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sadaļu "Risinājuma apraksts", norādot vai plānotajām investīcijām būs tieša, netieša, vai nebūs ietekmes uz horizontālajiem principiem “Klimatdrošināšana”, “Energoefektivitāte pirmajā vietā” un “Nenodarīt būtisku kaitējumu”.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anotācijā norādīto informāciju par avansiem, papildinot ar vārdiem “starpposma maksājumi”, ņemot vērā, ka ir avansa un starpposma maksājumu kopsumma.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atsauci uz regulām noformēt atbilstoši juridiskās tehnikas prasībām, iekļaujot datumu pēc izdevējiestādes.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vienotās personāla atlīdzības likmes aprakstu, lūdzam ņemt vērā Finanšu ministrijas kā ES fondu vadošās iestādes atsevišķi no MK noteikumiem sniegtos komentārus un priekšlikumus.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veikti redakcionāli precizējumi, kā saskaņots ar vadošo iestādi.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anotācijā ietverto informāciju par PVN "Saskaņā ar Kopīgo noteikumu regulas[18] 64.panta 1.punkta c) apakšpunktu  pievienotās vērtības nodoklis nav attiecināmās izmaksas, izņemot gadījumu, kad projektiem, kuru kopējās izmaksas ir vismaz 5 milj. euro (ieskaitot PVN), </w:t>
            </w:r>
            <w:r w:rsidR="00000000" w:rsidRPr="00000000" w:rsidDel="00000000">
              <w:rPr>
                <w:u w:val="single"/>
                <w:rtl w:val="0"/>
              </w:rPr>
              <w:t xml:space="preserve">ja tās nav atgūstamas saskaņā ar PVN reglamentējošiem valsts tiesību aktiem</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precizēt 3. tabulā norādīto aprēķinu kopsummas.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Aprēķinu kopsummas precizētas.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3.sadaļas 5.1. apakšpunktu atbilstoši 5.punktam.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3.sadaļas 5.1. apakšpunkts precizēts atbilstoši 5.punktam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3.sadaļas 5.1.apakšpunktu.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MK noteikumu projekta anotācija. Veiktas atzīmes anotācijas 3.sadaļas 5.1.apakšpunktā.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23-TA-548</w:t>
    </w:r>
    <w:r>
      <w:br/>
    </w:r>
    <w:r w:rsidR="00000000" w:rsidRPr="00000000" w:rsidDel="00000000">
      <w:rPr>
        <w:rtl w:val="0"/>
      </w:rPr>
      <w:t xml:space="preserve">29.06.2023. 11.03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23-TA-548</w:t>
    </w:r>
    <w:r>
      <w:br/>
    </w:r>
    <w:r w:rsidR="00000000" w:rsidRPr="00000000" w:rsidDel="00000000">
      <w:rPr>
        <w:rtl w:val="0"/>
      </w:rPr>
      <w:t xml:space="preserve">29.06.2023. 11.03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Izziņa_23-TA-548.docx</dc:title>
</cp:coreProperties>
</file>

<file path=docProps/custom.xml><?xml version="1.0" encoding="utf-8"?>
<Properties xmlns="http://schemas.openxmlformats.org/officeDocument/2006/custom-properties" xmlns:vt="http://schemas.openxmlformats.org/officeDocument/2006/docPropsVTypes"/>
</file>