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4152A" w14:textId="77777777" w:rsidR="00CA1BB8" w:rsidRDefault="00CA1BB8" w:rsidP="00335BD0">
      <w:pPr>
        <w:rPr>
          <w:rFonts w:ascii="Arial" w:hAnsi="Arial" w:cs="Arial"/>
        </w:rPr>
      </w:pPr>
    </w:p>
    <w:p w14:paraId="170530B3" w14:textId="48515EC6" w:rsidR="00335BD0" w:rsidRPr="0036295B" w:rsidRDefault="00335BD0" w:rsidP="00335BD0">
      <w:pPr>
        <w:rPr>
          <w:rFonts w:ascii="Arial" w:hAnsi="Arial" w:cs="Arial"/>
        </w:rPr>
      </w:pPr>
      <w:r w:rsidRPr="0036295B">
        <w:rPr>
          <w:rFonts w:ascii="Arial" w:hAnsi="Arial" w:cs="Arial"/>
        </w:rPr>
        <w:t>Rīgā, 09.06.2022., Nr.2-9</w:t>
      </w:r>
      <w:r w:rsidR="00CA1BB8">
        <w:rPr>
          <w:rFonts w:ascii="Arial" w:hAnsi="Arial" w:cs="Arial"/>
        </w:rPr>
        <w:t>e</w:t>
      </w:r>
      <w:r w:rsidRPr="0036295B">
        <w:rPr>
          <w:rFonts w:ascii="Arial" w:hAnsi="Arial" w:cs="Arial"/>
        </w:rPr>
        <w:t>/</w:t>
      </w:r>
      <w:r w:rsidR="00CA1BB8">
        <w:rPr>
          <w:rFonts w:ascii="Arial" w:hAnsi="Arial" w:cs="Arial"/>
        </w:rPr>
        <w:t>93</w:t>
      </w:r>
    </w:p>
    <w:p w14:paraId="3D2A0BB3" w14:textId="77777777" w:rsidR="00335BD0" w:rsidRPr="0036295B" w:rsidRDefault="00335BD0" w:rsidP="00335BD0">
      <w:pPr>
        <w:rPr>
          <w:rFonts w:ascii="Arial" w:hAnsi="Arial" w:cs="Arial"/>
        </w:rPr>
      </w:pPr>
    </w:p>
    <w:p w14:paraId="110FA3F7" w14:textId="77777777" w:rsidR="00335BD0" w:rsidRPr="00CA1BB8" w:rsidRDefault="00335BD0" w:rsidP="0036295B">
      <w:pPr>
        <w:jc w:val="right"/>
        <w:rPr>
          <w:rFonts w:ascii="Arial" w:hAnsi="Arial" w:cs="Arial"/>
          <w:b/>
          <w:bCs/>
        </w:rPr>
      </w:pPr>
      <w:r w:rsidRPr="00CA1BB8">
        <w:rPr>
          <w:rFonts w:ascii="Arial" w:hAnsi="Arial" w:cs="Arial"/>
          <w:b/>
          <w:bCs/>
        </w:rPr>
        <w:t>Ekonomikas ministrijai</w:t>
      </w:r>
    </w:p>
    <w:p w14:paraId="2011F2EE" w14:textId="77777777" w:rsidR="00335BD0" w:rsidRPr="0036295B" w:rsidRDefault="00335BD0" w:rsidP="0036295B">
      <w:pPr>
        <w:jc w:val="right"/>
        <w:rPr>
          <w:rFonts w:ascii="Arial" w:hAnsi="Arial" w:cs="Arial"/>
        </w:rPr>
      </w:pPr>
    </w:p>
    <w:p w14:paraId="747968DB" w14:textId="77777777" w:rsidR="00CA1BB8" w:rsidRDefault="00CA1BB8" w:rsidP="00335BD0">
      <w:pPr>
        <w:rPr>
          <w:rFonts w:ascii="Arial" w:hAnsi="Arial" w:cs="Arial"/>
          <w:b/>
          <w:i/>
        </w:rPr>
      </w:pPr>
    </w:p>
    <w:p w14:paraId="6BA150C7" w14:textId="501C9B2A" w:rsidR="00335BD0" w:rsidRPr="00CA1BB8" w:rsidRDefault="00335BD0" w:rsidP="00335BD0">
      <w:pPr>
        <w:rPr>
          <w:rFonts w:ascii="Arial" w:hAnsi="Arial" w:cs="Arial"/>
          <w:bCs/>
          <w:i/>
        </w:rPr>
      </w:pPr>
      <w:r w:rsidRPr="00CA1BB8">
        <w:rPr>
          <w:rFonts w:ascii="Arial" w:hAnsi="Arial" w:cs="Arial"/>
          <w:bCs/>
          <w:i/>
        </w:rPr>
        <w:t xml:space="preserve">Par likumprojektu “Grozījumi Negodīgas </w:t>
      </w:r>
      <w:proofErr w:type="spellStart"/>
      <w:r w:rsidRPr="00CA1BB8">
        <w:rPr>
          <w:rFonts w:ascii="Arial" w:hAnsi="Arial" w:cs="Arial"/>
          <w:bCs/>
          <w:i/>
        </w:rPr>
        <w:t>komercprakses</w:t>
      </w:r>
      <w:proofErr w:type="spellEnd"/>
      <w:r w:rsidRPr="00CA1BB8">
        <w:rPr>
          <w:rFonts w:ascii="Arial" w:hAnsi="Arial" w:cs="Arial"/>
          <w:bCs/>
          <w:i/>
        </w:rPr>
        <w:t xml:space="preserve"> aizlieguma likumā”</w:t>
      </w:r>
      <w:r w:rsidR="009A7A1E" w:rsidRPr="00CA1BB8">
        <w:rPr>
          <w:rFonts w:ascii="Arial" w:hAnsi="Arial" w:cs="Arial"/>
          <w:bCs/>
          <w:i/>
        </w:rPr>
        <w:t xml:space="preserve"> (VSS – 639)</w:t>
      </w:r>
    </w:p>
    <w:p w14:paraId="26A4C49A" w14:textId="77777777" w:rsidR="00335BD0" w:rsidRPr="0036295B" w:rsidRDefault="00335BD0" w:rsidP="00335BD0">
      <w:pPr>
        <w:rPr>
          <w:rFonts w:ascii="Arial" w:hAnsi="Arial" w:cs="Arial"/>
        </w:rPr>
      </w:pPr>
    </w:p>
    <w:p w14:paraId="1A17076A" w14:textId="77777777" w:rsidR="0036295B" w:rsidRPr="0036295B" w:rsidRDefault="0036295B" w:rsidP="0036295B">
      <w:pPr>
        <w:jc w:val="both"/>
        <w:rPr>
          <w:rFonts w:ascii="Arial" w:hAnsi="Arial" w:cs="Arial"/>
        </w:rPr>
      </w:pPr>
      <w:r w:rsidRPr="0036295B">
        <w:rPr>
          <w:rFonts w:ascii="Arial" w:hAnsi="Arial" w:cs="Arial"/>
        </w:rPr>
        <w:t xml:space="preserve">Latvijas Darba devēju konfederācija (turpmāk – LDDK) ir izskatījusi likumprojektu “Grozījumi Negodīgas </w:t>
      </w:r>
      <w:proofErr w:type="spellStart"/>
      <w:r w:rsidRPr="0036295B">
        <w:rPr>
          <w:rFonts w:ascii="Arial" w:hAnsi="Arial" w:cs="Arial"/>
        </w:rPr>
        <w:t>komercprakses</w:t>
      </w:r>
      <w:proofErr w:type="spellEnd"/>
      <w:r w:rsidRPr="0036295B">
        <w:rPr>
          <w:rFonts w:ascii="Arial" w:hAnsi="Arial" w:cs="Arial"/>
        </w:rPr>
        <w:t xml:space="preserve"> aizlieguma likumā”</w:t>
      </w:r>
      <w:r>
        <w:rPr>
          <w:rFonts w:ascii="Arial" w:hAnsi="Arial" w:cs="Arial"/>
        </w:rPr>
        <w:t xml:space="preserve"> </w:t>
      </w:r>
      <w:r w:rsidR="009A7A1E">
        <w:rPr>
          <w:rFonts w:ascii="Arial" w:hAnsi="Arial" w:cs="Arial"/>
        </w:rPr>
        <w:t xml:space="preserve">(VSS – 639) </w:t>
      </w:r>
      <w:r>
        <w:rPr>
          <w:rFonts w:ascii="Arial" w:hAnsi="Arial" w:cs="Arial"/>
        </w:rPr>
        <w:t>(</w:t>
      </w:r>
      <w:r w:rsidRPr="0036295B">
        <w:rPr>
          <w:rFonts w:ascii="Arial" w:hAnsi="Arial" w:cs="Arial"/>
        </w:rPr>
        <w:t>turpmāk – Likumprojekts) un izsaka sekojošu viedokli.</w:t>
      </w:r>
    </w:p>
    <w:p w14:paraId="00841B38" w14:textId="77777777" w:rsidR="00335BD0" w:rsidRPr="0036295B" w:rsidRDefault="00335BD0" w:rsidP="00335BD0">
      <w:pPr>
        <w:rPr>
          <w:rFonts w:ascii="Arial" w:hAnsi="Arial" w:cs="Arial"/>
        </w:rPr>
      </w:pPr>
    </w:p>
    <w:p w14:paraId="6714DF2D" w14:textId="77777777" w:rsidR="0036295B" w:rsidRPr="0036295B" w:rsidRDefault="00335BD0" w:rsidP="0036295B">
      <w:pPr>
        <w:jc w:val="both"/>
        <w:rPr>
          <w:rFonts w:ascii="Arial" w:hAnsi="Arial" w:cs="Arial"/>
        </w:rPr>
      </w:pPr>
      <w:r w:rsidRPr="0036295B">
        <w:rPr>
          <w:rFonts w:ascii="Arial" w:hAnsi="Arial" w:cs="Arial"/>
          <w:b/>
        </w:rPr>
        <w:t>LDDK iebilst pret Direktīvā noteiktā minimālā soda sliekšņa (4% no apgrozījuma), kas attiecināms uz tikai uz Direktīvā noteiktajiem pārrobežu pārkāpumiem, attiecināšanu uz iekšzemes pārkāpumiem.</w:t>
      </w:r>
      <w:r w:rsidRPr="0036295B">
        <w:rPr>
          <w:rFonts w:ascii="Arial" w:hAnsi="Arial" w:cs="Arial"/>
        </w:rPr>
        <w:t xml:space="preserve"> ES Direktīvā skaidri izteikusi gribu šādu slieksni noteikt</w:t>
      </w:r>
      <w:r w:rsidRPr="0036295B">
        <w:rPr>
          <w:rFonts w:ascii="Arial" w:hAnsi="Arial" w:cs="Arial"/>
          <w:u w:val="single"/>
        </w:rPr>
        <w:t xml:space="preserve"> tikai </w:t>
      </w:r>
      <w:r w:rsidRPr="0036295B">
        <w:rPr>
          <w:rFonts w:ascii="Arial" w:hAnsi="Arial" w:cs="Arial"/>
        </w:rPr>
        <w:t>pārrobežu pārkāpumiem, atstājot Dalībvalstu ziņā iekšzemes pārkāpumu sankciju noteikšanu.</w:t>
      </w:r>
    </w:p>
    <w:p w14:paraId="26C2A528" w14:textId="77777777" w:rsidR="0036295B" w:rsidRPr="0036295B" w:rsidRDefault="00335BD0" w:rsidP="0036295B">
      <w:pPr>
        <w:jc w:val="both"/>
        <w:rPr>
          <w:rFonts w:ascii="Arial" w:hAnsi="Arial" w:cs="Arial"/>
          <w:u w:val="single"/>
        </w:rPr>
      </w:pPr>
      <w:r w:rsidRPr="0036295B">
        <w:rPr>
          <w:rFonts w:ascii="Arial" w:hAnsi="Arial" w:cs="Arial"/>
        </w:rPr>
        <w:t xml:space="preserve"> </w:t>
      </w:r>
      <w:r w:rsidR="0036295B">
        <w:rPr>
          <w:rFonts w:ascii="Arial" w:hAnsi="Arial" w:cs="Arial"/>
        </w:rPr>
        <w:br/>
      </w:r>
      <w:r w:rsidRPr="0036295B">
        <w:rPr>
          <w:rFonts w:ascii="Arial" w:hAnsi="Arial" w:cs="Arial"/>
        </w:rPr>
        <w:t xml:space="preserve">Uzskatām, ka šādai administratīvā soda sankcijas palielināšanas pieejai iztrūkst argumentācijas un pamatojuma. Ir skaidrs, ka transponējamā Direktīva neparedz palielināt iekšzemes pārkāpumu soda sankcijas slieksni, tātad šādai rīcībai ir </w:t>
      </w:r>
      <w:r w:rsidRPr="0036295B">
        <w:rPr>
          <w:rFonts w:ascii="Arial" w:hAnsi="Arial" w:cs="Arial"/>
          <w:u w:val="single"/>
        </w:rPr>
        <w:t>nepieciešami apliecinājumi, kas pamato to, ka šobrīd spēkā esošā sankcija (10</w:t>
      </w:r>
      <w:r w:rsidR="0036295B">
        <w:rPr>
          <w:rFonts w:ascii="Arial" w:hAnsi="Arial" w:cs="Arial"/>
          <w:u w:val="single"/>
        </w:rPr>
        <w:t xml:space="preserve">%, bet ne vairāk kā 100 000 </w:t>
      </w:r>
      <w:proofErr w:type="spellStart"/>
      <w:r w:rsidR="0036295B">
        <w:rPr>
          <w:rFonts w:ascii="Arial" w:hAnsi="Arial" w:cs="Arial"/>
          <w:u w:val="single"/>
        </w:rPr>
        <w:t>eur</w:t>
      </w:r>
      <w:proofErr w:type="spellEnd"/>
      <w:r w:rsidRPr="0036295B">
        <w:rPr>
          <w:rFonts w:ascii="Arial" w:hAnsi="Arial" w:cs="Arial"/>
          <w:u w:val="single"/>
        </w:rPr>
        <w:t>) par iekšzemes pārkāpumiem “nav efektīva, samērīga un preventīva” (Direktīva 2005/29/EK, 13.pants).</w:t>
      </w:r>
    </w:p>
    <w:p w14:paraId="1446AC60" w14:textId="77777777" w:rsidR="0049094B" w:rsidRDefault="00335BD0" w:rsidP="0036295B">
      <w:pPr>
        <w:jc w:val="both"/>
        <w:rPr>
          <w:rFonts w:ascii="Arial" w:hAnsi="Arial" w:cs="Arial"/>
        </w:rPr>
      </w:pPr>
      <w:r w:rsidRPr="0036295B">
        <w:rPr>
          <w:rFonts w:ascii="Arial" w:hAnsi="Arial" w:cs="Arial"/>
          <w:u w:val="single"/>
        </w:rPr>
        <w:t xml:space="preserve"> </w:t>
      </w:r>
      <w:r w:rsidRPr="0036295B">
        <w:rPr>
          <w:rFonts w:ascii="Arial" w:hAnsi="Arial" w:cs="Arial"/>
          <w:u w:val="single"/>
        </w:rPr>
        <w:br/>
      </w:r>
      <w:r w:rsidRPr="0036295B">
        <w:rPr>
          <w:rFonts w:ascii="Arial" w:hAnsi="Arial" w:cs="Arial"/>
        </w:rPr>
        <w:t xml:space="preserve">Vērtējot spēkā esošās sankcijas samērīgumu, secinām, ka </w:t>
      </w:r>
      <w:r w:rsidR="0049094B">
        <w:rPr>
          <w:rFonts w:ascii="Arial" w:hAnsi="Arial" w:cs="Arial"/>
        </w:rPr>
        <w:t xml:space="preserve">Patērētāju tiesību aizsardzības centrs (turpmāk – PTAC) </w:t>
      </w:r>
      <w:r w:rsidRPr="0036295B">
        <w:rPr>
          <w:rFonts w:ascii="Arial" w:hAnsi="Arial" w:cs="Arial"/>
        </w:rPr>
        <w:t xml:space="preserve">līdz šim brīdim nav izmantojis iespēju piemērot noteiktās sankcijas maksimālo apmēru – 100 000 </w:t>
      </w:r>
      <w:proofErr w:type="spellStart"/>
      <w:r w:rsidRPr="0036295B">
        <w:rPr>
          <w:rFonts w:ascii="Arial" w:hAnsi="Arial" w:cs="Arial"/>
        </w:rPr>
        <w:t>eur</w:t>
      </w:r>
      <w:proofErr w:type="spellEnd"/>
      <w:r w:rsidRPr="0036295B">
        <w:rPr>
          <w:rFonts w:ascii="Arial" w:hAnsi="Arial" w:cs="Arial"/>
        </w:rPr>
        <w:t xml:space="preserve"> – pat tajos pārkāpumos, ko PTAC norādījis kā smagus pārkāpumus un piemērus tam, kāpēc nepieciešams soda sankciju paaugstināt.  Tātad iestāde, piemērojot sodu, tomēr nav uzskatījusi par nepieciešamu par pārkāpuma negatīvajām sekām piemērot maksimālo sodu, kas mudina secināt, ka sankcija ir samērīga. </w:t>
      </w:r>
    </w:p>
    <w:p w14:paraId="764FA53B" w14:textId="77777777" w:rsidR="00773AC3" w:rsidRDefault="0049094B" w:rsidP="0036295B">
      <w:pPr>
        <w:jc w:val="both"/>
        <w:rPr>
          <w:rFonts w:ascii="Arial" w:hAnsi="Arial" w:cs="Arial"/>
        </w:rPr>
      </w:pPr>
      <w:r>
        <w:rPr>
          <w:rFonts w:ascii="Arial" w:hAnsi="Arial" w:cs="Arial"/>
        </w:rPr>
        <w:br/>
      </w:r>
      <w:r w:rsidR="00335BD0" w:rsidRPr="0036295B">
        <w:rPr>
          <w:rFonts w:ascii="Arial" w:hAnsi="Arial" w:cs="Arial"/>
        </w:rPr>
        <w:t xml:space="preserve">Vērtējot to, vai sankcija ir atturoša un iedarbīga, secinām, ka reāls naudas sods kā galējais līdzeklis pārkāpuma novēršanā tiek piemērots tikai 10% no visiem iestādes konstatētajiem pārkāpumiem (informācijas avots: PTAC), kamēr 90% gadījumu iestāde un komersants vienojas par pārkāpuma novēršanu. Ņemot to vērā, nav pamata uzskatīt, ka spēkā esošā sankcija nebūtu atturoša, iedarbīga un nemotivētu komersantu pārkāpumu novērst vai pārtraukt. </w:t>
      </w:r>
      <w:r w:rsidR="00335BD0" w:rsidRPr="0036295B">
        <w:rPr>
          <w:rFonts w:ascii="Arial" w:hAnsi="Arial" w:cs="Arial"/>
        </w:rPr>
        <w:br/>
      </w:r>
      <w:r w:rsidR="00335BD0" w:rsidRPr="0036295B">
        <w:rPr>
          <w:rFonts w:ascii="Arial" w:hAnsi="Arial" w:cs="Arial"/>
        </w:rPr>
        <w:br/>
        <w:t xml:space="preserve">Vēl viens aspekts, kas vērtējams kontekstā ar soda atturošo dabu, ir soda nenovēršamība. Ir svarīgi nodrošināt, ka sodi par pārkāpumiem tiek piemēroti savlaicīgi un, ja nepieciešams, atkārtoti, un iestādei ir iespējas un pilnvaras nodrošināt, ka pārkāpumam sekos sods. </w:t>
      </w:r>
    </w:p>
    <w:p w14:paraId="6882B7C6" w14:textId="77777777" w:rsidR="0049094B" w:rsidRDefault="00773AC3" w:rsidP="0036295B">
      <w:pPr>
        <w:jc w:val="both"/>
        <w:rPr>
          <w:rFonts w:ascii="Arial" w:hAnsi="Arial" w:cs="Arial"/>
        </w:rPr>
      </w:pPr>
      <w:r>
        <w:rPr>
          <w:rFonts w:ascii="Arial" w:hAnsi="Arial" w:cs="Arial"/>
        </w:rPr>
        <w:br/>
      </w:r>
      <w:r w:rsidR="00335BD0" w:rsidRPr="0036295B">
        <w:rPr>
          <w:rFonts w:ascii="Arial" w:hAnsi="Arial" w:cs="Arial"/>
        </w:rPr>
        <w:t>Attiecībā uz soda sankcijas apmēra izteikšanu tikai procentos no neto apgrozījuma, uzskatām, ka par iekšzemes pārkāpumu noteiktās soda sankcijas maksimālais apmērs nosakāms gan procentos, gan eiro – kā līdz šim. Šāda pieeja pastāv jau šobrīd gan ES tiesībās, gan Latvijas administratīvo sodu sistēmā. Nav atrodamas oficiāli publicētas norādes ne no Tieslietu ministrijas, ne šādas norādes atrodamas ES aktos, ka šāda pieeja administratīvo sodu noteikšanā būtu grozāma.</w:t>
      </w:r>
    </w:p>
    <w:p w14:paraId="79D12422" w14:textId="77777777" w:rsidR="0049094B" w:rsidRPr="0036295B" w:rsidRDefault="0049094B" w:rsidP="0049094B">
      <w:pPr>
        <w:jc w:val="both"/>
        <w:rPr>
          <w:rFonts w:ascii="Arial" w:hAnsi="Arial" w:cs="Arial"/>
        </w:rPr>
      </w:pPr>
      <w:r>
        <w:rPr>
          <w:rFonts w:ascii="Arial" w:hAnsi="Arial" w:cs="Arial"/>
        </w:rPr>
        <w:t xml:space="preserve">   </w:t>
      </w:r>
      <w:r>
        <w:rPr>
          <w:rFonts w:ascii="Arial" w:hAnsi="Arial" w:cs="Arial"/>
        </w:rPr>
        <w:br/>
      </w:r>
      <w:r w:rsidRPr="0036295B">
        <w:rPr>
          <w:rFonts w:ascii="Arial" w:hAnsi="Arial" w:cs="Arial"/>
        </w:rPr>
        <w:t xml:space="preserve">Ja sarunu gaitā Ministru kabinetā Ekonomikas ministrijai ir jānāk ar priekšlikumu par sankcijas griestu celšanu (šobrīd piedāvāts palielinājums līdz  200 000 </w:t>
      </w:r>
      <w:proofErr w:type="spellStart"/>
      <w:r w:rsidRPr="0036295B">
        <w:rPr>
          <w:rFonts w:ascii="Arial" w:hAnsi="Arial" w:cs="Arial"/>
        </w:rPr>
        <w:t>eur</w:t>
      </w:r>
      <w:proofErr w:type="spellEnd"/>
      <w:r w:rsidRPr="0036295B">
        <w:rPr>
          <w:rFonts w:ascii="Arial" w:hAnsi="Arial" w:cs="Arial"/>
        </w:rPr>
        <w:t xml:space="preserve">)  tad no LDDK puses rosinām nepārsniegt 300 000 </w:t>
      </w:r>
      <w:proofErr w:type="spellStart"/>
      <w:r w:rsidRPr="0036295B">
        <w:rPr>
          <w:rFonts w:ascii="Arial" w:hAnsi="Arial" w:cs="Arial"/>
        </w:rPr>
        <w:t>eur</w:t>
      </w:r>
      <w:proofErr w:type="spellEnd"/>
      <w:r w:rsidRPr="0036295B">
        <w:rPr>
          <w:rFonts w:ascii="Arial" w:hAnsi="Arial" w:cs="Arial"/>
        </w:rPr>
        <w:t xml:space="preserve"> slieksni.</w:t>
      </w:r>
      <w:r>
        <w:rPr>
          <w:rFonts w:ascii="Arial" w:hAnsi="Arial" w:cs="Arial"/>
        </w:rPr>
        <w:t xml:space="preserve"> </w:t>
      </w:r>
      <w:r w:rsidR="00773AC3">
        <w:rPr>
          <w:rFonts w:ascii="Arial" w:hAnsi="Arial" w:cs="Arial"/>
        </w:rPr>
        <w:t xml:space="preserve">Tai pat laikā </w:t>
      </w:r>
      <w:r>
        <w:rPr>
          <w:rFonts w:ascii="Arial" w:hAnsi="Arial" w:cs="Arial"/>
        </w:rPr>
        <w:t xml:space="preserve">kā risinājums </w:t>
      </w:r>
      <w:proofErr w:type="spellStart"/>
      <w:r>
        <w:rPr>
          <w:rFonts w:ascii="Arial" w:hAnsi="Arial" w:cs="Arial"/>
        </w:rPr>
        <w:t>nebanku</w:t>
      </w:r>
      <w:proofErr w:type="spellEnd"/>
      <w:r>
        <w:rPr>
          <w:rFonts w:ascii="Arial" w:hAnsi="Arial" w:cs="Arial"/>
        </w:rPr>
        <w:t xml:space="preserve"> kreditētāju gadījumā </w:t>
      </w:r>
      <w:r>
        <w:rPr>
          <w:rFonts w:ascii="Arial" w:hAnsi="Arial" w:cs="Arial"/>
        </w:rPr>
        <w:lastRenderedPageBreak/>
        <w:t xml:space="preserve">būtu jāmin drīzā iespēja sniegt tiesā kolektīvās prasības pret negodīgas </w:t>
      </w:r>
      <w:proofErr w:type="spellStart"/>
      <w:r>
        <w:rPr>
          <w:rFonts w:ascii="Arial" w:hAnsi="Arial" w:cs="Arial"/>
        </w:rPr>
        <w:t>komercprakses</w:t>
      </w:r>
      <w:proofErr w:type="spellEnd"/>
      <w:r>
        <w:rPr>
          <w:rFonts w:ascii="Arial" w:hAnsi="Arial" w:cs="Arial"/>
        </w:rPr>
        <w:t xml:space="preserve"> veicējiem.</w:t>
      </w:r>
    </w:p>
    <w:p w14:paraId="67641A32" w14:textId="77777777" w:rsidR="00335BD0" w:rsidRPr="0036295B" w:rsidRDefault="00335BD0" w:rsidP="0049094B">
      <w:pPr>
        <w:jc w:val="both"/>
        <w:rPr>
          <w:rFonts w:ascii="Arial" w:hAnsi="Arial" w:cs="Arial"/>
        </w:rPr>
      </w:pPr>
    </w:p>
    <w:p w14:paraId="064DD519" w14:textId="77777777" w:rsidR="00335BD0" w:rsidRPr="0036295B" w:rsidRDefault="00335BD0" w:rsidP="00335BD0">
      <w:pPr>
        <w:rPr>
          <w:rFonts w:ascii="Arial" w:hAnsi="Arial" w:cs="Arial"/>
        </w:rPr>
      </w:pPr>
    </w:p>
    <w:p w14:paraId="72F4C6E4" w14:textId="77777777" w:rsidR="00335BD0" w:rsidRPr="0036295B" w:rsidRDefault="0049094B" w:rsidP="0049094B">
      <w:pPr>
        <w:jc w:val="both"/>
        <w:rPr>
          <w:rFonts w:ascii="Arial" w:hAnsi="Arial" w:cs="Arial"/>
        </w:rPr>
      </w:pPr>
      <w:r>
        <w:rPr>
          <w:rFonts w:ascii="Arial" w:hAnsi="Arial" w:cs="Arial"/>
        </w:rPr>
        <w:t xml:space="preserve">Bez tam LDDK ieskatā būtu apsverama iespēja, ka </w:t>
      </w:r>
      <w:r w:rsidR="00335BD0" w:rsidRPr="0036295B">
        <w:rPr>
          <w:rFonts w:ascii="Arial" w:hAnsi="Arial" w:cs="Arial"/>
        </w:rPr>
        <w:t>PTAC arī varētu piemērot sodu tāpat kā Konkurences padome.  </w:t>
      </w:r>
    </w:p>
    <w:p w14:paraId="337F1C7A" w14:textId="77777777" w:rsidR="00335BD0" w:rsidRPr="0036295B" w:rsidRDefault="00335BD0" w:rsidP="0049094B">
      <w:pPr>
        <w:jc w:val="both"/>
        <w:rPr>
          <w:rFonts w:ascii="Arial" w:hAnsi="Arial" w:cs="Arial"/>
        </w:rPr>
      </w:pPr>
    </w:p>
    <w:p w14:paraId="2E7453B5" w14:textId="77777777" w:rsidR="00335BD0" w:rsidRPr="0036295B" w:rsidRDefault="00335BD0" w:rsidP="0049094B">
      <w:pPr>
        <w:jc w:val="both"/>
        <w:rPr>
          <w:rFonts w:ascii="Arial" w:hAnsi="Arial" w:cs="Arial"/>
        </w:rPr>
      </w:pPr>
      <w:r w:rsidRPr="0036295B">
        <w:rPr>
          <w:rFonts w:ascii="Arial" w:hAnsi="Arial" w:cs="Arial"/>
        </w:rPr>
        <w:t xml:space="preserve">No MK noteikumiem “Kārtība, kādā nosakāms naudas sods par </w:t>
      </w:r>
      <w:hyperlink r:id="rId7" w:tgtFrame="_blank" w:history="1">
        <w:r w:rsidRPr="0036295B">
          <w:rPr>
            <w:rStyle w:val="Hyperlink"/>
            <w:rFonts w:ascii="Arial" w:hAnsi="Arial" w:cs="Arial"/>
          </w:rPr>
          <w:t>Konkurences likuma</w:t>
        </w:r>
      </w:hyperlink>
      <w:r w:rsidRPr="0036295B">
        <w:rPr>
          <w:rFonts w:ascii="Arial" w:hAnsi="Arial" w:cs="Arial"/>
        </w:rPr>
        <w:t xml:space="preserve"> </w:t>
      </w:r>
      <w:hyperlink r:id="rId8" w:anchor="p11" w:tgtFrame="_blank" w:history="1">
        <w:r w:rsidRPr="0036295B">
          <w:rPr>
            <w:rStyle w:val="Hyperlink"/>
            <w:rFonts w:ascii="Arial" w:hAnsi="Arial" w:cs="Arial"/>
          </w:rPr>
          <w:t>11.</w:t>
        </w:r>
      </w:hyperlink>
      <w:r w:rsidRPr="0036295B">
        <w:rPr>
          <w:rFonts w:ascii="Arial" w:hAnsi="Arial" w:cs="Arial"/>
        </w:rPr>
        <w:t xml:space="preserve"> panta pirmajā daļā, </w:t>
      </w:r>
      <w:hyperlink r:id="rId9" w:anchor="p13" w:tgtFrame="_blank" w:history="1">
        <w:r w:rsidRPr="0036295B">
          <w:rPr>
            <w:rStyle w:val="Hyperlink"/>
            <w:rFonts w:ascii="Arial" w:hAnsi="Arial" w:cs="Arial"/>
          </w:rPr>
          <w:t xml:space="preserve">13. </w:t>
        </w:r>
      </w:hyperlink>
      <w:r w:rsidRPr="0036295B">
        <w:rPr>
          <w:rFonts w:ascii="Arial" w:hAnsi="Arial" w:cs="Arial"/>
        </w:rPr>
        <w:t xml:space="preserve">un </w:t>
      </w:r>
      <w:hyperlink r:id="rId10" w:anchor="p14_1" w:tgtFrame="_blank" w:history="1">
        <w:r w:rsidRPr="0036295B">
          <w:rPr>
            <w:rStyle w:val="Hyperlink"/>
            <w:rFonts w:ascii="Arial" w:hAnsi="Arial" w:cs="Arial"/>
          </w:rPr>
          <w:t>14.</w:t>
        </w:r>
        <w:r w:rsidRPr="0036295B">
          <w:rPr>
            <w:rStyle w:val="Hyperlink"/>
            <w:rFonts w:ascii="Arial" w:hAnsi="Arial" w:cs="Arial"/>
            <w:vertAlign w:val="superscript"/>
          </w:rPr>
          <w:t>1</w:t>
        </w:r>
      </w:hyperlink>
      <w:r w:rsidRPr="0036295B">
        <w:rPr>
          <w:rFonts w:ascii="Arial" w:hAnsi="Arial" w:cs="Arial"/>
        </w:rPr>
        <w:t xml:space="preserve"> pantā un </w:t>
      </w:r>
      <w:hyperlink r:id="rId11" w:tgtFrame="_blank" w:history="1">
        <w:r w:rsidRPr="0036295B">
          <w:rPr>
            <w:rStyle w:val="Hyperlink"/>
            <w:rFonts w:ascii="Arial" w:hAnsi="Arial" w:cs="Arial"/>
          </w:rPr>
          <w:t>Negodīgas mazumtirdzniecības prakses aizlieguma likuma</w:t>
        </w:r>
      </w:hyperlink>
      <w:r w:rsidRPr="0036295B">
        <w:rPr>
          <w:rFonts w:ascii="Arial" w:hAnsi="Arial" w:cs="Arial"/>
        </w:rPr>
        <w:t xml:space="preserve"> </w:t>
      </w:r>
      <w:hyperlink r:id="rId12" w:anchor="p5" w:tgtFrame="_blank" w:history="1">
        <w:r w:rsidRPr="0036295B">
          <w:rPr>
            <w:rStyle w:val="Hyperlink"/>
            <w:rFonts w:ascii="Arial" w:hAnsi="Arial" w:cs="Arial"/>
          </w:rPr>
          <w:t>5.</w:t>
        </w:r>
      </w:hyperlink>
      <w:r w:rsidRPr="0036295B">
        <w:rPr>
          <w:rFonts w:ascii="Arial" w:hAnsi="Arial" w:cs="Arial"/>
        </w:rPr>
        <w:t xml:space="preserve">, </w:t>
      </w:r>
      <w:hyperlink r:id="rId13" w:anchor="p6" w:tgtFrame="_blank" w:history="1">
        <w:r w:rsidRPr="0036295B">
          <w:rPr>
            <w:rStyle w:val="Hyperlink"/>
            <w:rFonts w:ascii="Arial" w:hAnsi="Arial" w:cs="Arial"/>
          </w:rPr>
          <w:t>6.</w:t>
        </w:r>
      </w:hyperlink>
      <w:r w:rsidRPr="0036295B">
        <w:rPr>
          <w:rFonts w:ascii="Arial" w:hAnsi="Arial" w:cs="Arial"/>
        </w:rPr>
        <w:t xml:space="preserve">, </w:t>
      </w:r>
      <w:hyperlink r:id="rId14" w:anchor="p7" w:tgtFrame="_blank" w:history="1">
        <w:r w:rsidRPr="0036295B">
          <w:rPr>
            <w:rStyle w:val="Hyperlink"/>
            <w:rFonts w:ascii="Arial" w:hAnsi="Arial" w:cs="Arial"/>
          </w:rPr>
          <w:t xml:space="preserve">7. </w:t>
        </w:r>
      </w:hyperlink>
      <w:r w:rsidRPr="0036295B">
        <w:rPr>
          <w:rFonts w:ascii="Arial" w:hAnsi="Arial" w:cs="Arial"/>
        </w:rPr>
        <w:t xml:space="preserve">un </w:t>
      </w:r>
      <w:hyperlink r:id="rId15" w:anchor="p8" w:tgtFrame="_blank" w:history="1">
        <w:r w:rsidRPr="0036295B">
          <w:rPr>
            <w:rStyle w:val="Hyperlink"/>
            <w:rFonts w:ascii="Arial" w:hAnsi="Arial" w:cs="Arial"/>
          </w:rPr>
          <w:t>8. pantā</w:t>
        </w:r>
      </w:hyperlink>
      <w:r w:rsidRPr="0036295B">
        <w:rPr>
          <w:rFonts w:ascii="Arial" w:hAnsi="Arial" w:cs="Arial"/>
        </w:rPr>
        <w:t xml:space="preserve"> paredzētajiem pārkāpumiem”</w:t>
      </w:r>
    </w:p>
    <w:p w14:paraId="3FBC02FF" w14:textId="77777777" w:rsidR="00335BD0" w:rsidRPr="0036295B" w:rsidRDefault="00335BD0" w:rsidP="0049094B">
      <w:pPr>
        <w:jc w:val="both"/>
        <w:rPr>
          <w:rFonts w:ascii="Arial" w:hAnsi="Arial" w:cs="Arial"/>
        </w:rPr>
      </w:pPr>
    </w:p>
    <w:p w14:paraId="2ACBCBFA" w14:textId="77777777" w:rsidR="00335BD0" w:rsidRPr="0036295B" w:rsidRDefault="00335BD0" w:rsidP="0049094B">
      <w:pPr>
        <w:jc w:val="both"/>
        <w:rPr>
          <w:rFonts w:ascii="Arial" w:hAnsi="Arial" w:cs="Arial"/>
        </w:rPr>
      </w:pPr>
      <w:r w:rsidRPr="0036295B">
        <w:rPr>
          <w:rFonts w:ascii="Arial" w:hAnsi="Arial" w:cs="Arial"/>
        </w:rPr>
        <w:t>“22. Konkurences padome kopējo naudas soda apmēru var samazināt šādos gadījumos:</w:t>
      </w:r>
    </w:p>
    <w:p w14:paraId="675CF967" w14:textId="77777777" w:rsidR="00335BD0" w:rsidRPr="0036295B" w:rsidRDefault="00335BD0" w:rsidP="0049094B">
      <w:pPr>
        <w:jc w:val="both"/>
        <w:rPr>
          <w:rFonts w:ascii="Arial" w:hAnsi="Arial" w:cs="Arial"/>
          <w:b/>
          <w:bCs/>
          <w:u w:val="single"/>
        </w:rPr>
      </w:pPr>
      <w:r w:rsidRPr="0036295B">
        <w:rPr>
          <w:rFonts w:ascii="Arial" w:hAnsi="Arial" w:cs="Arial"/>
        </w:rPr>
        <w:t xml:space="preserve">22.4. attiecībā uz </w:t>
      </w:r>
      <w:hyperlink r:id="rId16" w:tgtFrame="_blank" w:history="1">
        <w:r w:rsidRPr="0036295B">
          <w:rPr>
            <w:rStyle w:val="Hyperlink"/>
            <w:rFonts w:ascii="Arial" w:hAnsi="Arial" w:cs="Arial"/>
          </w:rPr>
          <w:t>Negodīgas mazumtirdzniecības prakses aizlieguma likuma</w:t>
        </w:r>
      </w:hyperlink>
      <w:r w:rsidRPr="0036295B">
        <w:rPr>
          <w:rFonts w:ascii="Arial" w:hAnsi="Arial" w:cs="Arial"/>
        </w:rPr>
        <w:t xml:space="preserve"> pārkāpumiem, </w:t>
      </w:r>
      <w:r w:rsidRPr="0036295B">
        <w:rPr>
          <w:rFonts w:ascii="Arial" w:hAnsi="Arial" w:cs="Arial"/>
          <w:u w:val="single"/>
        </w:rPr>
        <w:t xml:space="preserve">ņemot vērā tirgus dalībnieka </w:t>
      </w:r>
      <w:r w:rsidRPr="0036295B">
        <w:rPr>
          <w:rFonts w:ascii="Arial" w:hAnsi="Arial" w:cs="Arial"/>
          <w:b/>
          <w:bCs/>
          <w:u w:val="single"/>
        </w:rPr>
        <w:t>apgrozījumu</w:t>
      </w:r>
      <w:r w:rsidRPr="0036295B">
        <w:rPr>
          <w:rFonts w:ascii="Arial" w:hAnsi="Arial" w:cs="Arial"/>
          <w:u w:val="single"/>
        </w:rPr>
        <w:t xml:space="preserve"> </w:t>
      </w:r>
      <w:r w:rsidRPr="0036295B">
        <w:rPr>
          <w:rFonts w:ascii="Arial" w:hAnsi="Arial" w:cs="Arial"/>
          <w:b/>
          <w:bCs/>
          <w:u w:val="single"/>
        </w:rPr>
        <w:t>no precēm vai pakalpojumiem, kuri tieši vai netieši attiecas uz pārkāpumā iesaistītajām precēm vai pakalpojumiem”.</w:t>
      </w:r>
    </w:p>
    <w:p w14:paraId="74D8DE79" w14:textId="77777777" w:rsidR="00335BD0" w:rsidRDefault="00335BD0" w:rsidP="00335BD0">
      <w:pPr>
        <w:rPr>
          <w:rFonts w:ascii="Arial" w:hAnsi="Arial" w:cs="Arial"/>
          <w:b/>
          <w:bCs/>
          <w:u w:val="single"/>
        </w:rPr>
      </w:pPr>
    </w:p>
    <w:p w14:paraId="3EDBC40A" w14:textId="77777777" w:rsidR="0049094B" w:rsidRDefault="0049094B" w:rsidP="00335BD0">
      <w:pPr>
        <w:rPr>
          <w:rFonts w:ascii="Arial" w:hAnsi="Arial" w:cs="Arial"/>
          <w:b/>
          <w:bCs/>
          <w:u w:val="single"/>
        </w:rPr>
      </w:pPr>
    </w:p>
    <w:p w14:paraId="724C1DE7" w14:textId="77777777" w:rsidR="00CA1BB8" w:rsidRDefault="00CA1BB8" w:rsidP="00335BD0">
      <w:pPr>
        <w:rPr>
          <w:rFonts w:ascii="Arial" w:hAnsi="Arial" w:cs="Arial"/>
          <w:bCs/>
        </w:rPr>
      </w:pPr>
    </w:p>
    <w:p w14:paraId="1A96D4B5" w14:textId="77777777" w:rsidR="00CA1BB8" w:rsidRDefault="00CA1BB8" w:rsidP="00335BD0">
      <w:pPr>
        <w:rPr>
          <w:rFonts w:ascii="Arial" w:hAnsi="Arial" w:cs="Arial"/>
          <w:bCs/>
        </w:rPr>
      </w:pPr>
    </w:p>
    <w:p w14:paraId="348C5C02" w14:textId="77777777" w:rsidR="00195C4D" w:rsidRPr="00195C4D" w:rsidRDefault="00195C4D" w:rsidP="00195C4D">
      <w:pPr>
        <w:rPr>
          <w:rFonts w:ascii="Arial" w:hAnsi="Arial" w:cs="Arial"/>
          <w:bCs/>
        </w:rPr>
      </w:pPr>
      <w:r w:rsidRPr="00195C4D">
        <w:rPr>
          <w:rFonts w:ascii="Arial" w:hAnsi="Arial" w:cs="Arial"/>
          <w:bCs/>
        </w:rPr>
        <w:t>Ģenerāldirektore</w:t>
      </w:r>
      <w:r w:rsidRPr="00195C4D">
        <w:rPr>
          <w:rFonts w:ascii="Arial" w:hAnsi="Arial" w:cs="Arial"/>
          <w:bCs/>
        </w:rPr>
        <w:tab/>
      </w:r>
      <w:r w:rsidRPr="00195C4D">
        <w:rPr>
          <w:rFonts w:ascii="Arial" w:hAnsi="Arial" w:cs="Arial"/>
          <w:bCs/>
        </w:rPr>
        <w:tab/>
        <w:t xml:space="preserve">             (*paraksts)</w:t>
      </w:r>
      <w:r w:rsidRPr="00195C4D">
        <w:rPr>
          <w:rFonts w:ascii="Arial" w:hAnsi="Arial" w:cs="Arial"/>
          <w:bCs/>
        </w:rPr>
        <w:tab/>
      </w:r>
      <w:r w:rsidRPr="00195C4D">
        <w:rPr>
          <w:rFonts w:ascii="Arial" w:hAnsi="Arial" w:cs="Arial"/>
          <w:bCs/>
        </w:rPr>
        <w:tab/>
        <w:t xml:space="preserve">              Līga Meņģelsone</w:t>
      </w:r>
    </w:p>
    <w:p w14:paraId="4A6DB17B" w14:textId="07B275F2" w:rsidR="00CA1BB8" w:rsidRDefault="00195C4D" w:rsidP="00195C4D">
      <w:pPr>
        <w:rPr>
          <w:rFonts w:ascii="Arial" w:hAnsi="Arial" w:cs="Arial"/>
          <w:bCs/>
        </w:rPr>
      </w:pPr>
      <w:r w:rsidRPr="00195C4D">
        <w:rPr>
          <w:rFonts w:ascii="Arial" w:hAnsi="Arial" w:cs="Arial"/>
          <w:bCs/>
        </w:rPr>
        <w:t>*Dokuments ir parakstīts ar drošu elektronisko parakstu</w:t>
      </w:r>
    </w:p>
    <w:p w14:paraId="17F7A4F4" w14:textId="127FE801" w:rsidR="00CA1BB8" w:rsidRDefault="00CA1BB8" w:rsidP="00335BD0">
      <w:pPr>
        <w:rPr>
          <w:rFonts w:ascii="Arial" w:hAnsi="Arial" w:cs="Arial"/>
          <w:bCs/>
        </w:rPr>
      </w:pPr>
    </w:p>
    <w:p w14:paraId="4FF42D27" w14:textId="646387C0" w:rsidR="00CA1BB8" w:rsidRDefault="00CA1BB8" w:rsidP="00335BD0">
      <w:pPr>
        <w:rPr>
          <w:rFonts w:ascii="Arial" w:hAnsi="Arial" w:cs="Arial"/>
          <w:bCs/>
        </w:rPr>
      </w:pPr>
    </w:p>
    <w:p w14:paraId="595BAB7D" w14:textId="77777777" w:rsidR="00195C4D" w:rsidRDefault="00195C4D" w:rsidP="00335BD0">
      <w:pPr>
        <w:rPr>
          <w:rFonts w:ascii="Arial" w:hAnsi="Arial" w:cs="Arial"/>
          <w:bCs/>
        </w:rPr>
      </w:pPr>
    </w:p>
    <w:p w14:paraId="57704F2C" w14:textId="77777777" w:rsidR="00CA1BB8" w:rsidRDefault="00CA1BB8" w:rsidP="00335BD0">
      <w:pPr>
        <w:rPr>
          <w:rFonts w:ascii="Arial" w:hAnsi="Arial" w:cs="Arial"/>
          <w:bCs/>
        </w:rPr>
      </w:pPr>
    </w:p>
    <w:p w14:paraId="753DF13F" w14:textId="77777777" w:rsidR="0049094B" w:rsidRDefault="0049094B" w:rsidP="00335BD0">
      <w:pPr>
        <w:rPr>
          <w:rFonts w:ascii="Arial" w:hAnsi="Arial" w:cs="Arial"/>
          <w:bCs/>
        </w:rPr>
      </w:pPr>
    </w:p>
    <w:p w14:paraId="645CF1E0" w14:textId="77777777" w:rsidR="0049094B" w:rsidRPr="00CA1BB8" w:rsidRDefault="0049094B" w:rsidP="00335BD0">
      <w:pPr>
        <w:rPr>
          <w:rFonts w:ascii="Arial" w:hAnsi="Arial" w:cs="Arial"/>
          <w:bCs/>
          <w:sz w:val="18"/>
          <w:szCs w:val="18"/>
        </w:rPr>
      </w:pPr>
      <w:r w:rsidRPr="00CA1BB8">
        <w:rPr>
          <w:rFonts w:ascii="Arial" w:hAnsi="Arial" w:cs="Arial"/>
          <w:bCs/>
          <w:sz w:val="18"/>
          <w:szCs w:val="18"/>
        </w:rPr>
        <w:t>Olafsone, 67225162</w:t>
      </w:r>
    </w:p>
    <w:p w14:paraId="5CB7FF1B" w14:textId="77777777" w:rsidR="0049094B" w:rsidRPr="00CA1BB8" w:rsidRDefault="0049094B" w:rsidP="00335BD0">
      <w:pPr>
        <w:rPr>
          <w:rFonts w:ascii="Arial" w:hAnsi="Arial" w:cs="Arial"/>
          <w:bCs/>
          <w:sz w:val="18"/>
          <w:szCs w:val="18"/>
        </w:rPr>
      </w:pPr>
      <w:r w:rsidRPr="00CA1BB8">
        <w:rPr>
          <w:rFonts w:ascii="Arial" w:hAnsi="Arial" w:cs="Arial"/>
          <w:bCs/>
          <w:sz w:val="18"/>
          <w:szCs w:val="18"/>
        </w:rPr>
        <w:t>Inses.olafsone@lddk.lv</w:t>
      </w:r>
    </w:p>
    <w:p w14:paraId="19C29BC2" w14:textId="77777777" w:rsidR="00335BD0" w:rsidRPr="0036295B" w:rsidRDefault="00335BD0" w:rsidP="00335BD0">
      <w:pPr>
        <w:rPr>
          <w:rFonts w:ascii="Arial" w:hAnsi="Arial" w:cs="Arial"/>
          <w:u w:val="single"/>
        </w:rPr>
      </w:pPr>
    </w:p>
    <w:p w14:paraId="59DE18FF" w14:textId="77777777" w:rsidR="00821502" w:rsidRPr="0036295B" w:rsidRDefault="00A60D0C" w:rsidP="00335BD0">
      <w:pPr>
        <w:rPr>
          <w:rFonts w:ascii="Arial" w:hAnsi="Arial" w:cs="Arial"/>
        </w:rPr>
      </w:pPr>
    </w:p>
    <w:sectPr w:rsidR="00821502" w:rsidRPr="0036295B">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D6852" w14:textId="77777777" w:rsidR="00A60D0C" w:rsidRDefault="00A60D0C" w:rsidP="00CA1BB8">
      <w:r>
        <w:separator/>
      </w:r>
    </w:p>
  </w:endnote>
  <w:endnote w:type="continuationSeparator" w:id="0">
    <w:p w14:paraId="3C2F027E" w14:textId="77777777" w:rsidR="00A60D0C" w:rsidRDefault="00A60D0C" w:rsidP="00CA1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3DA85" w14:textId="77777777" w:rsidR="00CA1BB8" w:rsidRPr="00A75D2F" w:rsidRDefault="00CA1BB8" w:rsidP="00CA1BB8">
    <w:pPr>
      <w:pStyle w:val="Footer"/>
      <w:tabs>
        <w:tab w:val="left" w:pos="480"/>
        <w:tab w:val="center" w:pos="4680"/>
      </w:tabs>
      <w:rPr>
        <w:rFonts w:ascii="Arial Narrow" w:hAnsi="Arial Narrow"/>
        <w:sz w:val="14"/>
      </w:rPr>
    </w:pPr>
    <w:r>
      <w:rPr>
        <w:rFonts w:ascii="Arial Narrow" w:hAnsi="Arial Narrow"/>
        <w:sz w:val="14"/>
      </w:rPr>
      <w:t xml:space="preserve">              </w:t>
    </w:r>
    <w:r w:rsidRPr="00A75D2F">
      <w:rPr>
        <w:rFonts w:ascii="Arial Narrow" w:hAnsi="Arial Narrow"/>
        <w:sz w:val="14"/>
      </w:rPr>
      <w:t xml:space="preserve">V    A    L    D    Ī    B    A    S                                                 </w:t>
    </w:r>
    <w:proofErr w:type="spellStart"/>
    <w:r w:rsidRPr="00A75D2F">
      <w:rPr>
        <w:rFonts w:ascii="Arial Narrow" w:hAnsi="Arial Narrow"/>
        <w:sz w:val="14"/>
      </w:rPr>
      <w:t>S</w:t>
    </w:r>
    <w:proofErr w:type="spellEnd"/>
    <w:r w:rsidRPr="00A75D2F">
      <w:rPr>
        <w:rFonts w:ascii="Arial Narrow" w:hAnsi="Arial Narrow"/>
        <w:sz w:val="14"/>
      </w:rPr>
      <w:t xml:space="preserve">    O    C    I    Ā    L    A    I    S                                                    </w:t>
    </w:r>
    <w:r>
      <w:rPr>
        <w:rFonts w:ascii="Arial Narrow" w:hAnsi="Arial Narrow"/>
        <w:sz w:val="14"/>
      </w:rPr>
      <w:t xml:space="preserve">   </w:t>
    </w:r>
    <w:r w:rsidRPr="00A75D2F">
      <w:rPr>
        <w:rFonts w:ascii="Arial Narrow" w:hAnsi="Arial Narrow"/>
        <w:sz w:val="14"/>
      </w:rPr>
      <w:t>P    A    R    T    N    E    R    I    S</w:t>
    </w:r>
  </w:p>
  <w:p w14:paraId="02F2F716" w14:textId="77777777" w:rsidR="00CA1BB8" w:rsidRPr="00A75D2F" w:rsidRDefault="00CA1BB8" w:rsidP="00CA1BB8">
    <w:pPr>
      <w:tabs>
        <w:tab w:val="center" w:pos="4153"/>
        <w:tab w:val="right" w:pos="8306"/>
      </w:tabs>
      <w:jc w:val="center"/>
      <w:rPr>
        <w:rFonts w:ascii="Arial Narrow" w:hAnsi="Arial Narrow"/>
        <w:sz w:val="18"/>
      </w:rPr>
    </w:pPr>
    <w:r w:rsidRPr="00A75D2F">
      <w:rPr>
        <w:rFonts w:ascii="Arial Narrow" w:hAnsi="Arial Narrow"/>
        <w:sz w:val="18"/>
      </w:rPr>
      <w:t>_____________________________________________________________________________________________________</w:t>
    </w:r>
  </w:p>
  <w:p w14:paraId="3DFDC782" w14:textId="77777777" w:rsidR="00CA1BB8" w:rsidRPr="00A75D2F" w:rsidRDefault="00CA1BB8" w:rsidP="00CA1BB8">
    <w:pPr>
      <w:tabs>
        <w:tab w:val="center" w:pos="4153"/>
        <w:tab w:val="left" w:pos="4320"/>
        <w:tab w:val="left" w:pos="5040"/>
        <w:tab w:val="left" w:pos="5760"/>
        <w:tab w:val="left" w:pos="6480"/>
        <w:tab w:val="left" w:pos="7200"/>
        <w:tab w:val="left" w:pos="7575"/>
      </w:tabs>
      <w:rPr>
        <w:rFonts w:ascii="Arial Narrow" w:hAnsi="Arial Narrow"/>
        <w:sz w:val="18"/>
      </w:rPr>
    </w:pPr>
    <w:r w:rsidRPr="00A75D2F">
      <w:rPr>
        <w:rFonts w:ascii="Arial Narrow" w:hAnsi="Arial Narrow"/>
        <w:sz w:val="18"/>
      </w:rPr>
      <w:tab/>
    </w:r>
    <w:r w:rsidRPr="00A75D2F">
      <w:rPr>
        <w:rFonts w:ascii="Arial Narrow" w:hAnsi="Arial Narrow"/>
        <w:sz w:val="18"/>
      </w:rPr>
      <w:tab/>
    </w:r>
    <w:r w:rsidRPr="00A75D2F">
      <w:rPr>
        <w:rFonts w:ascii="Arial Narrow" w:hAnsi="Arial Narrow"/>
        <w:sz w:val="18"/>
      </w:rPr>
      <w:tab/>
    </w:r>
    <w:r w:rsidRPr="00A75D2F">
      <w:rPr>
        <w:rFonts w:ascii="Arial Narrow" w:hAnsi="Arial Narrow"/>
        <w:sz w:val="18"/>
      </w:rPr>
      <w:tab/>
    </w:r>
    <w:r w:rsidRPr="00A75D2F">
      <w:rPr>
        <w:rFonts w:ascii="Arial Narrow" w:hAnsi="Arial Narrow"/>
        <w:sz w:val="18"/>
      </w:rPr>
      <w:tab/>
    </w:r>
    <w:r w:rsidRPr="00A75D2F">
      <w:rPr>
        <w:rFonts w:ascii="Arial Narrow" w:hAnsi="Arial Narrow"/>
        <w:sz w:val="18"/>
      </w:rPr>
      <w:tab/>
    </w:r>
    <w:r w:rsidRPr="00A75D2F">
      <w:rPr>
        <w:rFonts w:ascii="Arial Narrow" w:hAnsi="Arial Narrow"/>
        <w:sz w:val="18"/>
      </w:rPr>
      <w:tab/>
    </w:r>
  </w:p>
  <w:p w14:paraId="4BDB88C4" w14:textId="77777777" w:rsidR="00CA1BB8" w:rsidRPr="00A75D2F" w:rsidRDefault="00CA1BB8" w:rsidP="00CA1BB8">
    <w:pPr>
      <w:tabs>
        <w:tab w:val="center" w:pos="4153"/>
        <w:tab w:val="right" w:pos="8306"/>
      </w:tabs>
      <w:jc w:val="center"/>
      <w:rPr>
        <w:rFonts w:ascii="Arial Narrow" w:hAnsi="Arial Narrow"/>
        <w:sz w:val="18"/>
      </w:rPr>
    </w:pPr>
    <w:r w:rsidRPr="00A75D2F">
      <w:rPr>
        <w:rFonts w:ascii="Arial Narrow" w:hAnsi="Arial Narrow"/>
        <w:sz w:val="18"/>
      </w:rPr>
      <w:t xml:space="preserve">Raiņa bulvāris 4, 2. stāvs, Rīga, LV-1050, Tālr.: +371 67225162, Fakss: +371 67224469, </w:t>
    </w:r>
  </w:p>
  <w:p w14:paraId="1AD943CE" w14:textId="3F0D567A" w:rsidR="00CA1BB8" w:rsidRPr="00CA1BB8" w:rsidRDefault="00CA1BB8" w:rsidP="00CA1BB8">
    <w:pPr>
      <w:tabs>
        <w:tab w:val="center" w:pos="4153"/>
        <w:tab w:val="right" w:pos="8306"/>
      </w:tabs>
      <w:jc w:val="center"/>
      <w:rPr>
        <w:rFonts w:ascii="Arial Narrow" w:hAnsi="Arial Narrow"/>
        <w:sz w:val="18"/>
      </w:rPr>
    </w:pPr>
    <w:r w:rsidRPr="00A75D2F">
      <w:rPr>
        <w:rFonts w:ascii="Arial Narrow" w:hAnsi="Arial Narrow"/>
        <w:sz w:val="18"/>
      </w:rPr>
      <w:t xml:space="preserve">E-pasts: lddk@lddk.lv, Vien.reģ.nr. 40008004918, </w:t>
    </w:r>
    <w:proofErr w:type="spellStart"/>
    <w:r w:rsidRPr="00A75D2F">
      <w:rPr>
        <w:rFonts w:ascii="Arial Narrow" w:hAnsi="Arial Narrow"/>
        <w:sz w:val="18"/>
      </w:rPr>
      <w:t>Reģ.Nr</w:t>
    </w:r>
    <w:proofErr w:type="spellEnd"/>
    <w:r w:rsidRPr="00A75D2F">
      <w:rPr>
        <w:rFonts w:ascii="Arial Narrow" w:hAnsi="Arial Narrow"/>
        <w:sz w:val="18"/>
      </w:rPr>
      <w:t xml:space="preserve">. ES </w:t>
    </w:r>
    <w:proofErr w:type="spellStart"/>
    <w:r w:rsidRPr="00A75D2F">
      <w:rPr>
        <w:rFonts w:ascii="Arial Narrow" w:hAnsi="Arial Narrow"/>
        <w:sz w:val="18"/>
      </w:rPr>
      <w:t>Pārredzamības</w:t>
    </w:r>
    <w:proofErr w:type="spellEnd"/>
    <w:r w:rsidRPr="00A75D2F">
      <w:rPr>
        <w:rFonts w:ascii="Arial Narrow" w:hAnsi="Arial Narrow"/>
        <w:sz w:val="18"/>
      </w:rPr>
      <w:t xml:space="preserve"> reģistrā 968177917885-14, www.lddk.lv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DA659" w14:textId="77777777" w:rsidR="00A60D0C" w:rsidRDefault="00A60D0C" w:rsidP="00CA1BB8">
      <w:r>
        <w:separator/>
      </w:r>
    </w:p>
  </w:footnote>
  <w:footnote w:type="continuationSeparator" w:id="0">
    <w:p w14:paraId="517C761F" w14:textId="77777777" w:rsidR="00A60D0C" w:rsidRDefault="00A60D0C" w:rsidP="00CA1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5EF6" w14:textId="77777777" w:rsidR="00CA1BB8" w:rsidRDefault="00CA1BB8" w:rsidP="00CA1BB8">
    <w:pPr>
      <w:pStyle w:val="Header"/>
      <w:jc w:val="center"/>
    </w:pPr>
    <w:r>
      <w:rPr>
        <w:rFonts w:ascii="Arial Narrow" w:hAnsi="Arial Narrow"/>
        <w:noProof/>
        <w:sz w:val="24"/>
        <w:szCs w:val="24"/>
        <w:lang w:val="en-GB" w:eastAsia="en-GB"/>
      </w:rPr>
      <w:drawing>
        <wp:anchor distT="0" distB="0" distL="114300" distR="114300" simplePos="0" relativeHeight="251659264" behindDoc="1" locked="0" layoutInCell="1" allowOverlap="1" wp14:anchorId="3FECBF76" wp14:editId="7879DF44">
          <wp:simplePos x="0" y="0"/>
          <wp:positionH relativeFrom="margin">
            <wp:align>center</wp:align>
          </wp:positionH>
          <wp:positionV relativeFrom="paragraph">
            <wp:posOffset>-68580</wp:posOffset>
          </wp:positionV>
          <wp:extent cx="1390650" cy="534930"/>
          <wp:effectExtent l="0" t="0" r="0" b="0"/>
          <wp:wrapTopAndBottom/>
          <wp:docPr id="4" name="Attēls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650" cy="534930"/>
                  </a:xfrm>
                  <a:prstGeom prst="rect">
                    <a:avLst/>
                  </a:prstGeom>
                </pic:spPr>
              </pic:pic>
            </a:graphicData>
          </a:graphic>
          <wp14:sizeRelH relativeFrom="margin">
            <wp14:pctWidth>0</wp14:pctWidth>
          </wp14:sizeRelH>
          <wp14:sizeRelV relativeFrom="margin">
            <wp14:pctHeight>0</wp14:pctHeight>
          </wp14:sizeRelV>
        </wp:anchor>
      </w:drawing>
    </w:r>
  </w:p>
  <w:p w14:paraId="655A6F66" w14:textId="77777777" w:rsidR="00CA1BB8" w:rsidRDefault="00CA1B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C6F92"/>
    <w:multiLevelType w:val="hybridMultilevel"/>
    <w:tmpl w:val="62AAA5BA"/>
    <w:lvl w:ilvl="0" w:tplc="9F9A5640">
      <w:start w:val="7"/>
      <w:numFmt w:val="bullet"/>
      <w:lvlText w:val=""/>
      <w:lvlJc w:val="left"/>
      <w:pPr>
        <w:ind w:left="720" w:hanging="360"/>
      </w:pPr>
      <w:rPr>
        <w:rFonts w:ascii="Symbol" w:eastAsia="Calibri"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727759B"/>
    <w:multiLevelType w:val="hybridMultilevel"/>
    <w:tmpl w:val="2506C2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BD0"/>
    <w:rsid w:val="00195C4D"/>
    <w:rsid w:val="00335BD0"/>
    <w:rsid w:val="0034442E"/>
    <w:rsid w:val="0036295B"/>
    <w:rsid w:val="004221FB"/>
    <w:rsid w:val="0049094B"/>
    <w:rsid w:val="00681AAB"/>
    <w:rsid w:val="00773AC3"/>
    <w:rsid w:val="009A7A1E"/>
    <w:rsid w:val="00A60D0C"/>
    <w:rsid w:val="00CA1B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17A8D"/>
  <w15:chartTrackingRefBased/>
  <w15:docId w15:val="{24A83587-F1CC-47A6-81A7-5673A3989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BD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BD0"/>
    <w:pPr>
      <w:ind w:left="720"/>
    </w:pPr>
  </w:style>
  <w:style w:type="character" w:styleId="Hyperlink">
    <w:name w:val="Hyperlink"/>
    <w:basedOn w:val="DefaultParagraphFont"/>
    <w:uiPriority w:val="99"/>
    <w:semiHidden/>
    <w:unhideWhenUsed/>
    <w:rsid w:val="00335BD0"/>
    <w:rPr>
      <w:color w:val="0563C1"/>
      <w:u w:val="single"/>
    </w:rPr>
  </w:style>
  <w:style w:type="paragraph" w:styleId="Header">
    <w:name w:val="header"/>
    <w:basedOn w:val="Normal"/>
    <w:link w:val="HeaderChar"/>
    <w:uiPriority w:val="99"/>
    <w:unhideWhenUsed/>
    <w:rsid w:val="00CA1BB8"/>
    <w:pPr>
      <w:tabs>
        <w:tab w:val="center" w:pos="4153"/>
        <w:tab w:val="right" w:pos="8306"/>
      </w:tabs>
    </w:pPr>
  </w:style>
  <w:style w:type="character" w:customStyle="1" w:styleId="HeaderChar">
    <w:name w:val="Header Char"/>
    <w:basedOn w:val="DefaultParagraphFont"/>
    <w:link w:val="Header"/>
    <w:uiPriority w:val="99"/>
    <w:rsid w:val="00CA1BB8"/>
    <w:rPr>
      <w:rFonts w:ascii="Calibri" w:hAnsi="Calibri" w:cs="Calibri"/>
    </w:rPr>
  </w:style>
  <w:style w:type="paragraph" w:styleId="Footer">
    <w:name w:val="footer"/>
    <w:basedOn w:val="Normal"/>
    <w:link w:val="FooterChar"/>
    <w:uiPriority w:val="99"/>
    <w:unhideWhenUsed/>
    <w:rsid w:val="00CA1BB8"/>
    <w:pPr>
      <w:tabs>
        <w:tab w:val="center" w:pos="4153"/>
        <w:tab w:val="right" w:pos="8306"/>
      </w:tabs>
    </w:pPr>
  </w:style>
  <w:style w:type="character" w:customStyle="1" w:styleId="FooterChar">
    <w:name w:val="Footer Char"/>
    <w:basedOn w:val="DefaultParagraphFont"/>
    <w:link w:val="Footer"/>
    <w:uiPriority w:val="99"/>
    <w:rsid w:val="00CA1BB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4890-konkurences-likums" TargetMode="External"/><Relationship Id="rId13" Type="http://schemas.openxmlformats.org/officeDocument/2006/relationships/hyperlink" Target="https://likumi.lv/ta/id/274415-negodigas-mazumtirdzniecibas-prakses-aizlieguma-likum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54890-konkurences-likums" TargetMode="External"/><Relationship Id="rId12" Type="http://schemas.openxmlformats.org/officeDocument/2006/relationships/hyperlink" Target="https://likumi.lv/ta/id/274415-negodigas-mazumtirdzniecibas-prakses-aizlieguma-likum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ikumi.lv/ta/id/274415-negodigas-mazumtirdzniecibas-prakses-aizlieguma-likum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74415-negodigas-mazumtirdzniecibas-prakses-aizlieguma-likums" TargetMode="External"/><Relationship Id="rId5" Type="http://schemas.openxmlformats.org/officeDocument/2006/relationships/footnotes" Target="footnotes.xml"/><Relationship Id="rId15" Type="http://schemas.openxmlformats.org/officeDocument/2006/relationships/hyperlink" Target="https://likumi.lv/ta/id/274415-negodigas-mazumtirdzniecibas-prakses-aizlieguma-likums" TargetMode="External"/><Relationship Id="rId10" Type="http://schemas.openxmlformats.org/officeDocument/2006/relationships/hyperlink" Target="https://likumi.lv/ta/id/54890-konkurences-likum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54890-konkurences-likums" TargetMode="External"/><Relationship Id="rId14" Type="http://schemas.openxmlformats.org/officeDocument/2006/relationships/hyperlink" Target="https://likumi.lv/ta/id/274415-negodigas-mazumtirdzniecibas-prakses-aizlieguma-liku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3266</Words>
  <Characters>1862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O.</dc:creator>
  <cp:keywords/>
  <dc:description/>
  <cp:lastModifiedBy>Santa Buša</cp:lastModifiedBy>
  <cp:revision>2</cp:revision>
  <dcterms:created xsi:type="dcterms:W3CDTF">2022-07-06T08:57:00Z</dcterms:created>
  <dcterms:modified xsi:type="dcterms:W3CDTF">2022-07-06T08:57:00Z</dcterms:modified>
</cp:coreProperties>
</file>