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4B1E93" w:rsidRDefault="004B1E93" w:rsidP="00B64C6F">
      <w:bookmarkStart w:id="0" w:name="_GoBack"/>
      <w:bookmarkEnd w:id="0"/>
    </w:p>
    <w:p w:rsidR="002678E7" w:rsidRPr="002678E7" w:rsidRDefault="002678E7" w:rsidP="002678E7"/>
    <w:p w:rsidR="002678E7" w:rsidRDefault="002678E7" w:rsidP="002678E7"/>
    <w:p w:rsidR="00995AA3" w:rsidRDefault="00995AA3" w:rsidP="00995AA3">
      <w:pPr>
        <w:spacing w:after="0" w:line="240" w:lineRule="auto"/>
        <w:jc w:val="right"/>
        <w:rPr>
          <w:rFonts w:ascii="Book Antiqua" w:hAnsi="Book Antiqua" w:cstheme="majorHAnsi"/>
          <w:b/>
          <w:bCs/>
        </w:rPr>
      </w:pPr>
    </w:p>
    <w:p w:rsidR="00995AA3" w:rsidRDefault="00995AA3" w:rsidP="00995AA3">
      <w:pPr>
        <w:spacing w:after="0" w:line="240" w:lineRule="auto"/>
        <w:jc w:val="right"/>
        <w:rPr>
          <w:rFonts w:ascii="Book Antiqua" w:hAnsi="Book Antiqua" w:cstheme="majorHAnsi"/>
          <w:b/>
          <w:bCs/>
        </w:rPr>
      </w:pPr>
    </w:p>
    <w:p w:rsidR="001A0388" w:rsidRPr="000F214C" w:rsidRDefault="001A0388" w:rsidP="001A0388">
      <w:pPr>
        <w:spacing w:after="0"/>
        <w:jc w:val="right"/>
        <w:rPr>
          <w:rFonts w:ascii="Book Antiqua" w:hAnsi="Book Antiqua" w:cstheme="majorHAnsi"/>
          <w:b/>
          <w:bCs/>
        </w:rPr>
      </w:pPr>
      <w:r w:rsidRPr="000F214C">
        <w:rPr>
          <w:rFonts w:ascii="Book Antiqua" w:hAnsi="Book Antiqua" w:cstheme="majorHAnsi"/>
          <w:b/>
          <w:bCs/>
        </w:rPr>
        <w:t>Ekonomikas ministrijai</w:t>
      </w:r>
    </w:p>
    <w:p w:rsidR="001A0388" w:rsidRPr="000F214C" w:rsidRDefault="001A0388" w:rsidP="001A0388">
      <w:pPr>
        <w:spacing w:after="0"/>
        <w:jc w:val="right"/>
        <w:rPr>
          <w:rFonts w:ascii="Book Antiqua" w:hAnsi="Book Antiqua" w:cs="Arial"/>
          <w:shd w:val="clear" w:color="auto" w:fill="FFFFFF"/>
        </w:rPr>
      </w:pPr>
      <w:r w:rsidRPr="000F214C">
        <w:rPr>
          <w:rFonts w:ascii="Book Antiqua" w:hAnsi="Book Antiqua" w:cs="Arial"/>
          <w:shd w:val="clear" w:color="auto" w:fill="FFFFFF"/>
        </w:rPr>
        <w:t>Brīvības iela 55, Rīga, LV-1519</w:t>
      </w:r>
    </w:p>
    <w:p w:rsidR="001A0388" w:rsidRPr="000F214C" w:rsidRDefault="001A0388" w:rsidP="001A0388">
      <w:pPr>
        <w:spacing w:after="0"/>
        <w:jc w:val="right"/>
        <w:rPr>
          <w:rFonts w:ascii="Book Antiqua" w:hAnsi="Book Antiqua"/>
        </w:rPr>
      </w:pPr>
      <w:r w:rsidRPr="000F214C">
        <w:rPr>
          <w:rFonts w:ascii="Book Antiqua" w:hAnsi="Book Antiqua" w:cs="Arial"/>
          <w:shd w:val="clear" w:color="auto" w:fill="FFFFFF"/>
        </w:rPr>
        <w:t xml:space="preserve">e-pasts: </w:t>
      </w:r>
      <w:hyperlink r:id="rId7" w:history="1">
        <w:r w:rsidRPr="000F214C">
          <w:rPr>
            <w:rStyle w:val="Hyperlink"/>
            <w:rFonts w:ascii="Book Antiqua" w:hAnsi="Book Antiqua" w:cs="Arial"/>
            <w:shd w:val="clear" w:color="auto" w:fill="FFFFFF"/>
          </w:rPr>
          <w:t>pasts@em.gov.lv</w:t>
        </w:r>
      </w:hyperlink>
    </w:p>
    <w:p w:rsidR="001A0388" w:rsidRPr="000F214C" w:rsidRDefault="00A847F0" w:rsidP="001A0388">
      <w:pPr>
        <w:spacing w:after="0"/>
        <w:jc w:val="right"/>
        <w:rPr>
          <w:rFonts w:ascii="Book Antiqua" w:hAnsi="Book Antiqua"/>
        </w:rPr>
      </w:pPr>
      <w:hyperlink r:id="rId8" w:history="1">
        <w:r w:rsidR="001A0388" w:rsidRPr="000F214C">
          <w:rPr>
            <w:rStyle w:val="Hyperlink"/>
            <w:rFonts w:ascii="Book Antiqua" w:hAnsi="Book Antiqua"/>
          </w:rPr>
          <w:t>alvils.strikeris@em.gov.lv</w:t>
        </w:r>
      </w:hyperlink>
    </w:p>
    <w:p w:rsidR="001A0388" w:rsidRPr="00F934A0" w:rsidRDefault="001A0388" w:rsidP="001A0388">
      <w:pPr>
        <w:rPr>
          <w:rFonts w:ascii="Book Antiqua" w:hAnsi="Book Antiqua" w:cstheme="majorHAnsi"/>
        </w:rPr>
      </w:pPr>
      <w:r w:rsidRPr="00F934A0">
        <w:rPr>
          <w:rFonts w:ascii="Book Antiqua" w:hAnsi="Book Antiqua" w:cstheme="majorHAnsi"/>
        </w:rPr>
        <w:t>Rīgā</w:t>
      </w:r>
      <w:r>
        <w:rPr>
          <w:rFonts w:ascii="Book Antiqua" w:hAnsi="Book Antiqua" w:cstheme="majorHAnsi"/>
        </w:rPr>
        <w:t>, 13.04.21.</w:t>
      </w:r>
    </w:p>
    <w:p w:rsidR="001A0388" w:rsidRPr="00F934A0" w:rsidRDefault="001A0388" w:rsidP="001A0388">
      <w:pPr>
        <w:rPr>
          <w:rFonts w:ascii="Book Antiqua" w:hAnsi="Book Antiqua" w:cstheme="majorHAnsi"/>
        </w:rPr>
      </w:pPr>
      <w:r>
        <w:rPr>
          <w:rFonts w:ascii="Book Antiqua" w:hAnsi="Book Antiqua" w:cstheme="majorHAnsi"/>
        </w:rPr>
        <w:t>N</w:t>
      </w:r>
      <w:r w:rsidRPr="00F934A0">
        <w:rPr>
          <w:rFonts w:ascii="Book Antiqua" w:hAnsi="Book Antiqua" w:cstheme="majorHAnsi"/>
        </w:rPr>
        <w:t>r</w:t>
      </w:r>
      <w:r>
        <w:rPr>
          <w:rFonts w:ascii="Book Antiqua" w:hAnsi="Book Antiqua" w:cstheme="majorHAnsi"/>
        </w:rPr>
        <w:t>.17/04-21</w:t>
      </w:r>
    </w:p>
    <w:p w:rsidR="001A0388" w:rsidRPr="00F934A0" w:rsidRDefault="001A0388" w:rsidP="001A0388">
      <w:pPr>
        <w:rPr>
          <w:rFonts w:ascii="Book Antiqua" w:hAnsi="Book Antiqua" w:cstheme="majorHAnsi"/>
        </w:rPr>
      </w:pPr>
    </w:p>
    <w:p w:rsidR="001A0388" w:rsidRPr="001A0388" w:rsidRDefault="001A0388" w:rsidP="001A0388">
      <w:pPr>
        <w:spacing w:after="0"/>
        <w:rPr>
          <w:rFonts w:ascii="Book Antiqua" w:hAnsi="Book Antiqua" w:cstheme="majorHAnsi"/>
          <w:b/>
          <w:i/>
          <w:sz w:val="24"/>
          <w:szCs w:val="24"/>
        </w:rPr>
      </w:pPr>
      <w:r w:rsidRPr="001A0388">
        <w:rPr>
          <w:rFonts w:ascii="Book Antiqua" w:hAnsi="Book Antiqua" w:cstheme="majorHAnsi"/>
          <w:b/>
          <w:i/>
          <w:sz w:val="24"/>
          <w:szCs w:val="24"/>
        </w:rPr>
        <w:t xml:space="preserve">Par Ministru kabineta noteikumu „Grozījumi Ministru kabineta 2020. gada 2. septembra </w:t>
      </w:r>
    </w:p>
    <w:p w:rsidR="001A0388" w:rsidRPr="001A0388" w:rsidRDefault="001A0388" w:rsidP="001A0388">
      <w:pPr>
        <w:spacing w:after="0"/>
        <w:rPr>
          <w:rFonts w:ascii="Book Antiqua" w:hAnsi="Book Antiqua" w:cs="Arial"/>
          <w:b/>
          <w:bCs/>
          <w:i/>
          <w:sz w:val="24"/>
          <w:szCs w:val="24"/>
          <w:shd w:val="clear" w:color="auto" w:fill="FFFFFF"/>
        </w:rPr>
      </w:pPr>
      <w:r w:rsidRPr="001A0388">
        <w:rPr>
          <w:rFonts w:ascii="Book Antiqua" w:hAnsi="Book Antiqua" w:cstheme="majorHAnsi"/>
          <w:b/>
          <w:i/>
          <w:sz w:val="24"/>
          <w:szCs w:val="24"/>
        </w:rPr>
        <w:t>noteikumos Nr. 560 „</w:t>
      </w:r>
      <w:r w:rsidRPr="001A0388">
        <w:rPr>
          <w:rFonts w:ascii="Book Antiqua" w:hAnsi="Book Antiqua" w:cs="Arial"/>
          <w:b/>
          <w:bCs/>
          <w:i/>
          <w:sz w:val="24"/>
          <w:szCs w:val="24"/>
          <w:shd w:val="clear" w:color="auto" w:fill="FFFFFF"/>
        </w:rPr>
        <w:t>Noteikumi par elektroenerģijas ražošanu, izmantojot atjaunojamos</w:t>
      </w:r>
    </w:p>
    <w:p w:rsidR="001A0388" w:rsidRPr="001A0388" w:rsidRDefault="001A0388" w:rsidP="001A0388">
      <w:pPr>
        <w:spacing w:after="0"/>
        <w:rPr>
          <w:rFonts w:ascii="Book Antiqua" w:hAnsi="Book Antiqua" w:cstheme="majorHAnsi"/>
          <w:b/>
          <w:i/>
          <w:sz w:val="24"/>
          <w:szCs w:val="24"/>
        </w:rPr>
      </w:pPr>
      <w:r w:rsidRPr="001A0388">
        <w:rPr>
          <w:rFonts w:ascii="Book Antiqua" w:hAnsi="Book Antiqua" w:cs="Arial"/>
          <w:b/>
          <w:bCs/>
          <w:i/>
          <w:sz w:val="24"/>
          <w:szCs w:val="24"/>
          <w:shd w:val="clear" w:color="auto" w:fill="FFFFFF"/>
        </w:rPr>
        <w:t>energoresursus, kā arī par cenu noteikšanas kārtību un uzraudzību”” projektu</w:t>
      </w:r>
    </w:p>
    <w:p w:rsidR="001A0388" w:rsidRDefault="001A0388" w:rsidP="001A0388">
      <w:pPr>
        <w:ind w:firstLine="720"/>
        <w:jc w:val="both"/>
        <w:rPr>
          <w:rFonts w:ascii="Book Antiqua" w:hAnsi="Book Antiqua"/>
        </w:rPr>
      </w:pPr>
    </w:p>
    <w:p w:rsidR="001A0388" w:rsidRPr="00F934A0" w:rsidRDefault="001A0388" w:rsidP="001A0388">
      <w:pPr>
        <w:ind w:firstLine="720"/>
        <w:jc w:val="both"/>
        <w:rPr>
          <w:rFonts w:ascii="Book Antiqua" w:hAnsi="Book Antiqua"/>
        </w:rPr>
      </w:pPr>
      <w:r w:rsidRPr="00F934A0">
        <w:rPr>
          <w:rFonts w:ascii="Book Antiqua" w:hAnsi="Book Antiqua"/>
        </w:rPr>
        <w:t xml:space="preserve">Biedrība “LATVIJAS ATKRITUMU SAIMNIECĪBAS UZŅĒMUMU ASOCIĀCIJA”, reģistrācijas Nr. 40008013925, turpmāk – </w:t>
      </w:r>
      <w:r w:rsidRPr="00F934A0">
        <w:rPr>
          <w:rFonts w:ascii="Book Antiqua" w:hAnsi="Book Antiqua"/>
          <w:b/>
          <w:bCs/>
        </w:rPr>
        <w:t>LASUA</w:t>
      </w:r>
      <w:r w:rsidRPr="00F934A0">
        <w:rPr>
          <w:rFonts w:ascii="Book Antiqua" w:hAnsi="Book Antiqua"/>
        </w:rPr>
        <w:t xml:space="preserve">, ir iepazinusies ar </w:t>
      </w:r>
      <w:r>
        <w:rPr>
          <w:rFonts w:ascii="Book Antiqua" w:hAnsi="Book Antiqua"/>
        </w:rPr>
        <w:t xml:space="preserve">atkārtotai saskaņošanai atsūtīto precizēto </w:t>
      </w:r>
      <w:r w:rsidRPr="00F934A0">
        <w:rPr>
          <w:rFonts w:ascii="Book Antiqua" w:hAnsi="Book Antiqua"/>
        </w:rPr>
        <w:t xml:space="preserve">Ministru kabineta noteikumu </w:t>
      </w:r>
      <w:r w:rsidRPr="00F934A0">
        <w:rPr>
          <w:rFonts w:ascii="Book Antiqua" w:hAnsi="Book Antiqua" w:cstheme="majorHAnsi"/>
        </w:rPr>
        <w:t xml:space="preserve">„Grozījumi Ministru kabineta 2020. gada 2. septembra </w:t>
      </w:r>
      <w:r>
        <w:rPr>
          <w:rFonts w:ascii="Book Antiqua" w:hAnsi="Book Antiqua" w:cstheme="majorHAnsi"/>
        </w:rPr>
        <w:t>noteikumos Nr. 560 </w:t>
      </w:r>
      <w:r w:rsidRPr="00F934A0">
        <w:rPr>
          <w:rFonts w:ascii="Book Antiqua" w:hAnsi="Book Antiqua" w:cstheme="majorHAnsi"/>
        </w:rPr>
        <w:t>„</w:t>
      </w:r>
      <w:r w:rsidRPr="000F214C">
        <w:rPr>
          <w:rFonts w:ascii="Book Antiqua" w:hAnsi="Book Antiqua" w:cs="Arial"/>
          <w:bCs/>
          <w:shd w:val="clear" w:color="auto" w:fill="FFFFFF"/>
        </w:rPr>
        <w:t>Noteikumi par elektroenerģijas ražošanu, izmantojot atjaunojamos energoresursus</w:t>
      </w:r>
      <w:r w:rsidRPr="00F934A0">
        <w:rPr>
          <w:rFonts w:ascii="Book Antiqua" w:hAnsi="Book Antiqua" w:cs="Arial"/>
          <w:bCs/>
          <w:shd w:val="clear" w:color="auto" w:fill="FFFFFF"/>
        </w:rPr>
        <w:t xml:space="preserve">, kā arī par cenu noteikšanas kārtību un uzraudzību”” (VSS-38) </w:t>
      </w:r>
      <w:r w:rsidRPr="00F934A0">
        <w:rPr>
          <w:rFonts w:ascii="Book Antiqua" w:hAnsi="Book Antiqua"/>
        </w:rPr>
        <w:t xml:space="preserve">projektu, turpmāk – </w:t>
      </w:r>
      <w:r w:rsidRPr="00F934A0">
        <w:rPr>
          <w:rFonts w:ascii="Book Antiqua" w:hAnsi="Book Antiqua"/>
          <w:b/>
          <w:bCs/>
        </w:rPr>
        <w:t>Projekts</w:t>
      </w:r>
      <w:r w:rsidRPr="00F934A0">
        <w:rPr>
          <w:rFonts w:ascii="Book Antiqua" w:hAnsi="Book Antiqua"/>
        </w:rPr>
        <w:t>, un izsaka turpmāk norādītos ie</w:t>
      </w:r>
      <w:r>
        <w:rPr>
          <w:rFonts w:ascii="Book Antiqua" w:hAnsi="Book Antiqua"/>
        </w:rPr>
        <w:t>bildumus</w:t>
      </w:r>
      <w:r w:rsidRPr="00F934A0">
        <w:rPr>
          <w:rFonts w:ascii="Book Antiqua" w:hAnsi="Book Antiqua"/>
        </w:rPr>
        <w:t xml:space="preserve"> par to.</w:t>
      </w:r>
    </w:p>
    <w:p w:rsidR="001A0388" w:rsidRPr="002C628F" w:rsidRDefault="001A0388" w:rsidP="001A0388">
      <w:pPr>
        <w:jc w:val="both"/>
        <w:rPr>
          <w:rFonts w:ascii="Book Antiqua" w:hAnsi="Book Antiqua" w:cs="Arial"/>
          <w:b/>
          <w:shd w:val="clear" w:color="auto" w:fill="FFFFFF"/>
        </w:rPr>
      </w:pPr>
      <w:r w:rsidRPr="00F934A0">
        <w:rPr>
          <w:rFonts w:ascii="Book Antiqua" w:hAnsi="Book Antiqua" w:cs="Arial"/>
          <w:bCs/>
          <w:shd w:val="clear" w:color="auto" w:fill="FFFFFF"/>
        </w:rPr>
        <w:tab/>
        <w:t xml:space="preserve">LASUA jau iepriekš Ekonomikas ministrijai ir paudusi savu nostāju par Projekta redakciju un nepieciešamību </w:t>
      </w:r>
      <w:r>
        <w:rPr>
          <w:rFonts w:ascii="Book Antiqua" w:hAnsi="Book Antiqua" w:cs="Arial"/>
          <w:bCs/>
          <w:shd w:val="clear" w:color="auto" w:fill="FFFFFF"/>
        </w:rPr>
        <w:t xml:space="preserve">Projektā izdalīt poligonu gāzi kā atsevišķu atjaunojamo energoresursu, kā arī </w:t>
      </w:r>
      <w:r w:rsidRPr="00F934A0">
        <w:rPr>
          <w:rFonts w:ascii="Book Antiqua" w:hAnsi="Book Antiqua" w:cs="Arial"/>
          <w:bCs/>
          <w:shd w:val="clear" w:color="auto" w:fill="FFFFFF"/>
        </w:rPr>
        <w:t xml:space="preserve">paredzēt izņēmumu attiecībā uz </w:t>
      </w:r>
      <w:r>
        <w:rPr>
          <w:rFonts w:ascii="Book Antiqua" w:hAnsi="Book Antiqua" w:cs="Arial"/>
          <w:bCs/>
          <w:shd w:val="clear" w:color="auto" w:fill="FFFFFF"/>
        </w:rPr>
        <w:t xml:space="preserve">cieto sadzīves atkritumu </w:t>
      </w:r>
      <w:r>
        <w:rPr>
          <w:rFonts w:ascii="Book Antiqua" w:hAnsi="Book Antiqua"/>
        </w:rPr>
        <w:t xml:space="preserve">poligonos, turpmāk – </w:t>
      </w:r>
      <w:r w:rsidRPr="00091238">
        <w:rPr>
          <w:rFonts w:ascii="Book Antiqua" w:hAnsi="Book Antiqua"/>
          <w:b/>
        </w:rPr>
        <w:t>poligoni</w:t>
      </w:r>
      <w:r>
        <w:rPr>
          <w:rFonts w:ascii="Book Antiqua" w:hAnsi="Book Antiqua"/>
        </w:rPr>
        <w:t xml:space="preserve">, </w:t>
      </w:r>
      <w:r w:rsidRPr="00F934A0">
        <w:rPr>
          <w:rFonts w:ascii="Book Antiqua" w:hAnsi="Book Antiqua"/>
        </w:rPr>
        <w:t xml:space="preserve">esošām elektrostacijām, </w:t>
      </w:r>
      <w:r>
        <w:rPr>
          <w:rFonts w:ascii="Book Antiqua" w:hAnsi="Book Antiqua"/>
        </w:rPr>
        <w:t>kuras darbojas, izmantojot poligonu gāzi,</w:t>
      </w:r>
      <w:r w:rsidRPr="00F934A0">
        <w:rPr>
          <w:rFonts w:ascii="Book Antiqua" w:hAnsi="Book Antiqua"/>
        </w:rPr>
        <w:t xml:space="preserve"> un </w:t>
      </w:r>
      <w:r w:rsidRPr="00F934A0">
        <w:rPr>
          <w:rFonts w:ascii="Book Antiqua" w:hAnsi="Book Antiqua" w:cs="Arial"/>
          <w:shd w:val="clear" w:color="auto" w:fill="FFFFFF"/>
        </w:rPr>
        <w:t>enerģijas ražošanas lietderības koeficientu apmēru.</w:t>
      </w:r>
    </w:p>
    <w:p w:rsidR="001A0388" w:rsidRPr="000F214C" w:rsidRDefault="001A0388" w:rsidP="001A0388">
      <w:pPr>
        <w:pStyle w:val="naisc"/>
        <w:spacing w:before="0" w:after="0"/>
        <w:ind w:firstLine="720"/>
        <w:jc w:val="both"/>
        <w:rPr>
          <w:rFonts w:ascii="Book Antiqua" w:hAnsi="Book Antiqua"/>
          <w:sz w:val="22"/>
          <w:szCs w:val="22"/>
          <w:shd w:val="clear" w:color="auto" w:fill="FFFFFF"/>
        </w:rPr>
      </w:pPr>
      <w:r w:rsidRPr="002C628F">
        <w:rPr>
          <w:rFonts w:ascii="Book Antiqua" w:hAnsi="Book Antiqua"/>
          <w:b/>
          <w:sz w:val="22"/>
          <w:szCs w:val="22"/>
        </w:rPr>
        <w:t>[1]</w:t>
      </w:r>
      <w:r>
        <w:rPr>
          <w:rFonts w:ascii="Book Antiqua" w:hAnsi="Book Antiqua"/>
          <w:sz w:val="22"/>
          <w:szCs w:val="22"/>
        </w:rPr>
        <w:t xml:space="preserve"> </w:t>
      </w:r>
      <w:r w:rsidRPr="000F214C">
        <w:rPr>
          <w:rFonts w:ascii="Book Antiqua" w:hAnsi="Book Antiqua"/>
          <w:sz w:val="22"/>
          <w:szCs w:val="22"/>
        </w:rPr>
        <w:t xml:space="preserve">Projekta izziņā </w:t>
      </w:r>
      <w:r>
        <w:rPr>
          <w:rFonts w:ascii="Book Antiqua" w:hAnsi="Book Antiqua"/>
          <w:sz w:val="22"/>
          <w:szCs w:val="22"/>
        </w:rPr>
        <w:t>attiecībā uz LASUA ieteikumu poligonu gāzi izdalīt kā atsevišķu energoresursa veidu Ekonomikas ministrija norādījusi</w:t>
      </w:r>
      <w:r w:rsidRPr="000F214C">
        <w:rPr>
          <w:rFonts w:ascii="Book Antiqua" w:hAnsi="Book Antiqua"/>
          <w:sz w:val="22"/>
          <w:szCs w:val="22"/>
        </w:rPr>
        <w:t xml:space="preserve">, ka </w:t>
      </w:r>
      <w:r w:rsidRPr="000F214C">
        <w:rPr>
          <w:rFonts w:ascii="Book Antiqua" w:hAnsi="Book Antiqua"/>
          <w:bCs/>
          <w:sz w:val="22"/>
          <w:szCs w:val="22"/>
        </w:rPr>
        <w:t xml:space="preserve">Elektroenerģijas tirgus likumā dotais deleģējums Ministru kabinetam, </w:t>
      </w:r>
      <w:r w:rsidRPr="000F214C">
        <w:rPr>
          <w:rFonts w:ascii="Book Antiqua" w:hAnsi="Book Antiqua"/>
          <w:sz w:val="22"/>
          <w:szCs w:val="22"/>
        </w:rPr>
        <w:t>uz kura pamata ir izdoti Ministru kabineta 2020.gada 2.septembra noteikumi Nr.</w:t>
      </w:r>
      <w:r>
        <w:rPr>
          <w:rFonts w:ascii="Book Antiqua" w:hAnsi="Book Antiqua"/>
          <w:sz w:val="22"/>
          <w:szCs w:val="22"/>
        </w:rPr>
        <w:t> </w:t>
      </w:r>
      <w:r w:rsidRPr="000F214C">
        <w:rPr>
          <w:rFonts w:ascii="Book Antiqua" w:hAnsi="Book Antiqua"/>
          <w:sz w:val="22"/>
          <w:szCs w:val="22"/>
        </w:rPr>
        <w:t>560 “</w:t>
      </w:r>
      <w:r w:rsidRPr="000F214C">
        <w:rPr>
          <w:rFonts w:ascii="Book Antiqua" w:hAnsi="Book Antiqua"/>
          <w:sz w:val="22"/>
          <w:szCs w:val="22"/>
          <w:shd w:val="clear" w:color="auto" w:fill="FFFFFF"/>
        </w:rPr>
        <w:t>Noteikumi par elektroenerģijas ražošanu, izmantojot atjaunojamos energoresursus, kā arī par cenu noteikšanas kārtību un uzraudzību”</w:t>
      </w:r>
      <w:r>
        <w:rPr>
          <w:rFonts w:ascii="Book Antiqua" w:hAnsi="Book Antiqua"/>
          <w:sz w:val="22"/>
          <w:szCs w:val="22"/>
          <w:shd w:val="clear" w:color="auto" w:fill="FFFFFF"/>
        </w:rPr>
        <w:t xml:space="preserve">, turpmāk – </w:t>
      </w:r>
      <w:r w:rsidRPr="00FA1397">
        <w:rPr>
          <w:rFonts w:ascii="Book Antiqua" w:hAnsi="Book Antiqua"/>
          <w:b/>
          <w:sz w:val="22"/>
          <w:szCs w:val="22"/>
          <w:shd w:val="clear" w:color="auto" w:fill="FFFFFF"/>
        </w:rPr>
        <w:t>Noteikumi Nr. 560</w:t>
      </w:r>
      <w:r w:rsidRPr="000F214C">
        <w:rPr>
          <w:rFonts w:ascii="Book Antiqua" w:hAnsi="Book Antiqua"/>
          <w:sz w:val="22"/>
          <w:szCs w:val="22"/>
          <w:shd w:val="clear" w:color="auto" w:fill="FFFFFF"/>
        </w:rPr>
        <w:t>, nosaka nosacījumus elektroenerģijas ražošanai, izmantojot atjaunojamos energoresursus, vienlaicīgi neparedzot izņēmumus pat tām stacijām</w:t>
      </w:r>
      <w:r w:rsidRPr="000F214C">
        <w:rPr>
          <w:rFonts w:ascii="Book Antiqua" w:hAnsi="Book Antiqua"/>
          <w:sz w:val="22"/>
          <w:szCs w:val="22"/>
        </w:rPr>
        <w:t>, kuras darbojas ar poligonu gāzi.</w:t>
      </w:r>
    </w:p>
    <w:p w:rsidR="001A0388" w:rsidRDefault="001A0388" w:rsidP="001A0388">
      <w:pPr>
        <w:pStyle w:val="naisc"/>
        <w:spacing w:before="0" w:after="0"/>
        <w:jc w:val="both"/>
        <w:rPr>
          <w:rFonts w:ascii="Book Antiqua" w:hAnsi="Book Antiqua" w:cs="Arial"/>
          <w:sz w:val="22"/>
          <w:szCs w:val="22"/>
          <w:shd w:val="clear" w:color="auto" w:fill="FFFFFF"/>
        </w:rPr>
      </w:pPr>
      <w:r w:rsidRPr="000F214C">
        <w:rPr>
          <w:rFonts w:ascii="Book Antiqua" w:hAnsi="Book Antiqua"/>
          <w:sz w:val="22"/>
          <w:szCs w:val="22"/>
          <w:shd w:val="clear" w:color="auto" w:fill="FFFFFF"/>
        </w:rPr>
        <w:tab/>
        <w:t xml:space="preserve">Elektroenerģijas tirgus </w:t>
      </w:r>
      <w:r>
        <w:rPr>
          <w:rFonts w:ascii="Book Antiqua" w:hAnsi="Book Antiqua"/>
          <w:sz w:val="22"/>
          <w:szCs w:val="22"/>
          <w:shd w:val="clear" w:color="auto" w:fill="FFFFFF"/>
        </w:rPr>
        <w:t xml:space="preserve">likuma </w:t>
      </w:r>
      <w:r w:rsidRPr="000F214C">
        <w:rPr>
          <w:rFonts w:ascii="Book Antiqua" w:hAnsi="Book Antiqua"/>
          <w:sz w:val="22"/>
          <w:szCs w:val="22"/>
          <w:shd w:val="clear" w:color="auto" w:fill="FFFFFF"/>
        </w:rPr>
        <w:t xml:space="preserve">29. panta ceturtajā daļā noteikts, ka </w:t>
      </w:r>
      <w:r>
        <w:rPr>
          <w:rFonts w:ascii="Book Antiqua" w:hAnsi="Book Antiqua"/>
          <w:sz w:val="22"/>
          <w:szCs w:val="22"/>
          <w:shd w:val="clear" w:color="auto" w:fill="FFFFFF"/>
        </w:rPr>
        <w:t xml:space="preserve">Ministru kabinets </w:t>
      </w:r>
      <w:r w:rsidRPr="00FA1397">
        <w:rPr>
          <w:rFonts w:ascii="Book Antiqua" w:hAnsi="Book Antiqua"/>
          <w:sz w:val="22"/>
          <w:szCs w:val="22"/>
          <w:shd w:val="clear" w:color="auto" w:fill="FFFFFF"/>
        </w:rPr>
        <w:t xml:space="preserve">nosaka </w:t>
      </w:r>
      <w:r w:rsidRPr="00FA1397">
        <w:rPr>
          <w:rFonts w:ascii="Book Antiqua" w:hAnsi="Book Antiqua" w:cs="Arial"/>
          <w:sz w:val="22"/>
          <w:szCs w:val="22"/>
          <w:shd w:val="clear" w:color="auto" w:fill="FFFFFF"/>
        </w:rPr>
        <w:t>nosacījumus elektroenerģijas ražošanai, izmantojot atjaunojamos energoresursus, kā arī kritērijus ražotāju kvalifikācijai saražotās elektroenerģijas obligātā iepirkuma tiesību saņemšanai</w:t>
      </w:r>
      <w:r w:rsidRPr="000F214C">
        <w:rPr>
          <w:rFonts w:ascii="Book Antiqua" w:hAnsi="Book Antiqua" w:cs="Arial"/>
          <w:sz w:val="22"/>
          <w:szCs w:val="22"/>
          <w:shd w:val="clear" w:color="auto" w:fill="FFFFFF"/>
        </w:rPr>
        <w:t xml:space="preserve"> un atcelšanai un kārtību, kādā var atteikties no tām, elektroenerģijas cenas noteikšanas kārtību atkarībā no atjaunojamo </w:t>
      </w:r>
    </w:p>
    <w:p w:rsidR="001A0388" w:rsidRDefault="001A0388" w:rsidP="001A0388">
      <w:pPr>
        <w:pStyle w:val="naisc"/>
        <w:spacing w:before="0" w:after="0"/>
        <w:jc w:val="both"/>
        <w:rPr>
          <w:rFonts w:ascii="Book Antiqua" w:hAnsi="Book Antiqua" w:cs="Arial"/>
          <w:sz w:val="22"/>
          <w:szCs w:val="22"/>
          <w:shd w:val="clear" w:color="auto" w:fill="FFFFFF"/>
        </w:rPr>
      </w:pPr>
    </w:p>
    <w:p w:rsidR="001A0388" w:rsidRDefault="001A0388" w:rsidP="001A0388">
      <w:pPr>
        <w:pStyle w:val="naisc"/>
        <w:spacing w:before="0" w:after="0"/>
        <w:jc w:val="both"/>
        <w:rPr>
          <w:rFonts w:ascii="Book Antiqua" w:hAnsi="Book Antiqua" w:cs="Arial"/>
          <w:sz w:val="22"/>
          <w:szCs w:val="22"/>
          <w:shd w:val="clear" w:color="auto" w:fill="FFFFFF"/>
        </w:rPr>
      </w:pPr>
    </w:p>
    <w:p w:rsidR="001A0388" w:rsidRDefault="001A0388" w:rsidP="001A0388">
      <w:pPr>
        <w:pStyle w:val="naisc"/>
        <w:spacing w:before="0" w:after="0"/>
        <w:jc w:val="both"/>
        <w:rPr>
          <w:rFonts w:ascii="Book Antiqua" w:hAnsi="Book Antiqua" w:cs="Arial"/>
          <w:sz w:val="22"/>
          <w:szCs w:val="22"/>
          <w:shd w:val="clear" w:color="auto" w:fill="FFFFFF"/>
        </w:rPr>
      </w:pPr>
    </w:p>
    <w:p w:rsidR="001A0388" w:rsidRDefault="001A0388" w:rsidP="001A0388">
      <w:pPr>
        <w:pStyle w:val="naisc"/>
        <w:spacing w:before="0" w:after="0"/>
        <w:jc w:val="both"/>
        <w:rPr>
          <w:rFonts w:ascii="Book Antiqua" w:hAnsi="Book Antiqua" w:cs="Arial"/>
          <w:sz w:val="22"/>
          <w:szCs w:val="22"/>
          <w:shd w:val="clear" w:color="auto" w:fill="FFFFFF"/>
        </w:rPr>
      </w:pPr>
    </w:p>
    <w:p w:rsidR="001A0388" w:rsidRDefault="001A0388" w:rsidP="001A0388">
      <w:pPr>
        <w:pStyle w:val="naisc"/>
        <w:spacing w:before="0" w:after="0"/>
        <w:jc w:val="both"/>
        <w:rPr>
          <w:rFonts w:ascii="Book Antiqua" w:hAnsi="Book Antiqua" w:cs="Arial"/>
          <w:sz w:val="22"/>
          <w:szCs w:val="22"/>
          <w:shd w:val="clear" w:color="auto" w:fill="FFFFFF"/>
        </w:rPr>
      </w:pPr>
    </w:p>
    <w:p w:rsidR="001A0388" w:rsidRPr="00ED721F" w:rsidRDefault="001A0388" w:rsidP="001A0388">
      <w:pPr>
        <w:pStyle w:val="naisc"/>
        <w:spacing w:before="0" w:after="0"/>
        <w:jc w:val="both"/>
        <w:rPr>
          <w:rFonts w:ascii="Book Antiqua" w:hAnsi="Book Antiqua"/>
          <w:sz w:val="22"/>
          <w:szCs w:val="22"/>
          <w:shd w:val="clear" w:color="auto" w:fill="FFFFFF"/>
        </w:rPr>
      </w:pPr>
      <w:r w:rsidRPr="000F214C">
        <w:rPr>
          <w:rFonts w:ascii="Book Antiqua" w:hAnsi="Book Antiqua" w:cs="Arial"/>
          <w:sz w:val="22"/>
          <w:szCs w:val="22"/>
          <w:shd w:val="clear" w:color="auto" w:fill="FFFFFF"/>
        </w:rPr>
        <w:t>energoresursu un kurināmā izejvielu veida, obligātā iepirkuma apjoma noteikšanas, īstenošanas un uzraudzības kārtību, obligātā iep</w:t>
      </w:r>
      <w:r w:rsidRPr="00FA1397">
        <w:rPr>
          <w:rFonts w:ascii="Book Antiqua" w:hAnsi="Book Antiqua" w:cs="Arial"/>
          <w:sz w:val="22"/>
          <w:szCs w:val="22"/>
          <w:shd w:val="clear" w:color="auto" w:fill="FFFFFF"/>
        </w:rPr>
        <w:t xml:space="preserve">irkuma apjoma izmaksu segšanas kārtību, kā arī pasākumus, lai veicinātu </w:t>
      </w:r>
      <w:r w:rsidRPr="000E2C57">
        <w:rPr>
          <w:rFonts w:ascii="Book Antiqua" w:hAnsi="Book Antiqua" w:cs="Arial"/>
          <w:sz w:val="22"/>
          <w:szCs w:val="22"/>
          <w:shd w:val="clear" w:color="auto" w:fill="FFFFFF"/>
        </w:rPr>
        <w:t>elektroenerģijas ražošanu no biomasas.</w:t>
      </w:r>
    </w:p>
    <w:p w:rsidR="001A0388" w:rsidRDefault="001A0388" w:rsidP="001A0388">
      <w:pPr>
        <w:pStyle w:val="naisc"/>
        <w:spacing w:before="0" w:after="0"/>
        <w:jc w:val="both"/>
        <w:rPr>
          <w:rFonts w:ascii="Book Antiqua" w:hAnsi="Book Antiqua" w:cs="Arial"/>
          <w:sz w:val="22"/>
          <w:szCs w:val="22"/>
          <w:shd w:val="clear" w:color="auto" w:fill="FFFFFF"/>
        </w:rPr>
      </w:pPr>
      <w:r w:rsidRPr="000E2C57">
        <w:rPr>
          <w:rFonts w:ascii="Book Antiqua" w:hAnsi="Book Antiqua" w:cs="Arial"/>
          <w:sz w:val="22"/>
          <w:szCs w:val="22"/>
          <w:shd w:val="clear" w:color="auto" w:fill="FFFFFF"/>
        </w:rPr>
        <w:tab/>
        <w:t xml:space="preserve">No iepriekš minētā </w:t>
      </w:r>
      <w:proofErr w:type="spellStart"/>
      <w:r w:rsidRPr="000E2C57">
        <w:rPr>
          <w:rFonts w:ascii="Book Antiqua" w:hAnsi="Book Antiqua" w:cs="Arial"/>
          <w:sz w:val="22"/>
          <w:szCs w:val="22"/>
          <w:shd w:val="clear" w:color="auto" w:fill="FFFFFF"/>
        </w:rPr>
        <w:t>pirmšķietami</w:t>
      </w:r>
      <w:proofErr w:type="spellEnd"/>
      <w:r w:rsidRPr="000E2C57">
        <w:rPr>
          <w:rFonts w:ascii="Book Antiqua" w:hAnsi="Book Antiqua" w:cs="Arial"/>
          <w:sz w:val="22"/>
          <w:szCs w:val="22"/>
          <w:shd w:val="clear" w:color="auto" w:fill="FFFFFF"/>
        </w:rPr>
        <w:t xml:space="preserve"> var izdarīt secinājumu, ka Ministru kabinetam nav dots deleģējums noteikt izņēmumus attiecībā uz stacijām, kuras darbojas ar poligonu gāzi, tomēr būtiski ir ņemt vērā to, ka </w:t>
      </w:r>
      <w:r w:rsidRPr="00733826">
        <w:rPr>
          <w:rFonts w:ascii="Book Antiqua" w:hAnsi="Book Antiqua" w:cs="Arial"/>
          <w:sz w:val="22"/>
          <w:szCs w:val="22"/>
          <w:u w:val="single"/>
          <w:shd w:val="clear" w:color="auto" w:fill="FFFFFF"/>
        </w:rPr>
        <w:t>Ministru kabinetam ir dots deleģējums noteikt nosacījumus elektroenerģijas ražošanai, izmantojot atjaunojamos energoresursus, kā arī obligātā iepirkuma apjoma noteikšanas un īstenošanas kārtību</w:t>
      </w:r>
      <w:r w:rsidRPr="000E2C57">
        <w:rPr>
          <w:rFonts w:ascii="Book Antiqua" w:hAnsi="Book Antiqua" w:cs="Arial"/>
          <w:sz w:val="22"/>
          <w:szCs w:val="22"/>
          <w:shd w:val="clear" w:color="auto" w:fill="FFFFFF"/>
        </w:rPr>
        <w:t>.</w:t>
      </w:r>
      <w:r>
        <w:rPr>
          <w:rFonts w:ascii="Book Antiqua" w:hAnsi="Book Antiqua" w:cs="Arial"/>
          <w:sz w:val="22"/>
          <w:szCs w:val="22"/>
          <w:shd w:val="clear" w:color="auto" w:fill="FFFFFF"/>
        </w:rPr>
        <w:t xml:space="preserve"> Līdz ar to, LASUA ieskatā, Ministru kabinetam noteiktais deleģējums ir pietiekams, lai paredzētu atsevišķus nosacījumus un kārtību poligonu gāzei un poligonu gāzes elektrostacijām, ko netieši pierāda jau pašreiz spēkā esošā Noteikumu Nr. 560 tvērums, kurā cita starpā ir ietvertas normas attiecībā uz noteiktiem atjaunojamiem energoresursiem, proti, biogāzes vai biomasas un attiecīgo resursu elektrostacijām un to enerģijas ražošanas lietderības koeficienta apmēru.</w:t>
      </w:r>
    </w:p>
    <w:p w:rsidR="001A0388" w:rsidRDefault="001A0388" w:rsidP="001A0388">
      <w:pPr>
        <w:pStyle w:val="naisc"/>
        <w:spacing w:before="0" w:after="0"/>
        <w:ind w:firstLine="720"/>
        <w:jc w:val="both"/>
        <w:rPr>
          <w:rFonts w:ascii="Book Antiqua" w:hAnsi="Book Antiqua" w:cs="Arial"/>
          <w:sz w:val="22"/>
          <w:szCs w:val="22"/>
          <w:shd w:val="clear" w:color="auto" w:fill="FFFFFF"/>
        </w:rPr>
      </w:pPr>
      <w:r w:rsidRPr="00383615">
        <w:rPr>
          <w:rFonts w:ascii="Book Antiqua" w:hAnsi="Book Antiqua" w:cs="Arial"/>
          <w:sz w:val="22"/>
          <w:szCs w:val="22"/>
          <w:shd w:val="clear" w:color="auto" w:fill="FFFFFF"/>
        </w:rPr>
        <w:t xml:space="preserve">Enerģētikas likuma 1. panta 1. punktā norādīts, ka </w:t>
      </w:r>
      <w:r w:rsidRPr="000E2C57">
        <w:rPr>
          <w:rFonts w:ascii="Book Antiqua" w:hAnsi="Book Antiqua" w:cs="Arial"/>
          <w:bCs/>
          <w:sz w:val="22"/>
          <w:szCs w:val="22"/>
          <w:u w:val="single"/>
          <w:shd w:val="clear" w:color="auto" w:fill="FFFFFF"/>
        </w:rPr>
        <w:t>atjaunojamie energoresursi</w:t>
      </w:r>
      <w:r w:rsidRPr="000E2C57">
        <w:rPr>
          <w:rFonts w:ascii="Book Antiqua" w:hAnsi="Book Antiqua" w:cs="Arial"/>
          <w:sz w:val="22"/>
          <w:szCs w:val="22"/>
          <w:u w:val="single"/>
          <w:shd w:val="clear" w:color="auto" w:fill="FFFFFF"/>
        </w:rPr>
        <w:t> ir</w:t>
      </w:r>
      <w:r w:rsidRPr="00383615">
        <w:rPr>
          <w:rFonts w:ascii="Book Antiqua" w:hAnsi="Book Antiqua" w:cs="Arial"/>
          <w:sz w:val="22"/>
          <w:szCs w:val="22"/>
          <w:shd w:val="clear" w:color="auto" w:fill="FFFFFF"/>
        </w:rPr>
        <w:t xml:space="preserve"> vēja, saules, ģeotermālā, viļņu, paisuma un bēguma, ūdens enerģija, kā arī </w:t>
      </w:r>
      <w:proofErr w:type="spellStart"/>
      <w:r w:rsidRPr="00383615">
        <w:rPr>
          <w:rFonts w:ascii="Book Antiqua" w:hAnsi="Book Antiqua" w:cs="Arial"/>
          <w:sz w:val="22"/>
          <w:szCs w:val="22"/>
          <w:shd w:val="clear" w:color="auto" w:fill="FFFFFF"/>
        </w:rPr>
        <w:t>aerotermālā</w:t>
      </w:r>
      <w:proofErr w:type="spellEnd"/>
      <w:r w:rsidRPr="00383615">
        <w:rPr>
          <w:rFonts w:ascii="Book Antiqua" w:hAnsi="Book Antiqua" w:cs="Arial"/>
          <w:sz w:val="22"/>
          <w:szCs w:val="22"/>
          <w:shd w:val="clear" w:color="auto" w:fill="FFFFFF"/>
        </w:rPr>
        <w:t xml:space="preserve"> enerģija (siltumenerģija, kura uzkrājas gaisā), ģeotermālā enerģija (siltumenerģija, kura atrodas zem cietzemes virsmas) un </w:t>
      </w:r>
      <w:proofErr w:type="spellStart"/>
      <w:r w:rsidRPr="00383615">
        <w:rPr>
          <w:rFonts w:ascii="Book Antiqua" w:hAnsi="Book Antiqua" w:cs="Arial"/>
          <w:sz w:val="22"/>
          <w:szCs w:val="22"/>
          <w:shd w:val="clear" w:color="auto" w:fill="FFFFFF"/>
        </w:rPr>
        <w:t>hidrotermālā</w:t>
      </w:r>
      <w:proofErr w:type="spellEnd"/>
      <w:r w:rsidRPr="00383615">
        <w:rPr>
          <w:rFonts w:ascii="Book Antiqua" w:hAnsi="Book Antiqua" w:cs="Arial"/>
          <w:sz w:val="22"/>
          <w:szCs w:val="22"/>
          <w:shd w:val="clear" w:color="auto" w:fill="FFFFFF"/>
        </w:rPr>
        <w:t xml:space="preserve"> enerģija (siltumenerģija, kura atrodas virszemes ūdeņos), </w:t>
      </w:r>
      <w:r w:rsidRPr="000E2C57">
        <w:rPr>
          <w:rFonts w:ascii="Book Antiqua" w:hAnsi="Book Antiqua" w:cs="Arial"/>
          <w:sz w:val="22"/>
          <w:szCs w:val="22"/>
          <w:u w:val="single"/>
          <w:shd w:val="clear" w:color="auto" w:fill="FFFFFF"/>
        </w:rPr>
        <w:t>atkritumu poligonu un notekūdeņu attīrīšanas iekārtu gāzes, biogāze un biomasa</w:t>
      </w:r>
      <w:r>
        <w:rPr>
          <w:rFonts w:ascii="Book Antiqua" w:hAnsi="Book Antiqua" w:cs="Arial"/>
          <w:sz w:val="22"/>
          <w:szCs w:val="22"/>
          <w:shd w:val="clear" w:color="auto" w:fill="FFFFFF"/>
        </w:rPr>
        <w:t>.</w:t>
      </w:r>
    </w:p>
    <w:p w:rsidR="001A0388" w:rsidRPr="00FA1397" w:rsidRDefault="001A0388" w:rsidP="001A0388">
      <w:pPr>
        <w:pStyle w:val="naisc"/>
        <w:spacing w:before="0" w:after="0"/>
        <w:ind w:firstLine="720"/>
        <w:jc w:val="both"/>
        <w:rPr>
          <w:rFonts w:ascii="Book Antiqua" w:hAnsi="Book Antiqua" w:cs="Arial"/>
          <w:sz w:val="22"/>
          <w:szCs w:val="22"/>
          <w:shd w:val="clear" w:color="auto" w:fill="FFFFFF"/>
        </w:rPr>
      </w:pPr>
      <w:r>
        <w:rPr>
          <w:rFonts w:ascii="Book Antiqua" w:hAnsi="Book Antiqua" w:cs="Arial"/>
          <w:sz w:val="22"/>
          <w:szCs w:val="22"/>
          <w:shd w:val="clear" w:color="auto" w:fill="FFFFFF"/>
        </w:rPr>
        <w:t xml:space="preserve">No iepriekš norādītā termina var izdarīt secinājumu, ka poligonu gāze ir atjaunojamais energoresursa veids. Vienlaikus, poligonu gāze ir norādīta kā atsevišķs </w:t>
      </w:r>
      <w:r w:rsidRPr="00367578">
        <w:rPr>
          <w:rFonts w:ascii="Book Antiqua" w:hAnsi="Book Antiqua" w:cs="Arial"/>
          <w:sz w:val="22"/>
          <w:szCs w:val="22"/>
          <w:shd w:val="clear" w:color="auto" w:fill="FFFFFF"/>
        </w:rPr>
        <w:t>resursa veids no biogāzes vai biomasas, līdz ar to secināms, ka likumdevējs nav vēlējies poligonu gāzi uzskatīt par tipisku biogāzi. LASUA var piekrīt, ka poligonu gāzes sastāvs ir līdzīgs biogāzei, bet, kā jau LASUA iepriekš savās vēstulēs Ekonomikas ministrijai ir norādījusi,</w:t>
      </w:r>
      <w:r>
        <w:rPr>
          <w:rFonts w:ascii="Book Antiqua" w:hAnsi="Book Antiqua" w:cs="Arial"/>
          <w:sz w:val="22"/>
          <w:szCs w:val="22"/>
          <w:shd w:val="clear" w:color="auto" w:fill="FFFFFF"/>
        </w:rPr>
        <w:t xml:space="preserve"> </w:t>
      </w:r>
      <w:r w:rsidRPr="00367578">
        <w:rPr>
          <w:rFonts w:ascii="Book Antiqua" w:hAnsi="Book Antiqua" w:cs="Arial"/>
          <w:sz w:val="22"/>
          <w:szCs w:val="22"/>
          <w:shd w:val="clear" w:color="auto" w:fill="FFFFFF"/>
        </w:rPr>
        <w:t xml:space="preserve">pastāv būtiskas atšķirības poligonu gāzes un biogāzes ražošanas procesā, kā arī to sastāvā, kā rezultātā ir loģiski un racionāli poligonu gāzi izdalīt no biogāzes. Proti, </w:t>
      </w:r>
      <w:r w:rsidRPr="00367578">
        <w:rPr>
          <w:rFonts w:ascii="Book Antiqua" w:hAnsi="Book Antiqua" w:cstheme="majorHAnsi"/>
          <w:sz w:val="22"/>
          <w:szCs w:val="22"/>
        </w:rPr>
        <w:t xml:space="preserve">poligonu gāze rodas (nevis tiek speciāli radīta) poligonu  </w:t>
      </w:r>
      <w:proofErr w:type="spellStart"/>
      <w:r w:rsidRPr="00367578">
        <w:rPr>
          <w:rFonts w:ascii="Book Antiqua" w:hAnsi="Book Antiqua" w:cstheme="majorHAnsi"/>
          <w:sz w:val="22"/>
          <w:szCs w:val="22"/>
        </w:rPr>
        <w:t>apsaimniekotājam</w:t>
      </w:r>
      <w:proofErr w:type="spellEnd"/>
      <w:r w:rsidRPr="00367578">
        <w:rPr>
          <w:rFonts w:ascii="Book Antiqua" w:hAnsi="Book Antiqua" w:cstheme="majorHAnsi"/>
          <w:sz w:val="22"/>
          <w:szCs w:val="22"/>
        </w:rPr>
        <w:t xml:space="preserve"> vai īpašniekam pildot vienu no pamatuzdevumiem – sadzīves un ražošanas atkritumu apsaimniekošanu, tādēļ poligonu gāze faktiski ir kā blakus produkts, kas rodas atkritumu </w:t>
      </w:r>
      <w:proofErr w:type="spellStart"/>
      <w:r w:rsidRPr="00367578">
        <w:rPr>
          <w:rFonts w:ascii="Book Antiqua" w:hAnsi="Book Antiqua" w:cstheme="majorHAnsi"/>
          <w:sz w:val="22"/>
          <w:szCs w:val="22"/>
        </w:rPr>
        <w:t>apsaimniekotājiem</w:t>
      </w:r>
      <w:proofErr w:type="spellEnd"/>
      <w:r w:rsidRPr="00367578">
        <w:rPr>
          <w:rFonts w:ascii="Book Antiqua" w:hAnsi="Book Antiqua" w:cstheme="majorHAnsi"/>
          <w:sz w:val="22"/>
          <w:szCs w:val="22"/>
        </w:rPr>
        <w:t xml:space="preserve"> efektīvi apsaimniekojot atkritumus, tomēr poligonu gāzes ražošana nav attiecīgā poligona </w:t>
      </w:r>
      <w:proofErr w:type="spellStart"/>
      <w:r w:rsidRPr="00367578">
        <w:rPr>
          <w:rFonts w:ascii="Book Antiqua" w:hAnsi="Book Antiqua" w:cstheme="majorHAnsi"/>
          <w:sz w:val="22"/>
          <w:szCs w:val="22"/>
        </w:rPr>
        <w:t>apsaimniekotāja</w:t>
      </w:r>
      <w:proofErr w:type="spellEnd"/>
      <w:r w:rsidRPr="00367578">
        <w:rPr>
          <w:rFonts w:ascii="Book Antiqua" w:hAnsi="Book Antiqua" w:cstheme="majorHAnsi"/>
          <w:sz w:val="22"/>
          <w:szCs w:val="22"/>
        </w:rPr>
        <w:t xml:space="preserve"> primārais un galvenais mērķis. Attiecībā uz sastāva atšķirībām jānorāda, ka poligonā noglabāto sadzīves un ražošanas atkritumu radītajā gāzē metāna apjoms </w:t>
      </w:r>
      <w:r>
        <w:rPr>
          <w:rFonts w:ascii="Book Antiqua" w:hAnsi="Book Antiqua" w:cstheme="majorHAnsi"/>
          <w:sz w:val="22"/>
          <w:szCs w:val="22"/>
        </w:rPr>
        <w:t>ir no 40 </w:t>
      </w:r>
      <w:r w:rsidRPr="00367578">
        <w:rPr>
          <w:rFonts w:ascii="Book Antiqua" w:hAnsi="Book Antiqua" w:cstheme="majorHAnsi"/>
          <w:sz w:val="22"/>
          <w:szCs w:val="22"/>
        </w:rPr>
        <w:t>līdz 55 %, savukārt tipiskā biogāzes sastāvā esošais metāna satu</w:t>
      </w:r>
      <w:r>
        <w:rPr>
          <w:rFonts w:ascii="Book Antiqua" w:hAnsi="Book Antiqua" w:cstheme="majorHAnsi"/>
          <w:sz w:val="22"/>
          <w:szCs w:val="22"/>
        </w:rPr>
        <w:t>rs parasti ir lielāks, pat līdz </w:t>
      </w:r>
      <w:r w:rsidRPr="00367578">
        <w:rPr>
          <w:rFonts w:ascii="Book Antiqua" w:hAnsi="Book Antiqua" w:cstheme="majorHAnsi"/>
          <w:sz w:val="22"/>
          <w:szCs w:val="22"/>
        </w:rPr>
        <w:t>80 %.</w:t>
      </w:r>
    </w:p>
    <w:p w:rsidR="001A0388" w:rsidRDefault="001A0388" w:rsidP="001A0388">
      <w:pPr>
        <w:pStyle w:val="naisc"/>
        <w:spacing w:before="0" w:after="0"/>
        <w:ind w:firstLine="720"/>
        <w:jc w:val="both"/>
        <w:rPr>
          <w:rFonts w:ascii="Book Antiqua" w:hAnsi="Book Antiqua"/>
          <w:bCs/>
          <w:sz w:val="22"/>
          <w:szCs w:val="22"/>
          <w:u w:val="single"/>
        </w:rPr>
      </w:pPr>
      <w:r w:rsidRPr="00FA1397">
        <w:rPr>
          <w:rFonts w:ascii="Book Antiqua" w:hAnsi="Book Antiqua" w:cs="Arial"/>
          <w:sz w:val="22"/>
          <w:szCs w:val="22"/>
          <w:shd w:val="clear" w:color="auto" w:fill="FFFFFF"/>
        </w:rPr>
        <w:t>Jāņem vērā</w:t>
      </w:r>
      <w:r>
        <w:rPr>
          <w:rFonts w:ascii="Book Antiqua" w:hAnsi="Book Antiqua" w:cs="Arial"/>
          <w:sz w:val="22"/>
          <w:szCs w:val="22"/>
          <w:shd w:val="clear" w:color="auto" w:fill="FFFFFF"/>
        </w:rPr>
        <w:t xml:space="preserve"> arī</w:t>
      </w:r>
      <w:r w:rsidRPr="00FA1397">
        <w:rPr>
          <w:rFonts w:ascii="Book Antiqua" w:hAnsi="Book Antiqua" w:cs="Arial"/>
          <w:sz w:val="22"/>
          <w:szCs w:val="22"/>
          <w:shd w:val="clear" w:color="auto" w:fill="FFFFFF"/>
        </w:rPr>
        <w:t xml:space="preserve"> fakts, ka</w:t>
      </w:r>
      <w:r>
        <w:rPr>
          <w:rFonts w:ascii="Book Antiqua" w:hAnsi="Book Antiqua" w:cs="Arial"/>
          <w:sz w:val="22"/>
          <w:szCs w:val="22"/>
          <w:shd w:val="clear" w:color="auto" w:fill="FFFFFF"/>
        </w:rPr>
        <w:t xml:space="preserve"> jau</w:t>
      </w:r>
      <w:r w:rsidRPr="00FA1397">
        <w:rPr>
          <w:rFonts w:ascii="Book Antiqua" w:hAnsi="Book Antiqua" w:cs="Arial"/>
          <w:sz w:val="22"/>
          <w:szCs w:val="22"/>
          <w:shd w:val="clear" w:color="auto" w:fill="FFFFFF"/>
        </w:rPr>
        <w:t xml:space="preserve">, izstrādājot </w:t>
      </w:r>
      <w:r>
        <w:rPr>
          <w:rFonts w:ascii="Book Antiqua" w:hAnsi="Book Antiqua" w:cs="Arial"/>
          <w:sz w:val="22"/>
          <w:szCs w:val="22"/>
          <w:shd w:val="clear" w:color="auto" w:fill="FFFFFF"/>
        </w:rPr>
        <w:t xml:space="preserve">un saskaņojot Noteikumu </w:t>
      </w:r>
      <w:r w:rsidRPr="00FA1397">
        <w:rPr>
          <w:rFonts w:ascii="Book Antiqua" w:hAnsi="Book Antiqua" w:cs="Arial"/>
          <w:sz w:val="22"/>
          <w:szCs w:val="22"/>
          <w:shd w:val="clear" w:color="auto" w:fill="FFFFFF"/>
        </w:rPr>
        <w:t>Nr. 560</w:t>
      </w:r>
      <w:r>
        <w:rPr>
          <w:rFonts w:ascii="Book Antiqua" w:hAnsi="Book Antiqua" w:cs="Arial"/>
          <w:sz w:val="22"/>
          <w:szCs w:val="22"/>
          <w:shd w:val="clear" w:color="auto" w:fill="FFFFFF"/>
        </w:rPr>
        <w:t xml:space="preserve"> projektu</w:t>
      </w:r>
      <w:r w:rsidRPr="00FA1397">
        <w:rPr>
          <w:rFonts w:ascii="Book Antiqua" w:hAnsi="Book Antiqua" w:cs="Arial"/>
          <w:sz w:val="22"/>
          <w:szCs w:val="22"/>
          <w:shd w:val="clear" w:color="auto" w:fill="FFFFFF"/>
        </w:rPr>
        <w:t xml:space="preserve">, Vides aizsardzības un reģionālās attīstības ministrija aicināja </w:t>
      </w:r>
      <w:r w:rsidRPr="00FA1397">
        <w:rPr>
          <w:rFonts w:ascii="Book Antiqua" w:hAnsi="Book Antiqua"/>
          <w:sz w:val="22"/>
          <w:szCs w:val="22"/>
        </w:rPr>
        <w:t xml:space="preserve">papildināt </w:t>
      </w:r>
      <w:r>
        <w:rPr>
          <w:rFonts w:ascii="Book Antiqua" w:hAnsi="Book Antiqua" w:cs="Arial"/>
          <w:sz w:val="22"/>
          <w:szCs w:val="22"/>
          <w:shd w:val="clear" w:color="auto" w:fill="FFFFFF"/>
        </w:rPr>
        <w:t>Noteikumu</w:t>
      </w:r>
      <w:r w:rsidRPr="00FA1397">
        <w:rPr>
          <w:rFonts w:ascii="Book Antiqua" w:hAnsi="Book Antiqua" w:cs="Arial"/>
          <w:sz w:val="22"/>
          <w:szCs w:val="22"/>
          <w:shd w:val="clear" w:color="auto" w:fill="FFFFFF"/>
        </w:rPr>
        <w:t xml:space="preserve"> Nr. 560 </w:t>
      </w:r>
      <w:r w:rsidRPr="00FA1397">
        <w:rPr>
          <w:rFonts w:ascii="Book Antiqua" w:hAnsi="Book Antiqua"/>
          <w:sz w:val="22"/>
          <w:szCs w:val="22"/>
        </w:rPr>
        <w:t>3. punktu ar 3.6.</w:t>
      </w:r>
      <w:r>
        <w:rPr>
          <w:rFonts w:ascii="Book Antiqua" w:hAnsi="Book Antiqua"/>
          <w:sz w:val="22"/>
          <w:szCs w:val="22"/>
        </w:rPr>
        <w:t> </w:t>
      </w:r>
      <w:r w:rsidRPr="00FA1397">
        <w:rPr>
          <w:rFonts w:ascii="Book Antiqua" w:hAnsi="Book Antiqua"/>
          <w:sz w:val="22"/>
          <w:szCs w:val="22"/>
        </w:rPr>
        <w:t xml:space="preserve">apakšpunktu, paredzot, ka </w:t>
      </w:r>
      <w:r w:rsidRPr="00FA1397">
        <w:rPr>
          <w:rFonts w:ascii="Book Antiqua" w:hAnsi="Book Antiqua" w:cs="Arial"/>
          <w:sz w:val="22"/>
          <w:szCs w:val="22"/>
          <w:shd w:val="clear" w:color="auto" w:fill="FFFFFF"/>
        </w:rPr>
        <w:t>obligātā iepirkuma tiesības komersantiem ir attiecināmas uz elektroenerģiju, kas ražota no</w:t>
      </w:r>
      <w:r w:rsidRPr="00FA1397">
        <w:rPr>
          <w:rFonts w:ascii="Book Antiqua" w:hAnsi="Book Antiqua"/>
          <w:sz w:val="22"/>
          <w:szCs w:val="22"/>
        </w:rPr>
        <w:t xml:space="preserve"> poligonu gāzes, atbilstoši normatīvajiem aktiem par atkritumu poligonu ierīkošanu, atkritumu poligonu un izgāztuvju apsaimniekošanu, slēgšanu un rekultivāciju. Konkrētajā gadījumā, </w:t>
      </w:r>
      <w:r>
        <w:rPr>
          <w:rFonts w:ascii="Book Antiqua" w:hAnsi="Book Antiqua"/>
          <w:sz w:val="22"/>
          <w:szCs w:val="22"/>
        </w:rPr>
        <w:t xml:space="preserve">kā tas secināms no Noteikumu Nr. </w:t>
      </w:r>
      <w:r w:rsidRPr="003917B8">
        <w:rPr>
          <w:rFonts w:ascii="Book Antiqua" w:hAnsi="Book Antiqua"/>
          <w:sz w:val="22"/>
          <w:szCs w:val="22"/>
        </w:rPr>
        <w:t>560 izzi</w:t>
      </w:r>
      <w:r>
        <w:rPr>
          <w:rFonts w:ascii="Book Antiqua" w:hAnsi="Book Antiqua"/>
          <w:sz w:val="22"/>
          <w:szCs w:val="22"/>
        </w:rPr>
        <w:t>ņas, i</w:t>
      </w:r>
      <w:r w:rsidRPr="00FA1397">
        <w:rPr>
          <w:rFonts w:ascii="Book Antiqua" w:hAnsi="Book Antiqua"/>
          <w:sz w:val="22"/>
          <w:szCs w:val="22"/>
        </w:rPr>
        <w:t>ebildums tika daļēji ņemts vērā un</w:t>
      </w:r>
      <w:r w:rsidRPr="00FA1397">
        <w:rPr>
          <w:rFonts w:ascii="Book Antiqua" w:hAnsi="Book Antiqua"/>
          <w:b/>
          <w:sz w:val="22"/>
          <w:szCs w:val="22"/>
        </w:rPr>
        <w:t xml:space="preserve"> </w:t>
      </w:r>
      <w:r w:rsidRPr="00D50401">
        <w:rPr>
          <w:rFonts w:ascii="Book Antiqua" w:hAnsi="Book Antiqua"/>
          <w:sz w:val="22"/>
          <w:szCs w:val="22"/>
        </w:rPr>
        <w:t>Ekonomikas ministrija</w:t>
      </w:r>
      <w:r>
        <w:rPr>
          <w:rFonts w:ascii="Book Antiqua" w:hAnsi="Book Antiqua"/>
          <w:b/>
          <w:sz w:val="22"/>
          <w:szCs w:val="22"/>
        </w:rPr>
        <w:t xml:space="preserve"> </w:t>
      </w:r>
      <w:r w:rsidRPr="0031475B">
        <w:rPr>
          <w:rFonts w:ascii="Book Antiqua" w:hAnsi="Book Antiqua"/>
          <w:sz w:val="22"/>
          <w:szCs w:val="22"/>
        </w:rPr>
        <w:t>norādīja, ka</w:t>
      </w:r>
      <w:r>
        <w:rPr>
          <w:rFonts w:ascii="Book Antiqua" w:hAnsi="Book Antiqua"/>
          <w:b/>
          <w:sz w:val="22"/>
          <w:szCs w:val="22"/>
        </w:rPr>
        <w:t xml:space="preserve"> </w:t>
      </w:r>
      <w:r>
        <w:rPr>
          <w:rFonts w:ascii="Book Antiqua" w:hAnsi="Book Antiqua"/>
          <w:bCs/>
          <w:sz w:val="22"/>
          <w:szCs w:val="22"/>
        </w:rPr>
        <w:t>3. </w:t>
      </w:r>
      <w:r w:rsidRPr="00FA1397">
        <w:rPr>
          <w:rFonts w:ascii="Book Antiqua" w:hAnsi="Book Antiqua"/>
          <w:bCs/>
          <w:sz w:val="22"/>
          <w:szCs w:val="22"/>
        </w:rPr>
        <w:t xml:space="preserve">punktā ietvertajā elektrostaciju uzskaitījumā </w:t>
      </w:r>
      <w:r w:rsidRPr="003917B8">
        <w:rPr>
          <w:rFonts w:ascii="Book Antiqua" w:hAnsi="Book Antiqua"/>
          <w:bCs/>
          <w:sz w:val="22"/>
          <w:szCs w:val="22"/>
          <w:u w:val="single"/>
        </w:rPr>
        <w:t xml:space="preserve">tika ietvertas arī elektrostacijas, kuras kā izejvielu elektroenerģijas </w:t>
      </w:r>
    </w:p>
    <w:p w:rsidR="001A0388" w:rsidRDefault="001A0388" w:rsidP="001A0388">
      <w:pPr>
        <w:pStyle w:val="naisc"/>
        <w:spacing w:before="0" w:after="0"/>
        <w:ind w:firstLine="720"/>
        <w:jc w:val="both"/>
        <w:rPr>
          <w:rFonts w:ascii="Book Antiqua" w:hAnsi="Book Antiqua"/>
          <w:bCs/>
          <w:sz w:val="22"/>
          <w:szCs w:val="22"/>
          <w:u w:val="single"/>
        </w:rPr>
      </w:pPr>
    </w:p>
    <w:p w:rsidR="001A0388" w:rsidRDefault="001A0388" w:rsidP="001A0388">
      <w:pPr>
        <w:pStyle w:val="naisc"/>
        <w:spacing w:before="0" w:after="0"/>
        <w:ind w:firstLine="720"/>
        <w:jc w:val="both"/>
        <w:rPr>
          <w:rFonts w:ascii="Book Antiqua" w:hAnsi="Book Antiqua"/>
          <w:bCs/>
          <w:sz w:val="22"/>
          <w:szCs w:val="22"/>
          <w:u w:val="single"/>
        </w:rPr>
      </w:pPr>
    </w:p>
    <w:p w:rsidR="001A0388" w:rsidRDefault="001A0388" w:rsidP="001A0388">
      <w:pPr>
        <w:pStyle w:val="naisc"/>
        <w:spacing w:before="0" w:after="0"/>
        <w:ind w:firstLine="720"/>
        <w:jc w:val="both"/>
        <w:rPr>
          <w:rFonts w:ascii="Book Antiqua" w:hAnsi="Book Antiqua"/>
          <w:bCs/>
          <w:sz w:val="22"/>
          <w:szCs w:val="22"/>
          <w:u w:val="single"/>
        </w:rPr>
      </w:pPr>
    </w:p>
    <w:p w:rsidR="001A0388" w:rsidRDefault="001A0388" w:rsidP="001A0388">
      <w:pPr>
        <w:pStyle w:val="naisc"/>
        <w:spacing w:before="0" w:after="0"/>
        <w:ind w:firstLine="720"/>
        <w:jc w:val="both"/>
        <w:rPr>
          <w:rFonts w:ascii="Book Antiqua" w:hAnsi="Book Antiqua"/>
          <w:bCs/>
          <w:sz w:val="22"/>
          <w:szCs w:val="22"/>
          <w:u w:val="single"/>
        </w:rPr>
      </w:pPr>
    </w:p>
    <w:p w:rsidR="001A0388" w:rsidRDefault="001A0388" w:rsidP="001A0388">
      <w:pPr>
        <w:pStyle w:val="naisc"/>
        <w:spacing w:before="0" w:after="0"/>
        <w:ind w:firstLine="720"/>
        <w:jc w:val="both"/>
        <w:rPr>
          <w:rFonts w:ascii="Book Antiqua" w:hAnsi="Book Antiqua"/>
          <w:bCs/>
          <w:sz w:val="22"/>
          <w:szCs w:val="22"/>
          <w:u w:val="single"/>
        </w:rPr>
      </w:pPr>
    </w:p>
    <w:p w:rsidR="001A0388" w:rsidRDefault="001A0388" w:rsidP="001A0388">
      <w:pPr>
        <w:pStyle w:val="naisc"/>
        <w:spacing w:before="0" w:after="0"/>
        <w:ind w:firstLine="720"/>
        <w:jc w:val="both"/>
        <w:rPr>
          <w:rFonts w:ascii="Book Antiqua" w:hAnsi="Book Antiqua"/>
          <w:bCs/>
          <w:sz w:val="22"/>
          <w:szCs w:val="22"/>
          <w:u w:val="single"/>
        </w:rPr>
      </w:pPr>
    </w:p>
    <w:p w:rsidR="001A0388" w:rsidRDefault="001A0388" w:rsidP="001A0388">
      <w:pPr>
        <w:pStyle w:val="naisc"/>
        <w:spacing w:before="0" w:after="0"/>
        <w:ind w:firstLine="720"/>
        <w:jc w:val="both"/>
        <w:rPr>
          <w:rFonts w:ascii="Book Antiqua" w:hAnsi="Book Antiqua"/>
          <w:bCs/>
          <w:sz w:val="22"/>
          <w:szCs w:val="22"/>
        </w:rPr>
      </w:pPr>
      <w:r w:rsidRPr="003917B8">
        <w:rPr>
          <w:rFonts w:ascii="Book Antiqua" w:hAnsi="Book Antiqua"/>
          <w:bCs/>
          <w:sz w:val="22"/>
          <w:szCs w:val="22"/>
          <w:u w:val="single"/>
        </w:rPr>
        <w:t>ražošanai izmanto poligonu gāzi</w:t>
      </w:r>
      <w:r>
        <w:rPr>
          <w:rFonts w:ascii="Book Antiqua" w:hAnsi="Book Antiqua"/>
          <w:bCs/>
          <w:sz w:val="22"/>
          <w:szCs w:val="22"/>
        </w:rPr>
        <w:t xml:space="preserve">, paredzot, ka </w:t>
      </w:r>
      <w:r w:rsidRPr="00FA1397">
        <w:rPr>
          <w:rFonts w:ascii="Book Antiqua" w:hAnsi="Book Antiqua" w:cs="Arial"/>
          <w:sz w:val="22"/>
          <w:szCs w:val="22"/>
          <w:shd w:val="clear" w:color="auto" w:fill="FFFFFF"/>
        </w:rPr>
        <w:t>obligātā iepirkuma tiesības komersantiem ir attiecināmas uz elektroenerģiju, kas ražota no</w:t>
      </w:r>
      <w:r>
        <w:rPr>
          <w:rFonts w:ascii="Book Antiqua" w:hAnsi="Book Antiqua" w:cs="Arial"/>
          <w:sz w:val="22"/>
          <w:szCs w:val="22"/>
          <w:shd w:val="clear" w:color="auto" w:fill="FFFFFF"/>
        </w:rPr>
        <w:t xml:space="preserve"> </w:t>
      </w:r>
      <w:r>
        <w:rPr>
          <w:rFonts w:ascii="Arial" w:hAnsi="Arial" w:cs="Arial"/>
          <w:color w:val="414142"/>
          <w:sz w:val="16"/>
          <w:szCs w:val="16"/>
          <w:shd w:val="clear" w:color="auto" w:fill="FFFFFF"/>
        </w:rPr>
        <w:t> </w:t>
      </w:r>
      <w:r w:rsidRPr="00383615">
        <w:rPr>
          <w:rFonts w:ascii="Book Antiqua" w:hAnsi="Book Antiqua" w:cs="Arial"/>
          <w:sz w:val="22"/>
          <w:szCs w:val="22"/>
          <w:shd w:val="clear" w:color="auto" w:fill="FFFFFF"/>
        </w:rPr>
        <w:t>biogāzes, tostarp poligonu gāzes</w:t>
      </w:r>
      <w:r w:rsidRPr="00FA1397">
        <w:rPr>
          <w:rFonts w:ascii="Book Antiqua" w:hAnsi="Book Antiqua"/>
          <w:bCs/>
          <w:sz w:val="22"/>
          <w:szCs w:val="22"/>
        </w:rPr>
        <w:t>.</w:t>
      </w:r>
      <w:r>
        <w:rPr>
          <w:rFonts w:ascii="Book Antiqua" w:hAnsi="Book Antiqua"/>
          <w:bCs/>
          <w:sz w:val="22"/>
          <w:szCs w:val="22"/>
        </w:rPr>
        <w:t xml:space="preserve"> Līdz ar to, var secināt, ka jau sākotnēji ir loģiski secināts, ka poligonu gāzi un elektrostacijas, kuras darbojas uz poligonu gāzi, vajag atsevišķi izdalīt, un faktiski attiecībā uz poligonu gāzi vajag noteikt atsevišķu regulējumu, bet iespējams nekorekta formulējuma dēļ tika pieņemts, ka poligonu gāze ir biogāzes veids, lai gan, kā jau LASUA iepriekš ir paudusi šajā un iepriekšējās vēstulēs, poligonu gāze ir atsevišķs atjaunojamo energoresursu veids un to nevajadzētu uzskatīt par tipisku biogāzi.</w:t>
      </w:r>
    </w:p>
    <w:p w:rsidR="001A0388" w:rsidRDefault="001A0388" w:rsidP="001A0388">
      <w:pPr>
        <w:pStyle w:val="naisc"/>
        <w:spacing w:before="0" w:after="0"/>
        <w:ind w:firstLine="720"/>
        <w:jc w:val="both"/>
        <w:rPr>
          <w:rFonts w:ascii="Book Antiqua" w:hAnsi="Book Antiqua"/>
          <w:bCs/>
          <w:sz w:val="22"/>
          <w:szCs w:val="22"/>
        </w:rPr>
      </w:pPr>
      <w:r>
        <w:rPr>
          <w:rFonts w:ascii="Book Antiqua" w:hAnsi="Book Antiqua"/>
          <w:sz w:val="22"/>
          <w:szCs w:val="22"/>
          <w:shd w:val="clear" w:color="auto" w:fill="FFFFFF"/>
        </w:rPr>
        <w:t xml:space="preserve">Turklāt </w:t>
      </w:r>
      <w:r w:rsidRPr="000F214C">
        <w:rPr>
          <w:rFonts w:ascii="Book Antiqua" w:hAnsi="Book Antiqua"/>
          <w:sz w:val="22"/>
          <w:szCs w:val="22"/>
          <w:shd w:val="clear" w:color="auto" w:fill="FFFFFF"/>
        </w:rPr>
        <w:t>Elektroenerģijas tirgus likuma</w:t>
      </w:r>
      <w:r>
        <w:rPr>
          <w:rFonts w:ascii="Book Antiqua" w:hAnsi="Book Antiqua"/>
          <w:sz w:val="22"/>
          <w:szCs w:val="22"/>
          <w:shd w:val="clear" w:color="auto" w:fill="FFFFFF"/>
        </w:rPr>
        <w:t xml:space="preserve">, uz kura pamata ir izdoti Noteikumi Nr. 560, </w:t>
      </w:r>
      <w:r w:rsidRPr="000F214C">
        <w:rPr>
          <w:rFonts w:ascii="Book Antiqua" w:hAnsi="Book Antiqua"/>
          <w:sz w:val="22"/>
          <w:szCs w:val="22"/>
          <w:shd w:val="clear" w:color="auto" w:fill="FFFFFF"/>
        </w:rPr>
        <w:t xml:space="preserve"> </w:t>
      </w:r>
      <w:r>
        <w:rPr>
          <w:rFonts w:ascii="Book Antiqua" w:hAnsi="Book Antiqua"/>
          <w:sz w:val="22"/>
          <w:szCs w:val="22"/>
          <w:shd w:val="clear" w:color="auto" w:fill="FFFFFF"/>
        </w:rPr>
        <w:t xml:space="preserve">3. panta </w:t>
      </w:r>
      <w:r w:rsidRPr="00ED721F">
        <w:rPr>
          <w:rFonts w:ascii="Book Antiqua" w:hAnsi="Book Antiqua" w:cs="Arial"/>
          <w:sz w:val="22"/>
          <w:szCs w:val="22"/>
          <w:shd w:val="clear" w:color="auto" w:fill="FFFFFF"/>
        </w:rPr>
        <w:t xml:space="preserve">ceturtajā daļā norādīts, ka viens no likuma mērķiem ir noteikt </w:t>
      </w:r>
      <w:r w:rsidRPr="00ED721F">
        <w:rPr>
          <w:rFonts w:ascii="Book Antiqua" w:hAnsi="Book Antiqua" w:cs="Arial"/>
          <w:sz w:val="22"/>
          <w:szCs w:val="22"/>
          <w:u w:val="single"/>
          <w:shd w:val="clear" w:color="auto" w:fill="FFFFFF"/>
        </w:rPr>
        <w:t>veicināšanas pasākumus elektroenerģijas ražošanai, izmantojot atjaunojamos energoresursus</w:t>
      </w:r>
      <w:r w:rsidRPr="00ED721F">
        <w:rPr>
          <w:rFonts w:ascii="Book Antiqua" w:hAnsi="Book Antiqua" w:cs="Arial"/>
          <w:sz w:val="22"/>
          <w:szCs w:val="22"/>
          <w:shd w:val="clear" w:color="auto" w:fill="FFFFFF"/>
        </w:rPr>
        <w:t>.</w:t>
      </w:r>
      <w:r>
        <w:rPr>
          <w:rFonts w:ascii="Book Antiqua" w:hAnsi="Book Antiqua" w:cs="Arial"/>
          <w:sz w:val="22"/>
          <w:szCs w:val="22"/>
          <w:shd w:val="clear" w:color="auto" w:fill="FFFFFF"/>
        </w:rPr>
        <w:t xml:space="preserve"> Ņemot vērā, ka nav šaubu, ka poligonu gāze ir atjaunojamais energoresurss, turklāt to nevar uzskatīt par tipisku biogāzi, LASUA nav izprotama Ekonomikas ministrijas nostāja attiecībā uz to, ka poligonu gāzei nevajadzētu noteikt atsevišķu regulējumu, lai veicinātu tās lietderīgu izmantošanu, tādējādi sekmējot un veicinot arī elektroenerģijas ražošanu. Faktiski ar pašreizējo nostāju nevis tiek veicināta, bet gan kavēta un apgrūtināta elektroenerģijas ražošana, izmantojot atjaunojamo energoresursu – poligonu gāzi, kas savukārt ir pretēja Elektroenerģijas tirgus likuma mērķim.</w:t>
      </w:r>
    </w:p>
    <w:p w:rsidR="001A0388" w:rsidRDefault="001A0388" w:rsidP="001A0388">
      <w:pPr>
        <w:ind w:firstLine="720"/>
        <w:jc w:val="both"/>
        <w:rPr>
          <w:rFonts w:ascii="Book Antiqua" w:hAnsi="Book Antiqua" w:cstheme="majorHAnsi"/>
        </w:rPr>
      </w:pPr>
      <w:r>
        <w:rPr>
          <w:rFonts w:ascii="Book Antiqua" w:hAnsi="Book Antiqua" w:cstheme="majorHAnsi"/>
        </w:rPr>
        <w:t>Ievērojot iepriekš minēto, LASUA atkārtoti norāda un vērš uzmanību, ka, lai poligonos</w:t>
      </w:r>
      <w:r w:rsidRPr="00D55701">
        <w:rPr>
          <w:rFonts w:ascii="Book Antiqua" w:hAnsi="Book Antiqua" w:cstheme="majorHAnsi"/>
        </w:rPr>
        <w:t xml:space="preserve"> esošā</w:t>
      </w:r>
      <w:r>
        <w:rPr>
          <w:rFonts w:ascii="Book Antiqua" w:hAnsi="Book Antiqua" w:cstheme="majorHAnsi"/>
        </w:rPr>
        <w:t>s</w:t>
      </w:r>
      <w:r w:rsidRPr="00D55701">
        <w:rPr>
          <w:rFonts w:ascii="Book Antiqua" w:hAnsi="Book Antiqua" w:cstheme="majorHAnsi"/>
        </w:rPr>
        <w:t xml:space="preserve"> koģenerācijas stacija</w:t>
      </w:r>
      <w:r>
        <w:rPr>
          <w:rFonts w:ascii="Book Antiqua" w:hAnsi="Book Antiqua" w:cstheme="majorHAnsi"/>
        </w:rPr>
        <w:t>s</w:t>
      </w:r>
      <w:r w:rsidRPr="00D55701">
        <w:rPr>
          <w:rFonts w:ascii="Book Antiqua" w:hAnsi="Book Antiqua" w:cstheme="majorHAnsi"/>
        </w:rPr>
        <w:t xml:space="preserve">, kas darbojas pamatojoties uz </w:t>
      </w:r>
      <w:r>
        <w:rPr>
          <w:rFonts w:ascii="Book Antiqua" w:hAnsi="Book Antiqua" w:cstheme="majorHAnsi"/>
        </w:rPr>
        <w:t>Noteikumiem N</w:t>
      </w:r>
      <w:r w:rsidRPr="00D55701">
        <w:rPr>
          <w:rFonts w:ascii="Book Antiqua" w:hAnsi="Book Antiqua" w:cstheme="majorHAnsi"/>
        </w:rPr>
        <w:t>r. 560, varētu turpināt sekmīgi strādāt,</w:t>
      </w:r>
      <w:r>
        <w:rPr>
          <w:rFonts w:ascii="Book Antiqua" w:hAnsi="Book Antiqua" w:cstheme="majorHAnsi"/>
        </w:rPr>
        <w:t xml:space="preserve"> Projektā</w:t>
      </w:r>
      <w:r w:rsidRPr="00D55701">
        <w:rPr>
          <w:rFonts w:ascii="Book Antiqua" w:hAnsi="Book Antiqua" w:cstheme="majorHAnsi"/>
        </w:rPr>
        <w:t xml:space="preserve"> </w:t>
      </w:r>
      <w:r>
        <w:rPr>
          <w:rFonts w:ascii="Book Antiqua" w:hAnsi="Book Antiqua" w:cstheme="majorHAnsi"/>
        </w:rPr>
        <w:t xml:space="preserve">ir </w:t>
      </w:r>
      <w:r w:rsidRPr="00D55701">
        <w:rPr>
          <w:rFonts w:ascii="Book Antiqua" w:hAnsi="Book Antiqua" w:cstheme="majorHAnsi"/>
        </w:rPr>
        <w:t xml:space="preserve">nepieciešams </w:t>
      </w:r>
      <w:r>
        <w:rPr>
          <w:rFonts w:ascii="Book Antiqua" w:hAnsi="Book Antiqua" w:cstheme="majorHAnsi"/>
        </w:rPr>
        <w:t>poligonu gāzi izdalīt kā atsevišķu energoresursa veidu, vienlaikus grozot prasības attiecībā uz poligonu</w:t>
      </w:r>
      <w:r w:rsidRPr="00D55701">
        <w:rPr>
          <w:rFonts w:ascii="Book Antiqua" w:hAnsi="Book Antiqua" w:cstheme="majorHAnsi"/>
        </w:rPr>
        <w:t xml:space="preserve"> gā</w:t>
      </w:r>
      <w:r>
        <w:rPr>
          <w:rFonts w:ascii="Book Antiqua" w:hAnsi="Book Antiqua" w:cstheme="majorHAnsi"/>
        </w:rPr>
        <w:t xml:space="preserve">zes elektrostacijām piemērojamo </w:t>
      </w:r>
      <w:r w:rsidRPr="00D55701">
        <w:rPr>
          <w:rFonts w:ascii="Book Antiqua" w:hAnsi="Book Antiqua" w:cstheme="majorHAnsi"/>
        </w:rPr>
        <w:t>enerģijas ražošanas lietderības koeficienta apmēru</w:t>
      </w:r>
      <w:r>
        <w:rPr>
          <w:rFonts w:ascii="Book Antiqua" w:hAnsi="Book Antiqua" w:cstheme="majorHAnsi"/>
        </w:rPr>
        <w:t>.</w:t>
      </w:r>
    </w:p>
    <w:p w:rsidR="001A0388" w:rsidRDefault="001A0388" w:rsidP="001A0388">
      <w:pPr>
        <w:ind w:firstLine="720"/>
        <w:jc w:val="both"/>
        <w:rPr>
          <w:rFonts w:ascii="Book Antiqua" w:hAnsi="Book Antiqua" w:cstheme="majorHAnsi"/>
        </w:rPr>
      </w:pPr>
      <w:r>
        <w:rPr>
          <w:rFonts w:ascii="Book Antiqua" w:hAnsi="Book Antiqua" w:cstheme="majorHAnsi"/>
        </w:rPr>
        <w:t xml:space="preserve">Lai </w:t>
      </w:r>
      <w:r w:rsidRPr="00BA3709">
        <w:rPr>
          <w:rFonts w:ascii="Book Antiqua" w:hAnsi="Book Antiqua"/>
        </w:rPr>
        <w:t xml:space="preserve">neradītu tiesisko situāciju, kurā normatīvā akta prasības nav faktiski izpildāmas poligonu </w:t>
      </w:r>
      <w:proofErr w:type="spellStart"/>
      <w:r w:rsidRPr="00BA3709">
        <w:rPr>
          <w:rFonts w:ascii="Book Antiqua" w:hAnsi="Book Antiqua"/>
        </w:rPr>
        <w:t>apsaimniekotāju</w:t>
      </w:r>
      <w:proofErr w:type="spellEnd"/>
      <w:r w:rsidRPr="00BA3709">
        <w:rPr>
          <w:rFonts w:ascii="Book Antiqua" w:hAnsi="Book Antiqua"/>
        </w:rPr>
        <w:t xml:space="preserve"> vai īpašnieku neatkarīgu apstākļu dēļ</w:t>
      </w:r>
      <w:r>
        <w:rPr>
          <w:rFonts w:ascii="Book Antiqua" w:hAnsi="Book Antiqua" w:cstheme="majorHAnsi"/>
        </w:rPr>
        <w:t xml:space="preserve">, </w:t>
      </w:r>
      <w:r w:rsidRPr="00E74725">
        <w:rPr>
          <w:rFonts w:ascii="Book Antiqua" w:hAnsi="Book Antiqua" w:cstheme="majorHAnsi"/>
          <w:b/>
        </w:rPr>
        <w:t>LASUA ierosina Projektā paredzēt vienu no šādiem variantiem attiecībā uz poligonu gāzi</w:t>
      </w:r>
      <w:r w:rsidRPr="00E74725">
        <w:rPr>
          <w:rFonts w:ascii="Book Antiqua" w:hAnsi="Book Antiqua" w:cstheme="majorHAnsi"/>
          <w:b/>
          <w:bCs/>
        </w:rPr>
        <w:t xml:space="preserve"> un poligonu elektrostacijām:</w:t>
      </w:r>
    </w:p>
    <w:p w:rsidR="001A0388" w:rsidRPr="00FA1397" w:rsidRDefault="001A0388" w:rsidP="001A0388">
      <w:pPr>
        <w:pStyle w:val="ListParagraph"/>
        <w:numPr>
          <w:ilvl w:val="0"/>
          <w:numId w:val="3"/>
        </w:numPr>
        <w:spacing w:after="0"/>
        <w:jc w:val="both"/>
        <w:rPr>
          <w:rFonts w:ascii="Book Antiqua" w:hAnsi="Book Antiqua" w:cstheme="majorHAnsi"/>
        </w:rPr>
      </w:pPr>
      <w:r w:rsidRPr="005941C9">
        <w:rPr>
          <w:rFonts w:ascii="Book Antiqua" w:hAnsi="Book Antiqua" w:cstheme="majorHAnsi"/>
          <w:b/>
          <w:bCs/>
        </w:rPr>
        <w:t>izdalīt poligonu gāzi kā atsevišķu atjaunojamo energoresursa veidu (proti, izdalīt to no biogāzes)</w:t>
      </w:r>
      <w:r>
        <w:rPr>
          <w:rFonts w:ascii="Book Antiqua" w:hAnsi="Book Antiqua" w:cstheme="majorHAnsi"/>
          <w:b/>
          <w:bCs/>
        </w:rPr>
        <w:t>,</w:t>
      </w:r>
      <w:r w:rsidRPr="005941C9">
        <w:rPr>
          <w:rFonts w:ascii="Book Antiqua" w:hAnsi="Book Antiqua" w:cstheme="majorHAnsi"/>
          <w:b/>
          <w:bCs/>
        </w:rPr>
        <w:t xml:space="preserve"> un poligona gāzei vispār nepiemērot prasības par enerģijas ražošanas lietderības apmēru</w:t>
      </w:r>
      <w:r>
        <w:rPr>
          <w:rFonts w:ascii="Book Antiqua" w:hAnsi="Book Antiqua" w:cstheme="majorHAnsi"/>
          <w:b/>
          <w:bCs/>
        </w:rPr>
        <w:t>, vai</w:t>
      </w:r>
    </w:p>
    <w:p w:rsidR="001A0388" w:rsidRPr="001A0388" w:rsidRDefault="001A0388" w:rsidP="001A0388">
      <w:pPr>
        <w:pStyle w:val="ListParagraph"/>
        <w:numPr>
          <w:ilvl w:val="0"/>
          <w:numId w:val="3"/>
        </w:numPr>
        <w:spacing w:after="0"/>
        <w:jc w:val="both"/>
        <w:rPr>
          <w:rFonts w:ascii="Book Antiqua" w:hAnsi="Book Antiqua" w:cstheme="majorHAnsi"/>
        </w:rPr>
      </w:pPr>
      <w:r w:rsidRPr="005941C9">
        <w:rPr>
          <w:rFonts w:ascii="Book Antiqua" w:hAnsi="Book Antiqua" w:cstheme="majorHAnsi"/>
          <w:b/>
          <w:bCs/>
        </w:rPr>
        <w:t>izdalīt poligonu gāzi kā atsevišķu atjaunojamo energoresursa veidu (proti, izdalīt to no biogāzes)</w:t>
      </w:r>
      <w:r>
        <w:rPr>
          <w:rFonts w:ascii="Book Antiqua" w:hAnsi="Book Antiqua" w:cstheme="majorHAnsi"/>
          <w:b/>
          <w:bCs/>
        </w:rPr>
        <w:t xml:space="preserve"> un </w:t>
      </w:r>
      <w:r w:rsidRPr="00FA1397">
        <w:rPr>
          <w:rFonts w:ascii="Book Antiqua" w:hAnsi="Book Antiqua" w:cstheme="majorHAnsi"/>
          <w:b/>
          <w:bCs/>
        </w:rPr>
        <w:t xml:space="preserve">samazināt enerģijas ražošanas lietderības koeficientu, kas attiecināms uz poligonu elektrostacijām, </w:t>
      </w:r>
      <w:r>
        <w:rPr>
          <w:rFonts w:ascii="Book Antiqua" w:hAnsi="Book Antiqua" w:cstheme="majorHAnsi"/>
          <w:b/>
          <w:bCs/>
        </w:rPr>
        <w:t xml:space="preserve">kas izmanto poligonu gāzi, </w:t>
      </w:r>
      <w:r w:rsidRPr="00FA1397">
        <w:rPr>
          <w:rFonts w:ascii="Book Antiqua" w:hAnsi="Book Antiqua" w:cstheme="majorHAnsi"/>
          <w:b/>
          <w:bCs/>
        </w:rPr>
        <w:t xml:space="preserve">nosakot to </w:t>
      </w:r>
      <w:r>
        <w:rPr>
          <w:rFonts w:ascii="Book Antiqua" w:hAnsi="Book Antiqua"/>
          <w:b/>
        </w:rPr>
        <w:t>35</w:t>
      </w:r>
      <w:r w:rsidRPr="00FA1397">
        <w:rPr>
          <w:rFonts w:ascii="Book Antiqua" w:hAnsi="Book Antiqua"/>
          <w:b/>
        </w:rPr>
        <w:t xml:space="preserve"> % apmērā, </w:t>
      </w:r>
      <w:r w:rsidRPr="00FA1397">
        <w:rPr>
          <w:rFonts w:ascii="Book Antiqua" w:hAnsi="Book Antiqua" w:cstheme="majorHAnsi"/>
          <w:b/>
        </w:rPr>
        <w:t>ja pārskata (norēķinu) periods ir gads</w:t>
      </w:r>
      <w:r>
        <w:rPr>
          <w:rFonts w:ascii="Book Antiqua" w:hAnsi="Book Antiqua" w:cstheme="majorHAnsi"/>
          <w:b/>
          <w:bCs/>
        </w:rPr>
        <w:t>.</w:t>
      </w:r>
    </w:p>
    <w:p w:rsidR="001A0388" w:rsidRDefault="001A0388" w:rsidP="001A0388">
      <w:pPr>
        <w:pStyle w:val="ListParagraph"/>
        <w:spacing w:after="0"/>
        <w:ind w:left="1080"/>
        <w:jc w:val="both"/>
        <w:rPr>
          <w:rFonts w:ascii="Book Antiqua" w:hAnsi="Book Antiqua" w:cstheme="majorHAnsi"/>
          <w:b/>
          <w:bCs/>
        </w:rPr>
      </w:pPr>
    </w:p>
    <w:p w:rsidR="001A0388" w:rsidRDefault="001A0388" w:rsidP="001A0388">
      <w:pPr>
        <w:pStyle w:val="ListParagraph"/>
        <w:spacing w:after="0"/>
        <w:ind w:left="1080"/>
        <w:jc w:val="both"/>
        <w:rPr>
          <w:rFonts w:ascii="Book Antiqua" w:hAnsi="Book Antiqua" w:cstheme="majorHAnsi"/>
          <w:b/>
          <w:bCs/>
        </w:rPr>
      </w:pPr>
    </w:p>
    <w:p w:rsidR="001A0388" w:rsidRDefault="001A0388" w:rsidP="001A0388">
      <w:pPr>
        <w:pStyle w:val="ListParagraph"/>
        <w:spacing w:after="0"/>
        <w:ind w:left="1080"/>
        <w:jc w:val="both"/>
        <w:rPr>
          <w:rFonts w:ascii="Book Antiqua" w:hAnsi="Book Antiqua" w:cstheme="majorHAnsi"/>
          <w:b/>
          <w:bCs/>
        </w:rPr>
      </w:pPr>
    </w:p>
    <w:p w:rsidR="001A0388" w:rsidRDefault="001A0388" w:rsidP="001A0388">
      <w:pPr>
        <w:pStyle w:val="ListParagraph"/>
        <w:spacing w:after="0"/>
        <w:ind w:left="1080"/>
        <w:jc w:val="both"/>
        <w:rPr>
          <w:rFonts w:ascii="Book Antiqua" w:hAnsi="Book Antiqua" w:cstheme="majorHAnsi"/>
          <w:b/>
          <w:bCs/>
        </w:rPr>
      </w:pPr>
    </w:p>
    <w:p w:rsidR="001A0388" w:rsidRDefault="001A0388" w:rsidP="001A0388">
      <w:pPr>
        <w:pStyle w:val="ListParagraph"/>
        <w:spacing w:after="0"/>
        <w:ind w:left="1080"/>
        <w:jc w:val="both"/>
        <w:rPr>
          <w:rFonts w:ascii="Book Antiqua" w:hAnsi="Book Antiqua" w:cstheme="majorHAnsi"/>
          <w:b/>
          <w:bCs/>
        </w:rPr>
      </w:pPr>
    </w:p>
    <w:p w:rsidR="001A0388" w:rsidRDefault="001A0388" w:rsidP="001A0388">
      <w:pPr>
        <w:pStyle w:val="ListParagraph"/>
        <w:spacing w:after="0"/>
        <w:ind w:left="1080"/>
        <w:jc w:val="both"/>
        <w:rPr>
          <w:rFonts w:ascii="Book Antiqua" w:hAnsi="Book Antiqua" w:cstheme="majorHAnsi"/>
          <w:b/>
          <w:bCs/>
        </w:rPr>
      </w:pPr>
    </w:p>
    <w:p w:rsidR="001A0388" w:rsidRDefault="001A0388" w:rsidP="001A0388">
      <w:pPr>
        <w:pStyle w:val="ListParagraph"/>
        <w:spacing w:after="0"/>
        <w:ind w:left="1080"/>
        <w:jc w:val="both"/>
        <w:rPr>
          <w:rFonts w:ascii="Book Antiqua" w:hAnsi="Book Antiqua" w:cstheme="majorHAnsi"/>
          <w:b/>
          <w:bCs/>
        </w:rPr>
      </w:pPr>
    </w:p>
    <w:p w:rsidR="001A0388" w:rsidRDefault="001A0388" w:rsidP="001A0388">
      <w:pPr>
        <w:pStyle w:val="ListParagraph"/>
        <w:spacing w:after="0"/>
        <w:ind w:left="1080"/>
        <w:jc w:val="both"/>
        <w:rPr>
          <w:rFonts w:ascii="Book Antiqua" w:hAnsi="Book Antiqua" w:cstheme="majorHAnsi"/>
          <w:b/>
          <w:bCs/>
        </w:rPr>
      </w:pPr>
    </w:p>
    <w:p w:rsidR="001A0388" w:rsidRPr="00921B7C" w:rsidRDefault="001A0388" w:rsidP="001A0388">
      <w:pPr>
        <w:pStyle w:val="ListParagraph"/>
        <w:spacing w:after="0"/>
        <w:ind w:left="1080"/>
        <w:jc w:val="both"/>
        <w:rPr>
          <w:rFonts w:ascii="Book Antiqua" w:hAnsi="Book Antiqua" w:cstheme="majorHAnsi"/>
        </w:rPr>
      </w:pPr>
    </w:p>
    <w:p w:rsidR="001A0388" w:rsidRPr="00111467" w:rsidRDefault="001A0388" w:rsidP="001A0388">
      <w:pPr>
        <w:pStyle w:val="ListParagraph"/>
        <w:numPr>
          <w:ilvl w:val="0"/>
          <w:numId w:val="3"/>
        </w:numPr>
        <w:spacing w:after="0"/>
        <w:jc w:val="both"/>
        <w:rPr>
          <w:rFonts w:ascii="Book Antiqua" w:hAnsi="Book Antiqua" w:cstheme="majorHAnsi"/>
        </w:rPr>
      </w:pPr>
      <w:r>
        <w:rPr>
          <w:rFonts w:ascii="Book Antiqua" w:hAnsi="Book Antiqua" w:cstheme="majorHAnsi"/>
          <w:b/>
          <w:bCs/>
        </w:rPr>
        <w:t xml:space="preserve">Gadījumā, ja Ekonomikas ministrija neredz iespēju šajos grozījumos izdalīt poligonu gāzi kā atsevišķu atjaunojamo energoresursa veidu, lūdzam Projektā iekļaut nosacījumu, ka Noteikumu Nr. 560 31.2.1. un 31.2.2. punktos noteiktās elektrostaciju lietderības prasības nav piemērojamas tām biogāzes elektrostacijām, kas ievērojot MK noteikumu 2. pielikumu 100% apmērā izmanto organiskās izcelsmes atkritumus un ražošanas </w:t>
      </w:r>
      <w:proofErr w:type="spellStart"/>
      <w:r>
        <w:rPr>
          <w:rFonts w:ascii="Book Antiqua" w:hAnsi="Book Antiqua" w:cstheme="majorHAnsi"/>
          <w:b/>
          <w:bCs/>
        </w:rPr>
        <w:t>atlikumproduktus</w:t>
      </w:r>
      <w:proofErr w:type="spellEnd"/>
      <w:r>
        <w:rPr>
          <w:rFonts w:ascii="Book Antiqua" w:hAnsi="Book Antiqua" w:cstheme="majorHAnsi"/>
          <w:b/>
          <w:bCs/>
        </w:rPr>
        <w:t>.</w:t>
      </w:r>
    </w:p>
    <w:p w:rsidR="001A0388" w:rsidRDefault="001A0388" w:rsidP="001A0388">
      <w:pPr>
        <w:jc w:val="both"/>
        <w:rPr>
          <w:rFonts w:ascii="Book Antiqua" w:hAnsi="Book Antiqua" w:cstheme="majorHAnsi"/>
        </w:rPr>
      </w:pPr>
    </w:p>
    <w:p w:rsidR="001A0388" w:rsidRPr="003917B8" w:rsidRDefault="001A0388" w:rsidP="001A0388">
      <w:pPr>
        <w:ind w:firstLine="720"/>
        <w:jc w:val="both"/>
        <w:rPr>
          <w:rFonts w:ascii="Book Antiqua" w:hAnsi="Book Antiqua" w:cs="Times New Roman"/>
        </w:rPr>
      </w:pPr>
      <w:r w:rsidRPr="003917B8">
        <w:rPr>
          <w:rFonts w:ascii="Book Antiqua" w:hAnsi="Book Antiqua" w:cs="Times New Roman"/>
        </w:rPr>
        <w:t>Aicinām ņemt vērā šajā vēstulē minētos LASUA ieteikumus. Vienlaikus darām zināmu, ka šajā vēstulē pausto papildinājumu apjoms nav izsmeļošs un tas var tikt papildināts Projekta turpmākās saskaņošanas procesā.</w:t>
      </w:r>
    </w:p>
    <w:p w:rsidR="001A0388" w:rsidRDefault="001A0388" w:rsidP="001A0388">
      <w:pPr>
        <w:jc w:val="both"/>
        <w:rPr>
          <w:rFonts w:ascii="Book Antiqua" w:hAnsi="Book Antiqua" w:cstheme="majorHAnsi"/>
        </w:rPr>
      </w:pPr>
    </w:p>
    <w:p w:rsidR="001A0388" w:rsidRDefault="001A0388" w:rsidP="001A0388">
      <w:pPr>
        <w:jc w:val="both"/>
        <w:rPr>
          <w:rFonts w:ascii="Book Antiqua" w:hAnsi="Book Antiqua" w:cstheme="majorHAnsi"/>
        </w:rPr>
      </w:pPr>
      <w:r>
        <w:rPr>
          <w:rFonts w:ascii="Book Antiqua" w:hAnsi="Book Antiqua" w:cstheme="majorHAnsi"/>
        </w:rPr>
        <w:t>Ar cieņu :</w:t>
      </w:r>
    </w:p>
    <w:p w:rsidR="001A0388" w:rsidRDefault="001A0388" w:rsidP="001A0388">
      <w:pPr>
        <w:jc w:val="both"/>
        <w:rPr>
          <w:rFonts w:ascii="Book Antiqua" w:hAnsi="Book Antiqua" w:cstheme="majorHAnsi"/>
        </w:rPr>
      </w:pPr>
      <w:r>
        <w:rPr>
          <w:rFonts w:ascii="Book Antiqua" w:hAnsi="Book Antiqua" w:cstheme="majorHAnsi"/>
        </w:rPr>
        <w:t>Izpilddirektors</w:t>
      </w:r>
      <w:r>
        <w:rPr>
          <w:rFonts w:ascii="Book Antiqua" w:hAnsi="Book Antiqua" w:cstheme="majorHAnsi"/>
        </w:rPr>
        <w:tab/>
      </w:r>
      <w:r>
        <w:rPr>
          <w:rFonts w:ascii="Book Antiqua" w:hAnsi="Book Antiqua" w:cstheme="majorHAnsi"/>
        </w:rPr>
        <w:tab/>
      </w:r>
      <w:r>
        <w:rPr>
          <w:rFonts w:ascii="Book Antiqua" w:hAnsi="Book Antiqua" w:cstheme="majorHAnsi"/>
        </w:rPr>
        <w:tab/>
      </w:r>
      <w:r>
        <w:rPr>
          <w:rFonts w:ascii="Book Antiqua" w:hAnsi="Book Antiqua" w:cstheme="majorHAnsi"/>
        </w:rPr>
        <w:tab/>
        <w:t xml:space="preserve">                          </w:t>
      </w:r>
      <w:r>
        <w:rPr>
          <w:rFonts w:ascii="Book Antiqua" w:hAnsi="Book Antiqua" w:cstheme="majorHAnsi"/>
        </w:rPr>
        <w:tab/>
        <w:t xml:space="preserve">Armands </w:t>
      </w:r>
      <w:proofErr w:type="spellStart"/>
      <w:r>
        <w:rPr>
          <w:rFonts w:ascii="Book Antiqua" w:hAnsi="Book Antiqua" w:cstheme="majorHAnsi"/>
        </w:rPr>
        <w:t>Nikolajevs</w:t>
      </w:r>
      <w:proofErr w:type="spellEnd"/>
    </w:p>
    <w:p w:rsidR="001A0388" w:rsidRDefault="001A0388" w:rsidP="001A0388">
      <w:pPr>
        <w:jc w:val="both"/>
        <w:rPr>
          <w:rFonts w:ascii="Book Antiqua" w:hAnsi="Book Antiqua" w:cstheme="majorHAnsi"/>
        </w:rPr>
      </w:pPr>
    </w:p>
    <w:p w:rsidR="001A0388" w:rsidRDefault="001A0388" w:rsidP="001A0388">
      <w:pPr>
        <w:jc w:val="both"/>
        <w:rPr>
          <w:rFonts w:ascii="Book Antiqua" w:hAnsi="Book Antiqua" w:cstheme="majorHAnsi"/>
        </w:rPr>
      </w:pPr>
    </w:p>
    <w:p w:rsidR="001A0388" w:rsidRPr="00BA3709" w:rsidRDefault="001A0388" w:rsidP="001A0388">
      <w:pPr>
        <w:jc w:val="center"/>
        <w:rPr>
          <w:rFonts w:ascii="Book Antiqua" w:hAnsi="Book Antiqua"/>
          <w:i/>
          <w:iCs/>
          <w:smallCaps/>
        </w:rPr>
      </w:pPr>
      <w:r w:rsidRPr="00BA3709">
        <w:rPr>
          <w:rFonts w:ascii="Book Antiqua" w:hAnsi="Book Antiqua" w:cs="Times New Roman"/>
          <w:i/>
          <w:iCs/>
        </w:rPr>
        <w:t>Dokuments parakstīts ar drošu elektronisko parakstu un satur laika zīmogu</w:t>
      </w:r>
    </w:p>
    <w:sectPr w:rsidR="001A0388" w:rsidRPr="00BA3709">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0" w:footer="0" w:gutter="0"/>
      <w:cols w:space="720"/>
      <w:formProt w:val="0"/>
      <w:docGrid w:linePitch="360" w:charSpace="-204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A847F0" w:rsidRDefault="00A847F0" w:rsidP="00B64C6F">
      <w:pPr>
        <w:spacing w:after="0" w:line="240" w:lineRule="auto"/>
      </w:pPr>
      <w:r>
        <w:separator/>
      </w:r>
    </w:p>
  </w:endnote>
  <w:endnote w:type="continuationSeparator" w:id="0">
    <w:p w:rsidR="00A847F0" w:rsidRDefault="00A847F0" w:rsidP="00B64C6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0002EFF" w:usb1="C0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Liberation Sans">
    <w:altName w:val="Arial"/>
    <w:charset w:val="BA"/>
    <w:family w:val="swiss"/>
    <w:pitch w:val="variable"/>
  </w:font>
  <w:font w:name="Microsoft YaHei">
    <w:panose1 w:val="020B0503020204020204"/>
    <w:charset w:val="86"/>
    <w:family w:val="swiss"/>
    <w:pitch w:val="variable"/>
    <w:sig w:usb0="80000287" w:usb1="2ACF3C50" w:usb2="00000016" w:usb3="00000000" w:csb0="0004001F" w:csb1="00000000"/>
  </w:font>
  <w:font w:name="Arial">
    <w:panose1 w:val="020B0604020202020204"/>
    <w:charset w:val="BA"/>
    <w:family w:val="swiss"/>
    <w:pitch w:val="variable"/>
    <w:sig w:usb0="E0002EFF" w:usb1="C000785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onsolas">
    <w:panose1 w:val="020B0609020204030204"/>
    <w:charset w:val="BA"/>
    <w:family w:val="modern"/>
    <w:pitch w:val="fixed"/>
    <w:sig w:usb0="E00006FF" w:usb1="0000FCFF" w:usb2="00000001" w:usb3="00000000" w:csb0="0000019F" w:csb1="00000000"/>
  </w:font>
  <w:font w:name="Book Antiqua">
    <w:panose1 w:val="02040602050305030304"/>
    <w:charset w:val="BA"/>
    <w:family w:val="roman"/>
    <w:pitch w:val="variable"/>
    <w:sig w:usb0="00000287" w:usb1="00000000" w:usb2="00000000" w:usb3="00000000" w:csb0="0000009F" w:csb1="00000000"/>
  </w:font>
  <w:font w:name="Calibri Light">
    <w:panose1 w:val="020F0302020204030204"/>
    <w:charset w:val="BA"/>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B64C6F" w:rsidRDefault="00B64C6F">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B64C6F" w:rsidRDefault="00B64C6F">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B64C6F" w:rsidRDefault="00B64C6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A847F0" w:rsidRDefault="00A847F0" w:rsidP="00B64C6F">
      <w:pPr>
        <w:spacing w:after="0" w:line="240" w:lineRule="auto"/>
      </w:pPr>
      <w:r>
        <w:separator/>
      </w:r>
    </w:p>
  </w:footnote>
  <w:footnote w:type="continuationSeparator" w:id="0">
    <w:p w:rsidR="00A847F0" w:rsidRDefault="00A847F0" w:rsidP="00B64C6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B64C6F" w:rsidRDefault="00A847F0">
    <w:pPr>
      <w:pStyle w:val="Header"/>
    </w:pPr>
    <w:r>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29218286" o:spid="_x0000_s2053" type="#_x0000_t75" style="position:absolute;margin-left:0;margin-top:0;width:565.9pt;height:800pt;z-index:-251657216;mso-position-horizontal:center;mso-position-horizontal-relative:margin;mso-position-vertical:center;mso-position-vertical-relative:margin" o:allowincell="f">
          <v:imagedata r:id="rId1" o:title="LASUA_veidlapa_2020-01"/>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B64C6F" w:rsidRDefault="00A847F0">
    <w:pPr>
      <w:pStyle w:val="Header"/>
    </w:pPr>
    <w:r>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29218287" o:spid="_x0000_s2054" type="#_x0000_t75" style="position:absolute;margin-left:0;margin-top:0;width:565.9pt;height:800pt;z-index:-251656192;mso-position-horizontal:center;mso-position-horizontal-relative:margin;mso-position-vertical:center;mso-position-vertical-relative:margin" o:allowincell="f">
          <v:imagedata r:id="rId1" o:title="LASUA_veidlapa_2020-01"/>
          <w10:wrap anchorx="margin" anchory="margin"/>
        </v:shape>
      </w:pi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B64C6F" w:rsidRDefault="00A847F0">
    <w:pPr>
      <w:pStyle w:val="Header"/>
    </w:pPr>
    <w:r>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29218285" o:spid="_x0000_s2052" type="#_x0000_t75" style="position:absolute;margin-left:0;margin-top:0;width:565.9pt;height:800pt;z-index:-251658240;mso-position-horizontal:center;mso-position-horizontal-relative:margin;mso-position-vertical:center;mso-position-vertical-relative:margin" o:allowincell="f">
          <v:imagedata r:id="rId1" o:title="LASUA_veidlapa_2020-01"/>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B1A250F"/>
    <w:multiLevelType w:val="hybridMultilevel"/>
    <w:tmpl w:val="D430E684"/>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 w15:restartNumberingAfterBreak="0">
    <w:nsid w:val="4AB001DA"/>
    <w:multiLevelType w:val="hybridMultilevel"/>
    <w:tmpl w:val="84E83474"/>
    <w:lvl w:ilvl="0" w:tplc="1090EA64">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15:restartNumberingAfterBreak="0">
    <w:nsid w:val="7E7D52B2"/>
    <w:multiLevelType w:val="hybridMultilevel"/>
    <w:tmpl w:val="EDBCE9AA"/>
    <w:lvl w:ilvl="0" w:tplc="A2E6CD70">
      <w:start w:val="1"/>
      <w:numFmt w:val="decimal"/>
      <w:lvlText w:val="%1."/>
      <w:lvlJc w:val="left"/>
      <w:pPr>
        <w:ind w:left="1080" w:hanging="360"/>
      </w:pPr>
      <w:rPr>
        <w:rFonts w:hint="default"/>
        <w:b/>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num w:numId="1">
    <w:abstractNumId w:val="0"/>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oNotDisplayPageBoundaries/>
  <w:proofState w:spelling="clean" w:grammar="clean"/>
  <w:defaultTabStop w:val="720"/>
  <w:characterSpacingControl w:val="doNotCompress"/>
  <w:hdrShapeDefaults>
    <o:shapedefaults v:ext="edit" spidmax="2055"/>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7646C"/>
    <w:rsid w:val="00105671"/>
    <w:rsid w:val="00143904"/>
    <w:rsid w:val="001A0388"/>
    <w:rsid w:val="00265698"/>
    <w:rsid w:val="002678E7"/>
    <w:rsid w:val="002A0B0D"/>
    <w:rsid w:val="003B7162"/>
    <w:rsid w:val="00435486"/>
    <w:rsid w:val="00462B31"/>
    <w:rsid w:val="00465769"/>
    <w:rsid w:val="004B1E93"/>
    <w:rsid w:val="00534877"/>
    <w:rsid w:val="00553DE7"/>
    <w:rsid w:val="006926FF"/>
    <w:rsid w:val="006B4EE8"/>
    <w:rsid w:val="0077646C"/>
    <w:rsid w:val="007C2A31"/>
    <w:rsid w:val="0084471B"/>
    <w:rsid w:val="00995AA3"/>
    <w:rsid w:val="009B7C81"/>
    <w:rsid w:val="00A847F0"/>
    <w:rsid w:val="00AC2E38"/>
    <w:rsid w:val="00B64C6F"/>
    <w:rsid w:val="00C12B52"/>
    <w:rsid w:val="00CC5A7A"/>
    <w:rsid w:val="00E308BE"/>
    <w:rsid w:val="00E41131"/>
    <w:rsid w:val="00ED4080"/>
    <w:rsid w:val="00F10182"/>
  </w:rsids>
  <m:mathPr>
    <m:mathFont m:val="Cambria Math"/>
    <m:brkBin m:val="before"/>
    <m:brkBinSub m:val="--"/>
    <m:smallFrac m:val="0"/>
    <m:dispDef/>
    <m:lMargin m:val="0"/>
    <m:rMargin m:val="0"/>
    <m:defJc m:val="centerGroup"/>
    <m:wrapIndent m:val="1440"/>
    <m:intLim m:val="subSup"/>
    <m:naryLim m:val="undOvr"/>
  </m:mathPr>
  <w:themeFontLang w:val="lv-LV" w:eastAsia="" w:bidi=""/>
  <w:clrSchemeMapping w:bg1="light1" w:t1="dark1" w:bg2="light2" w:t2="dark2" w:accent1="accent1" w:accent2="accent2" w:accent3="accent3" w:accent4="accent4" w:accent5="accent5" w:accent6="accent6" w:hyperlink="hyperlink" w:followedHyperlink="followedHyperlink"/>
  <w:shapeDefaults>
    <o:shapedefaults v:ext="edit" spidmax="2055"/>
    <o:shapelayout v:ext="edit">
      <o:idmap v:ext="edit" data="1"/>
    </o:shapelayout>
  </w:shapeDefaults>
  <w:decimalSymbol w:val="."/>
  <w:listSeparator w:val=";"/>
  <w15:docId w15:val="{0ACD82BF-3570-416E-8FA0-7730F122D65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lv-LV" w:eastAsia="en-US" w:bidi="ar-SA"/>
      </w:rPr>
    </w:rPrDefault>
    <w:pPrDefault>
      <w:pPr>
        <w:spacing w:line="25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qFormat="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uppressAutoHyphens/>
      <w:spacing w:after="160"/>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BalloonTextChar">
    <w:name w:val="Balloon Text Char"/>
    <w:basedOn w:val="DefaultParagraphFont"/>
    <w:link w:val="BalloonText"/>
    <w:uiPriority w:val="99"/>
    <w:semiHidden/>
    <w:rsid w:val="00C33D74"/>
    <w:rPr>
      <w:rFonts w:ascii="Segoe UI" w:hAnsi="Segoe UI" w:cs="Segoe UI"/>
      <w:sz w:val="18"/>
      <w:szCs w:val="18"/>
    </w:rPr>
  </w:style>
  <w:style w:type="character" w:customStyle="1" w:styleId="HeaderChar">
    <w:name w:val="Header Char"/>
    <w:basedOn w:val="DefaultParagraphFont"/>
    <w:link w:val="Header"/>
    <w:uiPriority w:val="99"/>
    <w:rsid w:val="00C33D74"/>
  </w:style>
  <w:style w:type="character" w:customStyle="1" w:styleId="FooterChar">
    <w:name w:val="Footer Char"/>
    <w:basedOn w:val="DefaultParagraphFont"/>
    <w:link w:val="Footer"/>
    <w:uiPriority w:val="99"/>
    <w:rsid w:val="00C33D74"/>
  </w:style>
  <w:style w:type="paragraph" w:customStyle="1" w:styleId="Heading">
    <w:name w:val="Heading"/>
    <w:basedOn w:val="Normal"/>
    <w:next w:val="TextBody"/>
    <w:pPr>
      <w:keepNext/>
      <w:spacing w:before="240" w:after="120"/>
    </w:pPr>
    <w:rPr>
      <w:rFonts w:ascii="Liberation Sans" w:eastAsia="Microsoft YaHei" w:hAnsi="Liberation Sans" w:cs="Arial"/>
      <w:sz w:val="28"/>
      <w:szCs w:val="28"/>
    </w:rPr>
  </w:style>
  <w:style w:type="paragraph" w:customStyle="1" w:styleId="TextBody">
    <w:name w:val="Text Body"/>
    <w:basedOn w:val="Normal"/>
    <w:pPr>
      <w:spacing w:after="140" w:line="288" w:lineRule="auto"/>
    </w:pPr>
  </w:style>
  <w:style w:type="paragraph" w:styleId="List">
    <w:name w:val="List"/>
    <w:basedOn w:val="TextBody"/>
    <w:rPr>
      <w:rFonts w:cs="Arial"/>
    </w:rPr>
  </w:style>
  <w:style w:type="paragraph" w:styleId="Caption">
    <w:name w:val="caption"/>
    <w:basedOn w:val="Normal"/>
    <w:pPr>
      <w:suppressLineNumbers/>
      <w:spacing w:before="120" w:after="120"/>
    </w:pPr>
    <w:rPr>
      <w:rFonts w:cs="Arial"/>
      <w:i/>
      <w:iCs/>
      <w:sz w:val="24"/>
      <w:szCs w:val="24"/>
    </w:rPr>
  </w:style>
  <w:style w:type="paragraph" w:customStyle="1" w:styleId="Index">
    <w:name w:val="Index"/>
    <w:basedOn w:val="Normal"/>
    <w:pPr>
      <w:suppressLineNumbers/>
    </w:pPr>
    <w:rPr>
      <w:rFonts w:cs="Arial"/>
    </w:rPr>
  </w:style>
  <w:style w:type="paragraph" w:styleId="BalloonText">
    <w:name w:val="Balloon Text"/>
    <w:basedOn w:val="Normal"/>
    <w:link w:val="BalloonTextChar"/>
    <w:uiPriority w:val="99"/>
    <w:semiHidden/>
    <w:unhideWhenUsed/>
    <w:rsid w:val="00C33D74"/>
    <w:pPr>
      <w:spacing w:after="0" w:line="240" w:lineRule="auto"/>
    </w:pPr>
    <w:rPr>
      <w:rFonts w:ascii="Segoe UI" w:hAnsi="Segoe UI" w:cs="Segoe UI"/>
      <w:sz w:val="18"/>
      <w:szCs w:val="18"/>
    </w:rPr>
  </w:style>
  <w:style w:type="paragraph" w:styleId="Header">
    <w:name w:val="header"/>
    <w:basedOn w:val="Normal"/>
    <w:link w:val="HeaderChar"/>
    <w:uiPriority w:val="99"/>
    <w:unhideWhenUsed/>
    <w:rsid w:val="00C33D74"/>
    <w:pPr>
      <w:tabs>
        <w:tab w:val="center" w:pos="4153"/>
        <w:tab w:val="right" w:pos="8306"/>
      </w:tabs>
      <w:spacing w:after="0" w:line="240" w:lineRule="auto"/>
    </w:pPr>
  </w:style>
  <w:style w:type="paragraph" w:styleId="Footer">
    <w:name w:val="footer"/>
    <w:basedOn w:val="Normal"/>
    <w:link w:val="FooterChar"/>
    <w:uiPriority w:val="99"/>
    <w:unhideWhenUsed/>
    <w:rsid w:val="00C33D74"/>
    <w:pPr>
      <w:tabs>
        <w:tab w:val="center" w:pos="4153"/>
        <w:tab w:val="right" w:pos="8306"/>
      </w:tabs>
      <w:spacing w:after="0" w:line="240" w:lineRule="auto"/>
    </w:pPr>
  </w:style>
  <w:style w:type="paragraph" w:customStyle="1" w:styleId="Contenudetableau">
    <w:name w:val="Contenu de tableau"/>
    <w:basedOn w:val="Normal"/>
    <w:rsid w:val="006926FF"/>
    <w:pPr>
      <w:suppressLineNumbers/>
      <w:spacing w:after="0" w:line="240" w:lineRule="auto"/>
    </w:pPr>
    <w:rPr>
      <w:rFonts w:ascii="Times New Roman" w:eastAsia="SimSun" w:hAnsi="Times New Roman" w:cs="Times New Roman"/>
      <w:sz w:val="24"/>
      <w:szCs w:val="24"/>
      <w:lang w:val="en-GB" w:eastAsia="en-GB"/>
    </w:rPr>
  </w:style>
  <w:style w:type="paragraph" w:styleId="ListParagraph">
    <w:name w:val="List Paragraph"/>
    <w:basedOn w:val="Normal"/>
    <w:uiPriority w:val="34"/>
    <w:qFormat/>
    <w:rsid w:val="006926FF"/>
    <w:pPr>
      <w:suppressAutoHyphens w:val="0"/>
      <w:spacing w:after="200" w:line="240" w:lineRule="auto"/>
      <w:ind w:left="720"/>
      <w:contextualSpacing/>
    </w:pPr>
    <w:rPr>
      <w:rFonts w:ascii="Times New Roman" w:eastAsia="Calibri" w:hAnsi="Times New Roman" w:cs="Times New Roman"/>
      <w:sz w:val="24"/>
    </w:rPr>
  </w:style>
  <w:style w:type="character" w:styleId="Hyperlink">
    <w:name w:val="Hyperlink"/>
    <w:basedOn w:val="DefaultParagraphFont"/>
    <w:uiPriority w:val="99"/>
    <w:unhideWhenUsed/>
    <w:rsid w:val="00553DE7"/>
    <w:rPr>
      <w:color w:val="0563C1" w:themeColor="hyperlink"/>
      <w:u w:val="single"/>
    </w:rPr>
  </w:style>
  <w:style w:type="paragraph" w:customStyle="1" w:styleId="liknoteik">
    <w:name w:val="lik_noteik"/>
    <w:basedOn w:val="Normal"/>
    <w:rsid w:val="007C2A31"/>
    <w:pPr>
      <w:suppressAutoHyphens w:val="0"/>
      <w:spacing w:before="100" w:beforeAutospacing="1" w:after="100" w:afterAutospacing="1" w:line="240" w:lineRule="auto"/>
    </w:pPr>
    <w:rPr>
      <w:rFonts w:ascii="Times New Roman" w:eastAsia="Times New Roman" w:hAnsi="Times New Roman" w:cs="Times New Roman"/>
      <w:sz w:val="24"/>
      <w:szCs w:val="24"/>
      <w:lang w:eastAsia="lv-LV"/>
    </w:rPr>
  </w:style>
  <w:style w:type="paragraph" w:customStyle="1" w:styleId="Normal1">
    <w:name w:val="Normal1"/>
    <w:basedOn w:val="Normal"/>
    <w:rsid w:val="00462B31"/>
    <w:pPr>
      <w:suppressAutoHyphens w:val="0"/>
      <w:spacing w:before="100" w:beforeAutospacing="1" w:after="100" w:afterAutospacing="1" w:line="240" w:lineRule="auto"/>
    </w:pPr>
    <w:rPr>
      <w:rFonts w:ascii="Times New Roman" w:eastAsia="Times New Roman" w:hAnsi="Times New Roman" w:cs="Times New Roman"/>
      <w:sz w:val="24"/>
      <w:szCs w:val="24"/>
      <w:lang w:eastAsia="lv-LV"/>
    </w:rPr>
  </w:style>
  <w:style w:type="paragraph" w:styleId="PlainText">
    <w:name w:val="Plain Text"/>
    <w:basedOn w:val="Normal"/>
    <w:link w:val="PlainTextChar"/>
    <w:uiPriority w:val="99"/>
    <w:semiHidden/>
    <w:unhideWhenUsed/>
    <w:qFormat/>
    <w:rsid w:val="00E308BE"/>
    <w:pPr>
      <w:suppressAutoHyphens w:val="0"/>
      <w:spacing w:after="0" w:line="240" w:lineRule="auto"/>
    </w:pPr>
    <w:rPr>
      <w:rFonts w:ascii="Calibri" w:hAnsi="Calibri" w:cs="Consolas"/>
      <w:szCs w:val="21"/>
      <w:lang w:val="en-US"/>
    </w:rPr>
  </w:style>
  <w:style w:type="character" w:customStyle="1" w:styleId="PlainTextChar">
    <w:name w:val="Plain Text Char"/>
    <w:basedOn w:val="DefaultParagraphFont"/>
    <w:link w:val="PlainText"/>
    <w:uiPriority w:val="99"/>
    <w:semiHidden/>
    <w:qFormat/>
    <w:rsid w:val="00E308BE"/>
    <w:rPr>
      <w:rFonts w:ascii="Calibri" w:hAnsi="Calibri" w:cs="Consolas"/>
      <w:szCs w:val="21"/>
      <w:lang w:val="en-US"/>
    </w:rPr>
  </w:style>
  <w:style w:type="character" w:styleId="Strong">
    <w:name w:val="Strong"/>
    <w:basedOn w:val="DefaultParagraphFont"/>
    <w:qFormat/>
    <w:rsid w:val="00E308BE"/>
    <w:rPr>
      <w:b/>
      <w:bCs/>
    </w:rPr>
  </w:style>
  <w:style w:type="paragraph" w:customStyle="1" w:styleId="norm">
    <w:name w:val="norm"/>
    <w:basedOn w:val="Normal"/>
    <w:rsid w:val="00105671"/>
    <w:pPr>
      <w:suppressAutoHyphens w:val="0"/>
      <w:spacing w:before="100" w:beforeAutospacing="1" w:after="100" w:afterAutospacing="1" w:line="240" w:lineRule="auto"/>
    </w:pPr>
    <w:rPr>
      <w:rFonts w:ascii="Times New Roman" w:eastAsia="Times New Roman" w:hAnsi="Times New Roman" w:cs="Times New Roman"/>
      <w:sz w:val="24"/>
      <w:szCs w:val="24"/>
      <w:lang w:eastAsia="lv-LV"/>
    </w:rPr>
  </w:style>
  <w:style w:type="paragraph" w:styleId="FootnoteText">
    <w:name w:val="footnote text"/>
    <w:basedOn w:val="Normal"/>
    <w:link w:val="FootnoteTextChar"/>
    <w:uiPriority w:val="99"/>
    <w:semiHidden/>
    <w:unhideWhenUsed/>
    <w:rsid w:val="00995AA3"/>
    <w:pPr>
      <w:suppressAutoHyphens w:val="0"/>
      <w:spacing w:after="0" w:line="240" w:lineRule="auto"/>
    </w:pPr>
    <w:rPr>
      <w:sz w:val="20"/>
      <w:szCs w:val="20"/>
    </w:rPr>
  </w:style>
  <w:style w:type="character" w:customStyle="1" w:styleId="FootnoteTextChar">
    <w:name w:val="Footnote Text Char"/>
    <w:basedOn w:val="DefaultParagraphFont"/>
    <w:link w:val="FootnoteText"/>
    <w:uiPriority w:val="99"/>
    <w:semiHidden/>
    <w:rsid w:val="00995AA3"/>
    <w:rPr>
      <w:sz w:val="20"/>
      <w:szCs w:val="20"/>
    </w:rPr>
  </w:style>
  <w:style w:type="character" w:styleId="FootnoteReference">
    <w:name w:val="footnote reference"/>
    <w:basedOn w:val="DefaultParagraphFont"/>
    <w:uiPriority w:val="99"/>
    <w:semiHidden/>
    <w:unhideWhenUsed/>
    <w:rsid w:val="00995AA3"/>
    <w:rPr>
      <w:vertAlign w:val="superscript"/>
    </w:rPr>
  </w:style>
  <w:style w:type="character" w:customStyle="1" w:styleId="boldface">
    <w:name w:val="boldface"/>
    <w:basedOn w:val="DefaultParagraphFont"/>
    <w:rsid w:val="00995AA3"/>
  </w:style>
  <w:style w:type="paragraph" w:customStyle="1" w:styleId="naisc">
    <w:name w:val="naisc"/>
    <w:basedOn w:val="Normal"/>
    <w:rsid w:val="001A0388"/>
    <w:pPr>
      <w:suppressAutoHyphens w:val="0"/>
      <w:spacing w:before="75" w:after="75" w:line="240" w:lineRule="auto"/>
      <w:jc w:val="center"/>
    </w:pPr>
    <w:rPr>
      <w:rFonts w:ascii="Times New Roman" w:eastAsia="Times New Roman" w:hAnsi="Times New Roman" w:cs="Times New Roman"/>
      <w:sz w:val="24"/>
      <w:szCs w:val="24"/>
      <w:lang w:eastAsia="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8" Type="http://schemas.openxmlformats.org/officeDocument/2006/relationships/hyperlink" Target="mailto:alvils.strikeris@em.gov.lv" TargetMode="External"/><Relationship Id="rId13" Type="http://schemas.openxmlformats.org/officeDocument/2006/relationships/header" Target="header3.xml"/><Relationship Id="rId3" Type="http://schemas.openxmlformats.org/officeDocument/2006/relationships/settings" Target="settings.xml"/><Relationship Id="rId7" Type="http://schemas.openxmlformats.org/officeDocument/2006/relationships/hyperlink" Target="mailto:pasts@em.gov.lv" TargetMode="External"/><Relationship Id="rId12" Type="http://schemas.openxmlformats.org/officeDocument/2006/relationships/footer" Target="footer2.xm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header" Target="header1.xml"/><Relationship Id="rId14" Type="http://schemas.openxmlformats.org/officeDocument/2006/relationships/footer" Target="footer3.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header3.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4</Pages>
  <Words>5998</Words>
  <Characters>3419</Characters>
  <Application>Microsoft Office Word</Application>
  <DocSecurity>0</DocSecurity>
  <Lines>28</Lines>
  <Paragraphs>18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9399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Laura</dc:creator>
  <cp:lastModifiedBy>Alvils Strīķeris</cp:lastModifiedBy>
  <cp:revision>2</cp:revision>
  <cp:lastPrinted>2020-11-11T07:30:00Z</cp:lastPrinted>
  <dcterms:created xsi:type="dcterms:W3CDTF">2021-04-14T09:14:00Z</dcterms:created>
  <dcterms:modified xsi:type="dcterms:W3CDTF">2021-04-14T09:14:00Z</dcterms:modified>
  <dc:language>lv-LV</dc:language>
</cp:coreProperties>
</file>