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22-TA-518: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atbalsta piešķiršanas kārtība mazajiem lauksaimniekiem 2022.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Lauksaimniecības un lauku attīstības likuma 5. panta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ietvertais regulējums cita starpā paredz arī normu par kārtību, kādā tiek administrēts un uzraudzīts valsts un Eiropas Savienības atbalsts lauksaimniecībai un citu regulējumu saistībā vismaz ar noteikumu projekta ietveros sniegtā atbalsta administrēšanu, lūdzam izvērtēt un atbilstoši papildināt noteikumu projekta tiesiskās izdošanas pamatu ar norādi uz Lauksaimniecības un lauku attīstības likuma 5. panta septīto daļu, kā arī atbilstoši precizēt noteikumu projekta nosaukumu un 1. punktu (nepieciešamības gadījumā arī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tiesiskās izdošanas pamats papildināts ar norādi uz Lauksaimniecības un lauku attīstības likuma 5. panta septīto daļu un precizēts noteikumu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Lauksaimniecības un lauku attīstības likuma 5. panta ceturto un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Lauksaimnieks, kas nodarbojas ar lauksaimniecības produktu pārstrādi un lauksaimniecības produktu primāro ražošanu, grāmatvedības uzskaitē nodala katru no šīm darbībām, ievērojot atbalsta maksimālo intensitāti un atbalsta apmēru. Kopējais ierobežota apjoma atbalsta apmērs, kas piešķirts saskaņā ar Eiropas Komisijas 2020. gada 19. marta paziņojumu "Pagaidu regulējums valsts atbalsta pasākumiem, ar ko atbalsta ekonomiku pašreizējā Covid-19 uzliesmojuma situācijā" (C(2020)1863), saistīto personu grupai nepārsniedz 2 300 000 </w:t>
            </w:r>
            <w:r w:rsidR="00000000" w:rsidRPr="00000000" w:rsidDel="00000000">
              <w:rPr>
                <w:i w:val="1"/>
                <w:rtl w:val="0"/>
              </w:rPr>
              <w:t xml:space="preserve">euro</w:t>
            </w:r>
            <w:r w:rsidR="00000000" w:rsidRPr="00000000" w:rsidDel="00000000">
              <w:rPr>
                <w:rtl w:val="0"/>
              </w:rPr>
              <w:t xml:space="preserve">, bet zvejniecības un akvakultūras darbībām un primārās lauksaimnieciskās ražošanas jomā kopējais atbalsta apmērs saistīto personu grupai nepārsniedz 345 000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3. un 4. punktu. Proti,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minētajās normās ietvertais regulējums nav strukturāli skaidrs un pārskatāms, kā rezultātā nav gūstama pārliecība par Eiropas Komisijas 2020. gada 19. marta paziņojumā "Pagaidu regulējums valsts atbalsta pasākumiem, ar ko atbalsta ekonomiku pašreizējā Covid-19 uzliesmojuma situācijā" (C(2020)1863) (turpmāk - paziņojums) ietverto prasību ievērošanu. Piemēram, nav saprotams, vai 3. punkts attiecināms vienīgi uz gadījumiem, kad mazais lauksaimnieks nodarbojas ar vairāku veidu minētajā punktā paredzēto saimniecisko darbību, tāpat, piemēram, kuros gadījumos attiecināms pienākums grāmatvedības uzskaitē nodalīt katru no attiecīgajām darbībām un tas, ar ko atšķiras </w:t>
            </w:r>
            <w:r w:rsidR="00000000" w:rsidRPr="00000000" w:rsidDel="00000000">
              <w:rPr>
                <w:u w:val="single"/>
                <w:rtl w:val="0"/>
              </w:rPr>
              <w:t xml:space="preserve">ierobežots </w:t>
            </w:r>
            <w:r w:rsidR="00000000" w:rsidRPr="00000000" w:rsidDel="00000000">
              <w:rPr>
                <w:rtl w:val="0"/>
              </w:rPr>
              <w:t xml:space="preserve">atbalsts no atbalsta bez attiecīgās norādes;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minētajos punktos ietvertā regulējuma vārdiskās jēgas skaidri neizriet, vai atbalsta apmēra ierobežojumi abos punktos minētajos gadījumos izriet no paziņojuma.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jauns noteikuma projekts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Atbalstu piešķir lauksaimniekam, pamatojoties uz normatīvajos aktos par tiešo maksājumu piešķiršanu lauksaimniekiem noteiktajā kārtībā iesniegtā 2021. gada vienotā iesnieguma datiem, ja 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ir pārkāptas Eiropas Komisijas lēmumā par valsts atbalsta saderību ar Eiropas Savienības iekšējo tirgu prasības, dienests uzliek par pienākumu lauksaimniekam atmaksāt saņemto nelikumīgo valsts atbalstu. Atmaksu veic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pantu lēmumi uzliek saistības kopumā. Lēmumi, kuros ir norādīti konkrēti adresāti, ir saistoši tikai šiem adresātiem – lēmumā tiek ietverta precīza norāde, kam tieši tas adresēts. Lēmuma adresāts var būt gan viena vai vairākas dalībvalstis, gan privātpersonas, t. i., fiziskas un juridiskas personas. Ja lēmumā nav norādīts konkrēts adresāts, tad šī lēmuma adresāts ir visas dalībvalstis un tie ir saistoši gan Eiropas Savienībai, gan arī dalībvalstīm. Taču, tā kā šādi lēmumi nav adresēti privātpersonām, tie nevar uzlikt viņiem pienākumus. Attiecīgi, ņemot vērā minēto un to, ka cita starpā no noteikumu projekta un tā anotācijas neizriet, ka Eiropas Komisijas lēmums par valsts atbalsta saderību ar Eiropas Savienības iekšējo tirgu ir adresēts mazajiem lauksaimniekiem, lūdzam noteikumu projekta 11. punktā neatsaukties uz minēto lēmumu, bet gan noteikumu projekta vienībām (nepieciešamības gadījumā to papildinot), kur attiecīgās Eiropas Komisijas lēmuma par valsts atbalsta saderību ar Eiropas Savienības iekšējo tirgu prasības ir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ir pārkāptas šo noteikumu prasības, dienests uzliek par pienākumu lauksaimniekam atmaksāt saskaņā ar šiem noteikumiem saņemto  nelikumīgo valsts atbalstu. Atmaksu veic kopā ar procentiem, no līdzekļiem, kas ir brīvi no valsts atbalsta, saskaņā ar Komercdarbības atbalsta kontroles likuma IV vai V nodaļu.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nodrošina informācijas publicēšanu atbilstoši Eiropas Komisijas lēmumā noteiktajām publicitātes pasākumu prasībām saskaņā ar normatīvajiem aktiem par kārtību, kādā publicē informāciju par sniegto komercdarbības atbalstu un piešķir un anulē elektroniskās sistēmas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un tā anotācijā skaidrot, vai ar Eiropas Komisijas lēmumu noteikumu projekta 13.1. apakšpunktā saprotams Eiropas Komisijas lēmums par komercdarbības atbalsta saderību ar Eiropas Savienības iekšējo tirgu, kas minēts noteikumu projekta 11.  punktā. Attiecīgā gadījumā lūdzam atbilstoši precizēt noteikumu projekta 13.1. apakšpunktu, vienveidojot noteikumu projektā lietoto terminoloģiju (nepieciešamības gadījumā atrunājot saīsinājumu). Uzsveram, ka viena jēdziena izteikšanai jāizmanto vieni un tie paši termini. Iekšējā terminoloģiskā konsekvence veicina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10.punkta (iepriekšējā 11.punkta) redakcija saprecizēta.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nodrošina informācijas publicēšanu atbilstoši Eiropas Komisijas lēmumā noteiktajām publicitātes pasākumu prasībām saskaņā ar normatīvajiem aktiem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pielikuma tabulas 14. 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Iekavas dzēstas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pārskatīt un precizēt noteikumu projekta pielikuma 2., 3., 5. un 6. punktu, nodrošinot, ka nosacīto liellopu vienību noteikšanai piemērojamie koeficienti ir nepārprotami savstarpēji norobežoti, piemēram, 3. punktā norādot uz zirgiem līdz 23 mēnešu vecumam, bet 6. punktā - uz liellopiem, kas nav vecāki par 5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pielikuma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9.19. apakšpunktu lūdzam papildināt noteikumu projekta anotācijas 5.4. sadaļas 1. tabulā ietverto informāciju par Komisijas 2014. gada 25. jūnija Regulas (ES) Nr. 702/2014, ar kuru konkrētas atbalsta kategorijas lauksaimniecības un mežsaimniecības nozarē un lauku apvidos atzīst par saderīgām ar iekšējo tirgu, piemērojot Līguma par Eiropas Savienības darbību 107. un 108. pantu, prasību ieviešanu, ņemot vērā, ka šobrīd no minētās tabulas neizriet informācija par, piemēram (bet ne tikai), minētās regulas 9. un 13. pantā ietverto prasību ieviešanu.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sadaļas 1.tabula ietverot informāciju, ka atbalsta uzraudzība un ziņošana notiek saskaņā ar pagaida regulējuma 4.sadaļu.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valsts atbalstu mazajiem lauksaimniekiem (turpmāk –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1.punkts būtu jāpapildina ar skaitli un vārdu “2022. gadam”, ņemot vērā, ka noteikumu projekta īstenošanai finansējums šobrīd pieejams tikai 2022.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1.punkts papildināts ar skaitli un vārdu "2022.gadam"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piešķir, administrē un uzrauga valsts atbalstu mazajiem lauksaimniekiem (turpmāk – atbalsts) 2022.gadam.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deklarētā dzīvesvietas vai juridiskā adrese visā laikposmā no 2021. gada 1. janvāra līdz 1. decembrim ir reģistrēta Latvijā ārpus valstspilsētas;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aiz vārda "deklarētā" ar vārdiem "vai reģistrētā", jo Dzīvesvietas deklarēšanas likums paredz, ka personai Latvijā var būt deklarētā dzīvesvietas adrese, kuru persona pati deklarē vai reģistrētā dzīvesvietas adrese, kuru reģistrē iestāde (pašvaldība) gadījumā, ja personai nav deklarētās dzīvesvietas adrese un attaisnojošu iemeslu dēļ pati persona šo adresi nespēj deklarēt.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noteikumu projekta ir 3.1.apakšpunktā (iepriekš 5.1.apakšpunkts) aiz vārda "deklarētā" papildināts ar vārdiem "vai reģistrētā"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Kopējā atbalsta summa ir 4 000 000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 un 9. punktā nodrošināt konsekventu terminoloģiju un 8. punktā norādīt uz kopējo pieejamo atbalstu, nevis kopējo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(iepriekš 8.punkts) norādīts uz kopējo pieejamo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Kopējā pieejamā atbalsta summa ir 4 000 000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Pilsonības un migrācijas lietu pārvalde sniedz informāciju par lauksaimnieka deklarēto dzīvesvietas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aiz vārda "deklarēto" ar vārdiem "vai reģistrēto", jo Dzīvesvietas deklarēšanas likums paredz, ka personai Latvijā var būt deklarētā dzīvesvietas adrese, kuru persona pati deklarē vai reģistrētā dzīvesvietas adrese, kuru reģistrē iestāde (pašvaldība) gadījumā, ja personai nav deklarētās dzīvesvietas adrese un attaisnojošu iemeslu dēļ pati persona šo adresi nespēj deklarēt.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noteikuma projekts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Pilsonības un migrācijas lietu pārvalde sniedz informāciju par lauksaimnieka deklarēto vai reģistrēto dzīvesvietas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7.punktā sniegto informāciju pārcelt uz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7.punktā sniegtā informācija ir pārcelta uz punktu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9.19. apakšpunktu lūdzam noteikumu projekta anotācijas 5.5. sadaļā neietvert informāciju par paziņojuma prasību ieviešanu, kā arī informāciju par minētā paziņojuma prasību ieviešanu lūdzam ietvert vienīgi anotācijas 5.  sadaļas ailītē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informāciju par Eiropas Komisijas 2020. gada 19. marta paziņojuma "Pagaidu regulējums valsts atbalsta pasākumiem, ar ko atbalsta ekonomiku pašreizējā Covid-19 uzliesmojuma situācijā" (C(2020)1863)  22. punkta “a” apakšpunkta un 23bis. punkta nosacījumu, bet detalizēt sniegto informāciju par minēto paziņojuma vienību, kā arī 23. punkta “a” apakšpunkta ieviešanu noteikumu projektā. Norādām, ka minētās paziņojuma prasības ir pārņemtas vienīgi noteikumu projekta 4. punktā, kurš sastāv no vairākām apakšvienībām.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anotācijas 5.4.1.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22-TA-518</w:t>
    </w:r>
    <w:r>
      <w:br/>
    </w:r>
    <w:r w:rsidR="00000000" w:rsidRPr="00000000" w:rsidDel="00000000">
      <w:rPr>
        <w:rtl w:val="0"/>
      </w:rPr>
      <w:t xml:space="preserve">19.04.2022. 10.28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22-TA-518</w:t>
    </w:r>
    <w:r>
      <w:br/>
    </w:r>
    <w:r w:rsidR="00000000" w:rsidRPr="00000000" w:rsidDel="00000000">
      <w:rPr>
        <w:rtl w:val="0"/>
      </w:rPr>
      <w:t xml:space="preserve">19.04.2022. 10.28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Izziņa_22-TA-518.docx</dc:title>
</cp:coreProperties>
</file>

<file path=docProps/custom.xml><?xml version="1.0" encoding="utf-8"?>
<Properties xmlns="http://schemas.openxmlformats.org/officeDocument/2006/custom-properties" xmlns:vt="http://schemas.openxmlformats.org/officeDocument/2006/docPropsVTypes"/>
</file>