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22-TA-995: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8. tabulā 4.3. prioritātes 4.3.1. SAM ar jaunu ERAF nacionālo iznākuma rādītāju - i.4.3.1.b. "Izvēlētas un saskaņotas vietas jaunu vai modernizētu sociālās aprūpes iestāžu izveidei", norādot mērvienību "pakalpojuma sniegšanas vietas", bet starpposma vērtību (2024) un plānoto vērtību (2029) - 10.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programmas 8.tabulā precizēt iznākuma rādītāju EECO18 un i.4.4.1.a plānotās vērtības uz 2029.gadu no 30 uz 15. Tāpat, ņemot vērā, ka Labklājības ministrija ir pārskatījusi SAM 4.4.1.1.pasākuma īstenošanas modeli, kā rezultātā līdz 2024.gada beigām nebūs uzsākta faktiska atbalsta sniegšana sociālo inovāciju ieviešanai, lūdzam svītrot programmas 8.tabulā iznākuma rādītāju EECO18 un i.4.4.1.a starpposma vērtības uz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programmas 9.tabulā precizēt rezultāta rādītāja r.4.4.1.a vērtību no 60 uz 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programmas 441.punktā precizēt 4.3.5.1. pasākuma laika grafiku uz 2024.gada III ceturksni un 4.4.1.1.pasākuma laika grafiku uz 2023.gada III 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4.3.6.SAM Veicināt nabadzības vai sociālās atstumtības riskam pakļauto cilvēku, tostarp vistrūcīgāko un bērnu, sociālo integrāciju pamatojumu (31.lpp) ar pasvītroto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riski un izaicinājumi bērnu attīstības procesa norisēs un iekļaujošai integrācijai sabiedrībā - bērnu sociālā stratifikācija, ģimenes kā vērtības nozīmes mazināšanās, psihiskās attīstības līmeņu polarizācija, pirmsskolas vecuma bērnu intelektuālās attīstības forsēšana un socializācijas grūtības. Prevencijas pakalpojumu trūkums veicina ārpusģimenes aprūpē esošo bērnu vai disfunkcionālu ģimeņu skaita pieaugumu. </w:t>
            </w:r>
            <w:r w:rsidR="00000000" w:rsidRPr="00000000" w:rsidDel="00000000">
              <w:rPr>
                <w:u w:val="single"/>
                <w:rtl w:val="0"/>
              </w:rPr>
              <w:t xml:space="preserve">Tāpēc plānots būtiski paplašināt bērniem pieejamā atbalsta klāstu, veidojot agrīnā preventīvā atbalsta sistēmu, attīstot profilaksi un agrīno intervenci, t.sk. pierādījumos balstītus inovatīvus pakalpojumus, īpaši bērnu un jauniešu emocionālās un psiholoģiskās veselības stiprināšanai.</w:t>
            </w:r>
            <w:r w:rsidR="00000000" w:rsidRPr="00000000" w:rsidDel="00000000">
              <w:rPr>
                <w:rtl w:val="0"/>
              </w:rPr>
              <w:t xml:space="preserve"> Aktivitātes pozitīvi ietekmēs iekļaujošas izglītības un sabiedrības principu nostiprināšanos, uzlabos bērnu sasniegumus, dzīves kvalitāti, veselību, kā arī mazinās sociālās atstumtības, priekšlaicīgas skolas pamešanas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Ieguldījumu priekšnosacījumu tabulas 65.rindas Tematiskais priekšnosacījums Nr.13 (4.4.) Valsts stratēģiskās politikas satvars sociālās iekļaušanas un nabadzības mazināšanas jomā šūnu "Pamatojums" (164.lpp.)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Starpnozaru sadarbības un atbalsta sistēmas pilnveide bērnu attīstības, uzvedības un psihisko traucējumu veidošanās risku mazināšanai - paredz veidot agrīnā preventīvā atbalsta sistēmu un īstenot visaptverošu, integrētu, uz indivīda vajadzībām orientētu profilakses un agrīnās intervences aktivitāšu kopumu bērnu attīstības,  uzvedības un psihisko traucējumu veidošanās risku mazināšanai, tādējādi radot priekšnoteikumus personas veselīgai attīstībai un veiksmīgai pašrealizācijai mūža garumā.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tekstā iekļauti abi rosinātie papildinājumi, ņemot vērā Programmas attiecīgajām sadaļām noteikto zīmju skaita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2.punktā ietvertais teksts pilnā apmērā iekļauts Programmas 5.pielikumā “Tematiskais priekšnosacījums Nr.13 (4.4.)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stratēģiskās politikas satvars sociālās iekļaušanas un nabadzības mazināšanas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izglītībai ir jābūt visiem, tai skaitā bērniem ar speciālām vajadzībām, vienlīdz pieejamai un iekļaujošai.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bērni ar speciālām vajadzībām speciālās izglītības programmas apgūst ne tikai speciālās izglītības iestādēs, bet arī vispārizglītojošās klasēs un vispārizglītojošo iestāžu speciālajās klasēs vai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2021. gadā ir publicējusi lietderības revīziju “Vai bērnam ar speciālām vajadzībām ir iespēja saņemt tā spējām, vajadzībām un bērna labākajām interesēm atbilstošu izglītību?”. Tajā ir norādīts, ka pēdējos gados arvien vairāk speciālās izglītības programmas tiek īstenotas pašvaldību vispārējās izglītības iestādēs, tāpēc ir palielinājies arī to bērnu skaits, kuriem ir iespēja tiem nepieciešamo speciālās izglītības programmu apgūt savas dzīvesvietas pašvaldības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vienlīdzību, iekļaušanu un nediskrimināciju attiecībā pret izglītojamajiem ar speciālām vajadzībām, rosinām paplašināt atbalsta tvērumu, paredzot atbalstu arī vispārējās izglītības iestādēm, kuras realizē speciālās izglītības programmas, un izteikt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tabulas “Politikas mērķi un specifiskie atbalsta mērķi” 4.2.1.SAM (RSO 4.2.) pamatojuma (kopsavilkuma) piekto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samazinājies speciālās izglītības iestāžu skaits un izglītojamo ar speciālām vajadzībām skaits tajās (2020./21.m.g. 44/27%; 2014./15.m.g. 60/51%). Turpinoties speciālās izglītības iestāžu tīkla sakārtošanai, nepieciešams stiprināt ilgtspējīgas speciālās izglītības iestādes un vispārējās izglītības iestādes, kurā realizē speciālās izglītības programmas,   nodrošinot kvalitatīvu, pieejamu,  modernu mācību vidi un atbilstošu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redakcijas 269.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Atbalsts speciālās izglītības iestāžu un vispārējās izglītības iestāžu, kuras realizē speciālās izglītības programmas, mācību vides un infrastruktūras, materiāltehniskā nodrošinājuma un mācību līdzekļu pilnveidošanai, lai būtiski paaugstinātu speciālo izglītības iestāžu kapacitāti kvalitatīvas speciālās izglītības nodrošināšanā un sniegtu nepieciešamo atbalstu izglītojamiem ar speciālām vajadzībām, nodrošinot speciālās izglītības iestāžu pieejamību, izglītības iestāžu mācību infrastruktūras atbilstību mūsdienīga mācību procesa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redakcijas 273.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Galvenās mērķgrupas: Valsts pārvaldes iestādes, pirmsskolas, vispārējās un profesionālās izglītības, t. sk. kultūrizglītības iestādes, speciālās izglītības iestādes, t. sk. vispārējās izglītības iestādes, kuras realizē speciālās izglītības programmas, augstskolas, koledžas, to pedagogi, akadēmiskais personāls, studējošie, izglītojamie, kā arī viņu vecāki, t.sk. sociāli un ekonomiski mazaizsargātās sabiedrības grupas,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nepieciešams veikt korekcijas Programmas redakcijas 3. pielikumā “Tematiskais priekšnosacījums Nr.12 (4.3.) “Stratēģiskās politikas satvars izglītībai un apmācībai visos līmeņos.””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Izglītības un zinātnes ministriju skaidro, ka ERAF investīcijas vispārējās izglītības attīstībai 4.2.1.SAM “Uzlabot vienlīdzīgu piekļuvi iekļaujošiem un kvalitatīviem pakalpojumiem izglītības, mācību un mūžizglītības jomā, attīstot pieejamu infrastruktūru, tostarp, veicinot noturību izglītošanā un mācībā attālinātā un tiešsaistes režīmā” ietvaros ir plānotas, izvērtējot prioritātes, kā arī pieejamo ERAF finansējuma apmēru. Eiropas Savienības struktūrfondu 2014.-2020.gada plānošanas periodā netika paredzēts mērķēts atbalsts speciālās izglītības iestādēm. Savukārt, vispārējās izglītības iestāžu mācību vides un infrastruktūras uzlabošanai bija pieejams ERAF atbalsts 8.1.2.SAM “Uzlabot vispārējās izglītības iestāžu mācību vidi” ietvaros. Kā arī, ar 2023.gadu finansējums vispārējās izglītības iestāžu mācību vides un infrastruktūras uzlabošanai tiks paredzēts Atjaunošanas fonda 3.1.1.5.i investīcijā „Izglītības iestāžu infrastruktūras pilnveide un aprīkošana”. Tāpēc 4.2.1.SAM plānots sekmēt pieejamu un mūsdienu prasībām atbilstošu mācību vidi bērniem ar speciālām vajadzībām, kuru izglītības ieguve ir iespējama tikai speciālās izglītības iestādēs, tādā veidā nodrošinot viņu iekļaušanos izglītībā. Informējam, ka vienlaikus minēto investīciju plānošanā tiks turpināta speciālās izglītības iestāžu tīkla pilnveide, mazinot speciālās izglītības fragmentāciju administratīvajās teritorijās un stiprinot vairāku administratīvo teritoriju sadarbību kvalitatīvas speciālās 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arī 2022.gadā pašvaldības var pretendēt uz Valsts kases izsniegtiem aizdevumiem izglītības iestāžu infrastruktūras uzlabošanai atbilstoši Ministru kabineta 2022. gada 22. februāra noteikumiem Nr. 143 „Noteikumi par kritērijiem un kārtību, kādā 2022. gadā tiek izvērtēti un izsniegti valsts aizdevumi pašvaldībām Covid-19 izraisītās krīzes seku mazināšanai un novēršanai” (turpmāk – Noteikumi Nr. 143). Minētie aizdevumi tostarp var tikt paredzēti šādām investīcijām: a) higiēnas prasību nodrošināšana izglītības iestāžu [..] ēkās un to teritorijās, ja ir Veselības inspekcijas izdots atzinums par izglītības iestādes [..] vai tās teritorijas neatbilstību higiēnas prasībām (Noteikumu Nr. 143 3.1.6. apakšpunkts); b) vispārējās izglītības iestādes ēkas pārbūvei (skatīt Noteikumu Nr. 143 3.1.13. apakšpunktā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“Programmas stratēģija: galvenās problēmas un politikas risinājumi (izvērstā versija)”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90.punkts - viens no EDIC uzdevumiem ir nodrošināt arī valsts pārvaldes digitālo transofrmāciju, lai tā spētu attīstīties līdzekus priātajam sektoram, tāpēc aicinām papildināt aprakstu, ka EDIC pakalpojumi būs saņemāmi arī valsts pārvaldes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jebkādu investīciju (piem., apmācību nodrošināšana, granti jauniem digitāliem produktiem un pakalpojumiem) efektīvu un jēgpilnu izmantošanu, uzņēmumiem tiks piedāvāts veikt digitālā brieduma novērtējumu, kā pieejamība tiks nodrošināta visā Latvijas teritorijā uzņēmumam griežoties pie EDIC vai reģionu uzņēmējdarbības centru un LIAA biznesa inkubatoru ekspertiem. EDIC nodrošinās digitālo prasmju apmācību satura sagatavošanu un piegādi gala labuma guvējiem – uzņēmumiem, </w:t>
            </w:r>
            <w:r w:rsidR="00000000" w:rsidRPr="00000000" w:rsidDel="00000000">
              <w:rPr>
                <w:u w:val="single"/>
                <w:rtl w:val="0"/>
              </w:rPr>
              <w:t xml:space="preserve">valsts pārvaldes iestādēm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Ekonomikas ministriju skaidro, ka EDIC sniedz vispārīgas apmācības par digitālo transformāciju gan publiskajam, gan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SAM “Izmantot digitalizācijas priekšrocības uzņēmējdarbības attīstībai” mērķis ir atbalstīt komersantus digitālajā transformācijā, tādēļ arī digitālo prasmju apmācības ir speciāli komersantiem mērķēts atbalsts, arī sasniedzamie rādītāji saistās ar atbalstu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programmā 2021.-2027. gadam ir iekļauts pasākums Nr. 4.2.4.3. “Digitālo prasmju pilnveide”, kur kā atbildīgā iestāde ir norādīta VARAM, tādēļ aicinām izvērtēt digitālo prasmju pilnveidi publiskajam sektoram nodrošināt no šī pasākuma.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Reģionālās politikas pamatnostādnēs 2021.-2027.gadam noteikto pieeju finansējuma sadalei reģionālās attīstības pasākumu ietvaros, kas tostarp paredz lielāku atbalstu reģioniem ar augstākām reģionālās attīstības atšķirībām, diferencējot atbalstu atbilstoši IKP līmenim, kā arī plānošanas reģionu sniegtos priekšlikumus teritoriālās pieejas ievērošanai reģionu attīstībai būtiskajos jautājumos (t.sk. izglītība, cilvēkresursu attīstība u.tml.), aicinām papildināt 4.2.2. SAM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(ESO 4.5.) apraksta sadaļas (288) punktu “Mērķteritorijas, t. sk. plānotais teritoriālo rīku izmantojums” šādā redakcijā: “Visa Latvija, t.sk. attiecībā uz mācību satura pilnveidošanas pasākumu un profesionālās izglītības kompetences centru projektiem, kā arī darba vidē balstītu mācību īstenošanu piemērojot teritoriālo pieeju atbalsta sniegšanā, balstoties uz reģionu attīstības plānošanas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Mērķteritorijas, t.sk. plānotais teritoriālo rīku izmantojums: Visa Latvija, </w:t>
            </w:r>
            <w:r w:rsidR="00000000" w:rsidRPr="00000000" w:rsidDel="00000000">
              <w:rPr>
                <w:u w:val="single"/>
                <w:rtl w:val="0"/>
              </w:rPr>
              <w:t xml:space="preserve">t.sk. attiecībā uz mācību satura pilnveidošanas pasākumu un profesionālās izglītības kompetences centru projektiem, kā arī darba vidē balstītu mācību īstenošanu piemērojot teritoriālo pieeju atbalsta sniegšanā, balstoties uz reģionu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Izglītības un zinātnes ministriju sniedz viedokli, ka 4.2.2.SAM ietvaros plānotajiem pasākumiem nav paredzēts piemērot diferencētu pieeju atbalsta intensitātes noteikšanai, jo atbalsts ir paredzēts nacionālas nozīmes pasākumu īstenošanai neatkarīgi no reģionu attīstības plānošanas dokumentos noteiktā, pamatā plānojot attiecīgās politikas īstenojošās valsts pārvaldes iestādes kā finansējuma saņēmējus, kuri īsteno līdzvērtīgas darbības visā Latvijas teritorijā, jo gan vispārējās izglītības satura ieviešanas atbalsts, gan atbalsts darba vidē balstītu mācību īstenošanai, gan arī profesionālās izglītības iestāžu nozares metodiskā darba virsvadība tiek īstenota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DP programmas 103 paragrāfu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inkubācijas procesa nodrošināšanai vidēji augsto un augsto tehnoloģiju, un radošo industriju jomā (finanšu, nefinanšu atbalsta pasākumi)</w:t>
            </w:r>
            <w:r w:rsidR="00000000" w:rsidRPr="00000000" w:rsidDel="00000000">
              <w:rPr>
                <w:rtl w:val="0"/>
              </w:rPr>
              <w:t xml:space="preserve"> – sniegt atbalstu un veicināt ieinteresētību uzņēmējdarbības uzsākšanā, attīstīšanā, t.sk. esošiem uzņēmumiem, un biznesa komandu veidošanā, </w:t>
            </w:r>
            <w:r w:rsidR="00000000" w:rsidRPr="00000000" w:rsidDel="00000000">
              <w:rPr>
                <w:b w:val="1"/>
                <w:rtl w:val="0"/>
              </w:rPr>
              <w:t xml:space="preserve">ar fokusu uz VAI ar mērķi stiprināt izaugsmi</w:t>
            </w:r>
            <w:r w:rsidR="00000000" w:rsidRPr="00000000" w:rsidDel="00000000">
              <w:rPr>
                <w:rtl w:val="0"/>
              </w:rPr>
              <w:t xml:space="preserve"> vidēji augsto un augsto tehnoloģiju jomā un radošo industriju jomā, </w:t>
            </w:r>
            <w:r w:rsidR="00000000" w:rsidRPr="00000000" w:rsidDel="00000000">
              <w:rPr>
                <w:b w:val="1"/>
                <w:rtl w:val="0"/>
              </w:rPr>
              <w:t xml:space="preserve">un sekmēt</w:t>
            </w:r>
            <w:r w:rsidR="00000000" w:rsidRPr="00000000" w:rsidDel="00000000">
              <w:rPr>
                <w:rtl w:val="0"/>
              </w:rPr>
              <w:t xml:space="preserve"> produktu un/vai tehnoloģiju ar augstu pievienoto vērtību radīšanu. Tiks nodrošināta inkubācijas pakalpojuma sasaiste un virzība uz P&amp;A&amp;I un produktiem ar augstu pievienoto vērtību, atbalsta instrumenta ieviešanu nodrošinot LIAA sadarbībā ar AII, pētniecības organizācijām, pašvaldībām, kā arī ar radošo un tehnoloģiju industriju pārstāvjiem. Atbalsta ietvaros tiks sniegtas apmācības, mentorings, konsultācijas, nodrošināts AI iestāžu atbalsts prototipu izstrādē biznesa inkubācijas klientam, atbalsts prototipa komercializācijai, investīciju piesaistei tālākai attīstībai un tirgus izpētei, kā arī citi atbalsta veidi tos pielāgojot klienta vajadzībām. Atbalstu paredzēts sniegt nefinanšu un grantu veidā. Pateicoties AI iestāžu un to pārstāvniecību iesaistei tiks nodrošināt arī reģionālais pārklājums. Vienlaikus, ņemot vērā AI iestāžu iesaisti atbalsta instrumenta ieviešanā, tiks veicināta uzņēmumu un zinātniskā sektora sadarbība, kopīgu projektu īstenošana, kā arī tiks veicināta inovatīvu uzņēmumu rašanās.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Darbības programmā 121.SAM (86) paragrāfu, ka atbalstu plānots sniegt kombinēto FI (aizdevumi,garantijas) veidā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Finanšu instrumenti: Lai nodrošinātu uzņēmumu P&amp;A projektu īstenošanu, tiks nodrošināti granti jaunu produktu attīstībai, aizdevumi jaunu iekārtu un tehnoloģiju ieviešanai un tehnoloģiju pārnešanai, kombinētie aizdevumi inovatīvām iekārtām, aizdevumi P&amp;A darbībām (tehnoloģiju attīstībai, prototipēšanai) un aizdevumi modernu tehnoloģiju pārnešanai. Inovatīvu iekārtu ieviešanas projektiem plānots sniegt kombinēto </w:t>
            </w:r>
            <w:r w:rsidR="00000000" w:rsidRPr="00000000" w:rsidDel="00000000">
              <w:rPr>
                <w:b w:val="1"/>
                <w:rtl w:val="0"/>
              </w:rPr>
              <w:t xml:space="preserve">finanšu instrumentu veidā - aizdevumu vai garantiju kombinējot ar grantu</w:t>
            </w:r>
            <w:r w:rsidR="00000000" w:rsidRPr="00000000" w:rsidDel="00000000">
              <w:rPr>
                <w:rtl w:val="0"/>
              </w:rPr>
              <w:t xml:space="preserve">, kas paredz pamatsummas dzēšanu līdz noteiktam apmēram no aizdevuma summas vai % likmju subsīdiju (risinājums tiks lemts atbalsta programmas izstrādes stadijā). FI pakalpojumu nepieciešamību pamato tirgus nepilnību analīze finanšu pieejamības jomā, t.sk. reģionos. FI valsts atbalsta pasākumu līdzīgi kā 2014.-2020.gada plānošanas periodā īstenos ALTUM, t.sk. piemērojot teritoriāli diferencētus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Darbības programmas SAM 122 (101) paragrāfu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Finanšu instrumenti: Individuālās garantijas gan MVU, gan vidējas kapitalizācijas uzņēmumiem. Individuālās garantijas plānots sniegt aizdevumiem investīciju veikšanai, tostarp jaunu tehnoloģiju ieviešanai un procesu digitalizācijai. </w:t>
            </w:r>
            <w:r w:rsidR="00000000" w:rsidRPr="00000000" w:rsidDel="00000000">
              <w:rPr>
                <w:b w:val="1"/>
                <w:rtl w:val="0"/>
              </w:rPr>
              <w:t xml:space="preserve">Kombinētie aizdevumi (aizdevumu kombinējot ar grantu) inovatīvām iekārtām, aizdevumi P&amp;A darbībām un aizdevumi modernu tehnoloģiju pārnešanai.</w:t>
            </w:r>
            <w:r w:rsidR="00000000" w:rsidRPr="00000000" w:rsidDel="00000000">
              <w:rPr>
                <w:rtl w:val="0"/>
              </w:rPr>
              <w:t xml:space="preserve"> Tāpat neizslēdz iespēju aizdevumiem apgrozāmo līdzekļu finansēšanai, līzingam u.c. kredītiestāžu finanšu pakalpojumiem, kas veicina saimnieciskās darbības veicēja izaugsmi, konkurētspēju un produktivitātes uzlabošanu. FI pakalpojumu nepieciešamību pamato tirgus nepilnību analīze finanšu pieejamības jomā, t.sk. reģionos. FI valsts atbalsta pasākumus līdzīgi kā 2014.–2020.gada plānošanas periodā īstenos ALTUM, t.sk. piemērojot teritoriāli diferencētos pasākumus. Atbalsts digitālo prasmju pilnveidei uzņēmumiem tiks sniegts granta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22-TA-995</w:t>
    </w:r>
    <w:r>
      <w:br/>
    </w:r>
    <w:r w:rsidR="00000000" w:rsidRPr="00000000" w:rsidDel="00000000">
      <w:rPr>
        <w:rtl w:val="0"/>
      </w:rPr>
      <w:t xml:space="preserve">16.06.2022. 10.08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22-TA-995</w:t>
    </w:r>
    <w:r>
      <w:br/>
    </w:r>
    <w:r w:rsidR="00000000" w:rsidRPr="00000000" w:rsidDel="00000000">
      <w:rPr>
        <w:rtl w:val="0"/>
      </w:rPr>
      <w:t xml:space="preserve">16.06.2022. 10.08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Izziņa_22-TA-995.docx</dc:title>
</cp:coreProperties>
</file>

<file path=docProps/custom.xml><?xml version="1.0" encoding="utf-8"?>
<Properties xmlns="http://schemas.openxmlformats.org/officeDocument/2006/custom-properties" xmlns:vt="http://schemas.openxmlformats.org/officeDocument/2006/docPropsVTypes"/>
</file>