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25-TA-468: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5.panta pirmo daļu atļaut valsts akciju sabiedrībai „Valsts nekustamie īpašumi” pārdot izsolē šādus nekustamos īpašumus, kas ierakstīti zemesgrāmatā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1. punktu ar atsaucēm uz tiesību aktu pamatojošām tiesību normām, papildus jau esošajām tiesību normām norādot Publiskas personas mantas atsavināšanas likuma 4. panta otro daļu un 9.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projekts ir izstrādāts atbilstoši  šādu rīkojumu izstrādāšanas praksei. Lūdzam piemēriem skatīt Ministru kabinetā jau pieņemtos rīkojumus par pārdošanu (piemēram, https://www.vestnesis.lv/op/2025/51.8; https://www.vestnesis.lv/op/2025/50.7).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gadījumos, kad valsts akciju sabiedrība "Valsts nekustamie īpašumi"  (turpmāk - VNĪ) pārdod Finanšu ministrijas (turpmāk - FM)  valdījumā esošos nekustamos īpašumus, rīkojuma projekta 1.punktā netiek iekļauta atsauce uz Publiskas personas mantas atsavināšanas likuma 4. panta otro daļu, jo ar FM un VNĪ 18.03.2020. noslēgto Nekustamā īpašuma portfeļa pārvaldīšanas līgumu Nr. 13.7-17/12/38, VNĪ veic FM valdījumā esošo nekustamo īpašumu pārvaldīšanu, tajā skaitā nodrošinot lietderīgu rīcību ar valsts funkciju veikšanai neizmantotiem nekustamajiem īpašumiem, tai skaitā ierosina attiecīgo nekustamo īpašumu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atsauce uz Publiskas personas mantas atsavināšanas likuma  9. panta pirmo daļu ir iekļauta anotācijā sadaļā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5.panta pirmo daļu atļaut valsts akciju sabiedrībai „Valsts nekustamie īpašumi” pārdot izsolē šādus nekustamos īpašumus, kas ierakstīti zemesgrāmatā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atsaucēm uz tiesību aktu pamatojošām tiesību normām, papildus jau esošajām tiesību normām norādot Publiskas personas mantas atsavināšanas likuma 4. panta otro daļu un 9.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skaidrojumu skatīt pie izziņas 1.punkta.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Piekrītot anotācijā paustajam, ka ēkas, kas atrodas uz atsavināmā zemesgabala, ir mazēkas un tādējādi nav ierakstāmas zemesgrāmatā kā patstāvīgi īpašuma objekti, vienlaikus lūdzam anotācijā sniegt skaidrojumu,  kāda nekustamā īpašuma sastāvā tās ietilpst kā attiecīgā nekustamā īpašuma 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Zemesgrāmatu likuma 1. pantam nekustamā īpašuma īpašnieka pienākums ir ierakstīt nekustamo īpašumu zemesgrāmatā. Ja  attiecīgās ēkas nav iekļaujamas atsavināmā nekustamā īpašuma sastāvā, lūdzam pamatot, kāpēc, ņemot vērā, ka saskaņā ar likuma "Par atjaunotā Latvijas Republikas 1937.gada Civillikuma ievada, mantojuma tiesību un lietu tiesību daļas spēkā stāšanās laiku un piemērošanas kārtību" 14. panta ceturto daļu ēkas (būves), kuras Zemesgrāmatu nodaļā, Valsts zemes dienestā vai pašvaldībā nav reģistrētas kā patstāvīgi īpašuma objekti, uzskatāmas par zemes īpašnieka īpašumu atbilstoši Civillikuma 968.pantam un citas personas īpašuma tiesības uz šādām ēkām (būvēm) var iegūt, ja tiesa apmierinājusi šo personu prasību atzīt īpašuma tiesības uz attiecīgajiem objektiem. Turklāt arī Civillikuma 930. panta piezīme noteic, ka nekustamas bezīpašnieka lietas piekrīt valstij. Savukārt, ja ēkas iekļaujamas atsavināmā nekustamā īpašuma sastāvā, tad attiecīgi nepieciešams precizēt rīkojuma projekta 1. punktu un anotāciju. Gadījumā, ja ēku tiesiskais statuss nav sakārtots, lūdzam anotācijā norādīt, kad un kādā veidā tas tiks izdarīts.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papildus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rīkojuma projekta anotācijā ir norādīts, uz valsts zemes vienības atrodas divas būves - “dārza māja” (būves kadastra apzīmējums 6201 034 0104 001) ar apbūves laukumu 21,1 m</w:t>
            </w:r>
            <w:r w:rsidR="00000000" w:rsidRPr="00000000" w:rsidDel="00000000">
              <w:rPr>
                <w:vertAlign w:val="superscript"/>
                <w:rtl w:val="0"/>
              </w:rPr>
              <w:t xml:space="preserve">2</w:t>
            </w:r>
            <w:r w:rsidR="00000000" w:rsidRPr="00000000" w:rsidDel="00000000">
              <w:rPr>
                <w:rtl w:val="0"/>
              </w:rPr>
              <w:t xml:space="preserve"> un “šķūnis” (būves kadastra apzīmējums 6201 034 0104 003) ar apbūves laukumu 4,6 m2  (mazēkas, kuras saskaņā ar likuma „Par nekustamā īpašuma ierakstīšanu zemesgrāmatās” 19.panta pirmās daļas 1.punktu, zemesgrāmatā kā patstāvīgi īpašuma objekti nav ierakstāmas) ar īpašuma tiesību statusu “īpašuma tiesības nav reģistrētas”.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VNĪ rīcībā esošo Kuldīgas novada pašvaldības Attīstības pārvaldes 07.02.2012. vēstuli Nr. 07-05/324 uz zemesgabala esošo ēku un būvju lietotājs un nekustamā īpašuma nodokļa maksātājs ir fiziska persona, kas lietoja zemes vienību arī pirms zemes vienības īpašuma tiesību reģistrēšanas uz valsts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Minētā fiziskā persona arī ir uz zemes vienības esošo mazēku cēlājs un lietotājs, kurš nav veicis darbības, lai normatīvos aktos noteiktajā kārtībā sakārtotu ēku piederības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Pastāvot šādiem apstākļiem un izvērtējot tiesvedības riskus un laiku, nav lietderīgi vērsties tiesā ar īpašuma prasību tiesā uz mazēkam par labu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kabinets līdzīgos gadījumos jau iepriekš ir lēmis par līdzīgu nekustamo īpašumu pārdošanu. Piemēram lūdzam skatīt  https://likumi.lv/ta/id/290577-par-valsts-nekustama-ipasuma-ievu-aleja-39-kuldiga-kuldigas-novada-pardosanu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nākamajam pircējam tiesisko skaidrību, anotācijā ir iekļauta informācija, ka izsoles noteikumos tiks norādīts, ka uz zemes vienības atrodas divas valstij nepiederošas būves -mazēkas, kas neietilpst pārdodamā nekustamā īpašuma sastāvā un kuru īpašuma tiesības nav sakārtotas.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uz kāda tiesiska pamata privātpersonai, ar kuru no 2013. gada 15. marta līdz 2023. gada 14. martam tika noslēgts nomas līgums par uz zemes esošo mazēku: būve ar kadastra apzīmējumu Nr. 62010340104001 20.5 kv.m. platībā un būve ar kadastra apzīmējumu Nr. 62010340104003 4 kv.m. platībā, lietošanu, šobrīd turpina lietot valsts zemi.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papildus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zemes vienība tiek faktiski lietota, lietotājam ir pienākums veikt maksājumu par zemesgabala faktisko lietošanu, jo pēc vispārēja noteikuma zemes īpašniekam ir tiesības saņemt labumu no viņam piederošās zemes lietošanas (salīdzinājumam skatīt Civillikuma 855.pantu), kā arī Publiskas personas finanšu līdzekļu un mantas izšķērdēšanas novēršanas likuma 3.pantā noteikts pienākums publiskai personai lietderīgi rīkoties ar finanšu līdzekļiem un mantu, kā arī šī paša likuma 5.pantā noteikts aizliegums publiskas personas mantu nodot privātpersonai bezatlīdzības lietošanā. VNĪ 27.04.2023. nosūtot maksāšanas paziņojumu Nr.IEN/2023/507 faktiskajam Zemesgabala lietotājam nodrošināja Publiskas personas finanšu līdzekļu un mantas izšķērdēšanas novēršanas likumā ietvertā principa, ka publiska persona rīkojas ar finanšu līdzekļiem un mantu lietderīgi, tas ir rīcībai jābūt tādai, lai mērķi sasniegtu ar mazāko finanšu līdzekļu un mantas izlietojumu, kā arī to, ka manta nododama citai personai par iespējami augstāku cenu,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ņemot vērā, ka Kuldīgas novada pašvaldības Attīstības pārvalde 2012.gada 7.februārī ar vēstuli Nr.07-05/324 sniedza VNĪ informāciju, ka uz zemesgabala esošo būvju lietotājs un nekustamā īpašuma nodokļa maksātājs ir fiziska persona, līdz ar to 2013.gada 15.martā starp fizisku personu un VNĪ tika noslēgts apbūvēta zemesgabala Ievu alejā 45, Kuldīgā, Kuldīgas novadā, nomas līgums Nr.30-13-39/498 (turpmāk – Līgums).  Līguma noslēgšanas brīdī tiesiskās attiecības, gadījumos, kad uz zemesgabala atrodas publiskai  personai nepiederošas būves sauca par piespiedu nomas attiecībām un kārtību nomas līguma noslēgšanai un nomas maksas aprēķināšanai regulēja Ministru kabineta 2007.gada 30.oktobra noteikumi Nr.735 “Noteikumi par publiskas personas zemes nomu”, kur 4.punkts noteica, ka zemes nomas līgumu par apbūvētu publiskas personas zemesgabalu var slēgt tikai ar attiecīgo ēku (būvju) īpašnieku, tiesisko valdītāju vai lietotāju.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lietai ir pievienots valsts akciju sabiedrības “Valsts nekustamie īpašumi” 2024. gada 12. novembra paziņojums Nr. VPL-24/49-3 privātpersonai par likumiskās lietošanas maksas apmēru no 2024. gada 1. janvāra. Lūdzam anotāciju papildināt ar atsauci uz šo dokumentu, kā arī skaidrot tā nozīmi Tiesību akta lietā.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dokuments apliecina, ka valsts zemes vienības nav nodota lietošanā nez maksas, un ka par zemes vienības faktisko lietošanu valsts zemes vienības lietotājam ir nosūtīts maksāšanas paziņojums.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25-TA-468</w:t>
    </w:r>
    <w:r>
      <w:br/>
    </w:r>
    <w:r w:rsidR="00000000" w:rsidRPr="00000000" w:rsidDel="00000000">
      <w:rPr>
        <w:rtl w:val="0"/>
      </w:rPr>
      <w:t xml:space="preserve">07.04.2025. 18.50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25-TA-468</w:t>
    </w:r>
    <w:r>
      <w:br/>
    </w:r>
    <w:r w:rsidR="00000000" w:rsidRPr="00000000" w:rsidDel="00000000">
      <w:rPr>
        <w:rtl w:val="0"/>
      </w:rPr>
      <w:t xml:space="preserve">07.04.2025. 18.50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Izziņa_25-TA-468.docx</dc:title>
</cp:coreProperties>
</file>

<file path=docProps/custom.xml><?xml version="1.0" encoding="utf-8"?>
<Properties xmlns="http://schemas.openxmlformats.org/officeDocument/2006/custom-properties" xmlns:vt="http://schemas.openxmlformats.org/officeDocument/2006/docPropsVTypes"/>
</file>