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22-TA-1643: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Obligātās prasības, kas jāievēro, izstrādājot personas datu aizsardzības pārkāpumu izmeklēšanas un novēršanas iekšējo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obligātās prasības, kas jāievēro elektronisko sakaru komersantam, izstrādājot personas datu aizsardzības pārkāpumu izmeklēšanas un novēršanas iekšējo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pastāv dažādas prasības starp juridisko personu un fizisko personu datu aizsardzību, lūdzam precizēt projektu kopumā, norādot, vai projektā ietvertais regulējums attieksies tikai uz fiziskām personām vai juridiskām personām, vai fiziskām un juridiskām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attiecas uz galalietotāju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Elektronisko sakaru likumu galalietotājs ir fiziskā persona, juridiskā persona vai šādu personu apvienība, kura pieprasa vai izmanto elektronisko sakaru pakalpojumus, bet nenodrošina elektronisko sakaru pakalpojumu un elektronisko sakaru tīklu citām personām un neveic elektronisko sakaru pakalpojumu tālākpārdošanu.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redakcijā 2.0 attiecīgi precizēta terminoloģija 1.punktā un 4.4.punktā.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obligātās prasības, kuras elektronisko sakaru komersantam ir pienākums ievērot, izstrādājot galalietotāju personas datu aizsardzības pārkāpumu izmeklēšanas un novēršanas iekšējo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obligātās prasības, kas jāievēro elektronisko sakaru komersantam, izstrādājot galalietotāju personas datu aizsardzības pārkāpumu izmeklēšanas un novēršanas iekšējo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noteikumu projekta 1.punktu atbilstoši Elektronisko sakaru likuma (likumprojekts Nr. 1216/Lp13, pieņemts 3.lasījumā 02.06.2022.) 95.panta otrās daļas redakcijai, t.i., "Ministru kabinets nosaka obligātās prasības, </w:t>
            </w:r>
            <w:r w:rsidR="00000000" w:rsidRPr="00000000" w:rsidDel="00000000">
              <w:rPr>
                <w:u w:val="single"/>
                <w:rtl w:val="0"/>
              </w:rPr>
              <w:t xml:space="preserve">ko elektronisko sakaru komersantam ir pienākums ievēro</w:t>
            </w:r>
            <w:r w:rsidR="00000000" w:rsidRPr="00000000" w:rsidDel="00000000">
              <w:rPr>
                <w:rtl w:val="0"/>
              </w:rPr>
              <w:t xml:space="preserve">t, izstrādājot personas datu aizsardzības pārkāpumu izmeklēšanas un novēršanas iekšējo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Priekšlikums precizēts, ņemot vērā daudzskaitļa formu.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obligātās prasības, kuras elektronisko sakaru komersantam ir pienākums ievērot, izstrādājot galalietotāju personas datu aizsardzības pārkāpumu izmeklēšanas un novēršanas iekšējo kārtību.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22-TA-1643</w:t>
    </w:r>
    <w:r>
      <w:br/>
    </w:r>
    <w:r w:rsidR="00000000" w:rsidRPr="00000000" w:rsidDel="00000000">
      <w:rPr>
        <w:rtl w:val="0"/>
      </w:rPr>
      <w:t xml:space="preserve">09.08.2022. 14.02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22-TA-1643</w:t>
    </w:r>
    <w:r>
      <w:br/>
    </w:r>
    <w:r w:rsidR="00000000" w:rsidRPr="00000000" w:rsidDel="00000000">
      <w:rPr>
        <w:rtl w:val="0"/>
      </w:rPr>
      <w:t xml:space="preserve">09.08.2022. 14.02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Izziņa_22-TA-1643.docx</dc:title>
</cp:coreProperties>
</file>

<file path=docProps/custom.xml><?xml version="1.0" encoding="utf-8"?>
<Properties xmlns="http://schemas.openxmlformats.org/officeDocument/2006/custom-properties" xmlns:vt="http://schemas.openxmlformats.org/officeDocument/2006/docPropsVTypes"/>
</file>