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Rīgas valstspilsētas pašvaldības obligāciju izlaišanas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pašvaldības obligāciju izlaišanas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"Rīgas valstspilsētas pašvaldības obligāciju izlaišanas noteikumi" (turpmāk – projekts) ar spēkā stāšanās noteikumu, ņemot vērā to, ka saskaņā ar likuma "Par valsts budžetu 2025. gadam un budžeta ietvaru 2025., 2026. un 2027. gadam" (turpmāk – Likums) pārejas noteikumu punktu Likuma 17. panta piektā daļa, kas ir projekta izdošanas tiesiskajā pamatā, stāsies spēkā 2026. gada 1. janvārī. Vienlaikus vēršam uzmanību uz to, ka projekta sākotnējās ietekmes novērtējuma ziņojuma (turpmāk - anotācija) 1.2. apakšsadaļā ir norādīts, ka projekts stāsies spēkā 2026.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pašvaldības obligāciju izlaišanas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budžetu 2025. gadam un budžeta ietvaru 2025., 2026. un 2027. gadam” 17. panta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norāda, ka pašlaik normatīvajos aktos nav noteikta skaidra un atsevišķa metodoloģija, kā pašvaldību emitētās obligācijas tiks uzskaitītas kopējā saistību apjomā, īpaši attiecībā uz Ministru kabineta noteikumos paredzēto 20% maksimālo ikgadējās pamatsummas atmaksas limitu. Šāda regulējuma neesamība rada tiesisko nenoteiktību un būtiskus riskus pašvaldībai, kas apsver kapitāla tirgus instrumentu izmantošanu. LPS ieskatā viens no riskiem ir ja obligāciju uzskaitei tiks piemērota klasiskajiem aizņēmumiem atbilstoša metodoloģija, un obligācijas ar vienreizēju pamatsummas atmaksu termiņa beigās tiks pilnā apjomā uzskaitītas emisijas pēdējā gadā, kas formāli pārsniegs noteikto 20% saistību limitu un tas  faktiski liedz pašvaldībai izmantot šāda veida emisiju modeli. Tāpat šāda pieeja ierobežo pašvaldību iespējas izmantot obligācijas kā instrumentu strukturētu investīciju finansēšanai, samazina tirgus potenciālu un ierobežo investoru interesi.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var izdot normatīvus aktus – noteikumus, ja likumā noteiktas īpašas pilnvaras jeb deleģējums Ministru kabinetam un tie nedrīkst būt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paredzēts, ka saskaņā ar 4. punktu emitentam ir tiesības emitēt obligācijas likumā par valsts budžetu kārtējam gadam un vidēja termiņa budžeta ietvaru noteiktajā ikgadējā finanšu resursu apmērā, savukārt saskaņā ar 5. punktu nozares ministrijas sadarbībā ar emitentu iesniedz informāciju Ministru kabinetā par projektiem, kuru īstenošanai nepieciešams piesaistīt finansējumu obligāciju emisijas veidā, lai Valsts budžeta sagatavošanas procesā būtu pieejama pēc iespējas pilnīgāka informācija par nepieciešamo ikgadējo finanšu resursu apmēru. Pēc nozares ministrijas sadarbībā ar emitentu sagatavotās informācijas izvērtēšanas Ministru kabinetam būs iespēja pieņemt lēmumu par to, lai virzītu pieteikumu likumprojekta par valsts budžetu kārtējam gadam un vidēja termiņa budžeta ietvaru izskatīšanā. Tādā veidā likumā par valsts budžetu kārtējam gadam un vidēja termiņa budžeta ietvaru tiks plānota obligāciju emisijas fiskālā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Baltoties uz pieejamās informācijas apjomu, likuma “Par valsts budžetu 2025. gadam un budžeta ietvaru 2025., 2026. un 2027. gadam” 17. pantā (4). daļā  ir atrunāti obligāciju emisijas fiskālie nosacījumi 2025. gadam, vienlaicīgi nosakot, ka turpmāko gadu fiskālā ietekme tiks plānota, sagatavojot likumprojektu par valsts budžetu 2026. gadam un budžeta ietvaru 2026., 2027. un 2028. gadam. Ņemot vērā turpmāko gadu prognozes par fiskālajiem rādītājiem likumā ir paredzēts pienākums Rīgas valstspilsētas pašvaldībai pēc Finanšu ministrijas pieprasījuma iesniegt Finanšu ministrijai nepieciešamo informāciju emisijas negatīvās fiskālās ietekmes noteikšanai un, ja nepieciešams, priekšlikumus kompensējošiem pasākumiem negatīvās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budžetu 2025. gadam un budžeta ietvaru 2025., 2026. un 2027. gadam” 17. panta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norāda, ka noteikumu projektā, kā arī spēkā esošajos Ministru kabineta noteikumos nav paredzēta iespēja pašvaldībām refinansēt emitētās obligācijas. Šī regulējuma nepilnība būtiski ierobežo iespēju izlaist vērtspapīrus ar vienreizēju pamatsummas atmaksu termiņa beigās, kas ir ierasta prakse kapitāla tirgos. Refinansēšanas iespējas neesamība kavē pašvaldību spēju izlīdzināt finanšu plūsmas vidējā un ilgtermiņā, samazina investoru interesi un uzticību, paaugstina kapitāla izmaksas, kā arī neatbilst finanšu tirgus standartiem attiecībā uz elastīgu saistību pārvaldību. Lai nodrošinātu funkcionējošu un pieejamu pašvaldību obligāciju tirgu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noteikumos skaidri paredzēt tiesības pašvaldībām refinansēt vismaz 50% no obligāciju emisijas nominālvērtības, ievērojot kopējos aizņēmuma ierobežojumus un ar nosacījumu, ka refinansēšana nerada papildu fiskālo slogu vispārējās valdības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var izdot normatīvus aktus – noteikumus, ja likumā noteiktas īpašas pilnvaras jeb deleģējums Ministru kabinetam un tie nedrīkst būt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paredzēts, ka emitents saskaņā ar 6. punktu uzņemas saistības, ar 8. punktu realizēt obligāciju emisijas saskaņā ar pamatprospektu un ar 27. punktu emitents var veikt obligāciju pilnīgu vai daļēju atpirkšanu un atpirkto obligāciju pirmstermiņa dzēšanu, nodrošinot vienlīdzīgu pieeju visiem obligacionāriem.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emitents – Rīgas valstspilsētas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sagatavošanas noteikumi) 121. punkts paredz, ka noteikumu projektā terminus skaidro, lai konkretizētu terminā izteiktā jēdziena izpratnes robežas, ja termins nav skaidrots vai lietots augstāka juridiskā spēka normatīvajā aktā. Vienlaikus, ievērojot sagatavošanas noteikumu 122. punktā noteikto, uz projektu attiecināms sagatavošanas noteikumu 39. punkts, kas paredz, ka terminu skaidro, minot tajā izteiktā jēdziena būtiskās pazīmes. Vēršam uzmanību uz to, ka projekta 2.1. apakšpunktā nav skaidrots termins "emitents", bet noteikts, ka projekta ietvaros emitents ir Rīgas valstspilsētas pašvaldība. Ievērojot minēto, lūdzam svītrot projekta 2.1. apakšpunktu, vienlaikus, piemēram, projekta 1. punktā vārdu savienojumam "Rīgas valstspilsētas pašvaldība" pieteikt saīsinājumu "emitents".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pašvaldības attīstības programma – Rīgas valstspilsētas pašvaldības apstiprināts un spēkā esošs pašvaldības teritorijas attīstības vidēja termiņa plānošanas dokuments, kurā noteikti ilgtermiņa attīstības mērķi, telpiskās attīstības perspektīvas un stratēģiskās nostādnes;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2.12.apakšpunktā noteiktais ir pretrunā Teritorijas attīstības plānošanas likuma 1.panta pirmās daļas 1.punktā noteiktajam, ka attīstības programma ir vidēja termiņa teritorijas attīstības plānošanas dokuments, kurā noteiktas vidēja termiņa prioritātes un pasākumu kopums plānošanas reģiona vai vietējās pašvaldības attīstības stratēģijā izvirzīto ilgtermiņa stratēģisko uzstādījumu īstenošanai. Tāpat noteikumu projekta 2.12.apakšpunktā noteiktais ir pretrunā Ministru kabineta 2014.gada 14.oktobra noteikumu Nr.628 "Noteikumi par pašvaldību teritorijas attīstības plānošanas dokumentiem" 22.punktā noteiktajam - 22. Attīstības programmā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stratēģiskā daļa, kurā ietvertas vidēja termiņa prioritātes un rīcības virzieni (pasākumu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rīcības plāns un investīciju plāns, kurus izstrādā ne mazāk kā triju gadu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attīstības programmas īstenošanas uzraudzības un novērtēšanas kārtība, kurā noteikti rezultatīvie rādītāji un uzraudzības pārskata sniegšanas biežums un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projekta 2.12.apakšpunktā ir nepieciešams precizēt šo teikuma daļu - "..kurā noteikti ilgtermiņa attīstības mērķi, telpiskās attīstības perspektīvas un stratēģiskās nostādnes", nodrošinot tās atbilstību Teritorijas attīstības plānošanas likumam un Ministru kabineta 2014.gada 14.oktobra noteikumiem Nr.628 "Noteikumi par pašvaldību teritorijas attīstības plānošanas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pašvaldības attīstības programma – Rīgas valstspilsētas pašvaldības apstiprināts un spēkā esošs pašvaldības teritorijas attīstības vidēja termiņa plānošanas dokuments, kurā noteiktas vidēja termiņa prioritātes un pasākumu kopums pašvaldības attīstības stratēģijā izvirzīto ilgtermiņa stratēģisko uzstādījumu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publiskais piedāvājums – ar jebkuru līdzekļu starpniecību sniegta informācija par plānoto obligāciju laidienu, kas ļauj ieguldītājam lemt par obligāciju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noteikumu 121. punkts paredz, ka noteikumu projektā terminus skaidro, lai konkretizētu terminā izteiktā jēdziena izpratnes robežas, ja termins nav skaidrots vai lietots augstāka juridiskā spēka normatīvajā aktā. Vēršam uzmanību uz to, ka termins "publiskais piedāvājums" ir skaidrots Finanšu instrumentu tirgus likuma 1. panta trešās daļas 7. punktā. Ievērojot minēto, lūdzam svītrot projekta 2.15.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sākotnējā izvietošana – emitenta izteiktais publiskais piedāvājums iegūt obligācijas un to pirmreizējā iegūšana;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noteikumu 121. punkts paredz, ka noteikumu projektā terminus skaidro, lai konkretizētu terminā izteiktā jēdziena izpratnes robežas, ja termins nav skaidrots vai lietots augstāka juridiskā spēka normatīvajā aktā. Vēršam uzmanību uz to, ka termins "sākotnējā izvietošana" ir skaidrots Finanšu instrumentu tirgus likuma 1. panta pirmās daļas 11. punktā. Ievērojot minēto, lūdzam svītrot projekta 2.16.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emitenta apliecinājumu, ka spēs pildīt savas saistības un veikt maksājumus, kuriem iestājies atmaksas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iekļauto emitenta apliecinājumu par saistību izpildi (3.4. punkts), noteikumu projekts joprojām neatrisina būtiskāko šķērsli pašvaldību obligāciju emisijai — 20% saistību ierobežojumu attiecībā pret pamatbudžeta ieņēmumiem, kas kavē iespēju īstenot nozīmīgus investīciju projektus, tostarp ar ES līdzfinansējumu, un neparedz pietiekamu normatīvo elastību šādu investīciju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Latvijas Banku kopā ar Rīgas valstspilsētas domi vienoties par ilgtspējīgu un juridiski drošu risinājumu, kas nodrošinātu līdzsvaru starp fiskālo disciplīnu un investīciju vajadzībām pašvaldību autonomo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kurā piedalījās Latvijas pašvaldību savienības, Rīgas valstspilsētas pašvaldības un FM pārstāvji tika pārrunāts likumā noteiktais deleģējums Ministru kabinetam un balstoties uz pārrunāto anotācijā iekļauta informācija, ka pēc nozares ministrijas sadarbībā ar emitentu sagatavotās informācijas izvērtēšanas Ministru kabinetam būs iespēja pieņemt lēmumu par to, lai virzītu pieteikumu likumprojekta par valsts budžetu kārtējam gadam un vidēja termiņa budžeta ietvaru izskatīšanā. Tādā veidā likumā par valsts budžetu kārtējam gadam un vidēja termiņa budžeta ietvaru tiks plānota obligāciju emisijas fiskālā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emitenta apliecinājumu, ka spēs pildīt savas saistības un veikt maksājumus, kuriem iestājies atmaksas termiņš.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Emitents ir tiesīgs veikt vienas sērijas obligāciju pilnīgu vai daļēju atpirkšanu un atpirkto obligāciju pirmstermiņa dzēšanu, nodrošinot vienlīdzīgu pieeju visiem obligacionāriem un, ka ikgadējais uzņemto saistību apmērs nepārsniedz 20 procentus no plānotajiem kārtējā gada pamatbudžeta ieņēmumiem bez valsts budžeta transfertiem noteikta mērķa finansēšanai, tajā skaitā bez valsts budžeta transfertiem Eiropas Savienības un citas ārvalstu finanšu palīdzības līdzfinansētiem projektiem noteiktu mērķu (izdevumu) finansēšanai, un iemaksām pašvaldību finanšu izlīdzināšanas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jaunajā redakcijā iekļauts 27.punkts, bet diemžēl šāds formulējums nedod iespēju pašvaldībai veikt ar obligāciju atmaksu saistītos maksājumus noteiktā gadā virs 20% limita robežas, līdz ar to tas neatrisina jautājumu par vērtspapīru atmaksas apjoma iekļaušanos ikgadējā limita robežās atmaksas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lietotais formulējums " ikgadējais uzņemto saistību apmērs"  neatbilst pašreiz normatīvajos aktos lietotajam formulējumam attiecībā uz pašvaldības saistību apjomu, kas noteiktajā gadā tiek novirzīts pašvaldības kārtēja gada saistību atmaksai.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var izdot normatīvus aktus – noteikumus, ja likumā noteiktas īpašas pilnvaras jeb deleģējums Ministru kabinetam un tie nedrīkst būt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MKN projekta 3. un 5. punktam gatavojot nepieciešamo informāciju, lai pieņemtu lēmumu par obligāciju emisiju, papildus nepieciešams iepriekš paredzēt obligāciju emisijas dzēšanas termiņa gadā nepieciešamo limitu, tai skaitā, ja tiek veikta pilnīga vai daļēja atpirkšana un atpirkto obligāciju pirmstermiņa 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Emitents ir tiesīgs veikt vienas sērijas obligāciju pilnīgu vai daļēju atpirkšanu un atpirkto obligāciju pirmstermiņa dzēšanu, nodrošinot vienlīdzīgu pieeju visiem obligacionāriem.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uzsvērusi, ka obligāciju emisija ir stratēģisks un inovatīvs finanšu instruments, kas sniedz iespēju ilgtspējīgu, uz attīstību vērstu investīciju finansēšanai. Pašvaldība ir gatava turpināt darbu kā pilotprojekta īstenotāja, ar mērķi sekmēt šī instrumenta integrāciju arī citās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sagatavošanās procesā konstatēts, ka spēkā esošā normatīvā vide un interpretācija nepilnīgi atspoguļo pašvaldību obligāciju emisijas būtību un atšķirības salīdzinājumā ar klasiskajiem aizņēmumiem, it īpaši tas attiecas uz obligāciju refinansēšanas iespējām, fiskālās ietekmes uzskaiti un saistību izvērtēšanu vispārējās valsts saistību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kā centrālajai fiskālās disciplīnas pārraugošajai iestādei ir nozīmīga loma šī procesa regulējumā. Tomēr šobrīd novērojama konceptuāla plaisa starp fiskālās kontroles mehānismiem un kapitāla tirgus attīstības mērķiem, kas kavē jaunu un modernu finanšu instrumentu izmantošanu pašvaldību līmenī.  Šādos apstākļos Latvijas Pašvaldību savienība aicina aktīvi iesaistīt Latvijas Banku kā neatkarīgu, profesionālu un tirgus procesus uzraugošu institūciju, kas spētu nodrošināt konsekventu un metodiski pamatotu skatījumu uz obligāciju emisijas fiskālo, uzskaites un regulatīvo ietekmi, kā arī veidotu dialogu FM un pašvaldībām obligāciju uzskaites, refinansēšanas un fiskālās neitralitātes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Rīgas piemērs kļūtu par paraugu arī citām pašvaldībām, ir nepieciešama skaidra, saprotama un koordinēta normatīvā bāze, kas ietver ne vien valsts kontroles mehānismus, bet arī tirgus realitāti un finanšu sektora instrumentu izpratni. Tikai līdzsvarojot fiskālo disciplīnu ar attīstības un investīciju iespējām, iespējams izveidot ilgtspējīgu, funkcionējošu un pašvaldībām pieejamu obligāciju emisijas modeli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var izdot normatīvus aktus – noteikumus, ja likumā noteiktas īpašas pilnvaras jeb deleģējums Ministru kabinetam un tie nedrīkst būt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paredzēts, ka saskaņā ar 3. punktu obligācijas emitē, pamatojoties uz emitenta domes lēmumu par obligāciju emisiju, ar 4. punktu emitentam ir tiesības emitēt obligācijas likumā par valsts budžetu kārtējam gadam un vidēja termiņa budžeta ietvaru noteiktajā ikgadējā finanšu resursu apmērā, ar 5. punktu nozares ministrijas sadarbībā ar emitentu iesniedz informāciju Ministru kabinetā par projektiem, kuru īstenošanai nepieciešams piesaistīt finansējumu obligāciju emisijas veidā, lai Valsts budžeta sagatavošanas procesā būtu pieejama pēc iespējas pilnīgāka informācija par nepieciešamo ikgadējo finanšu resursu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pašlaik tiek īstenots Eiropas Komisijas DG REGIO pasūtītais pētījums, kura ietvaros Eiropas Rekonstrukcijas un attīstības bankas (ERAB) ir nolīgusi ārēju konsultantu InvestorConnected, lai īstenotu projektu “Tirgus priekšizpēte, lai novērtētu iespēju piesaistīt zaļās un ilgtspējai piesaistītās obligācijas Horvātijas, Čehijas, Igaunijas, Latvijas, Lietuvas, Polijas un Rumānijas pašvaldībām saskaņā ar ES kohēzijas politiku” (Market Feasibility Study to Evaluate the Potential of Leveraging Green and Sustainability-linked Bonds for Municipalities in Croatia, Czech Republic, Estonia, Latvia, Lithuania, Poland, and Romania under the EU Cohesion Policy).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vispusīgi novērtēt obligāciju pašreizējo tirgus stāvokli, galveno uzmanību pievēršot zaļajām un ilgtspējai piesaistītajām obligācijām;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un ieteikt uzlabojumus tiesību aktos un/vai struktūrās;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sistēmu zaļajām un ilgtspējai piesaistītajām pašvaldību obligācijām, galveno uzmanību pievēršot tam, kā ES kohēzijas politikas fondi var izmantot attiecīgos finanšu instrumentus un spēju veidošanas iniciatīvas ES kohēzijas politikas fondi pašreizējā un/vai turpmākos plānošanas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ziņojums par rezultātiem, kas gūti, kopā ar Rīgas valstspilsētas pašvaldība izstrādājot pieprasījumam pakļauto zaļo un/vai ilgtspējai piesaistīto obligāciju pilota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risinājuma variants (iestrādāt atkāpi no 20% normas valsts budžeta likumā) nav pietiekams risinājums, jo tas nerada normatīvu tiesību drošību pašvaldībām un neatrisina struktūrfondu līdzfinansējuma projektu jautājumu, jo valsts līdzfinansējums vai naudas plūsmas kavējumi nav pašvaldības ietekmē.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pamatprospekts – dokuments, kas satur detalizētu informāciju par emitentu un obligācijām, ko emitents izmanto, lai izteiktu obligāciju publisko piedāvājumu, kurš ietver uz publiskā piedāvājuma brīdi spēkā esošos </w:t>
            </w:r>
            <w:r w:rsidR="00000000" w:rsidRPr="00000000" w:rsidDel="00000000">
              <w:rPr>
                <w:i w:val="1"/>
                <w:rtl w:val="0"/>
              </w:rPr>
              <w:t xml:space="preserve">euro</w:t>
            </w:r>
            <w:r w:rsidR="00000000" w:rsidRPr="00000000" w:rsidDel="00000000">
              <w:rPr>
                <w:rtl w:val="0"/>
              </w:rPr>
              <w:t xml:space="preserve"> zonas valstu vērtspapīriem piemērojamos kopējas rīcības noteikumus un kurš sagatavots, izmantojot galvenos pamatprincipus, kas noteikti Eiropas Komisijas 2019. gada 14. marta Deleģētajā regulā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2.10. apakšpunktu ar konkrētu atsauci uz </w:t>
            </w:r>
            <w:r w:rsidR="00000000" w:rsidRPr="00000000" w:rsidDel="00000000">
              <w:rPr>
                <w:i w:val="1"/>
                <w:rtl w:val="0"/>
              </w:rPr>
              <w:t xml:space="preserve">Eiropas Komisijas 2019. gada 14. marta Deleģētajā regulas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r w:rsidR="00000000" w:rsidRPr="00000000" w:rsidDel="00000000">
              <w:rPr>
                <w:rtl w:val="0"/>
              </w:rPr>
              <w:t xml:space="preserve">, vienību vai vienībām, kur noteikti attiecīgie pamatprincipi, tādējādi atvieglojot projekta piemērošanu praksē. Kā arī lūdzam izvērtēt un, ja minētās regulas prasības paredzēts ieviest projektā, papildināt anotācijas 5. sadaļu ar skaidrojumu par konkrētās regulas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pamatprospekts – dokuments, kas satur detalizētu informāciju par emitentu un obligācijām, ko emitents izmanto, lai izteiktu obligāciju publisko piedāvājumu, kurš ietver uz publiskā piedāvājuma brīdi spēkā esošos </w:t>
            </w:r>
            <w:r w:rsidR="00000000" w:rsidRPr="00000000" w:rsidDel="00000000">
              <w:rPr>
                <w:i w:val="1"/>
                <w:rtl w:val="0"/>
              </w:rPr>
              <w:t xml:space="preserve">euro</w:t>
            </w:r>
            <w:r w:rsidR="00000000" w:rsidRPr="00000000" w:rsidDel="00000000">
              <w:rPr>
                <w:rtl w:val="0"/>
              </w:rPr>
              <w:t xml:space="preserve"> zonas valstu vērtspapīriem piemērojamos kopējas rīcības noteikumus un kurš sagatavots, izmantojot galvenos pamatprincipus, kas noteikti Eiropas Komisijas 2019. gada 14. marta Deleģētajā regulā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zaļo obligāciju ietvars – dokuments, kas sagatavots atbilstoši starptautiskajā praksē izmantotajām vadlīnijām par zaļajām obligācijām, par pašvaldības attīstības programmā iekļautajiem stratēģiski svarīgiem infrastruktūras investīciju projektiem, kurus plānots pilnībā vai daļēji finansēt ar finanšu resursiem, kas piesaistīti ar pašvaldības zaļajām obligācijām.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sagatavošanas noteikumu 131.2. apakšpunktu, lūdzam svītrot projektā ietvertās atsauces uz juridiski nesaistošiem dokumentiem - starptautiskajā praksē izmantotajām vadlīnijām par zaļajām obligācijām, nepieciešamības gadījumā pārņemot minēto vadlīniju prasības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sagatavoto zaļo obligāciju ietvaru būs nepieciešams saņemot ārējā pārbaudītāja neatkarīgu atzinumu par ietvara atbilstību atbilstoši starptautiskajā praksē izmantotajām vadlīnijām par zaļajām obligācijām.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zaļo obligāciju ietvars – dokuments, kas sagatavots atbilstoši starptautiskajā praksē izmantotajām vadlīnijām par zaļajām obligācijām, par pašvaldības attīstības programmā iekļautajiem stratēģiski svarīgiem infrastruktūras investīciju projektiem, kurus plānots pilnībā vai daļēji finansēt ar finanšu resursiem, kas piesaistīti ar pašvaldības zaļajām obligācijām.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papildināt informatīvo atsauci uz Eiropas Savienības direktīvām ar konkrētu direktīvas vai direktīvu nosaukumiem. Ja ar noteikumu projektu tiek pārņemtas direktīvas prasības, lūdzam noteikumu projekta anotācijas 5. sadaļā detalizēti skaidrot minēto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informatīvā atsauce uz Eiropas Savienības direktīvām ar konkrētu direktīvas vai direktīvu nosaukumiem, jo ar noteikumu projektu netiek pārņemtas direktīvas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w:t>
            </w:r>
            <w:r w:rsidR="00000000" w:rsidRPr="00000000" w:rsidDel="00000000">
              <w:rPr>
                <w:i w:val="1"/>
                <w:rtl w:val="0"/>
              </w:rPr>
              <w:t xml:space="preserve">"Ministru kabineta 2024. gada 9. aprīļa sēdē (prot. Nr. 15 70. §) izskatīts un pieņemts zināšanai Rīgas valstspilsētas pašvaldības veiktais izvērtējums par pašvaldības  kapitālsabiedrību finanšu kapacitāti un briedumu iespējamai dalībai kapitāla tirgū un to, ka  SIA "Rīgas ūdens" plāno emitēt obligācijas un SIA "Rīgas namu pārvaldnieks" strādā pie sākotnējā publiskā piedāvājuma izteikšanas 2026. gadā". </w:t>
            </w:r>
            <w:r w:rsidR="00000000" w:rsidRPr="00000000" w:rsidDel="00000000">
              <w:rPr>
                <w:rtl w:val="0"/>
              </w:rPr>
              <w:t xml:space="preserve">Lai varētu sekot līdzi progresam obligāciju emitēšanai 2023. - 2025. gada ietvaros, ko nosaka spēkā esošais normatīvais regulējums, lūdzam anotācijā aktualizēt informāciju par SIA "Rīgas ūdens" plānoto obligāciju emitēšanu, norādot, vai process ir pabeigts. Vienlaikus attiecībā par SIA "Rīgas namu pārvaldnieks" lūdzam sniegt skaidrojumu, vai obligācijas šajā gadījumā tiek plānots emitēt 2025. – 2027. gada ietvaros, ko noteiks jaunais normatīvais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minēta atsauce atbilstoši informatīvajā ziņojumā "Par Latvijas kapitāla tirgus tālāku attīstību", kurš izskatīts un pieņemts Ministru kabineta 2023. gada 16. maija sēdes protokollēmā noteiktajam (prot. Nr. 26 27. §) aicināt Rīgas domi līdz 2023. gada 15. oktobrim iesniegt Finanšu ministrijā informāciju par papildus kapitāla piesaistes nepieciešamību Rīgas pašvaldības kapitālsabiedrībām attīstības mērķu finansēšanai, izvērtējot iespēju finansējumu piesaistīt kapitāla tirgū,  un plānoto laika grafiku  plānotajām darbībām šī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progresu obligāciju emitēšanā Rīgas valstspilsētas pašvaldības kapitālsabiedrībās aicinām izmantot konkrēto iestāžu tīmekļvietnes, piemēram,  2025. gada 20. maija publikācija “Rīgas ūdens” kļūs par pirmo pašvaldības uzņēmumu, kas emitēs obligācijas".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25-TA-317</w:t>
    </w:r>
    <w:r>
      <w:br/>
    </w:r>
    <w:r w:rsidR="00000000" w:rsidRPr="00000000" w:rsidDel="00000000">
      <w:rPr>
        <w:rtl w:val="0"/>
      </w:rPr>
      <w:t xml:space="preserve">19.09.2025. 13.47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25-TA-317</w:t>
    </w:r>
    <w:r>
      <w:br/>
    </w:r>
    <w:r w:rsidR="00000000" w:rsidRPr="00000000" w:rsidDel="00000000">
      <w:rPr>
        <w:rtl w:val="0"/>
      </w:rPr>
      <w:t xml:space="preserve">19.09.2025. 13.47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Izziņa_25-TA-317.docx</dc:title>
</cp:coreProperties>
</file>

<file path=docProps/custom.xml><?xml version="1.0" encoding="utf-8"?>
<Properties xmlns="http://schemas.openxmlformats.org/officeDocument/2006/custom-properties" xmlns:vt="http://schemas.openxmlformats.org/officeDocument/2006/docPropsVTypes"/>
</file>