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decembra noteikumos Nr. 1145 "Noteikumi par uztura bagātinātāju reģistrācijas valsts nodevu"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precizēt aprēķinus, norādot kopējo objektu skaitu, objektu skaitu bez atlaides un objektu skaitu ar atlaidi, lai ir skaidri saprotams, kā tiek ievēroti procentuālie pieņēmumi par nodevas ieņēmumu aprēķinā izmantoto objektu skaitu, kas norādīti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3. sadaļas 6.1. un 6.2. apakšpunktos.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 papildu skaidrojumu, ar kādu Pārtikas un veterinārā dienesta administrēto valsts budžeta nodevu ieņēmumu palielinājumu plānots kompensēt ar grozījumiem plānoto nodevas ieņēmumu samazinājumu, sniedzot tam attiecīgu pamatojumu. Vienlaikus ievērojot, ka noteikumu projekts ir par valsts nodevu, kuram ir ietekme uz budžeta ieņēmumiem, bet nav tiešas ietekmes uz budžeta izdevumiem, kā arī no Zemkopības ministrijas netiek piedāvāts pieņemt lēmumu par budžeta izdevumu samazināšanu Pārtikas un veterinārajam dienestam, lūdzam izvērtēt, vai informācija par ietekmi uz budžeta izdevumiem anotācijas 3.sadaļā būtu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 bagātinātāju reģistrācijas valsts nodevas samazinājums 3 304 EUR apmērā neradīs ietekmi uz valsts budžetu un Pārtikas un veterinārā dienesta administrēto valsts budžeta nodevu plāns 2023. gadā un turpmāk paliks nemainīgs – 180 279 EUR apmērā ik gadu, jo, iesniedzot valsts budžeta ieņēmumu prognozes, kopējais budžeta ieņēmumu apjoms tiks koriģēts saistībā ar sekojošu iestādes administrēto nodevu ieņēmumu palielinājumu: nodeva par dzīvnieka pārvadātāja apliecības izsniegšanu un nodeva par atļaujas izsniegšanu transportlīdzeklim dzīvnieku pārvadāšanai.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padziļināti jāizvērtē valsts nodevas noteikšanas samērīgums noteikumu projektā paredzētajos gadījumos, proti, kad nodokļu maksātāja rīcība ir cieši saistīta ar valsts vai pašvaldību nolemto. Noteikumu projekts paredz nodevas likmi par  izmaiņu izdarīšanu uztura bagātinātāja marķējumā, ja to veikšanas pamats ir valsts vai pašvaldības institūcijas lēmums par adreses maiņu, proti, šīs izmaiņas ir veicamas neatkarīgi no pārtikas uzņēmuma vēlmes, jo, pieņemot politisku vai administratīvu lēmumu, tiek mainīta adrese uzņēmuma juridiskās vai faktiskās atrašanās vietai (piemēram, administratīvās teritorijas vai ielas nosaukums). Lai gan atbildīgā ministrija prezumē, ka jau šobrīd ir maksājama valsts nodeva šādā gadījumā, jo spēkā esošais regulējums paredz nodevas maksāšanu, ja tiek izdarītas izmaiņas marķējumā, ar grozījumiem vien tikai konkrēti izdalot šādus gadījumus ( izmaiņu izdarīšanas pamats ir valsts vai pašvaldības institūcijas lēmums par adreses maiņu) un nosakot zemāku likmi, mūsuprāt, nav viennozīmīgi skaidrs, vai šādā gadījumā var tikt noteikts maksājums uzņēmumam. Lai varētu izdarīt pamatotus secinājumus, lūdzam papildināt anotāciju ar detalizētāku paskaidrojumu (analīzi) par to, kāpēc šādos gadījumos būtu nosakāms maksājums (kāpēc tas ir tiesiski un pamatoti) un kāda ietekme (finansiāla, administratīvas slogs) ir sagaidāma, ja valsts nodeva šādos gadījumos nebūtu aprēķināma, ņemot vērā, ka no anotācijas izriet, ka šobrīd tā tiek iekasēta.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apakšpunkts saglabāts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2.</w:t>
            </w:r>
            <w:r w:rsidR="00000000" w:rsidRPr="00000000" w:rsidDel="00000000">
              <w:rPr>
                <w:vertAlign w:val="superscript"/>
                <w:rtl w:val="0"/>
              </w:rPr>
              <w:t xml:space="preserve">2</w:t>
            </w:r>
            <w:r w:rsidR="00000000" w:rsidRPr="00000000" w:rsidDel="00000000">
              <w:rPr>
                <w:rtl w:val="0"/>
              </w:rPr>
              <w:t xml:space="preserve"> "Valsts nodevu nemaksā par izmaiņu reģistrēšanu uztura bagātinātāju reģistrā esošam uztura bagātinātājam, ja izmaiņu izdarīšana marķējumā vai citā pievienotajā informācijā ir saistīta ar administratīvo teritoriju pārveidošanu, robežu vai nosaukuma maiņu, kā arī ar ielas nosaukuma vai ēkas numerācijas maiņu Latvijas teritorijā, un tā ir vienīgā paziņotā izmaiņa".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par noteikumu projekta ietekmi uz valsts budžeta ieņēmumiem, lai tā nav pretrunā informācijai, ko Zemkopības ministrija ir sniegusi ar sagatavotajām prognozēm par pamatbudžetā iemaksājamām valsts nodevām, kas iesniegtas Finanšu ministrijā 2022.gada augustā. Vēršam uzmanību, ka minētajās prognozēs ieņēmumu samazinājums no nodevas par uztura bagātinātāju reģistrāciju jau ir iesniegts, turklāt apmērā 3 651 euro, kā arī saskaņā ar iepriekš minētajām prognozēm šīs nodevas ieņēmumu samazinājumu paredzēts kompensēt ne tikai ar precizētiem ieņēmumiem no nodevas par dzīvnieka pārvadātāja apliecības izsniegšanu un nodevas par atļaujas izsniegšanu transportlīdzeklim dzīvnieku pārvadāšanai, bet arī ieņēmumiem no citām nodevām. Vienlaikus lūdzam arī papildināt ar informāciju, ka anotācijas 3.sadaļā norādītās ietekmes uz valsts budžeta ieņēmumiem jau ir iesniegtas Finanšu ministrijā likumprojekta “Par valsts budžetu 2023.gadam” un likumprojekta “Par vidēja termiņa budžeta ietvaru 2023., 2024. un 2025. gadam”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svītrot informāciju par ietekmi uz budžeta izdevumiem, ņemot vērā, ka noteikumu projekts ir par izmaiņām attiecībā uz valsts nodevu, kas ir ietekme uz budžeta ieņēmumiem, bet noteikumu projektam nav tiešas ietekmes uz budžeta izdevumiem, kā arī no Zemkopības ministrijas netiek piedāvāts pieņemt lēmumu par budžeta izdevumu samazināšanu Pārtikas un veterinārajam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ja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minēto izmaiņu izdarīšanas pamats ir valsts vai pašvaldības institūcijas lēmums par adreses maiņu – 25,00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Zemkopības ministrijas sagatavotais Ministru kabineta noteikumu projekts “Grozījumi Ministru kabineta 2010. gada 21. decembra noteikumos Nr.1145 “Noteikumi par uztura bagātinātāju reģistrācijas valsts nodevu”” (turpmāk – projekts) un par to izsakām šādu iebildumu –  Projektā 2. punktā paredzēto grozījumu Ministru kabineta 2010. gada 21. decembra noteikumos Nr.1145 “Noteikumi par uztura bagātinātāju reģistrācijas valsts nodevu” (turpmāk – noteikumi) nepieciešams papildus izvērtēt un precizēt vai svītrot, jo piedāvātais regulējums pilnā mērā neatbilst Pārtikas aprites uzraudzības likuma (turpmāk – likums) 20. panta otrajā daļā vai Ministru kabineta 2015. gada 1. decembra noteikumos Nr.685 “Prasības uztura bagātinātājiem” (turpmāk – noteikumi Nr.685) noteiktajam par valsts nodevas samaksu, kas ir jāveic par uztura bagātinātāju reģistrāciju. Vēršam uzmanību, ka noteikumu Nr.685 9. un 13. punkta apakšpunktos ir paredzēta dažādu adrešu norādīšana. Projektā paredzētais regulējums, kā arī anotācijā sniegtā informācija nesniedz priekšstatu, kādu adrešu izmaiņu gadījumā to nepieciešams reģistrēt un maksāt par to valsts nodevu. Vienlaikus vēlamies norādīt, ka valsts ar normatīvo aktu nevar paredzēt valsts nodevas samaksas pienākumu par “valsts vai pašvaldības institūcijas lēmumu par adreses maiņu”, jo šāds regulējums ir pretrunā ar Valsts pārvaldes iekārtas likuma 10. pantā noteiktajiem valsts pārvaldes principiem, kā arī Administratīvā procesa likuma 4. pantā noteiktajiem administratīvā procesa principiem, kas paredz privātpersonas tiesību ievērošanu. Demokrātiskā un tiesiskā valstī ar normatīvo aktu nevar noteikt papildu maksājumus privātpersonai par publiskas personas rīcību, kad tiek pieņemts valsts vai pašvaldības institūcijas lēmums par adreses maiņu. Vēršam uzmanību, ka, piemēram, Ministru kabineta 2016. gada 11. oktobra noteikumu Nr.664 “Noteikumi par valsts nodevu, kas maksājama par ierakstu izdarīšanu uzņēmumu reģistra žurnālā un komercreģistrā, kā arī iesniedzamo dokumentu reģistrēšanu” 7.1. apakšpunkts paredz, ka valsts nodevu nemaksā par ieraksta grozīšanu uzņēmumu reģistra žurnālā vai komercreģistrā, ja grozījums ir saistīts ar administratīvo teritoriju pārveidošanu, robežu vai nosaukuma maiņu, kā arī ar ielas nosaukuma vai ēkas numerācijas maiņu. Ievērojot minēto, Tieslietu ministrija piedāvā svītrot projekta 2. punktu, jo šādu adreses maiņas grozījumu reģistrācija nevar radīt pienākumu veikt valsts nodevas samaksu, kā arī piedāvājam vienlaicīgi virzīt grozījumus noteikumos Nr.685, lai korekti noteiktu (savstarpēji saskaņotu) reģistrācijas un to izmaiņu darbības, par kurām būtu maksājama valsts nodeva. Minētā tiesiskā regulējuma saskaņošanas nepieciešamība ir attiecināma arī uz projekta 1. punktā noteikto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apakšpunkts saglabāts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2.</w:t>
            </w:r>
            <w:r w:rsidR="00000000" w:rsidRPr="00000000" w:rsidDel="00000000">
              <w:rPr>
                <w:vertAlign w:val="superscript"/>
                <w:rtl w:val="0"/>
              </w:rPr>
              <w:t xml:space="preserve">2</w:t>
            </w:r>
            <w:r w:rsidR="00000000" w:rsidRPr="00000000" w:rsidDel="00000000">
              <w:rPr>
                <w:rtl w:val="0"/>
              </w:rPr>
              <w:t xml:space="preserve"> "Valsts nodevu nemaksā par izmaiņu reģistrēšanu uztura bagātinātāju reģistrā esošam uztura bagātinātājam, ja izmaiņu izdarīšana marķējumā vai citā pievienotajā informācijā ir saistīta ar administratīvo teritoriju pārveidošanu, robežu vai nosaukuma maiņu, kā arī ar ielas nosaukuma vai ēkas numerācijas maiņu Latvijas teritorijā, un tā ir vienīgā paziņotā izmaiņa".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par ieņēmumu samazinājumu sadalījumā pa nodevu veidiem, lai tas nepārsniegtu kopējo ieņēmumu samazinājumu 3 651 euro (šobrīd 3.sadaļas 6.punktā sniegtā informācija par izmaiņām kopsummā veido 3 859 </w:t>
            </w:r>
            <w:r w:rsidR="00000000" w:rsidRPr="00000000" w:rsidDel="00000000">
              <w:rPr>
                <w:i w:val="1"/>
                <w:rtl w:val="0"/>
              </w:rPr>
              <w:t xml:space="preserve">euro</w:t>
            </w:r>
            <w:r w:rsidR="00000000" w:rsidRPr="00000000" w:rsidDel="00000000">
              <w:rPr>
                <w:rtl w:val="0"/>
              </w:rPr>
              <w:t xml:space="preserve">, t.i., 208 </w:t>
            </w:r>
            <w:r w:rsidR="00000000" w:rsidRPr="00000000" w:rsidDel="00000000">
              <w:rPr>
                <w:i w:val="1"/>
                <w:rtl w:val="0"/>
              </w:rPr>
              <w:t xml:space="preserve">euro </w:t>
            </w:r>
            <w:r w:rsidR="00000000" w:rsidRPr="00000000" w:rsidDel="00000000">
              <w:rPr>
                <w:rtl w:val="0"/>
              </w:rPr>
              <w:t xml:space="preserve">vairāk), kā arī atkārtoti aicinām anotācijas 3.sadaļa 1., 1.1., 2., 2.1.punktā svītrot izmaiņu ailēs norādīto informāciju, jo noteikumu projektam nav ietekme uz budžeta izdevumiem, savukārt ietekmi uz ieņēmumiem paredzēts kompensēt no citām nodevām, kas arī skaidrots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22-TA-1537</w:t>
    </w:r>
    <w:r>
      <w:br/>
    </w:r>
    <w:r w:rsidR="00000000" w:rsidRPr="00000000" w:rsidDel="00000000">
      <w:rPr>
        <w:rtl w:val="0"/>
      </w:rPr>
      <w:t xml:space="preserve">08.11.2022. 09.48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22-TA-1537</w:t>
    </w:r>
    <w:r>
      <w:br/>
    </w:r>
    <w:r w:rsidR="00000000" w:rsidRPr="00000000" w:rsidDel="00000000">
      <w:rPr>
        <w:rtl w:val="0"/>
      </w:rPr>
      <w:t xml:space="preserve">08.11.2022. 09.48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Izziņa_22-TA-1537.docx</dc:title>
</cp:coreProperties>
</file>

<file path=docProps/custom.xml><?xml version="1.0" encoding="utf-8"?>
<Properties xmlns="http://schemas.openxmlformats.org/officeDocument/2006/custom-properties" xmlns:vt="http://schemas.openxmlformats.org/officeDocument/2006/docPropsVTypes"/>
</file>