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23-TA-3087: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atļauju Elitai Turkai savienot amatu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saskaņā ar Rīgas brīvostas likuma 6. panta pirmo daļu Rīgas brīvostas pārvaldes augstākā lēmējinstitūcija ir Rīgas brīvostas valde. Tās locekļus amatā ieceļ un no amata atbrīvo Ostu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1.3. apakšpunkts satur norādi uz Rīgas brīvostas likuma 6. panta pirmo daļu, atbilstoši kurai </w:t>
            </w:r>
            <w:r w:rsidR="00000000" w:rsidRPr="00000000" w:rsidDel="00000000">
              <w:rPr>
                <w:i w:val="1"/>
                <w:rtl w:val="0"/>
              </w:rPr>
              <w:t xml:space="preserve">Ostas pārvaldes augstākā lēmējinstitūcija ir Ostas valde. Tās locekļus amatā ieceļ un no amata atbrīvo "Likuma par ostām" 8. pantā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Ostu likuma 8. pants ir izslēgts un atbilstoši likumam locekļu iecelšana ir atrunāta Ostu likuma pārejas noteikumu 15.punkta 2.apakšpunktā, kas arī projektā nav piemērojama, jo atbilstoši regulējumā norādītajam, minētā norma bija piemērojama līdz 2023. gada 31. decembrim.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projekta 1.3. apakšpunkts būtu precizējams. Ja atsauce netiek precizēta, aicinām anotācijā skaidrot, kāpēc tiek izmantota atsauce uz likuma regulējumu (pastarpināti uz "Likuma par ostām" 8. pantu), kas vairs nav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 papildināta ar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Rīgas brīvostas likuma 6. panta pirmo daļu Rīgas brīvostas pārvaldes augstākā lēmējinstitūcija ir Rīgas brīvostas valde. Tās locekļus amatā ieceļ un no amata atbrīvo "Likuma par ostām" 8. pantā noteiktajā kārtībā. Minētā norma ir izslēgta ar Ostu likuma 2022. gada 10. februāra grozījumiem, un Rīgas brīvostas valdes locekļu iecelšana tika atrunāta Ostu likuma pārejas noteikumu 15. punkta 2. apakšpunktā, kas bija spēkā līdz 2023. gada 31. decembrim. Līdz ar to rodas normatīvā regulējuma iztrūkums regulējumam, kas noteic Rīgas brīvostas pārvaldes valdes locekļu iecelšanu no Ministru kabineta.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15. panta divpadsmitā daļa noteic, ka iestāde un tiesa nedrīkst atteikties izlemt jautājumu, pamatojoties uz to, ka šis jautājums nav noregulēts ar likumu vai citu ārējo normatīvo aktu (iestāžu un tiesu juridiskās obstrukcijas aizliegums). Tās nedrīkst atteikties piemērot tiesību normu, pamatojoties uz to, ka šī tiesību norma neparedz piemērošanas mehānismu, ka tas nav pilnīgs vai nav izdoti citi normatīvie akti, kas tuvāk regulētu attiecīgās tiesību normas piemērošanu. Tas neattiecas tikai uz gadījumu, kad nav izveidota vai nedarbojas iestāde, kurai šī tiesību norma ir jāpiemēro vai citādā veidā jāpiedalās tās piemērošanā. Līdz ar to, lai ieceltu Rīgas brīvostas valdē vides aizsardzības un reģionālās attīstības ministra virzītu pārstāvi, jāizmanto Ostu likuma pārejas noteikumu 15. punkta 2. apakšpunktā noteiktais regulējums."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saskaņā ar Rīgas brīvostas likuma 6. panta pirmo daļu Rīgas brīvostas pārvaldes augstākā lēmējinstitūcija ir Rīgas brīvostas valde. Tās locekļus amatā ieceļ un no amata atbrīvo Ostu likumā noteiktajā kārtībā;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23-TA-3087</w:t>
    </w:r>
    <w:r>
      <w:br/>
    </w:r>
    <w:r w:rsidR="00000000" w:rsidRPr="00000000" w:rsidDel="00000000">
      <w:rPr>
        <w:rtl w:val="0"/>
      </w:rPr>
      <w:t xml:space="preserve">07.02.2024. 18.56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23-TA-3087</w:t>
    </w:r>
    <w:r>
      <w:br/>
    </w:r>
    <w:r w:rsidR="00000000" w:rsidRPr="00000000" w:rsidDel="00000000">
      <w:rPr>
        <w:rtl w:val="0"/>
      </w:rPr>
      <w:t xml:space="preserve">07.02.2024. 18.56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Izziņa_23-TA-3087.docx</dc:title>
</cp:coreProperties>
</file>

<file path=docProps/custom.xml><?xml version="1.0" encoding="utf-8"?>
<Properties xmlns="http://schemas.openxmlformats.org/officeDocument/2006/custom-properties" xmlns:vt="http://schemas.openxmlformats.org/officeDocument/2006/docPropsVTypes"/>
</file>