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F64E" w14:textId="340A6C61" w:rsidR="00FB50D3" w:rsidRPr="00504148" w:rsidRDefault="00FB50D3" w:rsidP="00FB50D3">
      <w:pPr>
        <w:shd w:val="clear" w:color="auto" w:fill="FFFFFF"/>
        <w:spacing w:after="0" w:line="240" w:lineRule="auto"/>
        <w:jc w:val="right"/>
        <w:rPr>
          <w:rFonts w:ascii="Times New Roman" w:eastAsia="Times New Roman" w:hAnsi="Times New Roman" w:cs="Times New Roman"/>
          <w:sz w:val="20"/>
          <w:szCs w:val="20"/>
          <w:lang w:eastAsia="lv-LV"/>
        </w:rPr>
      </w:pPr>
      <w:r w:rsidRPr="00504148">
        <w:rPr>
          <w:rFonts w:ascii="Times New Roman" w:eastAsia="Times New Roman" w:hAnsi="Times New Roman" w:cs="Times New Roman"/>
          <w:sz w:val="20"/>
          <w:szCs w:val="20"/>
          <w:lang w:eastAsia="lv-LV"/>
        </w:rPr>
        <w:t>2.pielikums</w:t>
      </w:r>
      <w:r w:rsidRPr="00504148">
        <w:rPr>
          <w:rFonts w:ascii="Times New Roman" w:eastAsia="Times New Roman" w:hAnsi="Times New Roman" w:cs="Times New Roman"/>
          <w:sz w:val="20"/>
          <w:szCs w:val="20"/>
          <w:lang w:eastAsia="lv-LV"/>
        </w:rPr>
        <w:br/>
        <w:t>Ministru kabineta</w:t>
      </w:r>
      <w:r w:rsidRPr="00504148">
        <w:rPr>
          <w:rFonts w:ascii="Times New Roman" w:eastAsia="Times New Roman" w:hAnsi="Times New Roman" w:cs="Times New Roman"/>
          <w:sz w:val="20"/>
          <w:szCs w:val="20"/>
          <w:lang w:eastAsia="lv-LV"/>
        </w:rPr>
        <w:br/>
        <w:t>2009.gada 25.augusta noteikumiem Nr.970</w:t>
      </w:r>
      <w:bookmarkStart w:id="0" w:name="piel-300865"/>
      <w:bookmarkEnd w:id="0"/>
    </w:p>
    <w:p w14:paraId="0EEC8827" w14:textId="77777777" w:rsidR="00504148" w:rsidRPr="00504148" w:rsidRDefault="00504148" w:rsidP="00FB50D3">
      <w:pPr>
        <w:shd w:val="clear" w:color="auto" w:fill="FFFFFF"/>
        <w:spacing w:after="0" w:line="240" w:lineRule="auto"/>
        <w:jc w:val="right"/>
        <w:rPr>
          <w:rFonts w:ascii="Times New Roman" w:eastAsia="Times New Roman" w:hAnsi="Times New Roman" w:cs="Times New Roman"/>
          <w:sz w:val="20"/>
          <w:szCs w:val="20"/>
          <w:lang w:eastAsia="lv-LV"/>
        </w:rPr>
      </w:pPr>
    </w:p>
    <w:p w14:paraId="504D12D9" w14:textId="447F14D6" w:rsidR="00504148" w:rsidRPr="008A1D09" w:rsidRDefault="00FB50D3" w:rsidP="008A1D09">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300866"/>
      <w:bookmarkStart w:id="2" w:name="n-300866"/>
      <w:bookmarkEnd w:id="1"/>
      <w:bookmarkEnd w:id="2"/>
      <w:r w:rsidRPr="00504148">
        <w:rPr>
          <w:rFonts w:ascii="Arial" w:eastAsia="Times New Roman" w:hAnsi="Arial" w:cs="Arial"/>
          <w:b/>
          <w:bCs/>
          <w:sz w:val="24"/>
          <w:szCs w:val="24"/>
          <w:lang w:eastAsia="lv-LV"/>
        </w:rPr>
        <w:t xml:space="preserve">Sabiedrības iebildumi un priekšlikumi par </w:t>
      </w:r>
      <w:r w:rsidR="00504148" w:rsidRPr="00504148">
        <w:rPr>
          <w:rFonts w:ascii="Arial" w:eastAsia="Times New Roman" w:hAnsi="Arial" w:cs="Arial"/>
          <w:b/>
          <w:bCs/>
          <w:sz w:val="24"/>
          <w:szCs w:val="24"/>
          <w:lang w:eastAsia="lv-LV"/>
        </w:rPr>
        <w:t>Ministru kabineta noteikumu projektu ,,</w:t>
      </w:r>
      <w:r w:rsidR="008A1D09" w:rsidRPr="008A1D09">
        <w:rPr>
          <w:rFonts w:ascii="Arial" w:eastAsia="Times New Roman" w:hAnsi="Arial" w:cs="Arial"/>
          <w:b/>
          <w:bCs/>
          <w:sz w:val="24"/>
          <w:szCs w:val="24"/>
          <w:lang w:eastAsia="lv-LV"/>
        </w:rPr>
        <w:t>Noteikumi par zāļu klīniskā pētījuma veikšanas kārtību un kārtību, kādā tiek vērtēta zāļu klīniskās pārbaudes atbilstība labas klīniskās prakses prasībām</w:t>
      </w:r>
      <w:r w:rsidR="00504148" w:rsidRPr="00504148">
        <w:rPr>
          <w:rFonts w:ascii="Arial" w:hAnsi="Arial" w:cs="Arial"/>
          <w:b/>
          <w:sz w:val="24"/>
          <w:szCs w:val="24"/>
        </w:rPr>
        <w:t>”</w:t>
      </w:r>
    </w:p>
    <w:p w14:paraId="0CDA0B78" w14:textId="3F840622" w:rsidR="00FB50D3" w:rsidRPr="00147788" w:rsidRDefault="00FB50D3" w:rsidP="00FB50D3">
      <w:pPr>
        <w:shd w:val="clear" w:color="auto" w:fill="FFFFFF"/>
        <w:spacing w:after="0" w:line="240" w:lineRule="auto"/>
        <w:jc w:val="center"/>
        <w:rPr>
          <w:rFonts w:ascii="Times New Roman" w:eastAsia="Times New Roman" w:hAnsi="Times New Roman" w:cs="Times New Roman"/>
          <w:sz w:val="24"/>
          <w:szCs w:val="24"/>
          <w:lang w:eastAsia="lv-LV"/>
        </w:rPr>
      </w:pPr>
    </w:p>
    <w:p w14:paraId="46EC2D27" w14:textId="4585D99B" w:rsidR="00147788" w:rsidRPr="00147788" w:rsidRDefault="00147788" w:rsidP="00147788">
      <w:pPr>
        <w:shd w:val="clear" w:color="auto" w:fill="FFFFFF"/>
        <w:spacing w:after="0" w:line="240" w:lineRule="auto"/>
        <w:rPr>
          <w:rFonts w:ascii="Times New Roman" w:eastAsia="Times New Roman" w:hAnsi="Times New Roman" w:cs="Times New Roman"/>
          <w:sz w:val="24"/>
          <w:szCs w:val="24"/>
          <w:lang w:eastAsia="lv-LV"/>
        </w:rPr>
      </w:pPr>
      <w:r w:rsidRPr="00147788">
        <w:rPr>
          <w:rFonts w:ascii="Times New Roman" w:eastAsia="Times New Roman" w:hAnsi="Times New Roman" w:cs="Times New Roman"/>
          <w:sz w:val="24"/>
          <w:szCs w:val="24"/>
          <w:lang w:eastAsia="lv-LV"/>
        </w:rPr>
        <w:t>Sabiedriskā apspriede 2022.gada 18.janvārī</w:t>
      </w:r>
    </w:p>
    <w:tbl>
      <w:tblPr>
        <w:tblW w:w="5132"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66"/>
        <w:gridCol w:w="3917"/>
        <w:gridCol w:w="3080"/>
        <w:gridCol w:w="2104"/>
        <w:gridCol w:w="4643"/>
      </w:tblGrid>
      <w:tr w:rsidR="00504148" w:rsidRPr="00504148" w14:paraId="684DCD63"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vAlign w:val="center"/>
            <w:hideMark/>
          </w:tcPr>
          <w:p w14:paraId="23F6BB1C" w14:textId="77777777" w:rsidR="00FB50D3" w:rsidRPr="00504148" w:rsidRDefault="00FB50D3" w:rsidP="00FB50D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Nr.</w:t>
            </w:r>
            <w:r w:rsidRPr="00504148">
              <w:rPr>
                <w:rFonts w:ascii="Times New Roman" w:eastAsia="Times New Roman" w:hAnsi="Times New Roman" w:cs="Times New Roman"/>
                <w:sz w:val="24"/>
                <w:szCs w:val="24"/>
                <w:lang w:eastAsia="lv-LV"/>
              </w:rPr>
              <w:br/>
              <w:t>p.k.</w:t>
            </w:r>
          </w:p>
        </w:tc>
        <w:tc>
          <w:tcPr>
            <w:tcW w:w="1369" w:type="pct"/>
            <w:tcBorders>
              <w:top w:val="outset" w:sz="6" w:space="0" w:color="414142"/>
              <w:left w:val="outset" w:sz="6" w:space="0" w:color="414142"/>
              <w:bottom w:val="outset" w:sz="6" w:space="0" w:color="414142"/>
              <w:right w:val="outset" w:sz="6" w:space="0" w:color="414142"/>
            </w:tcBorders>
            <w:vAlign w:val="center"/>
            <w:hideMark/>
          </w:tcPr>
          <w:p w14:paraId="4B74E3B5" w14:textId="77777777" w:rsidR="00FB50D3" w:rsidRPr="00504148" w:rsidRDefault="00FB50D3" w:rsidP="00FB50D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Iebilduma/priekšlikuma iesniedzējs</w:t>
            </w:r>
          </w:p>
        </w:tc>
        <w:tc>
          <w:tcPr>
            <w:tcW w:w="1076" w:type="pct"/>
            <w:tcBorders>
              <w:top w:val="outset" w:sz="6" w:space="0" w:color="414142"/>
              <w:left w:val="outset" w:sz="6" w:space="0" w:color="414142"/>
              <w:bottom w:val="outset" w:sz="6" w:space="0" w:color="414142"/>
              <w:right w:val="outset" w:sz="6" w:space="0" w:color="414142"/>
            </w:tcBorders>
            <w:vAlign w:val="center"/>
            <w:hideMark/>
          </w:tcPr>
          <w:p w14:paraId="5E507BFB" w14:textId="77777777" w:rsidR="00FB50D3" w:rsidRPr="00504148" w:rsidRDefault="00FB50D3" w:rsidP="00FB50D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Iesniegtā iebilduma/</w:t>
            </w:r>
            <w:r w:rsidRPr="00504148">
              <w:rPr>
                <w:rFonts w:ascii="Times New Roman" w:eastAsia="Times New Roman" w:hAnsi="Times New Roman" w:cs="Times New Roman"/>
                <w:sz w:val="24"/>
                <w:szCs w:val="24"/>
                <w:lang w:eastAsia="lv-LV"/>
              </w:rPr>
              <w:br/>
              <w:t>priekšlikuma būtība</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50B1353B" w14:textId="77777777" w:rsidR="00FB50D3" w:rsidRPr="00504148" w:rsidRDefault="00FB50D3" w:rsidP="00FB50D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Ņemts vērā/</w:t>
            </w:r>
            <w:r w:rsidRPr="00504148">
              <w:rPr>
                <w:rFonts w:ascii="Times New Roman" w:eastAsia="Times New Roman" w:hAnsi="Times New Roman" w:cs="Times New Roman"/>
                <w:sz w:val="24"/>
                <w:szCs w:val="24"/>
                <w:lang w:eastAsia="lv-LV"/>
              </w:rPr>
              <w:br/>
              <w:t>nav ņemts vērā</w:t>
            </w:r>
          </w:p>
        </w:tc>
        <w:tc>
          <w:tcPr>
            <w:tcW w:w="1622" w:type="pct"/>
            <w:tcBorders>
              <w:top w:val="outset" w:sz="6" w:space="0" w:color="414142"/>
              <w:left w:val="outset" w:sz="6" w:space="0" w:color="414142"/>
              <w:bottom w:val="outset" w:sz="6" w:space="0" w:color="414142"/>
              <w:right w:val="outset" w:sz="6" w:space="0" w:color="414142"/>
            </w:tcBorders>
            <w:vAlign w:val="center"/>
            <w:hideMark/>
          </w:tcPr>
          <w:p w14:paraId="39540B99" w14:textId="77777777" w:rsidR="00FB50D3" w:rsidRPr="00504148" w:rsidRDefault="00FB50D3" w:rsidP="00FB50D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Pamatojums, ja iebildums/priekšlikums</w:t>
            </w:r>
            <w:r w:rsidRPr="00504148">
              <w:rPr>
                <w:rFonts w:ascii="Times New Roman" w:eastAsia="Times New Roman" w:hAnsi="Times New Roman" w:cs="Times New Roman"/>
                <w:sz w:val="24"/>
                <w:szCs w:val="24"/>
                <w:lang w:eastAsia="lv-LV"/>
              </w:rPr>
              <w:br/>
              <w:t>nav ņemts vērā</w:t>
            </w:r>
          </w:p>
        </w:tc>
      </w:tr>
      <w:tr w:rsidR="002D1851" w:rsidRPr="00504148" w14:paraId="77E52A10"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0FD4D12A" w14:textId="358B5029" w:rsidR="002D1851"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369" w:type="pct"/>
            <w:tcBorders>
              <w:top w:val="outset" w:sz="6" w:space="0" w:color="414142"/>
              <w:left w:val="outset" w:sz="6" w:space="0" w:color="414142"/>
              <w:bottom w:val="outset" w:sz="6" w:space="0" w:color="414142"/>
              <w:right w:val="outset" w:sz="6" w:space="0" w:color="414142"/>
            </w:tcBorders>
          </w:tcPr>
          <w:p w14:paraId="7268E403" w14:textId="50193AF9" w:rsidR="002D1851" w:rsidRDefault="002D1851"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r w:rsidR="00DF122F">
              <w:rPr>
                <w:rFonts w:ascii="Times New Roman" w:hAnsi="Times New Roman" w:cs="Times New Roman"/>
                <w:sz w:val="24"/>
                <w:szCs w:val="24"/>
              </w:rPr>
              <w:t xml:space="preserve">; </w:t>
            </w:r>
            <w:r w:rsidR="00DF122F" w:rsidRPr="0059019E">
              <w:rPr>
                <w:rFonts w:ascii="Times New Roman" w:hAnsi="Times New Roman" w:cs="Times New Roman"/>
                <w:sz w:val="24"/>
                <w:szCs w:val="24"/>
              </w:rPr>
              <w:t>Klīnisko pētījumu organizācija</w:t>
            </w:r>
          </w:p>
        </w:tc>
        <w:tc>
          <w:tcPr>
            <w:tcW w:w="1076" w:type="pct"/>
            <w:tcBorders>
              <w:top w:val="outset" w:sz="6" w:space="0" w:color="414142"/>
              <w:left w:val="outset" w:sz="6" w:space="0" w:color="414142"/>
              <w:bottom w:val="outset" w:sz="6" w:space="0" w:color="414142"/>
              <w:right w:val="outset" w:sz="6" w:space="0" w:color="414142"/>
            </w:tcBorders>
          </w:tcPr>
          <w:p w14:paraId="3D004A4A" w14:textId="5FA913C6" w:rsidR="002D1851" w:rsidRPr="00F40627" w:rsidRDefault="002D1851" w:rsidP="00F3597F">
            <w:pPr>
              <w:spacing w:after="0" w:line="240" w:lineRule="auto"/>
              <w:contextualSpacing/>
              <w:jc w:val="both"/>
              <w:rPr>
                <w:rFonts w:ascii="Times New Roman" w:eastAsia="Calibri" w:hAnsi="Times New Roman" w:cs="Times New Roman"/>
                <w:sz w:val="24"/>
                <w:szCs w:val="24"/>
              </w:rPr>
            </w:pPr>
            <w:r w:rsidRPr="00607847">
              <w:rPr>
                <w:rFonts w:ascii="Times New Roman" w:hAnsi="Times New Roman"/>
                <w:sz w:val="24"/>
                <w:szCs w:val="24"/>
              </w:rPr>
              <w:t>Noteikumu projekta nosaukumā ir neprecizitāte, un vārds “pārbaudes” ir aizstājamas ar vārdu “prakses”</w:t>
            </w:r>
          </w:p>
        </w:tc>
        <w:tc>
          <w:tcPr>
            <w:tcW w:w="735" w:type="pct"/>
            <w:tcBorders>
              <w:top w:val="outset" w:sz="6" w:space="0" w:color="414142"/>
              <w:left w:val="outset" w:sz="6" w:space="0" w:color="414142"/>
              <w:bottom w:val="outset" w:sz="6" w:space="0" w:color="414142"/>
              <w:right w:val="outset" w:sz="6" w:space="0" w:color="414142"/>
            </w:tcBorders>
          </w:tcPr>
          <w:p w14:paraId="4F2ED4D2" w14:textId="4BAF99BF" w:rsidR="002D1851" w:rsidRPr="00F40627" w:rsidRDefault="002D1851"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52A75142" w14:textId="10427764" w:rsidR="002D1851" w:rsidRPr="002D1851" w:rsidRDefault="002D1851" w:rsidP="00947E54">
            <w:pPr>
              <w:spacing w:after="0" w:line="240" w:lineRule="auto"/>
              <w:jc w:val="both"/>
              <w:rPr>
                <w:rFonts w:ascii="Times New Roman" w:eastAsia="Times New Roman" w:hAnsi="Times New Roman" w:cs="Times New Roman"/>
                <w:color w:val="FF0000"/>
                <w:sz w:val="24"/>
                <w:szCs w:val="24"/>
                <w:lang w:eastAsia="lv-LV"/>
              </w:rPr>
            </w:pPr>
            <w:r w:rsidRPr="002D1851">
              <w:rPr>
                <w:rFonts w:ascii="Times New Roman" w:eastAsia="Times New Roman" w:hAnsi="Times New Roman" w:cs="Times New Roman"/>
                <w:sz w:val="24"/>
                <w:szCs w:val="24"/>
                <w:lang w:eastAsia="lv-LV"/>
              </w:rPr>
              <w:t>Precizēts projekta nosaukums</w:t>
            </w:r>
          </w:p>
        </w:tc>
      </w:tr>
      <w:tr w:rsidR="002D1851" w:rsidRPr="00504148" w14:paraId="7294AA03"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15B62A06" w14:textId="3C8F1614" w:rsidR="002D1851"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69" w:type="pct"/>
            <w:tcBorders>
              <w:top w:val="outset" w:sz="6" w:space="0" w:color="414142"/>
              <w:left w:val="outset" w:sz="6" w:space="0" w:color="414142"/>
              <w:bottom w:val="outset" w:sz="6" w:space="0" w:color="414142"/>
              <w:right w:val="outset" w:sz="6" w:space="0" w:color="414142"/>
            </w:tcBorders>
          </w:tcPr>
          <w:p w14:paraId="0876F74F" w14:textId="0FC3851D" w:rsidR="002D1851" w:rsidRDefault="002D1851"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56FA3DFB" w14:textId="3DDD971F" w:rsidR="002D1851" w:rsidRPr="00F3597F" w:rsidRDefault="002D1851" w:rsidP="00F3597F">
            <w:pPr>
              <w:jc w:val="both"/>
              <w:rPr>
                <w:rFonts w:ascii="Times New Roman" w:hAnsi="Times New Roman"/>
                <w:sz w:val="24"/>
                <w:szCs w:val="24"/>
              </w:rPr>
            </w:pPr>
            <w:r w:rsidRPr="00F3597F">
              <w:rPr>
                <w:rFonts w:ascii="Times New Roman" w:hAnsi="Times New Roman"/>
                <w:sz w:val="24"/>
                <w:szCs w:val="24"/>
              </w:rPr>
              <w:t>Noteikumu projekta 6., 7., 8., 11., 13., 15., 15.4. punktos lūdzam labot pārrakstīšanās kļūdas.</w:t>
            </w:r>
          </w:p>
        </w:tc>
        <w:tc>
          <w:tcPr>
            <w:tcW w:w="735" w:type="pct"/>
            <w:tcBorders>
              <w:top w:val="outset" w:sz="6" w:space="0" w:color="414142"/>
              <w:left w:val="outset" w:sz="6" w:space="0" w:color="414142"/>
              <w:bottom w:val="outset" w:sz="6" w:space="0" w:color="414142"/>
              <w:right w:val="outset" w:sz="6" w:space="0" w:color="414142"/>
            </w:tcBorders>
          </w:tcPr>
          <w:p w14:paraId="5928AD6F" w14:textId="1DD5010C" w:rsidR="002D1851" w:rsidRPr="00F40627" w:rsidRDefault="002D1851"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089260B5" w14:textId="5F75F11E" w:rsidR="002D1851" w:rsidRPr="002D1851" w:rsidRDefault="002D1851" w:rsidP="00947E54">
            <w:pPr>
              <w:spacing w:after="0" w:line="240" w:lineRule="auto"/>
              <w:jc w:val="both"/>
              <w:rPr>
                <w:rFonts w:ascii="Times New Roman" w:eastAsia="Times New Roman" w:hAnsi="Times New Roman" w:cs="Times New Roman"/>
                <w:color w:val="FF0000"/>
                <w:sz w:val="24"/>
                <w:szCs w:val="24"/>
                <w:lang w:eastAsia="lv-LV"/>
              </w:rPr>
            </w:pPr>
            <w:r w:rsidRPr="002D1851">
              <w:rPr>
                <w:rFonts w:ascii="Times New Roman" w:eastAsia="Times New Roman" w:hAnsi="Times New Roman" w:cs="Times New Roman"/>
                <w:sz w:val="24"/>
                <w:szCs w:val="24"/>
                <w:lang w:eastAsia="lv-LV"/>
              </w:rPr>
              <w:t xml:space="preserve">Labotas pārrakstīšanās kļūdas Noteikumu projekta </w:t>
            </w:r>
            <w:r w:rsidRPr="002D1851">
              <w:rPr>
                <w:rFonts w:ascii="Times New Roman" w:hAnsi="Times New Roman"/>
                <w:sz w:val="24"/>
                <w:szCs w:val="24"/>
              </w:rPr>
              <w:t>6., 7., 8., 11., 13., 15., 15.4. punktos</w:t>
            </w:r>
          </w:p>
        </w:tc>
      </w:tr>
      <w:tr w:rsidR="002D1851" w:rsidRPr="00504148" w14:paraId="0159DF27"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57C0EFA2" w14:textId="614073C4" w:rsidR="002D1851"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69" w:type="pct"/>
            <w:tcBorders>
              <w:top w:val="outset" w:sz="6" w:space="0" w:color="414142"/>
              <w:left w:val="outset" w:sz="6" w:space="0" w:color="414142"/>
              <w:bottom w:val="outset" w:sz="6" w:space="0" w:color="414142"/>
              <w:right w:val="outset" w:sz="6" w:space="0" w:color="414142"/>
            </w:tcBorders>
          </w:tcPr>
          <w:p w14:paraId="1FB5FA96" w14:textId="5AD66E65" w:rsidR="002D1851" w:rsidRDefault="002D1851"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235B1314" w14:textId="5829C556" w:rsidR="002D1851" w:rsidRPr="00F3597F" w:rsidRDefault="002D1851" w:rsidP="00F3597F">
            <w:pPr>
              <w:jc w:val="both"/>
              <w:rPr>
                <w:rFonts w:ascii="Times New Roman" w:hAnsi="Times New Roman"/>
                <w:sz w:val="24"/>
                <w:szCs w:val="24"/>
              </w:rPr>
            </w:pPr>
            <w:r w:rsidRPr="00F3597F">
              <w:rPr>
                <w:rFonts w:ascii="Times New Roman" w:hAnsi="Times New Roman"/>
                <w:sz w:val="24"/>
                <w:szCs w:val="24"/>
              </w:rPr>
              <w:t xml:space="preserve">Noteikumu projekta 4.punktā aiz vārda “minētā” papildināt ar vārdu “valsts”. Tādējādi tiks nodrošināta terminoloģiska atbilstība Eiropas Parlamenta un Padomes regulas Nr. 536/2014 83.pantam. </w:t>
            </w:r>
          </w:p>
        </w:tc>
        <w:tc>
          <w:tcPr>
            <w:tcW w:w="735" w:type="pct"/>
            <w:tcBorders>
              <w:top w:val="outset" w:sz="6" w:space="0" w:color="414142"/>
              <w:left w:val="outset" w:sz="6" w:space="0" w:color="414142"/>
              <w:bottom w:val="outset" w:sz="6" w:space="0" w:color="414142"/>
              <w:right w:val="outset" w:sz="6" w:space="0" w:color="414142"/>
            </w:tcBorders>
          </w:tcPr>
          <w:p w14:paraId="77F79DC9" w14:textId="7E2DC939" w:rsidR="002D1851" w:rsidRPr="00F40627" w:rsidRDefault="002D1851"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716D18B6" w14:textId="37E01D83" w:rsidR="002D1851" w:rsidRPr="00B27BD2" w:rsidRDefault="002D1851" w:rsidP="00947E54">
            <w:pPr>
              <w:spacing w:after="0" w:line="240" w:lineRule="auto"/>
              <w:jc w:val="both"/>
              <w:rPr>
                <w:rFonts w:ascii="Times New Roman" w:eastAsia="Times New Roman" w:hAnsi="Times New Roman" w:cs="Times New Roman"/>
                <w:i/>
                <w:iCs/>
                <w:color w:val="FF0000"/>
                <w:sz w:val="24"/>
                <w:szCs w:val="24"/>
                <w:lang w:eastAsia="lv-LV"/>
              </w:rPr>
            </w:pPr>
            <w:r w:rsidRPr="00607847">
              <w:rPr>
                <w:rFonts w:ascii="Times New Roman" w:hAnsi="Times New Roman"/>
                <w:sz w:val="24"/>
                <w:szCs w:val="24"/>
              </w:rPr>
              <w:t>Noteikumu projekta 4.</w:t>
            </w:r>
            <w:r w:rsidR="0034375E">
              <w:rPr>
                <w:rFonts w:ascii="Times New Roman" w:hAnsi="Times New Roman"/>
                <w:sz w:val="24"/>
                <w:szCs w:val="24"/>
              </w:rPr>
              <w:t xml:space="preserve"> </w:t>
            </w:r>
            <w:r w:rsidRPr="00607847">
              <w:rPr>
                <w:rFonts w:ascii="Times New Roman" w:hAnsi="Times New Roman"/>
                <w:sz w:val="24"/>
                <w:szCs w:val="24"/>
              </w:rPr>
              <w:t>punkt</w:t>
            </w:r>
            <w:r w:rsidR="00DD5FA3">
              <w:rPr>
                <w:rFonts w:ascii="Times New Roman" w:hAnsi="Times New Roman"/>
                <w:sz w:val="24"/>
                <w:szCs w:val="24"/>
              </w:rPr>
              <w:t>s</w:t>
            </w:r>
            <w:r w:rsidRPr="00607847">
              <w:rPr>
                <w:rFonts w:ascii="Times New Roman" w:hAnsi="Times New Roman"/>
                <w:sz w:val="24"/>
                <w:szCs w:val="24"/>
              </w:rPr>
              <w:t xml:space="preserve"> aiz vārda “minētā” papildināt</w:t>
            </w:r>
            <w:r w:rsidR="0034375E">
              <w:rPr>
                <w:rFonts w:ascii="Times New Roman" w:hAnsi="Times New Roman"/>
                <w:sz w:val="24"/>
                <w:szCs w:val="24"/>
              </w:rPr>
              <w:t>s</w:t>
            </w:r>
            <w:r w:rsidRPr="00607847">
              <w:rPr>
                <w:rFonts w:ascii="Times New Roman" w:hAnsi="Times New Roman"/>
                <w:sz w:val="24"/>
                <w:szCs w:val="24"/>
              </w:rPr>
              <w:t xml:space="preserve"> ar vārdu “valsts”.</w:t>
            </w:r>
          </w:p>
        </w:tc>
      </w:tr>
      <w:tr w:rsidR="00F40627" w:rsidRPr="00504148" w14:paraId="11BCAC87"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7AD9F95" w14:textId="2EF34574" w:rsidR="00F40627"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69" w:type="pct"/>
            <w:tcBorders>
              <w:top w:val="outset" w:sz="6" w:space="0" w:color="414142"/>
              <w:left w:val="outset" w:sz="6" w:space="0" w:color="414142"/>
              <w:bottom w:val="outset" w:sz="6" w:space="0" w:color="414142"/>
              <w:right w:val="outset" w:sz="6" w:space="0" w:color="414142"/>
            </w:tcBorders>
          </w:tcPr>
          <w:p w14:paraId="1ACFEF9F" w14:textId="39676E36" w:rsidR="00F40627" w:rsidRPr="00F40627" w:rsidRDefault="00B27BD2"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36286E18" w14:textId="24A855F5" w:rsidR="00F40627" w:rsidRPr="00E649F3" w:rsidRDefault="00F40627" w:rsidP="00E649F3">
            <w:pPr>
              <w:spacing w:after="0" w:line="240" w:lineRule="auto"/>
              <w:contextualSpacing/>
              <w:jc w:val="both"/>
              <w:rPr>
                <w:rFonts w:ascii="Times New Roman" w:eastAsia="Calibri" w:hAnsi="Times New Roman" w:cs="Times New Roman"/>
                <w:sz w:val="24"/>
                <w:szCs w:val="24"/>
              </w:rPr>
            </w:pPr>
            <w:r w:rsidRPr="00F40627">
              <w:rPr>
                <w:rFonts w:ascii="Times New Roman" w:eastAsia="Calibri" w:hAnsi="Times New Roman" w:cs="Times New Roman"/>
                <w:sz w:val="24"/>
                <w:szCs w:val="24"/>
              </w:rPr>
              <w:t xml:space="preserve">Sponsori mēdz veidot un virzīt apstiprināšanai vairākus līdzīgus pētījumus (t.s. dvīņu pētījumi), uzskatām, ka noteikumu projekta 8.punktā racionālu apsvērumu dēļ nosakāms izņēmums no šajā punktā noteiktā vispārējā </w:t>
            </w:r>
            <w:r w:rsidRPr="00F40627">
              <w:rPr>
                <w:rFonts w:ascii="Times New Roman" w:eastAsia="Calibri" w:hAnsi="Times New Roman" w:cs="Times New Roman"/>
                <w:sz w:val="24"/>
                <w:szCs w:val="24"/>
              </w:rPr>
              <w:lastRenderedPageBreak/>
              <w:t xml:space="preserve">pētījumu sadalījuma starp komitejām un paredzot, ka šādus viena sponsora iesniegtus līdzīgus (radniecīgus dvīņu pētījumus) Zāļu valsts aģentūra izskatīšanai piesaista vienu komiteju. </w:t>
            </w:r>
          </w:p>
        </w:tc>
        <w:tc>
          <w:tcPr>
            <w:tcW w:w="735" w:type="pct"/>
            <w:tcBorders>
              <w:top w:val="outset" w:sz="6" w:space="0" w:color="414142"/>
              <w:left w:val="outset" w:sz="6" w:space="0" w:color="414142"/>
              <w:bottom w:val="outset" w:sz="6" w:space="0" w:color="414142"/>
              <w:right w:val="outset" w:sz="6" w:space="0" w:color="414142"/>
            </w:tcBorders>
          </w:tcPr>
          <w:p w14:paraId="4814658F" w14:textId="39BA5046" w:rsidR="00F40627" w:rsidRPr="00F40627" w:rsidRDefault="00F40627" w:rsidP="00947E54">
            <w:pPr>
              <w:spacing w:after="0" w:line="240" w:lineRule="auto"/>
              <w:jc w:val="center"/>
              <w:rPr>
                <w:rFonts w:ascii="Times New Roman" w:eastAsia="Times New Roman" w:hAnsi="Times New Roman" w:cs="Times New Roman"/>
                <w:sz w:val="24"/>
                <w:szCs w:val="24"/>
                <w:lang w:eastAsia="lv-LV"/>
              </w:rPr>
            </w:pPr>
            <w:r w:rsidRPr="00F40627">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0F85CF52" w14:textId="77777777" w:rsidR="00E649F3" w:rsidRPr="0014625A" w:rsidRDefault="00E649F3" w:rsidP="00947E54">
            <w:pPr>
              <w:spacing w:after="0" w:line="240" w:lineRule="auto"/>
              <w:jc w:val="both"/>
              <w:rPr>
                <w:rFonts w:ascii="Times New Roman" w:hAnsi="Times New Roman" w:cs="Times New Roman"/>
                <w:sz w:val="24"/>
                <w:szCs w:val="24"/>
              </w:rPr>
            </w:pPr>
            <w:r w:rsidRPr="0014625A">
              <w:rPr>
                <w:rFonts w:ascii="Times New Roman" w:hAnsi="Times New Roman" w:cs="Times New Roman"/>
                <w:sz w:val="24"/>
                <w:szCs w:val="24"/>
              </w:rPr>
              <w:t>Precizēts noteikumu projekta 8.punkts</w:t>
            </w:r>
            <w:r w:rsidR="00ED0281" w:rsidRPr="0014625A">
              <w:rPr>
                <w:rFonts w:ascii="Times New Roman" w:hAnsi="Times New Roman" w:cs="Times New Roman"/>
                <w:sz w:val="24"/>
                <w:szCs w:val="24"/>
              </w:rPr>
              <w:t>, izsakot to šādā redakcijā:</w:t>
            </w:r>
          </w:p>
          <w:p w14:paraId="39686720" w14:textId="77777777" w:rsidR="0034375E" w:rsidRPr="0014625A" w:rsidRDefault="00ED0281" w:rsidP="00947E54">
            <w:pPr>
              <w:spacing w:after="0" w:line="240" w:lineRule="auto"/>
              <w:jc w:val="both"/>
              <w:rPr>
                <w:rFonts w:ascii="Times New Roman" w:hAnsi="Times New Roman" w:cs="Times New Roman"/>
                <w:sz w:val="24"/>
                <w:szCs w:val="24"/>
              </w:rPr>
            </w:pPr>
            <w:r w:rsidRPr="0014625A">
              <w:rPr>
                <w:rFonts w:ascii="Times New Roman" w:eastAsia="Times New Roman" w:hAnsi="Times New Roman" w:cs="Times New Roman"/>
                <w:sz w:val="24"/>
                <w:szCs w:val="24"/>
                <w:lang w:eastAsia="lv-LV"/>
              </w:rPr>
              <w:t>“</w:t>
            </w:r>
            <w:r w:rsidR="0034375E" w:rsidRPr="0014625A">
              <w:rPr>
                <w:rFonts w:ascii="Times New Roman" w:hAnsi="Times New Roman" w:cs="Times New Roman"/>
                <w:sz w:val="24"/>
                <w:szCs w:val="24"/>
              </w:rPr>
              <w:t xml:space="preserve">Lai izvērtētu klīniskās pārbaudes ētiskos aspektus, Zāļu valsts aģentūra pieteikuma izskatīšanai piesaista ētikas komiteju no saraksta secīgi pēc kārtas. </w:t>
            </w:r>
          </w:p>
          <w:p w14:paraId="2EB9A8AA" w14:textId="77777777" w:rsidR="0034375E" w:rsidRPr="0014625A" w:rsidRDefault="0034375E" w:rsidP="00947E54">
            <w:pPr>
              <w:spacing w:after="0" w:line="240" w:lineRule="auto"/>
              <w:jc w:val="both"/>
              <w:rPr>
                <w:rFonts w:ascii="Times New Roman" w:hAnsi="Times New Roman" w:cs="Times New Roman"/>
                <w:sz w:val="24"/>
                <w:szCs w:val="24"/>
              </w:rPr>
            </w:pPr>
            <w:r w:rsidRPr="0014625A">
              <w:rPr>
                <w:rFonts w:ascii="Times New Roman" w:hAnsi="Times New Roman" w:cs="Times New Roman"/>
                <w:sz w:val="24"/>
                <w:szCs w:val="24"/>
              </w:rPr>
              <w:t xml:space="preserve">8.1. Ja ētikas komiteja divu darba dienu laikā atsakās no pieteikuma izskatīšanas, tad Zāļu </w:t>
            </w:r>
            <w:r w:rsidRPr="0014625A">
              <w:rPr>
                <w:rFonts w:ascii="Times New Roman" w:hAnsi="Times New Roman" w:cs="Times New Roman"/>
                <w:sz w:val="24"/>
                <w:szCs w:val="24"/>
              </w:rPr>
              <w:lastRenderedPageBreak/>
              <w:t xml:space="preserve">valsts aģentūra nodod pieteikuma vērtēšanu nākamajai ētikas komitejai. </w:t>
            </w:r>
          </w:p>
          <w:p w14:paraId="2B382835" w14:textId="77777777" w:rsidR="0034375E" w:rsidRPr="0014625A" w:rsidRDefault="0034375E" w:rsidP="00947E54">
            <w:pPr>
              <w:spacing w:after="0" w:line="240" w:lineRule="auto"/>
              <w:jc w:val="both"/>
              <w:rPr>
                <w:rFonts w:ascii="Times New Roman" w:hAnsi="Times New Roman" w:cs="Times New Roman"/>
                <w:sz w:val="24"/>
                <w:szCs w:val="24"/>
              </w:rPr>
            </w:pPr>
            <w:r w:rsidRPr="0014625A">
              <w:rPr>
                <w:rFonts w:ascii="Times New Roman" w:hAnsi="Times New Roman" w:cs="Times New Roman"/>
                <w:sz w:val="24"/>
                <w:szCs w:val="24"/>
              </w:rPr>
              <w:t>8.2. Ja no pieteikuma izskatīšanas atsakās visas klīnisko pārbaužu ētisko aspektu vērtēšanā uzaicinātās ētikas komitejas, Zāļu valsts aģentūra izvēlas ētikas komiteju, kurai tekošā kalendārā gada laikā ir vismazākais vērtēto pieteikumu skaits.</w:t>
            </w:r>
          </w:p>
          <w:p w14:paraId="51890CCB" w14:textId="4C85E029" w:rsidR="00ED0281" w:rsidRPr="0014625A" w:rsidRDefault="0034375E" w:rsidP="00947E54">
            <w:pPr>
              <w:spacing w:after="0" w:line="240" w:lineRule="auto"/>
              <w:jc w:val="both"/>
              <w:rPr>
                <w:rFonts w:ascii="Times New Roman" w:eastAsia="Times New Roman" w:hAnsi="Times New Roman" w:cs="Times New Roman"/>
                <w:sz w:val="24"/>
                <w:szCs w:val="24"/>
                <w:lang w:eastAsia="lv-LV"/>
              </w:rPr>
            </w:pPr>
            <w:r w:rsidRPr="0014625A">
              <w:rPr>
                <w:rFonts w:ascii="Times New Roman" w:eastAsia="Times New Roman" w:hAnsi="Times New Roman" w:cs="Times New Roman"/>
                <w:sz w:val="24"/>
                <w:szCs w:val="24"/>
                <w:lang w:eastAsia="lv-LV"/>
              </w:rPr>
              <w:t xml:space="preserve">8.3. Viena sponsora iesniegtus saistītus pētījumus Zāļu valsts aģentūra izskatīšanai piesaista </w:t>
            </w:r>
            <w:r w:rsidR="004A2B42" w:rsidRPr="0014625A">
              <w:rPr>
                <w:rFonts w:ascii="Times New Roman" w:eastAsia="Times New Roman" w:hAnsi="Times New Roman" w:cs="Times New Roman"/>
                <w:sz w:val="24"/>
                <w:szCs w:val="24"/>
                <w:lang w:eastAsia="lv-LV"/>
              </w:rPr>
              <w:t xml:space="preserve">to </w:t>
            </w:r>
            <w:r w:rsidRPr="0014625A">
              <w:rPr>
                <w:rFonts w:ascii="Times New Roman" w:eastAsia="Times New Roman" w:hAnsi="Times New Roman" w:cs="Times New Roman"/>
                <w:sz w:val="24"/>
                <w:szCs w:val="24"/>
                <w:lang w:eastAsia="lv-LV"/>
              </w:rPr>
              <w:t xml:space="preserve">ētikas komiteju, kas </w:t>
            </w:r>
            <w:r w:rsidR="004A2B42" w:rsidRPr="0014625A">
              <w:rPr>
                <w:rFonts w:ascii="Times New Roman" w:eastAsia="Times New Roman" w:hAnsi="Times New Roman" w:cs="Times New Roman"/>
                <w:sz w:val="24"/>
                <w:szCs w:val="24"/>
                <w:lang w:eastAsia="lv-LV"/>
              </w:rPr>
              <w:t>izskatījusi sākotnēji izskatīto pieteikumu.</w:t>
            </w:r>
            <w:r w:rsidR="00ED0281" w:rsidRPr="0014625A">
              <w:rPr>
                <w:rFonts w:ascii="Times New Roman" w:eastAsia="Times New Roman" w:hAnsi="Times New Roman" w:cs="Times New Roman"/>
                <w:sz w:val="24"/>
                <w:szCs w:val="24"/>
                <w:lang w:eastAsia="lv-LV"/>
              </w:rPr>
              <w:t>”</w:t>
            </w:r>
          </w:p>
        </w:tc>
      </w:tr>
      <w:tr w:rsidR="00B27BD2" w:rsidRPr="00504148" w14:paraId="79DA31CD"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0FAA33F4" w14:textId="23A2BB94" w:rsidR="00B27BD2"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1369" w:type="pct"/>
            <w:tcBorders>
              <w:top w:val="outset" w:sz="6" w:space="0" w:color="414142"/>
              <w:left w:val="outset" w:sz="6" w:space="0" w:color="414142"/>
              <w:bottom w:val="outset" w:sz="6" w:space="0" w:color="414142"/>
              <w:right w:val="outset" w:sz="6" w:space="0" w:color="414142"/>
            </w:tcBorders>
          </w:tcPr>
          <w:p w14:paraId="0F97BECB" w14:textId="278F751C" w:rsidR="00B27BD2" w:rsidRDefault="00ED7F00"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4B7F1DD7" w14:textId="3047C853" w:rsidR="00B27BD2" w:rsidRPr="00F40627" w:rsidRDefault="00ED7F00" w:rsidP="00E649F3">
            <w:pPr>
              <w:spacing w:after="0" w:line="240" w:lineRule="auto"/>
              <w:contextualSpacing/>
              <w:jc w:val="both"/>
              <w:rPr>
                <w:rFonts w:ascii="Times New Roman" w:eastAsia="Calibri" w:hAnsi="Times New Roman" w:cs="Times New Roman"/>
                <w:sz w:val="24"/>
                <w:szCs w:val="24"/>
              </w:rPr>
            </w:pPr>
            <w:r w:rsidRPr="00ED7F00">
              <w:rPr>
                <w:rFonts w:ascii="Times New Roman" w:hAnsi="Times New Roman"/>
                <w:sz w:val="24"/>
                <w:szCs w:val="24"/>
              </w:rPr>
              <w:t>Lai ētikas komiteja varētu izskatīt klīniskās pārbaudes grozījumu, tai ir nepieciešami sākotnējie dokumenti (piem. protokols, pacientu informētās piekrišanas), ko tā jau ir izskatījusi. Šajā nolūkā nepieciešams precizēt noteikumu projekta 12.punktu, nosakot, ka būtisks grozījums tiek nodots izskatīšanai tai ētikas komitejai, kura izskatījusi sākotnējo pieteikumu</w:t>
            </w:r>
          </w:p>
        </w:tc>
        <w:tc>
          <w:tcPr>
            <w:tcW w:w="735" w:type="pct"/>
            <w:tcBorders>
              <w:top w:val="outset" w:sz="6" w:space="0" w:color="414142"/>
              <w:left w:val="outset" w:sz="6" w:space="0" w:color="414142"/>
              <w:bottom w:val="outset" w:sz="6" w:space="0" w:color="414142"/>
              <w:right w:val="outset" w:sz="6" w:space="0" w:color="414142"/>
            </w:tcBorders>
          </w:tcPr>
          <w:p w14:paraId="66A8AA1E" w14:textId="3F992C90" w:rsidR="00B27BD2" w:rsidRPr="00F40627" w:rsidRDefault="00E649F3"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7F3CCB30" w14:textId="77777777" w:rsidR="00E649F3" w:rsidRPr="0014625A" w:rsidRDefault="00E649F3" w:rsidP="00947E54">
            <w:pPr>
              <w:spacing w:after="0" w:line="240" w:lineRule="auto"/>
              <w:jc w:val="both"/>
              <w:rPr>
                <w:rFonts w:ascii="Times New Roman" w:hAnsi="Times New Roman" w:cs="Times New Roman"/>
                <w:sz w:val="24"/>
                <w:szCs w:val="24"/>
              </w:rPr>
            </w:pPr>
            <w:r w:rsidRPr="0014625A">
              <w:rPr>
                <w:rFonts w:ascii="Times New Roman" w:hAnsi="Times New Roman" w:cs="Times New Roman"/>
                <w:sz w:val="24"/>
                <w:szCs w:val="24"/>
              </w:rPr>
              <w:t>Precizēts noteikumu projekta 12.punkts</w:t>
            </w:r>
            <w:r w:rsidR="00583451" w:rsidRPr="0014625A">
              <w:rPr>
                <w:rFonts w:ascii="Times New Roman" w:hAnsi="Times New Roman" w:cs="Times New Roman"/>
                <w:sz w:val="24"/>
                <w:szCs w:val="24"/>
              </w:rPr>
              <w:t>, izsakot to šādā redakcijā:</w:t>
            </w:r>
          </w:p>
          <w:p w14:paraId="6F931D5B" w14:textId="4A321E29" w:rsidR="00583451" w:rsidRPr="00583451" w:rsidRDefault="00583451" w:rsidP="00947E54">
            <w:pPr>
              <w:spacing w:after="0" w:line="240" w:lineRule="auto"/>
              <w:jc w:val="both"/>
              <w:rPr>
                <w:rFonts w:ascii="Times New Roman" w:hAnsi="Times New Roman" w:cs="Times New Roman"/>
                <w:color w:val="FF0000"/>
                <w:sz w:val="24"/>
                <w:szCs w:val="24"/>
              </w:rPr>
            </w:pPr>
            <w:r w:rsidRPr="0014625A">
              <w:rPr>
                <w:rFonts w:ascii="Times New Roman" w:hAnsi="Times New Roman" w:cs="Times New Roman"/>
                <w:sz w:val="24"/>
                <w:szCs w:val="24"/>
              </w:rPr>
              <w:t>”Lai veiktu klīniskās pārbaudes būtisku grozījumu, sponsors saņem atļauju atbilstoši regulas III nodaļā noteiktajai kārtībai. Pieteikuma dokumenti atļaujas saņemšanai klīniskās pārbaudes būtiskam grozījumam norādīti regulas II pielikumā. Pieteikumu par būtisku grozījumu Zāļu valsts aģentūra nodod izskatīšanai tai ētikas komitejai, kura izskatījusi sākotnējo pieteikumu.”</w:t>
            </w:r>
          </w:p>
        </w:tc>
      </w:tr>
      <w:tr w:rsidR="00ED7F00" w:rsidRPr="00504148" w14:paraId="6F9E2816"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011DFE71" w14:textId="04FFFFB9" w:rsidR="00ED7F00"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369" w:type="pct"/>
            <w:tcBorders>
              <w:top w:val="outset" w:sz="6" w:space="0" w:color="414142"/>
              <w:left w:val="outset" w:sz="6" w:space="0" w:color="414142"/>
              <w:bottom w:val="outset" w:sz="6" w:space="0" w:color="414142"/>
              <w:right w:val="outset" w:sz="6" w:space="0" w:color="414142"/>
            </w:tcBorders>
          </w:tcPr>
          <w:p w14:paraId="76B6D5A4" w14:textId="38F3EA4F" w:rsidR="00ED7F00" w:rsidRDefault="00ED7F00"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370F70FE" w14:textId="7FBBDFB6" w:rsidR="00ED7F00" w:rsidRPr="00C91511" w:rsidRDefault="00ED7F00" w:rsidP="00E649F3">
            <w:pPr>
              <w:spacing w:after="0" w:line="240" w:lineRule="auto"/>
              <w:contextualSpacing/>
              <w:jc w:val="both"/>
              <w:rPr>
                <w:rFonts w:ascii="Times New Roman" w:hAnsi="Times New Roman"/>
                <w:sz w:val="24"/>
                <w:szCs w:val="24"/>
              </w:rPr>
            </w:pPr>
            <w:r w:rsidRPr="00ED7F00">
              <w:rPr>
                <w:rFonts w:ascii="Times New Roman" w:hAnsi="Times New Roman"/>
                <w:sz w:val="24"/>
                <w:szCs w:val="24"/>
              </w:rPr>
              <w:t>Noteikumu projekta 14.2.</w:t>
            </w:r>
            <w:r w:rsidR="00583451">
              <w:rPr>
                <w:rFonts w:ascii="Times New Roman" w:hAnsi="Times New Roman"/>
                <w:sz w:val="24"/>
                <w:szCs w:val="24"/>
              </w:rPr>
              <w:t xml:space="preserve"> </w:t>
            </w:r>
            <w:r w:rsidRPr="00ED7F00">
              <w:rPr>
                <w:rFonts w:ascii="Times New Roman" w:hAnsi="Times New Roman"/>
                <w:sz w:val="24"/>
                <w:szCs w:val="24"/>
              </w:rPr>
              <w:t xml:space="preserve">punktā paredzēta ētikas komitejas atzinuma apstrīdēšana Centrālajā medicīnas ētikas komitejā, kuras lēmums nav apstrīdams. Tā kā </w:t>
            </w:r>
            <w:r w:rsidRPr="00C91511">
              <w:rPr>
                <w:rFonts w:ascii="Times New Roman" w:hAnsi="Times New Roman"/>
                <w:sz w:val="24"/>
                <w:szCs w:val="24"/>
              </w:rPr>
              <w:t xml:space="preserve">Centrālās medicīnas ētikas komitejai nav pieredzes klīnisko pētījumu izskatīšanā, </w:t>
            </w:r>
            <w:r w:rsidRPr="00C91511">
              <w:rPr>
                <w:rFonts w:ascii="Times New Roman" w:hAnsi="Times New Roman"/>
                <w:sz w:val="24"/>
                <w:szCs w:val="24"/>
              </w:rPr>
              <w:lastRenderedPageBreak/>
              <w:t xml:space="preserve">tad šādai apstrīdēšanas kārtības noteikšanā saskatām juridiskus riskus. </w:t>
            </w:r>
          </w:p>
          <w:p w14:paraId="5F2EF54E" w14:textId="6FFC4F28" w:rsidR="00ED7F00" w:rsidRPr="00ED7F00" w:rsidRDefault="00ED7F00" w:rsidP="00E649F3">
            <w:pPr>
              <w:spacing w:after="0" w:line="240" w:lineRule="auto"/>
              <w:contextualSpacing/>
              <w:jc w:val="both"/>
              <w:rPr>
                <w:rFonts w:ascii="Times New Roman" w:hAnsi="Times New Roman"/>
                <w:sz w:val="24"/>
                <w:szCs w:val="24"/>
              </w:rPr>
            </w:pPr>
            <w:r w:rsidRPr="00C91511">
              <w:rPr>
                <w:rFonts w:ascii="Times New Roman" w:hAnsi="Times New Roman"/>
                <w:sz w:val="24"/>
                <w:szCs w:val="24"/>
              </w:rPr>
              <w:t>Izsakām priekšlikumu, noteikt apstrīdēšanas kārtību noteikt līdzīgu</w:t>
            </w:r>
            <w:r w:rsidR="005F0569" w:rsidRPr="00C91511">
              <w:rPr>
                <w:rFonts w:ascii="Times New Roman" w:hAnsi="Times New Roman"/>
                <w:sz w:val="24"/>
                <w:szCs w:val="24"/>
              </w:rPr>
              <w:t>,</w:t>
            </w:r>
            <w:r w:rsidRPr="00C91511">
              <w:rPr>
                <w:rFonts w:ascii="Times New Roman" w:hAnsi="Times New Roman"/>
                <w:sz w:val="24"/>
                <w:szCs w:val="24"/>
              </w:rPr>
              <w:t xml:space="preserve"> kāda tā ir attiecībā uz Zāļu valsts aģentūras atzinumu. Ministrija var uzdot citai ētikas</w:t>
            </w:r>
            <w:r w:rsidRPr="00ED7F00">
              <w:rPr>
                <w:rFonts w:ascii="Times New Roman" w:hAnsi="Times New Roman"/>
                <w:sz w:val="24"/>
                <w:szCs w:val="24"/>
              </w:rPr>
              <w:t xml:space="preserve"> komitejai sniegt jaunu atzinumu par attiecīgo klīnisko pārbaudi.</w:t>
            </w:r>
          </w:p>
        </w:tc>
        <w:tc>
          <w:tcPr>
            <w:tcW w:w="735" w:type="pct"/>
            <w:tcBorders>
              <w:top w:val="outset" w:sz="6" w:space="0" w:color="414142"/>
              <w:left w:val="outset" w:sz="6" w:space="0" w:color="414142"/>
              <w:bottom w:val="outset" w:sz="6" w:space="0" w:color="414142"/>
              <w:right w:val="outset" w:sz="6" w:space="0" w:color="414142"/>
            </w:tcBorders>
          </w:tcPr>
          <w:p w14:paraId="278598F7" w14:textId="31AE4236" w:rsidR="00ED7F00" w:rsidRPr="002D1851" w:rsidRDefault="00C91511" w:rsidP="00947E54">
            <w:pPr>
              <w:spacing w:after="0" w:line="240" w:lineRule="auto"/>
              <w:jc w:val="center"/>
              <w:rPr>
                <w:rFonts w:ascii="Times New Roman" w:eastAsia="Times New Roman" w:hAnsi="Times New Roman" w:cs="Times New Roman"/>
                <w:color w:val="FF0000"/>
                <w:sz w:val="24"/>
                <w:szCs w:val="24"/>
                <w:lang w:eastAsia="lv-LV"/>
              </w:rPr>
            </w:pPr>
            <w:r w:rsidRPr="00C91511">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4A454259" w14:textId="77777777" w:rsidR="00C91511" w:rsidRDefault="00C91511" w:rsidP="00C91511">
            <w:pPr>
              <w:spacing w:after="0" w:line="240" w:lineRule="auto"/>
              <w:jc w:val="both"/>
              <w:rPr>
                <w:rFonts w:ascii="Times New Roman" w:hAnsi="Times New Roman" w:cs="Times New Roman"/>
                <w:sz w:val="24"/>
                <w:szCs w:val="24"/>
              </w:rPr>
            </w:pPr>
            <w:r w:rsidRPr="00C91511">
              <w:rPr>
                <w:rFonts w:ascii="Times New Roman" w:hAnsi="Times New Roman" w:cs="Times New Roman"/>
                <w:sz w:val="24"/>
                <w:szCs w:val="24"/>
              </w:rPr>
              <w:t xml:space="preserve">Noteikumu projekta 14.2. punkts izteikts šādā redakcijā: “ētikas komitejas atzinumu par klīniskās izpētes pieteikuma otro daļu sponsoram ir </w:t>
            </w:r>
            <w:r w:rsidRPr="00C91511">
              <w:rPr>
                <w:rFonts w:ascii="Times New Roman" w:eastAsia="Times New Roman" w:hAnsi="Times New Roman" w:cs="Times New Roman"/>
                <w:sz w:val="24"/>
                <w:szCs w:val="24"/>
                <w:lang w:eastAsia="lv-LV"/>
              </w:rPr>
              <w:t xml:space="preserve">tiesības apstrīdēt </w:t>
            </w:r>
            <w:r>
              <w:rPr>
                <w:rFonts w:ascii="Times New Roman" w:eastAsia="Times New Roman" w:hAnsi="Times New Roman" w:cs="Times New Roman"/>
                <w:sz w:val="24"/>
                <w:szCs w:val="24"/>
                <w:lang w:eastAsia="lv-LV"/>
              </w:rPr>
              <w:t>Veselības ministrijā</w:t>
            </w:r>
            <w:r w:rsidRPr="00C915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Veselības ministrijas</w:t>
            </w:r>
            <w:r w:rsidRPr="00C91511">
              <w:rPr>
                <w:rFonts w:ascii="Times New Roman" w:eastAsia="Times New Roman" w:hAnsi="Times New Roman" w:cs="Times New Roman"/>
                <w:sz w:val="24"/>
                <w:szCs w:val="24"/>
                <w:lang w:eastAsia="lv-LV"/>
              </w:rPr>
              <w:t xml:space="preserve"> lēmums nav apstrīdams.</w:t>
            </w:r>
            <w:r w:rsidRPr="00C91511">
              <w:rPr>
                <w:rFonts w:ascii="Times New Roman" w:hAnsi="Times New Roman" w:cs="Times New Roman"/>
                <w:sz w:val="24"/>
                <w:szCs w:val="24"/>
              </w:rPr>
              <w:t>”</w:t>
            </w:r>
          </w:p>
          <w:p w14:paraId="08FF6993" w14:textId="77777777" w:rsidR="00C91511" w:rsidRDefault="00C91511" w:rsidP="00C91511">
            <w:pPr>
              <w:spacing w:after="0" w:line="240" w:lineRule="auto"/>
              <w:jc w:val="both"/>
              <w:rPr>
                <w:rFonts w:ascii="Times New Roman" w:hAnsi="Times New Roman" w:cs="Times New Roman"/>
                <w:sz w:val="24"/>
                <w:szCs w:val="24"/>
              </w:rPr>
            </w:pPr>
          </w:p>
          <w:p w14:paraId="4B49F739" w14:textId="4CD3C8D7" w:rsidR="00C91511" w:rsidRPr="00C91511" w:rsidRDefault="00C91511" w:rsidP="00C91511">
            <w:pPr>
              <w:spacing w:after="0" w:line="240" w:lineRule="auto"/>
              <w:jc w:val="both"/>
              <w:rPr>
                <w:rFonts w:ascii="Times New Roman" w:hAnsi="Times New Roman" w:cs="Times New Roman"/>
                <w:sz w:val="24"/>
                <w:szCs w:val="24"/>
              </w:rPr>
            </w:pPr>
          </w:p>
        </w:tc>
      </w:tr>
      <w:tr w:rsidR="00ED7F00" w:rsidRPr="00504148" w14:paraId="2DF9013A"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1E201CA" w14:textId="711D4014" w:rsidR="00ED7F00"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369" w:type="pct"/>
            <w:tcBorders>
              <w:top w:val="outset" w:sz="6" w:space="0" w:color="414142"/>
              <w:left w:val="outset" w:sz="6" w:space="0" w:color="414142"/>
              <w:bottom w:val="outset" w:sz="6" w:space="0" w:color="414142"/>
              <w:right w:val="outset" w:sz="6" w:space="0" w:color="414142"/>
            </w:tcBorders>
          </w:tcPr>
          <w:p w14:paraId="466B7481" w14:textId="50450684" w:rsidR="00ED7F00" w:rsidRDefault="00ED7F00"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r w:rsidR="00D67B02">
              <w:rPr>
                <w:rFonts w:ascii="Times New Roman" w:hAnsi="Times New Roman" w:cs="Times New Roman"/>
                <w:sz w:val="24"/>
                <w:szCs w:val="24"/>
              </w:rPr>
              <w:t xml:space="preserve">; </w:t>
            </w:r>
            <w:r w:rsidR="00D67B02" w:rsidRPr="00D67B02">
              <w:rPr>
                <w:rFonts w:ascii="Times New Roman" w:hAnsi="Times New Roman" w:cs="Times New Roman"/>
                <w:sz w:val="24"/>
                <w:szCs w:val="24"/>
              </w:rPr>
              <w:t>Zāļu klīniskās izpētes Ētikas komiteja</w:t>
            </w:r>
            <w:r w:rsidR="00693215">
              <w:rPr>
                <w:rFonts w:ascii="Times New Roman" w:hAnsi="Times New Roman" w:cs="Times New Roman"/>
                <w:sz w:val="24"/>
                <w:szCs w:val="24"/>
              </w:rPr>
              <w:t>; Latvijas Patentbrīvo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098EA5C4" w14:textId="496FBC5A" w:rsidR="002D1851" w:rsidRPr="002D1851" w:rsidRDefault="002D1851" w:rsidP="002D1851">
            <w:pPr>
              <w:spacing w:after="0" w:line="240" w:lineRule="auto"/>
              <w:jc w:val="both"/>
              <w:rPr>
                <w:rFonts w:ascii="Times New Roman" w:eastAsia="Times New Roman" w:hAnsi="Times New Roman" w:cs="Times New Roman"/>
                <w:sz w:val="24"/>
                <w:szCs w:val="24"/>
              </w:rPr>
            </w:pPr>
            <w:r w:rsidRPr="002D1851">
              <w:rPr>
                <w:rFonts w:ascii="Times New Roman" w:eastAsia="Times New Roman" w:hAnsi="Times New Roman" w:cs="Times New Roman"/>
                <w:sz w:val="24"/>
                <w:szCs w:val="24"/>
              </w:rPr>
              <w:t>No noteikumu projekta 17.</w:t>
            </w:r>
            <w:r w:rsidR="00583451">
              <w:rPr>
                <w:rFonts w:ascii="Times New Roman" w:eastAsia="Times New Roman" w:hAnsi="Times New Roman" w:cs="Times New Roman"/>
                <w:sz w:val="24"/>
                <w:szCs w:val="24"/>
              </w:rPr>
              <w:t xml:space="preserve"> </w:t>
            </w:r>
            <w:r w:rsidRPr="002D1851">
              <w:rPr>
                <w:rFonts w:ascii="Times New Roman" w:eastAsia="Times New Roman" w:hAnsi="Times New Roman" w:cs="Times New Roman"/>
                <w:sz w:val="24"/>
                <w:szCs w:val="24"/>
              </w:rPr>
              <w:t xml:space="preserve">punkta </w:t>
            </w:r>
            <w:r w:rsidR="00E649F3">
              <w:rPr>
                <w:rFonts w:ascii="Times New Roman" w:eastAsia="Times New Roman" w:hAnsi="Times New Roman" w:cs="Times New Roman"/>
                <w:sz w:val="24"/>
                <w:szCs w:val="24"/>
              </w:rPr>
              <w:t>secināms</w:t>
            </w:r>
            <w:r w:rsidRPr="002D1851">
              <w:rPr>
                <w:rFonts w:ascii="Times New Roman" w:eastAsia="Times New Roman" w:hAnsi="Times New Roman" w:cs="Times New Roman"/>
                <w:sz w:val="24"/>
                <w:szCs w:val="24"/>
              </w:rPr>
              <w:t xml:space="preserve">, ka tās zāļu klīniskās izpētes ētikas komitejas, ko, pamatojoties uz Farmācijas likuma 6. panta 7. punktu, ir apstiprinājis veselības ministrs un kas darbojas šobrīd, ar noteikumu stāšanos spēkā savu darbību izbeidz. To vietā tiks apstiprinātas jaunas. </w:t>
            </w:r>
          </w:p>
          <w:p w14:paraId="236155B4" w14:textId="77777777" w:rsidR="00ED7F00" w:rsidRPr="00ED7F00" w:rsidRDefault="00ED7F00" w:rsidP="00ED7F00">
            <w:pPr>
              <w:spacing w:after="0" w:line="240" w:lineRule="auto"/>
              <w:ind w:left="270"/>
              <w:contextualSpacing/>
              <w:jc w:val="both"/>
              <w:rPr>
                <w:rFonts w:ascii="Times New Roman" w:hAnsi="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68218FE3" w14:textId="79B31677" w:rsidR="00ED7F00" w:rsidRPr="003E7390" w:rsidRDefault="003E7390" w:rsidP="00947E54">
            <w:pPr>
              <w:spacing w:after="0" w:line="240" w:lineRule="auto"/>
              <w:jc w:val="center"/>
              <w:rPr>
                <w:rFonts w:ascii="Times New Roman" w:eastAsia="Times New Roman" w:hAnsi="Times New Roman" w:cs="Times New Roman"/>
                <w:color w:val="FF0000"/>
                <w:sz w:val="24"/>
                <w:szCs w:val="24"/>
                <w:lang w:eastAsia="lv-LV"/>
              </w:rPr>
            </w:pPr>
            <w:r w:rsidRPr="00412BC6">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6A99EBD4" w14:textId="0A467B4A" w:rsidR="00492461" w:rsidRPr="003012D3" w:rsidRDefault="00412BC6" w:rsidP="00947E54">
            <w:pPr>
              <w:spacing w:after="0" w:line="240" w:lineRule="auto"/>
              <w:jc w:val="both"/>
              <w:rPr>
                <w:rFonts w:ascii="Times New Roman" w:hAnsi="Times New Roman" w:cs="Times New Roman"/>
                <w:color w:val="FF0000"/>
                <w:sz w:val="24"/>
                <w:szCs w:val="24"/>
              </w:rPr>
            </w:pPr>
            <w:r>
              <w:rPr>
                <w:i/>
                <w:iCs/>
                <w:color w:val="FF0000"/>
              </w:rPr>
              <w:t xml:space="preserve"> </w:t>
            </w:r>
            <w:r w:rsidRPr="00412BC6">
              <w:rPr>
                <w:rFonts w:ascii="Times New Roman" w:hAnsi="Times New Roman" w:cs="Times New Roman"/>
                <w:sz w:val="24"/>
                <w:szCs w:val="24"/>
              </w:rPr>
              <w:t>Papildināta anotācija ar skaidrojumu.</w:t>
            </w:r>
            <w:bookmarkStart w:id="3" w:name="_Hlk94775676"/>
            <w:r w:rsidR="00BF39A7">
              <w:rPr>
                <w:i/>
                <w:iCs/>
                <w:color w:val="FF0000"/>
              </w:rPr>
              <w:t xml:space="preserve"> </w:t>
            </w:r>
            <w:bookmarkEnd w:id="3"/>
          </w:p>
        </w:tc>
      </w:tr>
      <w:tr w:rsidR="004F283F" w:rsidRPr="00504148" w14:paraId="24CD70A3"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7794A083" w14:textId="411D1D4A" w:rsidR="004F283F" w:rsidRDefault="00E06186"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166835">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BDEBC1A" w14:textId="6A872A18" w:rsidR="004F283F" w:rsidRDefault="004F283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4AE2FB40" w14:textId="374EBD97" w:rsidR="004F283F" w:rsidRPr="004F283F" w:rsidRDefault="00FF3EE0" w:rsidP="004F28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4F283F" w:rsidRPr="004F283F">
              <w:rPr>
                <w:rFonts w:ascii="Times New Roman" w:eastAsia="Times New Roman" w:hAnsi="Times New Roman" w:cs="Times New Roman"/>
                <w:sz w:val="24"/>
                <w:szCs w:val="24"/>
              </w:rPr>
              <w:t>epieciešam</w:t>
            </w:r>
            <w:r>
              <w:rPr>
                <w:rFonts w:ascii="Times New Roman" w:eastAsia="Times New Roman" w:hAnsi="Times New Roman" w:cs="Times New Roman"/>
                <w:sz w:val="24"/>
                <w:szCs w:val="24"/>
              </w:rPr>
              <w:t>s</w:t>
            </w:r>
            <w:r w:rsidR="004F283F" w:rsidRPr="004F283F">
              <w:rPr>
                <w:rFonts w:ascii="Times New Roman" w:eastAsia="Times New Roman" w:hAnsi="Times New Roman" w:cs="Times New Roman"/>
                <w:sz w:val="24"/>
                <w:szCs w:val="24"/>
              </w:rPr>
              <w:t xml:space="preserve"> skaidri un nepārprotami definēt klīniskās pārbaudes norises vietu. Labas klīniskās prakses vadlīniju 1.59.punkts pētījuma centru definē visai vispārīgi. Savukārt regula šo jēdzienu nedefinē. Nepieciešams skaidri noteikt, vai klīniskās pārbaudes vieta ir ārstniecības iestādes ārstnieciskā struktūrvienība vai tā ir visa ārstniecības iestāde kopumā. Šis jautājums ir </w:t>
            </w:r>
            <w:r w:rsidR="004F283F" w:rsidRPr="004F283F">
              <w:rPr>
                <w:rFonts w:ascii="Times New Roman" w:eastAsia="Times New Roman" w:hAnsi="Times New Roman" w:cs="Times New Roman"/>
                <w:sz w:val="24"/>
                <w:szCs w:val="24"/>
              </w:rPr>
              <w:lastRenderedPageBreak/>
              <w:t xml:space="preserve">būtisks faktors iepriekš minēto ierobežoto cilvēkresursu apstākļos un komiteju sastāvu kvoruma un kompetences nodrošināšanā. </w:t>
            </w:r>
          </w:p>
        </w:tc>
        <w:tc>
          <w:tcPr>
            <w:tcW w:w="735" w:type="pct"/>
            <w:tcBorders>
              <w:top w:val="outset" w:sz="6" w:space="0" w:color="414142"/>
              <w:left w:val="outset" w:sz="6" w:space="0" w:color="414142"/>
              <w:bottom w:val="outset" w:sz="6" w:space="0" w:color="414142"/>
              <w:right w:val="outset" w:sz="6" w:space="0" w:color="414142"/>
            </w:tcBorders>
          </w:tcPr>
          <w:p w14:paraId="00CD9CDF" w14:textId="13CBC34C" w:rsidR="004F283F" w:rsidRPr="00F40627" w:rsidRDefault="00772779" w:rsidP="00947E54">
            <w:pPr>
              <w:spacing w:after="0" w:line="240" w:lineRule="auto"/>
              <w:jc w:val="center"/>
              <w:rPr>
                <w:rFonts w:ascii="Times New Roman" w:eastAsia="Times New Roman" w:hAnsi="Times New Roman" w:cs="Times New Roman"/>
                <w:sz w:val="24"/>
                <w:szCs w:val="24"/>
                <w:lang w:eastAsia="lv-LV"/>
              </w:rPr>
            </w:pPr>
            <w:r w:rsidRPr="00772779">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5AB40C0A" w14:textId="2AA79EE7" w:rsidR="00772779" w:rsidRDefault="00772779" w:rsidP="00947E54">
            <w:pPr>
              <w:spacing w:after="0" w:line="240" w:lineRule="auto"/>
              <w:jc w:val="both"/>
              <w:rPr>
                <w:rFonts w:ascii="Times New Roman" w:hAnsi="Times New Roman" w:cs="Times New Roman"/>
                <w:sz w:val="24"/>
                <w:szCs w:val="24"/>
              </w:rPr>
            </w:pPr>
            <w:r w:rsidRPr="00412BC6">
              <w:rPr>
                <w:rFonts w:ascii="Times New Roman" w:hAnsi="Times New Roman" w:cs="Times New Roman"/>
                <w:sz w:val="24"/>
                <w:szCs w:val="24"/>
              </w:rPr>
              <w:t>Papildināta anotācija ar skaidrojumu.</w:t>
            </w:r>
          </w:p>
          <w:p w14:paraId="6B07C996" w14:textId="7F382EC4" w:rsidR="004F283F" w:rsidRPr="00784E43" w:rsidRDefault="004F283F" w:rsidP="00947E54">
            <w:pPr>
              <w:spacing w:after="0" w:line="240" w:lineRule="auto"/>
              <w:jc w:val="both"/>
              <w:rPr>
                <w:i/>
                <w:iCs/>
                <w:color w:val="FF0000"/>
              </w:rPr>
            </w:pPr>
          </w:p>
        </w:tc>
      </w:tr>
      <w:tr w:rsidR="004F283F" w:rsidRPr="00504148" w14:paraId="38BF4455"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5FAD06F6" w14:textId="37D04A4B" w:rsidR="004F283F" w:rsidRDefault="00E06186"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66835">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0BF0EB94" w14:textId="0A95DE73" w:rsidR="004F283F" w:rsidRDefault="004F283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r w:rsidR="00054CEF">
              <w:rPr>
                <w:rFonts w:ascii="Times New Roman" w:hAnsi="Times New Roman" w:cs="Times New Roman"/>
                <w:sz w:val="24"/>
                <w:szCs w:val="24"/>
              </w:rPr>
              <w:t>;</w:t>
            </w:r>
            <w:r w:rsidR="00A1534C">
              <w:rPr>
                <w:rFonts w:ascii="Times New Roman" w:hAnsi="Times New Roman" w:cs="Times New Roman"/>
                <w:sz w:val="24"/>
                <w:szCs w:val="24"/>
              </w:rPr>
              <w:t xml:space="preserve"> Biofarmaceitisko zāļu ražotāju asociācija Latvijā</w:t>
            </w:r>
            <w:r w:rsidR="00C11BBA">
              <w:rPr>
                <w:rFonts w:ascii="Times New Roman" w:hAnsi="Times New Roman" w:cs="Times New Roman"/>
                <w:sz w:val="24"/>
                <w:szCs w:val="24"/>
              </w:rPr>
              <w:t xml:space="preserve">; </w:t>
            </w:r>
            <w:r w:rsidR="00C11BBA" w:rsidRPr="00C11BBA">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1437F5FE" w14:textId="6FE0AB1D" w:rsidR="004F283F" w:rsidRPr="004F283F" w:rsidRDefault="00FF3EE0" w:rsidP="004F283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004F283F" w:rsidRPr="004F283F">
              <w:rPr>
                <w:rFonts w:ascii="Times New Roman" w:eastAsia="Calibri" w:hAnsi="Times New Roman" w:cs="Times New Roman"/>
                <w:sz w:val="24"/>
                <w:szCs w:val="24"/>
              </w:rPr>
              <w:t>15.2. punktā – nav iespējams noteikt saistību ar pētījuma centru, ja komiteja vēl nav izveidota un nav saņēmusi izskatīšanai nevienu pieteikumu;</w:t>
            </w:r>
          </w:p>
          <w:p w14:paraId="348A48EF" w14:textId="77777777" w:rsidR="004F283F" w:rsidRPr="004F283F" w:rsidRDefault="004F283F" w:rsidP="004F283F">
            <w:pPr>
              <w:spacing w:after="0" w:line="240" w:lineRule="auto"/>
              <w:jc w:val="both"/>
              <w:rPr>
                <w:rFonts w:ascii="Times New Roman" w:eastAsia="Times New Roman"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381CCD32" w14:textId="21EAA40A" w:rsidR="004F283F" w:rsidRPr="00F40627" w:rsidRDefault="00FF3EE0"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43F8BEDF" w14:textId="1517339E" w:rsidR="00FF3EE0" w:rsidRPr="00AD74F5" w:rsidRDefault="00784E43" w:rsidP="00AD74F5">
            <w:pPr>
              <w:contextualSpacing/>
              <w:jc w:val="both"/>
              <w:rPr>
                <w:rFonts w:ascii="Times New Roman" w:eastAsia="Calibri" w:hAnsi="Times New Roman" w:cs="Times New Roman"/>
                <w:i/>
                <w:iCs/>
                <w:color w:val="FF0000"/>
                <w:shd w:val="clear" w:color="auto" w:fill="FFFFFF"/>
              </w:rPr>
            </w:pPr>
            <w:r w:rsidRPr="00412BC6">
              <w:rPr>
                <w:rFonts w:ascii="Times New Roman" w:hAnsi="Times New Roman" w:cs="Times New Roman"/>
                <w:sz w:val="24"/>
                <w:szCs w:val="24"/>
              </w:rPr>
              <w:t>Papildināta anotācija ar skaidrojumu.</w:t>
            </w:r>
          </w:p>
        </w:tc>
      </w:tr>
      <w:tr w:rsidR="004F283F" w:rsidRPr="00504148" w14:paraId="3C311A5D"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4A1BA1B8" w14:textId="4DC30874" w:rsidR="004F283F" w:rsidRDefault="00E06186"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166835">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2117F0F4" w14:textId="79B63231" w:rsidR="004F283F" w:rsidRDefault="004F283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r w:rsidR="001B7393">
              <w:rPr>
                <w:rFonts w:ascii="Times New Roman" w:hAnsi="Times New Roman" w:cs="Times New Roman"/>
                <w:sz w:val="24"/>
                <w:szCs w:val="24"/>
              </w:rPr>
              <w:t>; Zāļu klīniskās izpētes ētikas komiteja</w:t>
            </w:r>
            <w:r w:rsidR="00C11BBA">
              <w:rPr>
                <w:rFonts w:ascii="Times New Roman" w:hAnsi="Times New Roman" w:cs="Times New Roman"/>
                <w:sz w:val="24"/>
                <w:szCs w:val="24"/>
              </w:rPr>
              <w:t xml:space="preserve">; </w:t>
            </w:r>
            <w:r w:rsidR="00C11BBA" w:rsidRPr="00C11BBA">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1DF510FD" w14:textId="77777777" w:rsidR="001B7393" w:rsidRPr="00DB7321" w:rsidRDefault="001B7393" w:rsidP="00BF74FA">
            <w:pPr>
              <w:spacing w:after="0" w:line="240" w:lineRule="auto"/>
              <w:rPr>
                <w:rFonts w:ascii="Times New Roman" w:hAnsi="Times New Roman" w:cs="Times New Roman"/>
                <w:sz w:val="24"/>
                <w:szCs w:val="24"/>
                <w:shd w:val="clear" w:color="auto" w:fill="FFFFFF"/>
              </w:rPr>
            </w:pPr>
            <w:r w:rsidRPr="00DB7321">
              <w:rPr>
                <w:rFonts w:ascii="Times New Roman" w:hAnsi="Times New Roman" w:cs="Times New Roman"/>
                <w:sz w:val="24"/>
                <w:szCs w:val="24"/>
                <w:shd w:val="clear" w:color="auto" w:fill="FFFFFF"/>
              </w:rPr>
              <w:t>“Persona ar zināšanām bioētikas jomā” ir nedefinējams subjekts, jo nav kritēriju, kas nosaka nepieciešamo bioētikas zināšanu slieksni. Tas, savukārt, paver ceļu subjektīvām  interpretācijām.</w:t>
            </w:r>
          </w:p>
          <w:p w14:paraId="61BB83FF" w14:textId="2632E9B5" w:rsidR="001B7393" w:rsidRPr="00DB7321" w:rsidRDefault="001B7393" w:rsidP="00BF74FA">
            <w:pPr>
              <w:spacing w:after="0" w:line="240" w:lineRule="auto"/>
              <w:rPr>
                <w:rFonts w:ascii="Times New Roman" w:hAnsi="Times New Roman" w:cs="Times New Roman"/>
                <w:sz w:val="24"/>
                <w:szCs w:val="24"/>
                <w:shd w:val="clear" w:color="auto" w:fill="FFFFFF"/>
              </w:rPr>
            </w:pPr>
            <w:r w:rsidRPr="00DB7321">
              <w:rPr>
                <w:rFonts w:ascii="Times New Roman" w:hAnsi="Times New Roman" w:cs="Times New Roman"/>
                <w:sz w:val="24"/>
                <w:szCs w:val="24"/>
                <w:shd w:val="clear" w:color="auto" w:fill="FFFFFF"/>
              </w:rPr>
              <w:t xml:space="preserve">Katrs ārsts, iegūstot izglītību, ir apguvis Medicīnas ētikas kursu, pēcāk papildinājies semināros. Katrs </w:t>
            </w:r>
            <w:r w:rsidR="00423D4B">
              <w:rPr>
                <w:rFonts w:ascii="Times New Roman" w:hAnsi="Times New Roman" w:cs="Times New Roman"/>
                <w:sz w:val="24"/>
                <w:szCs w:val="24"/>
                <w:shd w:val="clear" w:color="auto" w:fill="FFFFFF"/>
              </w:rPr>
              <w:t>ētikas komitejas</w:t>
            </w:r>
            <w:r w:rsidRPr="00DB7321">
              <w:rPr>
                <w:rFonts w:ascii="Times New Roman" w:hAnsi="Times New Roman" w:cs="Times New Roman"/>
                <w:sz w:val="24"/>
                <w:szCs w:val="24"/>
                <w:shd w:val="clear" w:color="auto" w:fill="FFFFFF"/>
              </w:rPr>
              <w:t xml:space="preserve"> loceklis, arī nemediķis, pēc dažu gadu darbības </w:t>
            </w:r>
            <w:r w:rsidR="00423D4B">
              <w:rPr>
                <w:rFonts w:ascii="Times New Roman" w:hAnsi="Times New Roman" w:cs="Times New Roman"/>
                <w:sz w:val="24"/>
                <w:szCs w:val="24"/>
                <w:shd w:val="clear" w:color="auto" w:fill="FFFFFF"/>
              </w:rPr>
              <w:t>ētikas komitejā</w:t>
            </w:r>
            <w:r w:rsidRPr="00DB7321">
              <w:rPr>
                <w:rFonts w:ascii="Times New Roman" w:hAnsi="Times New Roman" w:cs="Times New Roman"/>
                <w:sz w:val="24"/>
                <w:szCs w:val="24"/>
                <w:shd w:val="clear" w:color="auto" w:fill="FFFFFF"/>
              </w:rPr>
              <w:t xml:space="preserve"> ir ar klīnisko pētījumu profilam atbilstošām zināšanām bioētikā.</w:t>
            </w:r>
          </w:p>
          <w:p w14:paraId="29309A21" w14:textId="1DEE4673" w:rsidR="0038632B" w:rsidRDefault="0038632B" w:rsidP="00BF74FA">
            <w:pPr>
              <w:spacing w:after="0" w:line="240" w:lineRule="auto"/>
              <w:contextualSpacing/>
              <w:jc w:val="both"/>
              <w:rPr>
                <w:rFonts w:ascii="Times New Roman" w:eastAsia="Calibri" w:hAnsi="Times New Roman" w:cs="Times New Roman"/>
                <w:sz w:val="24"/>
                <w:szCs w:val="24"/>
              </w:rPr>
            </w:pPr>
            <w:r w:rsidRPr="0038632B">
              <w:rPr>
                <w:rFonts w:ascii="Times New Roman" w:eastAsia="Calibri" w:hAnsi="Times New Roman" w:cs="Times New Roman"/>
                <w:sz w:val="24"/>
                <w:szCs w:val="24"/>
              </w:rPr>
              <w:t xml:space="preserve">Uzskatām, ka svarīgi būtu ētikas komitejas locekļu kandidātiem  noteikt prasību: pieredze un zināšanas klīniskajā pētniecībā un Labas klīniskās </w:t>
            </w:r>
            <w:r w:rsidRPr="0038632B">
              <w:rPr>
                <w:rFonts w:ascii="Times New Roman" w:eastAsia="Calibri" w:hAnsi="Times New Roman" w:cs="Times New Roman"/>
                <w:sz w:val="24"/>
                <w:szCs w:val="24"/>
              </w:rPr>
              <w:lastRenderedPageBreak/>
              <w:t xml:space="preserve">prakses vadlīniju prasībās. Atbilstību šādu prasību izpildei ir viegli pārbaudīt. </w:t>
            </w:r>
          </w:p>
          <w:p w14:paraId="1FD9B889" w14:textId="269771D7" w:rsidR="001B7393" w:rsidRPr="00DB7321" w:rsidRDefault="001B7393" w:rsidP="00BF74FA">
            <w:pPr>
              <w:spacing w:after="0" w:line="240" w:lineRule="auto"/>
              <w:rPr>
                <w:rFonts w:ascii="Times New Roman" w:hAnsi="Times New Roman" w:cs="Times New Roman"/>
                <w:sz w:val="24"/>
                <w:szCs w:val="24"/>
              </w:rPr>
            </w:pPr>
            <w:r w:rsidRPr="00DB7321">
              <w:rPr>
                <w:rFonts w:ascii="Times New Roman" w:hAnsi="Times New Roman" w:cs="Times New Roman"/>
                <w:sz w:val="24"/>
                <w:szCs w:val="24"/>
              </w:rPr>
              <w:t xml:space="preserve">Nomainīt </w:t>
            </w:r>
            <w:r w:rsidR="008B0C6D">
              <w:rPr>
                <w:rFonts w:ascii="Times New Roman" w:hAnsi="Times New Roman" w:cs="Times New Roman"/>
                <w:sz w:val="24"/>
                <w:szCs w:val="24"/>
              </w:rPr>
              <w:t>15.3.</w:t>
            </w:r>
            <w:r w:rsidRPr="00DB7321">
              <w:rPr>
                <w:rFonts w:ascii="Times New Roman" w:hAnsi="Times New Roman" w:cs="Times New Roman"/>
                <w:sz w:val="24"/>
                <w:szCs w:val="24"/>
              </w:rPr>
              <w:t xml:space="preserve">punkta redakciju ar: </w:t>
            </w:r>
          </w:p>
          <w:p w14:paraId="7E892CB8" w14:textId="77777777" w:rsidR="001B7393" w:rsidRDefault="001B7393" w:rsidP="00BF74FA">
            <w:pPr>
              <w:spacing w:after="0" w:line="240" w:lineRule="auto"/>
              <w:rPr>
                <w:rFonts w:ascii="Times New Roman" w:hAnsi="Times New Roman" w:cs="Times New Roman"/>
                <w:sz w:val="24"/>
                <w:szCs w:val="24"/>
              </w:rPr>
            </w:pPr>
            <w:r w:rsidRPr="00DB7321">
              <w:rPr>
                <w:rFonts w:ascii="Times New Roman" w:hAnsi="Times New Roman" w:cs="Times New Roman"/>
                <w:sz w:val="24"/>
                <w:szCs w:val="24"/>
              </w:rPr>
              <w:t>“Persona ar zināšanām GCP un pieredzi klīniskajos pētījumos.”</w:t>
            </w:r>
          </w:p>
          <w:p w14:paraId="2E8383B4" w14:textId="0AD539C7" w:rsidR="004F283F" w:rsidRPr="00E2677F" w:rsidRDefault="00BD11FD" w:rsidP="00BF74FA">
            <w:pPr>
              <w:pStyle w:val="CommentText"/>
              <w:rPr>
                <w:sz w:val="24"/>
                <w:szCs w:val="24"/>
                <w:lang w:val="lv-LV"/>
              </w:rPr>
            </w:pPr>
            <w:r>
              <w:rPr>
                <w:sz w:val="24"/>
                <w:szCs w:val="24"/>
                <w:lang w:val="lv-LV"/>
              </w:rPr>
              <w:t>Turklāt n</w:t>
            </w:r>
            <w:r w:rsidR="00423D4B">
              <w:rPr>
                <w:sz w:val="24"/>
                <w:szCs w:val="24"/>
                <w:lang w:val="lv-LV"/>
              </w:rPr>
              <w:t>av saprotams, kāpēc Noteikumu projekta</w:t>
            </w:r>
            <w:r w:rsidR="008B0C6D">
              <w:rPr>
                <w:sz w:val="24"/>
                <w:szCs w:val="24"/>
                <w:lang w:val="lv-LV"/>
              </w:rPr>
              <w:t xml:space="preserve"> </w:t>
            </w:r>
            <w:r w:rsidR="00423D4B">
              <w:rPr>
                <w:sz w:val="24"/>
                <w:szCs w:val="24"/>
                <w:lang w:val="lv-LV"/>
              </w:rPr>
              <w:t xml:space="preserve">15. punktā norādīts, ka ētikas komitejas personālsastāvu veido </w:t>
            </w:r>
            <w:r w:rsidR="00C11BBA" w:rsidRPr="00C11BBA">
              <w:rPr>
                <w:sz w:val="24"/>
                <w:szCs w:val="24"/>
                <w:lang w:val="lv-LV"/>
              </w:rPr>
              <w:t xml:space="preserve"> 9 locekļi un nevis vismaz 5 kā tas noteikts GCP (3.2.1)</w:t>
            </w:r>
            <w:r w:rsidR="008B0C6D">
              <w:rPr>
                <w:sz w:val="24"/>
                <w:szCs w:val="24"/>
                <w:lang w:val="lv-LV"/>
              </w:rPr>
              <w:t>.</w:t>
            </w:r>
          </w:p>
        </w:tc>
        <w:tc>
          <w:tcPr>
            <w:tcW w:w="735" w:type="pct"/>
            <w:tcBorders>
              <w:top w:val="outset" w:sz="6" w:space="0" w:color="414142"/>
              <w:left w:val="outset" w:sz="6" w:space="0" w:color="414142"/>
              <w:bottom w:val="outset" w:sz="6" w:space="0" w:color="414142"/>
              <w:right w:val="outset" w:sz="6" w:space="0" w:color="414142"/>
            </w:tcBorders>
          </w:tcPr>
          <w:p w14:paraId="066059AD" w14:textId="5473FCB3" w:rsidR="004F283F" w:rsidRPr="00F40627" w:rsidRDefault="008B0C6D" w:rsidP="00947E54">
            <w:pPr>
              <w:spacing w:after="0" w:line="240" w:lineRule="auto"/>
              <w:jc w:val="center"/>
              <w:rPr>
                <w:rFonts w:ascii="Times New Roman" w:eastAsia="Times New Roman" w:hAnsi="Times New Roman" w:cs="Times New Roman"/>
                <w:sz w:val="24"/>
                <w:szCs w:val="24"/>
                <w:lang w:eastAsia="lv-LV"/>
              </w:rPr>
            </w:pPr>
            <w:r w:rsidRPr="000726DF">
              <w:rPr>
                <w:rFonts w:ascii="Times New Roman" w:eastAsia="Times New Roman" w:hAnsi="Times New Roman" w:cs="Times New Roman"/>
                <w:sz w:val="24"/>
                <w:szCs w:val="24"/>
                <w:lang w:eastAsia="lv-LV"/>
              </w:rPr>
              <w:lastRenderedPageBreak/>
              <w:t>Ņemts vērā</w:t>
            </w:r>
            <w:r w:rsidR="0086383E" w:rsidRPr="000726DF">
              <w:rPr>
                <w:rFonts w:ascii="Times New Roman" w:eastAsia="Times New Roman" w:hAnsi="Times New Roman" w:cs="Times New Roman"/>
                <w:sz w:val="24"/>
                <w:szCs w:val="24"/>
                <w:lang w:eastAsia="lv-LV"/>
              </w:rPr>
              <w:t xml:space="preserve"> daļēji</w:t>
            </w:r>
          </w:p>
        </w:tc>
        <w:tc>
          <w:tcPr>
            <w:tcW w:w="1622" w:type="pct"/>
            <w:tcBorders>
              <w:top w:val="outset" w:sz="6" w:space="0" w:color="414142"/>
              <w:left w:val="outset" w:sz="6" w:space="0" w:color="414142"/>
              <w:bottom w:val="outset" w:sz="6" w:space="0" w:color="414142"/>
              <w:right w:val="outset" w:sz="6" w:space="0" w:color="414142"/>
            </w:tcBorders>
          </w:tcPr>
          <w:p w14:paraId="36E0F2E8" w14:textId="7A8A8600" w:rsidR="004F283F" w:rsidRPr="00BD11FD" w:rsidRDefault="00BF74FA" w:rsidP="00BF74FA">
            <w:pPr>
              <w:contextualSpacing/>
              <w:jc w:val="both"/>
              <w:rPr>
                <w:rFonts w:ascii="Times New Roman" w:eastAsia="Calibri" w:hAnsi="Times New Roman" w:cs="Times New Roman"/>
                <w:sz w:val="24"/>
                <w:szCs w:val="24"/>
                <w:shd w:val="clear" w:color="auto" w:fill="FFFFFF"/>
              </w:rPr>
            </w:pPr>
            <w:r w:rsidRPr="00BD11FD">
              <w:rPr>
                <w:rFonts w:ascii="Times New Roman" w:eastAsia="Calibri" w:hAnsi="Times New Roman" w:cs="Times New Roman"/>
                <w:sz w:val="24"/>
                <w:szCs w:val="24"/>
                <w:shd w:val="clear" w:color="auto" w:fill="FFFFFF"/>
              </w:rPr>
              <w:t>Noteikumu projekta 15.3.apakšpu</w:t>
            </w:r>
            <w:r w:rsidR="006B10EC">
              <w:rPr>
                <w:rFonts w:ascii="Times New Roman" w:eastAsia="Calibri" w:hAnsi="Times New Roman" w:cs="Times New Roman"/>
                <w:sz w:val="24"/>
                <w:szCs w:val="24"/>
                <w:shd w:val="clear" w:color="auto" w:fill="FFFFFF"/>
              </w:rPr>
              <w:t>n</w:t>
            </w:r>
            <w:r w:rsidRPr="00BD11FD">
              <w:rPr>
                <w:rFonts w:ascii="Times New Roman" w:eastAsia="Calibri" w:hAnsi="Times New Roman" w:cs="Times New Roman"/>
                <w:sz w:val="24"/>
                <w:szCs w:val="24"/>
                <w:shd w:val="clear" w:color="auto" w:fill="FFFFFF"/>
              </w:rPr>
              <w:t xml:space="preserve">kts izteikts šādā redakcijā: “vismaz viena persona ar </w:t>
            </w:r>
            <w:r w:rsidR="001C353F">
              <w:rPr>
                <w:rFonts w:ascii="Times New Roman" w:eastAsia="Calibri" w:hAnsi="Times New Roman" w:cs="Times New Roman"/>
                <w:sz w:val="24"/>
                <w:szCs w:val="24"/>
                <w:shd w:val="clear" w:color="auto" w:fill="FFFFFF"/>
              </w:rPr>
              <w:t xml:space="preserve">apgūtām aktuālām </w:t>
            </w:r>
            <w:r w:rsidRPr="00BD11FD">
              <w:rPr>
                <w:rFonts w:ascii="Times New Roman" w:eastAsia="Calibri" w:hAnsi="Times New Roman" w:cs="Times New Roman"/>
                <w:sz w:val="24"/>
                <w:szCs w:val="24"/>
                <w:shd w:val="clear" w:color="auto" w:fill="FFFFFF"/>
              </w:rPr>
              <w:t>labas klīniskās prakses vadlīnij</w:t>
            </w:r>
            <w:r w:rsidR="001C353F">
              <w:rPr>
                <w:rFonts w:ascii="Times New Roman" w:eastAsia="Calibri" w:hAnsi="Times New Roman" w:cs="Times New Roman"/>
                <w:sz w:val="24"/>
                <w:szCs w:val="24"/>
                <w:shd w:val="clear" w:color="auto" w:fill="FFFFFF"/>
              </w:rPr>
              <w:t>ām</w:t>
            </w:r>
            <w:r w:rsidRPr="00BD11FD">
              <w:rPr>
                <w:rFonts w:ascii="Times New Roman" w:eastAsia="Calibri" w:hAnsi="Times New Roman" w:cs="Times New Roman"/>
                <w:sz w:val="24"/>
                <w:szCs w:val="24"/>
                <w:shd w:val="clear" w:color="auto" w:fill="FFFFFF"/>
              </w:rPr>
              <w:t xml:space="preserve"> un pier</w:t>
            </w:r>
            <w:r w:rsidR="00CB24CB" w:rsidRPr="00BD11FD">
              <w:rPr>
                <w:rFonts w:ascii="Times New Roman" w:eastAsia="Calibri" w:hAnsi="Times New Roman" w:cs="Times New Roman"/>
                <w:sz w:val="24"/>
                <w:szCs w:val="24"/>
                <w:shd w:val="clear" w:color="auto" w:fill="FFFFFF"/>
              </w:rPr>
              <w:t>edzi</w:t>
            </w:r>
            <w:r w:rsidRPr="00BD11FD">
              <w:rPr>
                <w:rFonts w:ascii="Times New Roman" w:eastAsia="Calibri" w:hAnsi="Times New Roman" w:cs="Times New Roman"/>
                <w:sz w:val="24"/>
                <w:szCs w:val="24"/>
                <w:shd w:val="clear" w:color="auto" w:fill="FFFFFF"/>
              </w:rPr>
              <w:t xml:space="preserve"> klīniskajos pētījumos”</w:t>
            </w:r>
          </w:p>
          <w:p w14:paraId="516E7371" w14:textId="77777777" w:rsidR="00BF39A7" w:rsidRDefault="00BF39A7" w:rsidP="00BF74FA">
            <w:pPr>
              <w:contextualSpacing/>
              <w:jc w:val="both"/>
              <w:rPr>
                <w:rFonts w:ascii="Times New Roman" w:eastAsia="Calibri" w:hAnsi="Times New Roman" w:cs="Times New Roman"/>
                <w:sz w:val="24"/>
                <w:szCs w:val="24"/>
                <w:shd w:val="clear" w:color="auto" w:fill="FFFFFF"/>
              </w:rPr>
            </w:pPr>
          </w:p>
          <w:p w14:paraId="6CBB6D67" w14:textId="556F3B23" w:rsidR="000726DF" w:rsidRDefault="004F3DB3" w:rsidP="00BF74FA">
            <w:pPr>
              <w:contextualSpacing/>
              <w:jc w:val="both"/>
              <w:rPr>
                <w:rFonts w:ascii="Times New Roman" w:eastAsia="Calibri" w:hAnsi="Times New Roman" w:cs="Times New Roman"/>
                <w:sz w:val="24"/>
                <w:szCs w:val="24"/>
                <w:shd w:val="clear" w:color="auto" w:fill="FFFFFF"/>
              </w:rPr>
            </w:pPr>
            <w:r w:rsidRPr="004F3DB3">
              <w:rPr>
                <w:rFonts w:ascii="Times New Roman" w:eastAsia="Calibri" w:hAnsi="Times New Roman" w:cs="Times New Roman"/>
                <w:sz w:val="24"/>
                <w:szCs w:val="24"/>
                <w:shd w:val="clear" w:color="auto" w:fill="FFFFFF"/>
              </w:rPr>
              <w:t xml:space="preserve">Papildināta anotācija </w:t>
            </w:r>
            <w:r w:rsidR="000726DF">
              <w:rPr>
                <w:rFonts w:ascii="Times New Roman" w:eastAsia="Calibri" w:hAnsi="Times New Roman" w:cs="Times New Roman"/>
                <w:sz w:val="24"/>
                <w:szCs w:val="24"/>
                <w:shd w:val="clear" w:color="auto" w:fill="FFFFFF"/>
              </w:rPr>
              <w:t>ar skaidrojumu par ētikas komitejas personālsastāva locekļu skaitu.</w:t>
            </w:r>
          </w:p>
          <w:p w14:paraId="723BBFD6" w14:textId="77777777" w:rsidR="00BF39A7" w:rsidRDefault="00BF39A7" w:rsidP="00BF74FA">
            <w:pPr>
              <w:contextualSpacing/>
              <w:jc w:val="both"/>
              <w:rPr>
                <w:rFonts w:ascii="Times New Roman" w:eastAsia="Calibri" w:hAnsi="Times New Roman" w:cs="Times New Roman"/>
                <w:sz w:val="24"/>
                <w:szCs w:val="24"/>
                <w:shd w:val="clear" w:color="auto" w:fill="FFFFFF"/>
              </w:rPr>
            </w:pPr>
          </w:p>
          <w:p w14:paraId="395CE7B0" w14:textId="24B29646" w:rsidR="00BF39A7" w:rsidRPr="00BF74FA" w:rsidRDefault="00BF39A7" w:rsidP="00BF74FA">
            <w:pPr>
              <w:contextualSpacing/>
              <w:jc w:val="both"/>
              <w:rPr>
                <w:rFonts w:ascii="Times New Roman" w:eastAsia="Calibri" w:hAnsi="Times New Roman" w:cs="Times New Roman"/>
                <w:sz w:val="24"/>
                <w:szCs w:val="24"/>
                <w:shd w:val="clear" w:color="auto" w:fill="FFFFFF"/>
              </w:rPr>
            </w:pPr>
          </w:p>
        </w:tc>
      </w:tr>
      <w:tr w:rsidR="0038632B" w:rsidRPr="00504148" w14:paraId="3D18D418"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0749D9B2" w14:textId="7304FC5B" w:rsidR="0038632B"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0618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37313CDC" w14:textId="6AF15BEB" w:rsidR="0038632B" w:rsidRDefault="0038632B"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r w:rsidR="00C33B14">
              <w:rPr>
                <w:rFonts w:ascii="Times New Roman" w:hAnsi="Times New Roman" w:cs="Times New Roman"/>
                <w:sz w:val="24"/>
                <w:szCs w:val="24"/>
              </w:rPr>
              <w:t>; Zāļu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4BB8053E" w14:textId="263EE564" w:rsidR="0038632B" w:rsidRPr="0038632B" w:rsidRDefault="00423D4B" w:rsidP="0038632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0038632B" w:rsidRPr="0038632B">
              <w:rPr>
                <w:rFonts w:ascii="Times New Roman" w:eastAsia="Calibri" w:hAnsi="Times New Roman" w:cs="Times New Roman"/>
                <w:sz w:val="24"/>
                <w:szCs w:val="24"/>
              </w:rPr>
              <w:t xml:space="preserve">16.punkts: regulas 10.pantā ir noteikti īpaši apsvērumi klīnisko pārbaužu pieteikumu, kurās iesaistītas mazaizsargātās grupas, kas tikai daļēji vienlaikus ir arī medicīnas nozares (pediatrija, ginekoloģija, dzemdniecība), bet 10.panta 2. un 4.daļā norādītās mazaizsargātās grupas  nav definējamas kā </w:t>
            </w:r>
            <w:r w:rsidR="0038632B" w:rsidRPr="00423D4B">
              <w:rPr>
                <w:rFonts w:ascii="Times New Roman" w:eastAsia="Calibri" w:hAnsi="Times New Roman" w:cs="Times New Roman"/>
                <w:sz w:val="24"/>
                <w:szCs w:val="24"/>
              </w:rPr>
              <w:t>medicīnas nozares. Tāpēc būtu nepieciešams 16.punktā mainīt redakciju, lai tā atbilstu visu regulas 10.panta daļu jēgai.  Turklāt, 16.punktā vārds “pamatsastāvā”  ir aizstājamas ar vārdu “sastāvā”,</w:t>
            </w:r>
            <w:r w:rsidR="0038632B" w:rsidRPr="0038632B">
              <w:rPr>
                <w:rFonts w:ascii="Times New Roman" w:eastAsia="Calibri" w:hAnsi="Times New Roman" w:cs="Times New Roman"/>
                <w:sz w:val="24"/>
                <w:szCs w:val="24"/>
              </w:rPr>
              <w:t xml:space="preserve"> jo ētikas komitejām ir viens nemainīgs veselības ministra apstiprināts sastāvs, un tāpēc nav jālieto nekādi citi jēdzieni. </w:t>
            </w:r>
          </w:p>
          <w:p w14:paraId="76F88A6D" w14:textId="79879B52" w:rsidR="0038632B" w:rsidRPr="0038632B" w:rsidRDefault="0038632B" w:rsidP="00423D4B">
            <w:pPr>
              <w:contextualSpacing/>
              <w:jc w:val="both"/>
              <w:rPr>
                <w:rFonts w:ascii="Times New Roman" w:eastAsia="Calibri" w:hAnsi="Times New Roman" w:cs="Times New Roman"/>
                <w:sz w:val="24"/>
                <w:szCs w:val="24"/>
              </w:rPr>
            </w:pPr>
            <w:r w:rsidRPr="00423D4B">
              <w:rPr>
                <w:rFonts w:ascii="Times New Roman" w:eastAsia="Calibri" w:hAnsi="Times New Roman" w:cs="Times New Roman"/>
                <w:sz w:val="24"/>
                <w:szCs w:val="24"/>
              </w:rPr>
              <w:lastRenderedPageBreak/>
              <w:t>Turklāt punktā vārdu “piesaista” būtu nepieciešams aizstāt ar vārdiem “var piesaistīt”, jo ētikas komiteja pati ir kompetenta</w:t>
            </w:r>
            <w:r w:rsidRPr="0038632B">
              <w:rPr>
                <w:rFonts w:ascii="Times New Roman" w:eastAsia="Calibri" w:hAnsi="Times New Roman" w:cs="Times New Roman"/>
                <w:sz w:val="24"/>
                <w:szCs w:val="24"/>
              </w:rPr>
              <w:t xml:space="preserve"> izlemt, vai konkrētās klīniskās pārbaudes izvērtēšanai tai ir nepieciešams piesaistīt speciālistu vai komitejas sastāvā esošo locekļu zināšanas un pieredze ir pietiekama un papildus cilvēkresursu piesaiste nav nepieciešama. </w:t>
            </w:r>
          </w:p>
        </w:tc>
        <w:tc>
          <w:tcPr>
            <w:tcW w:w="735" w:type="pct"/>
            <w:tcBorders>
              <w:top w:val="outset" w:sz="6" w:space="0" w:color="414142"/>
              <w:left w:val="outset" w:sz="6" w:space="0" w:color="414142"/>
              <w:bottom w:val="outset" w:sz="6" w:space="0" w:color="414142"/>
              <w:right w:val="outset" w:sz="6" w:space="0" w:color="414142"/>
            </w:tcBorders>
          </w:tcPr>
          <w:p w14:paraId="37E374E1" w14:textId="089FB845" w:rsidR="0038632B" w:rsidRPr="00F40627" w:rsidRDefault="00423D4B" w:rsidP="00947E54">
            <w:pPr>
              <w:spacing w:after="0" w:line="240" w:lineRule="auto"/>
              <w:jc w:val="center"/>
              <w:rPr>
                <w:rFonts w:ascii="Times New Roman" w:eastAsia="Times New Roman" w:hAnsi="Times New Roman" w:cs="Times New Roman"/>
                <w:sz w:val="24"/>
                <w:szCs w:val="24"/>
                <w:lang w:eastAsia="lv-LV"/>
              </w:rPr>
            </w:pPr>
            <w:r w:rsidRPr="0001574D">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299F4FA2" w14:textId="7BA3FF19" w:rsidR="00AB6891" w:rsidRPr="0001574D" w:rsidRDefault="00FD0EE3" w:rsidP="00FD0EE3">
            <w:pPr>
              <w:pStyle w:val="ListParagraph"/>
              <w:spacing w:after="0" w:line="240" w:lineRule="auto"/>
              <w:ind w:left="130" w:firstLine="43"/>
              <w:jc w:val="both"/>
              <w:rPr>
                <w:rFonts w:ascii="Times New Roman" w:eastAsia="Calibri" w:hAnsi="Times New Roman" w:cs="Times New Roman"/>
                <w:sz w:val="24"/>
                <w:szCs w:val="24"/>
                <w:shd w:val="clear" w:color="auto" w:fill="FFFFFF"/>
              </w:rPr>
            </w:pPr>
            <w:r w:rsidRPr="0001574D">
              <w:rPr>
                <w:rFonts w:ascii="Times New Roman" w:eastAsia="Calibri" w:hAnsi="Times New Roman" w:cs="Times New Roman"/>
                <w:sz w:val="24"/>
                <w:szCs w:val="24"/>
                <w:shd w:val="clear" w:color="auto" w:fill="FFFFFF"/>
              </w:rPr>
              <w:t>Noteikumu projekta 16.punktu izteikt šādā redakcijā: “</w:t>
            </w:r>
            <w:r w:rsidRPr="0001574D">
              <w:rPr>
                <w:rFonts w:ascii="Times New Roman" w:eastAsia="Times New Roman" w:hAnsi="Times New Roman" w:cs="Times New Roman"/>
                <w:sz w:val="24"/>
                <w:szCs w:val="24"/>
                <w:lang w:eastAsia="lv-LV"/>
              </w:rPr>
              <w:t xml:space="preserve">Ētikas komiteja klīniskās pārbaudes pieteikuma vērtēšanai saskaņā ar Regulas 10. pantu </w:t>
            </w:r>
            <w:r w:rsidR="00767EB5" w:rsidRPr="0001574D">
              <w:rPr>
                <w:rFonts w:ascii="Times New Roman" w:eastAsia="Times New Roman" w:hAnsi="Times New Roman" w:cs="Times New Roman"/>
                <w:sz w:val="24"/>
                <w:szCs w:val="24"/>
                <w:lang w:eastAsia="lv-LV"/>
              </w:rPr>
              <w:t>var piesaistīt</w:t>
            </w:r>
            <w:r w:rsidRPr="0001574D">
              <w:rPr>
                <w:rFonts w:ascii="Times New Roman" w:eastAsia="Times New Roman" w:hAnsi="Times New Roman" w:cs="Times New Roman"/>
                <w:sz w:val="24"/>
                <w:szCs w:val="24"/>
                <w:lang w:eastAsia="lv-LV"/>
              </w:rPr>
              <w:t xml:space="preserve"> attiecīgās medicīnas nozares speciālistu vai </w:t>
            </w:r>
            <w:r w:rsidR="0001574D" w:rsidRPr="0001574D">
              <w:rPr>
                <w:rFonts w:ascii="Times New Roman" w:hAnsi="Times New Roman" w:cs="Times New Roman"/>
                <w:sz w:val="24"/>
                <w:szCs w:val="24"/>
                <w:lang w:eastAsia="lv-LV"/>
              </w:rPr>
              <w:t xml:space="preserve">speciālistu vai personu </w:t>
            </w:r>
            <w:r w:rsidR="0001574D" w:rsidRPr="0001574D">
              <w:rPr>
                <w:rFonts w:ascii="Times New Roman" w:hAnsi="Times New Roman" w:cs="Times New Roman"/>
                <w:sz w:val="24"/>
                <w:szCs w:val="24"/>
              </w:rPr>
              <w:t>ar zināšanām vai pieredzi darbā ar attiecīgo mazaizsargāto populāciju</w:t>
            </w:r>
            <w:r w:rsidRPr="0001574D">
              <w:rPr>
                <w:rFonts w:ascii="Times New Roman" w:eastAsia="Times New Roman" w:hAnsi="Times New Roman" w:cs="Times New Roman"/>
                <w:sz w:val="24"/>
                <w:szCs w:val="24"/>
                <w:lang w:eastAsia="lv-LV"/>
              </w:rPr>
              <w:t>, ja tas nav ētikas komitejas sastāvā.</w:t>
            </w:r>
            <w:r w:rsidRPr="0001574D">
              <w:rPr>
                <w:rFonts w:ascii="Times New Roman" w:eastAsia="Calibri" w:hAnsi="Times New Roman" w:cs="Times New Roman"/>
                <w:sz w:val="24"/>
                <w:szCs w:val="24"/>
                <w:shd w:val="clear" w:color="auto" w:fill="FFFFFF"/>
              </w:rPr>
              <w:t>”</w:t>
            </w:r>
            <w:r w:rsidR="00AB6891" w:rsidRPr="0001574D">
              <w:rPr>
                <w:rFonts w:ascii="Times New Roman" w:eastAsia="Calibri" w:hAnsi="Times New Roman" w:cs="Times New Roman"/>
                <w:sz w:val="24"/>
                <w:szCs w:val="24"/>
                <w:shd w:val="clear" w:color="auto" w:fill="FFFFFF"/>
              </w:rPr>
              <w:t xml:space="preserve"> </w:t>
            </w:r>
          </w:p>
          <w:p w14:paraId="36D77E75" w14:textId="77777777" w:rsidR="00AB6891" w:rsidRDefault="00AB6891" w:rsidP="00FD0EE3">
            <w:pPr>
              <w:pStyle w:val="ListParagraph"/>
              <w:spacing w:after="0" w:line="240" w:lineRule="auto"/>
              <w:ind w:left="130" w:firstLine="43"/>
              <w:jc w:val="both"/>
              <w:rPr>
                <w:rFonts w:ascii="Times New Roman" w:eastAsia="Calibri" w:hAnsi="Times New Roman" w:cs="Times New Roman"/>
                <w:i/>
                <w:iCs/>
                <w:color w:val="FF0000"/>
                <w:sz w:val="24"/>
                <w:szCs w:val="24"/>
                <w:shd w:val="clear" w:color="auto" w:fill="FFFFFF"/>
              </w:rPr>
            </w:pPr>
          </w:p>
          <w:p w14:paraId="2C07AA31" w14:textId="5975A183" w:rsidR="00DD05EA" w:rsidRPr="00767EB5" w:rsidRDefault="00DD05EA" w:rsidP="00FD0EE3">
            <w:pPr>
              <w:pStyle w:val="ListParagraph"/>
              <w:spacing w:after="0" w:line="240" w:lineRule="auto"/>
              <w:ind w:left="130" w:firstLine="43"/>
              <w:jc w:val="both"/>
              <w:rPr>
                <w:rFonts w:ascii="Times New Roman" w:eastAsia="Calibri" w:hAnsi="Times New Roman" w:cs="Times New Roman"/>
                <w:i/>
                <w:iCs/>
                <w:sz w:val="24"/>
                <w:szCs w:val="24"/>
                <w:shd w:val="clear" w:color="auto" w:fill="FFFFFF"/>
              </w:rPr>
            </w:pPr>
          </w:p>
        </w:tc>
      </w:tr>
      <w:tr w:rsidR="0038632B" w:rsidRPr="00504148" w14:paraId="3E91E663"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07B2B442" w14:textId="6714844B" w:rsidR="0038632B"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0618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6DB9EC3D" w14:textId="6A3D94B1" w:rsidR="0038632B" w:rsidRDefault="00693215"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w:t>
            </w:r>
            <w:r w:rsidR="00054CEF">
              <w:rPr>
                <w:rFonts w:ascii="Times New Roman" w:hAnsi="Times New Roman" w:cs="Times New Roman"/>
                <w:sz w:val="24"/>
                <w:szCs w:val="24"/>
              </w:rPr>
              <w:t xml:space="preserve">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7CED2F84" w14:textId="61E74E79" w:rsidR="0038632B" w:rsidRPr="00975FF0" w:rsidRDefault="00423D4B" w:rsidP="0038632B">
            <w:pPr>
              <w:spacing w:after="0" w:line="240" w:lineRule="auto"/>
              <w:contextualSpacing/>
              <w:jc w:val="both"/>
              <w:rPr>
                <w:rFonts w:ascii="Times New Roman" w:eastAsia="Calibri" w:hAnsi="Times New Roman" w:cs="Times New Roman"/>
                <w:sz w:val="24"/>
                <w:szCs w:val="24"/>
              </w:rPr>
            </w:pPr>
            <w:r w:rsidRPr="00975FF0">
              <w:rPr>
                <w:rFonts w:ascii="Times New Roman" w:eastAsia="Calibri" w:hAnsi="Times New Roman" w:cs="Times New Roman"/>
                <w:sz w:val="24"/>
                <w:szCs w:val="24"/>
              </w:rPr>
              <w:t xml:space="preserve">Noteikumu projekta </w:t>
            </w:r>
            <w:r w:rsidR="0038632B" w:rsidRPr="00975FF0">
              <w:rPr>
                <w:rFonts w:ascii="Times New Roman" w:eastAsia="Calibri" w:hAnsi="Times New Roman" w:cs="Times New Roman"/>
                <w:sz w:val="24"/>
                <w:szCs w:val="24"/>
              </w:rPr>
              <w:t>17.punkt</w:t>
            </w:r>
            <w:r w:rsidRPr="00975FF0">
              <w:rPr>
                <w:rFonts w:ascii="Times New Roman" w:eastAsia="Calibri" w:hAnsi="Times New Roman" w:cs="Times New Roman"/>
                <w:sz w:val="24"/>
                <w:szCs w:val="24"/>
              </w:rPr>
              <w:t>ā nav saprotams, k</w:t>
            </w:r>
            <w:r w:rsidR="0038632B" w:rsidRPr="00975FF0">
              <w:rPr>
                <w:rFonts w:ascii="Times New Roman" w:eastAsia="Calibri" w:hAnsi="Times New Roman" w:cs="Times New Roman"/>
                <w:sz w:val="24"/>
                <w:szCs w:val="24"/>
              </w:rPr>
              <w:t xml:space="preserve">āds ir pamatojums ētikas komitejas apstiprināt uz trīs gadiem Komitejas ieskatā trīs gadu termiņš ir nepamatoti īss. Centrālās medicīnas ētikas komitejas nolikumā pilnvaru termiņš ir noteikts uz četriem gadiem. Līdz šim atbilstoši Farmācijas likuma 6.panta 7.punktam veselības ministra apstiprinātajām ētikas komitejām nav noteikts pilnvaru termiņš.  </w:t>
            </w:r>
          </w:p>
          <w:p w14:paraId="01BA5EB0" w14:textId="6F9F1395" w:rsidR="00975FF0" w:rsidRPr="00975FF0" w:rsidRDefault="00975FF0" w:rsidP="0038632B">
            <w:pPr>
              <w:spacing w:after="0" w:line="240" w:lineRule="auto"/>
              <w:contextualSpacing/>
              <w:jc w:val="both"/>
              <w:rPr>
                <w:rFonts w:ascii="Times New Roman" w:eastAsia="Calibri" w:hAnsi="Times New Roman" w:cs="Times New Roman"/>
                <w:sz w:val="24"/>
                <w:szCs w:val="24"/>
              </w:rPr>
            </w:pPr>
            <w:r w:rsidRPr="00975FF0">
              <w:rPr>
                <w:rFonts w:ascii="Times New Roman" w:eastAsia="Calibri" w:hAnsi="Times New Roman" w:cs="Times New Roman"/>
                <w:sz w:val="24"/>
                <w:szCs w:val="24"/>
              </w:rPr>
              <w:t xml:space="preserve">Noteikumu projekta 17.punkta iesnieguma iesniedzējs ir definēts “ētikas komiteja”, kas nav korekti, jo iesnieguma iesniegšanas brīdī iesniegumā minētā personu grupa nav </w:t>
            </w:r>
            <w:r w:rsidRPr="00975FF0">
              <w:rPr>
                <w:rFonts w:ascii="Times New Roman" w:eastAsia="Calibri" w:hAnsi="Times New Roman" w:cs="Times New Roman"/>
                <w:sz w:val="24"/>
                <w:szCs w:val="24"/>
              </w:rPr>
              <w:lastRenderedPageBreak/>
              <w:t>dēvējama par ētikas komiteju. Šis šķietami formālais jautājums ir saistīts ar jautājumu, kas var iesniegt šo iesniegumu.</w:t>
            </w:r>
          </w:p>
          <w:p w14:paraId="10A8DD12" w14:textId="77777777" w:rsidR="0038632B" w:rsidRPr="00975FF0" w:rsidRDefault="0038632B" w:rsidP="0038632B">
            <w:pPr>
              <w:spacing w:after="0" w:line="240" w:lineRule="auto"/>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3935A739" w14:textId="39EB7B51" w:rsidR="0038632B" w:rsidRPr="00F40627" w:rsidRDefault="0001574D" w:rsidP="002D50D1">
            <w:pPr>
              <w:spacing w:after="0" w:line="240" w:lineRule="auto"/>
              <w:jc w:val="center"/>
              <w:rPr>
                <w:rFonts w:ascii="Times New Roman" w:eastAsia="Times New Roman" w:hAnsi="Times New Roman" w:cs="Times New Roman"/>
                <w:sz w:val="24"/>
                <w:szCs w:val="24"/>
                <w:lang w:eastAsia="lv-LV"/>
              </w:rPr>
            </w:pPr>
            <w:r w:rsidRPr="0001574D">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5A5D0B93" w14:textId="37125740" w:rsidR="0038632B" w:rsidRPr="0001574D" w:rsidRDefault="0001574D" w:rsidP="0001574D">
            <w:pPr>
              <w:contextualSpacing/>
              <w:jc w:val="both"/>
              <w:rPr>
                <w:rFonts w:ascii="Times New Roman" w:eastAsia="Calibri" w:hAnsi="Times New Roman" w:cs="Times New Roman"/>
                <w:sz w:val="24"/>
                <w:szCs w:val="24"/>
                <w:shd w:val="clear" w:color="auto" w:fill="FFFFFF"/>
              </w:rPr>
            </w:pPr>
            <w:r w:rsidRPr="0001574D">
              <w:rPr>
                <w:rFonts w:ascii="Times New Roman" w:eastAsia="Calibri" w:hAnsi="Times New Roman" w:cs="Times New Roman"/>
                <w:sz w:val="24"/>
                <w:szCs w:val="24"/>
                <w:shd w:val="clear" w:color="auto" w:fill="FFFFFF"/>
              </w:rPr>
              <w:t>Noteikumu projekta 17. punkt</w:t>
            </w:r>
            <w:r>
              <w:rPr>
                <w:rFonts w:ascii="Times New Roman" w:eastAsia="Calibri" w:hAnsi="Times New Roman" w:cs="Times New Roman"/>
                <w:sz w:val="24"/>
                <w:szCs w:val="24"/>
                <w:shd w:val="clear" w:color="auto" w:fill="FFFFFF"/>
              </w:rPr>
              <w:t>a pirmais teikums izteikts šādā redakcijā: “</w:t>
            </w:r>
            <w:r w:rsidRPr="0001574D">
              <w:rPr>
                <w:rFonts w:ascii="Times New Roman" w:eastAsia="Times New Roman" w:hAnsi="Times New Roman" w:cs="Times New Roman"/>
                <w:sz w:val="24"/>
                <w:szCs w:val="24"/>
                <w:lang w:eastAsia="lv-LV"/>
              </w:rPr>
              <w:t xml:space="preserve">Ētikas komitejas personālsastāvu uz </w:t>
            </w:r>
            <w:r>
              <w:rPr>
                <w:rFonts w:ascii="Times New Roman" w:eastAsia="Times New Roman" w:hAnsi="Times New Roman" w:cs="Times New Roman"/>
                <w:sz w:val="24"/>
                <w:szCs w:val="24"/>
                <w:lang w:eastAsia="lv-LV"/>
              </w:rPr>
              <w:t>4</w:t>
            </w:r>
            <w:r w:rsidRPr="0001574D">
              <w:rPr>
                <w:rFonts w:ascii="Times New Roman" w:eastAsia="Times New Roman" w:hAnsi="Times New Roman" w:cs="Times New Roman"/>
                <w:sz w:val="24"/>
                <w:szCs w:val="24"/>
                <w:lang w:eastAsia="lv-LV"/>
              </w:rPr>
              <w:t xml:space="preserve"> gadiem apstiprina veselības ministrs, pamatojoties uz iesniegumu, kam pievienots kandidātu saraksts un katras personas dzīves gājuma apraksts (</w:t>
            </w:r>
            <w:r w:rsidRPr="0001574D">
              <w:rPr>
                <w:rFonts w:ascii="Times New Roman" w:eastAsia="Times New Roman" w:hAnsi="Times New Roman" w:cs="Times New Roman"/>
                <w:i/>
                <w:sz w:val="24"/>
                <w:szCs w:val="24"/>
                <w:lang w:eastAsia="lv-LV"/>
              </w:rPr>
              <w:t>Curriculum vitae</w:t>
            </w:r>
            <w:r w:rsidRPr="0001574D">
              <w:rPr>
                <w:rFonts w:ascii="Times New Roman" w:eastAsia="Times New Roman" w:hAnsi="Times New Roman" w:cs="Times New Roman"/>
                <w:sz w:val="24"/>
                <w:szCs w:val="24"/>
                <w:lang w:eastAsia="lv-LV"/>
              </w:rPr>
              <w:t>), kā arī aizpildīta interešu konflikta deklarācija saskaņā ar pielikumu.</w:t>
            </w:r>
            <w:r w:rsidRPr="0001574D">
              <w:rPr>
                <w:rFonts w:ascii="Times New Roman" w:eastAsia="Calibri" w:hAnsi="Times New Roman" w:cs="Times New Roman"/>
                <w:sz w:val="24"/>
                <w:szCs w:val="24"/>
                <w:shd w:val="clear" w:color="auto" w:fill="FFFFFF"/>
              </w:rPr>
              <w:t>”</w:t>
            </w:r>
          </w:p>
        </w:tc>
      </w:tr>
      <w:tr w:rsidR="0038632B" w:rsidRPr="00504148" w14:paraId="6FDA9E79"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64A49202" w14:textId="1B50888C" w:rsidR="0038632B"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0618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882434D" w14:textId="50C7EE6F" w:rsidR="0038632B" w:rsidRDefault="00054CE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7C1109AD" w14:textId="77777777" w:rsidR="00975FF0" w:rsidRPr="0038632B" w:rsidRDefault="00975FF0" w:rsidP="00975FF0">
            <w:pPr>
              <w:contextualSpacing/>
              <w:jc w:val="both"/>
              <w:rPr>
                <w:rFonts w:ascii="Times New Roman" w:eastAsia="Calibri" w:hAnsi="Times New Roman" w:cs="Times New Roman"/>
                <w:sz w:val="24"/>
                <w:szCs w:val="24"/>
              </w:rPr>
            </w:pPr>
            <w:r w:rsidRPr="0038632B">
              <w:rPr>
                <w:rFonts w:ascii="Times New Roman" w:eastAsia="Calibri" w:hAnsi="Times New Roman" w:cs="Times New Roman"/>
                <w:sz w:val="24"/>
                <w:szCs w:val="24"/>
              </w:rPr>
              <w:t>Pašreiz darbojošās ētikas komitejas ir izveidotas kādas juridiskas personas (piemēram, biedrības) juridiskā ietvarā (paspārnē). Ja jaunajā regulējumā tās paredzētas kā personu grupas, tad mēs saskatām nopietnus administratīvus un tehniskus sarežģījumus to darbībā. Ētikas komitejas nevar darboties bez noteikta juridiska veidola. Komitejai ir nepieciešami resursi (telpas, biroja un datoriekārtas, sakaru līdzekļi, arhīvs, grāmatvedība), šo visu resursu nodrošināšanai ir nepieciešams slēgt saimnieciskus darījumus, uzņemties saistības. Komiteja bez juridiskas personas statusa nevar slēgt darījumus un uzņemties saistības. Tas pats attiecas arī uz noteikumu 68.punkta izpildes nodrošināšanu</w:t>
            </w:r>
            <w:r>
              <w:rPr>
                <w:rFonts w:ascii="Times New Roman" w:eastAsia="Calibri" w:hAnsi="Times New Roman" w:cs="Times New Roman"/>
                <w:sz w:val="24"/>
                <w:szCs w:val="24"/>
              </w:rPr>
              <w:t>.</w:t>
            </w:r>
          </w:p>
          <w:p w14:paraId="585C9C04" w14:textId="674932A8" w:rsidR="0038632B" w:rsidRPr="0038632B" w:rsidRDefault="0038632B" w:rsidP="001B2ED9">
            <w:pPr>
              <w:contextualSpacing/>
              <w:jc w:val="both"/>
              <w:rPr>
                <w:rFonts w:ascii="Times New Roman" w:eastAsia="Calibri" w:hAnsi="Times New Roman" w:cs="Times New Roman"/>
                <w:sz w:val="24"/>
                <w:szCs w:val="24"/>
              </w:rPr>
            </w:pPr>
            <w:r w:rsidRPr="0038632B">
              <w:rPr>
                <w:rFonts w:ascii="Times New Roman" w:eastAsia="Calibri" w:hAnsi="Times New Roman" w:cs="Times New Roman"/>
                <w:sz w:val="24"/>
                <w:szCs w:val="24"/>
              </w:rPr>
              <w:lastRenderedPageBreak/>
              <w:t xml:space="preserve">Komitejas var tikt veidotas juridisku personu paspārnē, un šīs juridiskās personas iesniedz veselības ministram 17.pantā norādīto iesniegumu. Punktu var papildināt ar katra komitejas locekļa kandidāta parakstītu piekrišanu kļūt par komitejas locekli, lai gan šādu piekrišanu persona pauž, iesniedzot interešu konflikta deklarāciju komitejas apstiprināšanas vajadzībām. </w:t>
            </w:r>
          </w:p>
        </w:tc>
        <w:tc>
          <w:tcPr>
            <w:tcW w:w="735" w:type="pct"/>
            <w:tcBorders>
              <w:top w:val="outset" w:sz="6" w:space="0" w:color="414142"/>
              <w:left w:val="outset" w:sz="6" w:space="0" w:color="414142"/>
              <w:bottom w:val="outset" w:sz="6" w:space="0" w:color="414142"/>
              <w:right w:val="outset" w:sz="6" w:space="0" w:color="414142"/>
            </w:tcBorders>
          </w:tcPr>
          <w:p w14:paraId="73DA2462" w14:textId="65C0CEE5" w:rsidR="0038632B" w:rsidRPr="00F40627" w:rsidRDefault="00276152" w:rsidP="00A52AB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w:t>
            </w:r>
            <w:r w:rsidR="00F37B33">
              <w:rPr>
                <w:rFonts w:ascii="Times New Roman" w:eastAsia="Times New Roman" w:hAnsi="Times New Roman" w:cs="Times New Roman"/>
                <w:sz w:val="24"/>
                <w:szCs w:val="24"/>
                <w:lang w:eastAsia="lv-LV"/>
              </w:rPr>
              <w:t>emts vērā daļēji</w:t>
            </w:r>
          </w:p>
        </w:tc>
        <w:tc>
          <w:tcPr>
            <w:tcW w:w="1622" w:type="pct"/>
            <w:tcBorders>
              <w:top w:val="outset" w:sz="6" w:space="0" w:color="414142"/>
              <w:left w:val="outset" w:sz="6" w:space="0" w:color="414142"/>
              <w:bottom w:val="outset" w:sz="6" w:space="0" w:color="414142"/>
              <w:right w:val="outset" w:sz="6" w:space="0" w:color="414142"/>
            </w:tcBorders>
          </w:tcPr>
          <w:p w14:paraId="330CB21F" w14:textId="77777777" w:rsidR="00F37B33" w:rsidRDefault="00F37B33" w:rsidP="00F37B33">
            <w:pPr>
              <w:contextualSpacing/>
              <w:jc w:val="both"/>
              <w:rPr>
                <w:rFonts w:ascii="Times New Roman" w:eastAsia="Calibri" w:hAnsi="Times New Roman" w:cs="Times New Roman"/>
                <w:i/>
                <w:iCs/>
                <w:color w:val="FF0000"/>
                <w:shd w:val="clear" w:color="auto" w:fill="FFFFFF"/>
              </w:rPr>
            </w:pPr>
            <w:r w:rsidRPr="00412BC6">
              <w:rPr>
                <w:rFonts w:ascii="Times New Roman" w:hAnsi="Times New Roman" w:cs="Times New Roman"/>
                <w:sz w:val="24"/>
                <w:szCs w:val="24"/>
              </w:rPr>
              <w:t>Papildināta anotācija ar skaidrojumu.</w:t>
            </w:r>
          </w:p>
          <w:p w14:paraId="12B2C920" w14:textId="41812B46" w:rsidR="001B2ED9" w:rsidRPr="001B2ED9" w:rsidRDefault="001B2ED9" w:rsidP="004B48CB">
            <w:pPr>
              <w:contextualSpacing/>
              <w:jc w:val="both"/>
              <w:rPr>
                <w:rFonts w:ascii="Times New Roman" w:eastAsia="Calibri" w:hAnsi="Times New Roman" w:cs="Times New Roman"/>
                <w:sz w:val="24"/>
                <w:szCs w:val="24"/>
                <w:shd w:val="clear" w:color="auto" w:fill="FFFFFF"/>
              </w:rPr>
            </w:pPr>
          </w:p>
        </w:tc>
      </w:tr>
      <w:tr w:rsidR="0038632B" w:rsidRPr="00504148" w14:paraId="1CFE0FA8"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5E76B3DB" w14:textId="58CEE4BE" w:rsidR="0038632B"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0618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0ADECDC0" w14:textId="2112F816" w:rsidR="0038632B" w:rsidRDefault="00054CE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580DFADC" w14:textId="77777777" w:rsidR="0038632B" w:rsidRDefault="00423D4B" w:rsidP="0038632B">
            <w:pPr>
              <w:contextualSpacing/>
              <w:jc w:val="both"/>
              <w:rPr>
                <w:rFonts w:ascii="Times New Roman" w:hAnsi="Times New Roman"/>
                <w:sz w:val="24"/>
                <w:szCs w:val="24"/>
              </w:rPr>
            </w:pPr>
            <w:r>
              <w:rPr>
                <w:rFonts w:ascii="Times New Roman" w:hAnsi="Times New Roman"/>
                <w:sz w:val="24"/>
                <w:szCs w:val="24"/>
              </w:rPr>
              <w:t xml:space="preserve">Noteikumu projekta </w:t>
            </w:r>
            <w:r w:rsidR="009F5D54" w:rsidRPr="00607847">
              <w:rPr>
                <w:rFonts w:ascii="Times New Roman" w:hAnsi="Times New Roman"/>
                <w:sz w:val="24"/>
                <w:szCs w:val="24"/>
              </w:rPr>
              <w:t>18.punkt</w:t>
            </w:r>
            <w:r>
              <w:rPr>
                <w:rFonts w:ascii="Times New Roman" w:hAnsi="Times New Roman"/>
                <w:sz w:val="24"/>
                <w:szCs w:val="24"/>
              </w:rPr>
              <w:t>ā</w:t>
            </w:r>
            <w:r w:rsidR="009F5D54" w:rsidRPr="00607847">
              <w:rPr>
                <w:rFonts w:ascii="Times New Roman" w:hAnsi="Times New Roman"/>
                <w:sz w:val="24"/>
                <w:szCs w:val="24"/>
              </w:rPr>
              <w:t xml:space="preserve"> nepieciešams ministrijas skaidrojums vai komentārs, ko nozīmē frāze “</w:t>
            </w:r>
            <w:r w:rsidR="009F5D54" w:rsidRPr="001B2ED9">
              <w:rPr>
                <w:rFonts w:ascii="Times New Roman" w:hAnsi="Times New Roman"/>
                <w:i/>
                <w:iCs/>
                <w:sz w:val="24"/>
                <w:szCs w:val="24"/>
              </w:rPr>
              <w:t>tiek ņemta vērā</w:t>
            </w:r>
            <w:r w:rsidR="009F5D54" w:rsidRPr="00607847">
              <w:rPr>
                <w:rFonts w:ascii="Times New Roman" w:hAnsi="Times New Roman"/>
                <w:sz w:val="24"/>
                <w:szCs w:val="24"/>
              </w:rPr>
              <w:t>”. It īpaši attiecībā uz saistību ar ārstniecības iestādēm</w:t>
            </w:r>
            <w:r w:rsidR="009620BE">
              <w:rPr>
                <w:rFonts w:ascii="Times New Roman" w:hAnsi="Times New Roman"/>
                <w:sz w:val="24"/>
                <w:szCs w:val="24"/>
              </w:rPr>
              <w:t>.</w:t>
            </w:r>
          </w:p>
          <w:p w14:paraId="2087F586" w14:textId="2B5DBCCA" w:rsidR="009620BE" w:rsidRPr="0038632B" w:rsidRDefault="009620BE" w:rsidP="0038632B">
            <w:pPr>
              <w:contextualSpacing/>
              <w:jc w:val="both"/>
              <w:rPr>
                <w:rFonts w:ascii="Times New Roman" w:eastAsia="Calibri" w:hAnsi="Times New Roman" w:cs="Times New Roman"/>
                <w:sz w:val="24"/>
                <w:szCs w:val="24"/>
                <w:highlight w:val="yellow"/>
              </w:rPr>
            </w:pPr>
            <w:r w:rsidRPr="004F283F">
              <w:rPr>
                <w:rFonts w:ascii="Times New Roman" w:eastAsia="Times New Roman" w:hAnsi="Times New Roman" w:cs="Times New Roman"/>
                <w:sz w:val="24"/>
                <w:szCs w:val="24"/>
              </w:rPr>
              <w:t>Latvijas ierobežoto cilvēkresursu apstākļos varētu būt sarežģīti izveidot ētikas komiteju, kura var skatīt tādus klīniskos pētījumus, kuru norise paredzēta kādā no universitātes slimnīcām (tādi ir lielākā daļa klīnisko pētījumu), jo visu esošo ētikas komitejas locekļi (ārsti - speciālisti) ir nodarbināti kādā no universitātes slimnīcām.</w:t>
            </w:r>
          </w:p>
        </w:tc>
        <w:tc>
          <w:tcPr>
            <w:tcW w:w="735" w:type="pct"/>
            <w:tcBorders>
              <w:top w:val="outset" w:sz="6" w:space="0" w:color="414142"/>
              <w:left w:val="outset" w:sz="6" w:space="0" w:color="414142"/>
              <w:bottom w:val="outset" w:sz="6" w:space="0" w:color="414142"/>
              <w:right w:val="outset" w:sz="6" w:space="0" w:color="414142"/>
            </w:tcBorders>
          </w:tcPr>
          <w:p w14:paraId="1AE2E70E" w14:textId="0E3AB9F2" w:rsidR="0038632B" w:rsidRPr="00F40627" w:rsidRDefault="001B2ED9" w:rsidP="001B2ED9">
            <w:pPr>
              <w:spacing w:after="0" w:line="240" w:lineRule="auto"/>
              <w:jc w:val="center"/>
              <w:rPr>
                <w:rFonts w:ascii="Times New Roman" w:eastAsia="Times New Roman" w:hAnsi="Times New Roman" w:cs="Times New Roman"/>
                <w:sz w:val="24"/>
                <w:szCs w:val="24"/>
                <w:lang w:eastAsia="lv-LV"/>
              </w:rPr>
            </w:pPr>
            <w:r w:rsidRPr="00975FF0">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0DC6C19B" w14:textId="0D5B912B" w:rsidR="00784E43" w:rsidRPr="00987F40" w:rsidRDefault="00713C97" w:rsidP="00987F40">
            <w:pPr>
              <w:spacing w:after="0" w:line="240" w:lineRule="auto"/>
              <w:jc w:val="both"/>
              <w:rPr>
                <w:rFonts w:ascii="Times New Roman" w:hAnsi="Times New Roman" w:cs="Times New Roman"/>
                <w:sz w:val="24"/>
                <w:szCs w:val="24"/>
              </w:rPr>
            </w:pPr>
            <w:r w:rsidRPr="00713C97">
              <w:rPr>
                <w:rFonts w:ascii="Times New Roman" w:hAnsi="Times New Roman" w:cs="Times New Roman"/>
                <w:sz w:val="24"/>
                <w:szCs w:val="24"/>
              </w:rPr>
              <w:t>Noteikumu projekta 18.punkts tiek izteikts šādā redakcijā: “</w:t>
            </w:r>
            <w:r w:rsidRPr="00713C97">
              <w:rPr>
                <w:rFonts w:ascii="Times New Roman" w:eastAsia="Times New Roman" w:hAnsi="Times New Roman" w:cs="Times New Roman"/>
                <w:sz w:val="24"/>
                <w:szCs w:val="24"/>
                <w:lang w:eastAsia="lv-LV"/>
              </w:rPr>
              <w:t xml:space="preserve">Apstiprinot ētikas komitejas sastāvu, tiek ņemta vērā personas izglītība, pieredze, zinātniskais grāds, </w:t>
            </w:r>
            <w:r>
              <w:rPr>
                <w:rFonts w:ascii="Times New Roman" w:eastAsia="Times New Roman" w:hAnsi="Times New Roman" w:cs="Times New Roman"/>
                <w:sz w:val="24"/>
                <w:szCs w:val="24"/>
                <w:lang w:eastAsia="lv-LV"/>
              </w:rPr>
              <w:t xml:space="preserve">kā arī tiek vērtēta </w:t>
            </w:r>
            <w:r w:rsidRPr="00713C97">
              <w:rPr>
                <w:rFonts w:ascii="Times New Roman" w:eastAsia="Times New Roman" w:hAnsi="Times New Roman" w:cs="Times New Roman"/>
                <w:sz w:val="24"/>
                <w:szCs w:val="24"/>
                <w:lang w:eastAsia="lv-LV"/>
              </w:rPr>
              <w:t>saistība ar ārstniecības iestādēm, farmācijas industriju vai privātām juridiskām personām, kas īsteno klīniskās izpētes plānošanu, norisi un uzraudzību.</w:t>
            </w:r>
            <w:r w:rsidRPr="00713C97">
              <w:rPr>
                <w:rFonts w:ascii="Times New Roman" w:hAnsi="Times New Roman" w:cs="Times New Roman"/>
                <w:sz w:val="24"/>
                <w:szCs w:val="24"/>
              </w:rPr>
              <w:t>”</w:t>
            </w:r>
          </w:p>
        </w:tc>
      </w:tr>
      <w:tr w:rsidR="00693215" w:rsidRPr="00504148" w14:paraId="79BF79C7"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4EBF9690" w14:textId="33D0938A" w:rsidR="00693215" w:rsidRDefault="00BB481D"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E0618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26FFE2DD" w14:textId="5746B12B" w:rsidR="00693215" w:rsidRPr="00693215" w:rsidRDefault="00693215" w:rsidP="00947E54">
            <w:pPr>
              <w:spacing w:after="0" w:line="240" w:lineRule="auto"/>
              <w:rPr>
                <w:rFonts w:ascii="Times New Roman" w:hAnsi="Times New Roman" w:cs="Times New Roman"/>
                <w:sz w:val="24"/>
                <w:szCs w:val="24"/>
              </w:rPr>
            </w:pPr>
            <w:r w:rsidRPr="00693215">
              <w:rPr>
                <w:rFonts w:ascii="Times New Roman" w:hAnsi="Times New Roman" w:cs="Times New Roman"/>
                <w:sz w:val="24"/>
                <w:szCs w:val="24"/>
              </w:rPr>
              <w:t>Latvijas Patentbrīvo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649CD4EB" w14:textId="77777777" w:rsidR="00346114" w:rsidRDefault="00693215" w:rsidP="00346114">
            <w:pPr>
              <w:spacing w:after="0" w:line="240" w:lineRule="auto"/>
              <w:jc w:val="both"/>
              <w:rPr>
                <w:rFonts w:ascii="Times New Roman" w:hAnsi="Times New Roman" w:cs="Times New Roman"/>
                <w:sz w:val="24"/>
                <w:szCs w:val="24"/>
              </w:rPr>
            </w:pPr>
            <w:r w:rsidRPr="00693215">
              <w:rPr>
                <w:rFonts w:ascii="Times New Roman" w:hAnsi="Times New Roman" w:cs="Times New Roman"/>
                <w:sz w:val="24"/>
                <w:szCs w:val="24"/>
              </w:rPr>
              <w:t>Atbilstoši noteikumu projektam 19.</w:t>
            </w:r>
            <w:r>
              <w:rPr>
                <w:rFonts w:ascii="Times New Roman" w:hAnsi="Times New Roman" w:cs="Times New Roman"/>
                <w:sz w:val="24"/>
                <w:szCs w:val="24"/>
              </w:rPr>
              <w:t xml:space="preserve"> punktam </w:t>
            </w:r>
            <w:r w:rsidR="00DD05EA">
              <w:rPr>
                <w:rFonts w:ascii="Times New Roman" w:hAnsi="Times New Roman" w:cs="Times New Roman"/>
                <w:sz w:val="24"/>
                <w:szCs w:val="24"/>
              </w:rPr>
              <w:t>“</w:t>
            </w:r>
            <w:r w:rsidRPr="00693215">
              <w:rPr>
                <w:rFonts w:ascii="Times New Roman" w:hAnsi="Times New Roman" w:cs="Times New Roman"/>
                <w:sz w:val="24"/>
                <w:szCs w:val="24"/>
              </w:rPr>
              <w:t>Ētikas komiteja no locekļu vidus ievēlē priekšsēdētāju un priekšsēdētāja vietnieku.</w:t>
            </w:r>
            <w:r w:rsidR="00DD05EA">
              <w:rPr>
                <w:rFonts w:ascii="Times New Roman" w:hAnsi="Times New Roman" w:cs="Times New Roman"/>
                <w:sz w:val="24"/>
                <w:szCs w:val="24"/>
              </w:rPr>
              <w:t>”</w:t>
            </w:r>
            <w:r w:rsidRPr="00693215">
              <w:rPr>
                <w:rFonts w:ascii="Times New Roman" w:hAnsi="Times New Roman" w:cs="Times New Roman"/>
                <w:sz w:val="24"/>
                <w:szCs w:val="24"/>
              </w:rPr>
              <w:t xml:space="preserve"> </w:t>
            </w:r>
          </w:p>
          <w:p w14:paraId="68BE6FCD" w14:textId="7868B962" w:rsidR="00693215" w:rsidRPr="00693215" w:rsidRDefault="00423D4B" w:rsidP="00346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saprotams, p</w:t>
            </w:r>
            <w:r w:rsidR="00693215" w:rsidRPr="00693215">
              <w:rPr>
                <w:rFonts w:ascii="Times New Roman" w:hAnsi="Times New Roman" w:cs="Times New Roman"/>
                <w:sz w:val="24"/>
                <w:szCs w:val="24"/>
              </w:rPr>
              <w:t>ēc kāda principa tas</w:t>
            </w:r>
            <w:r>
              <w:rPr>
                <w:rFonts w:ascii="Times New Roman" w:hAnsi="Times New Roman" w:cs="Times New Roman"/>
                <w:sz w:val="24"/>
                <w:szCs w:val="24"/>
              </w:rPr>
              <w:t xml:space="preserve"> tiks veikts, k</w:t>
            </w:r>
            <w:r w:rsidR="00693215" w:rsidRPr="00693215">
              <w:rPr>
                <w:rFonts w:ascii="Times New Roman" w:hAnsi="Times New Roman" w:cs="Times New Roman"/>
                <w:sz w:val="24"/>
                <w:szCs w:val="24"/>
              </w:rPr>
              <w:t>ā ti</w:t>
            </w:r>
            <w:r>
              <w:rPr>
                <w:rFonts w:ascii="Times New Roman" w:hAnsi="Times New Roman" w:cs="Times New Roman"/>
                <w:sz w:val="24"/>
                <w:szCs w:val="24"/>
              </w:rPr>
              <w:t>ks</w:t>
            </w:r>
            <w:r w:rsidR="00693215" w:rsidRPr="00693215">
              <w:rPr>
                <w:rFonts w:ascii="Times New Roman" w:hAnsi="Times New Roman" w:cs="Times New Roman"/>
                <w:sz w:val="24"/>
                <w:szCs w:val="24"/>
              </w:rPr>
              <w:t xml:space="preserve"> sadalīts balsu skaits, ja ir vairāki kandidāti ar vienādu balsu skaitu</w:t>
            </w:r>
            <w:r>
              <w:rPr>
                <w:rFonts w:ascii="Times New Roman" w:hAnsi="Times New Roman" w:cs="Times New Roman"/>
                <w:sz w:val="24"/>
                <w:szCs w:val="24"/>
              </w:rPr>
              <w:t>.</w:t>
            </w:r>
          </w:p>
          <w:p w14:paraId="41AEF5E0" w14:textId="77777777" w:rsidR="00693215" w:rsidRPr="00693215" w:rsidRDefault="00693215" w:rsidP="0038632B">
            <w:pPr>
              <w:contextualSpacing/>
              <w:jc w:val="both"/>
              <w:rPr>
                <w:rFonts w:ascii="Times New Roman"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701B780D" w14:textId="6EBF1C45" w:rsidR="00693215" w:rsidRPr="00F40627" w:rsidRDefault="00713C97" w:rsidP="00DD05E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Netiek ņ</w:t>
            </w:r>
            <w:r w:rsidR="00DD05EA">
              <w:rPr>
                <w:rFonts w:ascii="Times New Roman" w:eastAsia="Times New Roman" w:hAnsi="Times New Roman" w:cs="Times New Roman"/>
                <w:sz w:val="24"/>
                <w:szCs w:val="24"/>
                <w:lang w:eastAsia="lv-LV"/>
              </w:rPr>
              <w:t>emts vērā</w:t>
            </w:r>
          </w:p>
        </w:tc>
        <w:tc>
          <w:tcPr>
            <w:tcW w:w="1622" w:type="pct"/>
            <w:tcBorders>
              <w:top w:val="outset" w:sz="6" w:space="0" w:color="414142"/>
              <w:left w:val="outset" w:sz="6" w:space="0" w:color="414142"/>
              <w:bottom w:val="outset" w:sz="6" w:space="0" w:color="414142"/>
              <w:right w:val="outset" w:sz="6" w:space="0" w:color="414142"/>
            </w:tcBorders>
          </w:tcPr>
          <w:p w14:paraId="68D97737" w14:textId="7D4478A7" w:rsidR="00DD05EA" w:rsidRPr="00713C97" w:rsidRDefault="006A62C9" w:rsidP="0002735B">
            <w:pPr>
              <w:contextualSpacing/>
              <w:jc w:val="both"/>
              <w:rPr>
                <w:rFonts w:ascii="Times New Roman" w:hAnsi="Times New Roman" w:cs="Times New Roman"/>
                <w:sz w:val="24"/>
                <w:szCs w:val="24"/>
              </w:rPr>
            </w:pPr>
            <w:r>
              <w:rPr>
                <w:rFonts w:ascii="Times New Roman" w:hAnsi="Times New Roman" w:cs="Times New Roman"/>
                <w:sz w:val="24"/>
                <w:szCs w:val="24"/>
              </w:rPr>
              <w:t>Netiek vērtēts šī Noteikuma projekta ietvaros, jo k</w:t>
            </w:r>
            <w:r w:rsidR="00713C97">
              <w:rPr>
                <w:rFonts w:ascii="Times New Roman" w:hAnsi="Times New Roman" w:cs="Times New Roman"/>
                <w:sz w:val="24"/>
                <w:szCs w:val="24"/>
              </w:rPr>
              <w:t>ārtība</w:t>
            </w:r>
            <w:r w:rsidR="00C01993">
              <w:rPr>
                <w:rFonts w:ascii="Times New Roman" w:hAnsi="Times New Roman" w:cs="Times New Roman"/>
                <w:sz w:val="24"/>
                <w:szCs w:val="24"/>
              </w:rPr>
              <w:t xml:space="preserve"> un principi</w:t>
            </w:r>
            <w:r w:rsidR="00713C97">
              <w:rPr>
                <w:rFonts w:ascii="Times New Roman" w:hAnsi="Times New Roman" w:cs="Times New Roman"/>
                <w:sz w:val="24"/>
                <w:szCs w:val="24"/>
              </w:rPr>
              <w:t xml:space="preserve"> </w:t>
            </w:r>
            <w:r w:rsidR="00C01993">
              <w:rPr>
                <w:rFonts w:ascii="Times New Roman" w:hAnsi="Times New Roman" w:cs="Times New Roman"/>
                <w:sz w:val="24"/>
                <w:szCs w:val="24"/>
              </w:rPr>
              <w:t>ē</w:t>
            </w:r>
            <w:r w:rsidR="00713C97">
              <w:rPr>
                <w:rFonts w:ascii="Times New Roman" w:hAnsi="Times New Roman" w:cs="Times New Roman"/>
                <w:sz w:val="24"/>
                <w:szCs w:val="24"/>
              </w:rPr>
              <w:t xml:space="preserve">tikas komitejas priekšsēdētāja un tā vietnieka </w:t>
            </w:r>
            <w:r w:rsidR="00C01993">
              <w:rPr>
                <w:rFonts w:ascii="Times New Roman" w:hAnsi="Times New Roman" w:cs="Times New Roman"/>
                <w:sz w:val="24"/>
                <w:szCs w:val="24"/>
              </w:rPr>
              <w:t xml:space="preserve">ievēlēšanai </w:t>
            </w:r>
            <w:r w:rsidR="00C5424F">
              <w:rPr>
                <w:rFonts w:ascii="Times New Roman" w:hAnsi="Times New Roman" w:cs="Times New Roman"/>
                <w:sz w:val="24"/>
                <w:szCs w:val="24"/>
              </w:rPr>
              <w:t>nosakāma jaunveidojamās ētikas komitejas iekšējos dokumentos (statūti utml.).</w:t>
            </w:r>
          </w:p>
        </w:tc>
      </w:tr>
      <w:tr w:rsidR="009F5D54" w:rsidRPr="00504148" w14:paraId="04DB9E43"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012C1D53" w14:textId="474A686C" w:rsidR="009F5D54"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0618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46DB998" w14:textId="28036495" w:rsidR="009F5D54" w:rsidRDefault="00B226E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5075B7CA" w14:textId="64D794C6" w:rsidR="009F5D54" w:rsidRPr="00607847" w:rsidRDefault="00423D4B" w:rsidP="0038632B">
            <w:pPr>
              <w:contextualSpacing/>
              <w:jc w:val="both"/>
              <w:rPr>
                <w:rFonts w:ascii="Times New Roman" w:hAnsi="Times New Roman"/>
                <w:sz w:val="24"/>
                <w:szCs w:val="24"/>
              </w:rPr>
            </w:pPr>
            <w:r>
              <w:rPr>
                <w:rFonts w:ascii="Times New Roman" w:hAnsi="Times New Roman"/>
                <w:sz w:val="24"/>
                <w:szCs w:val="24"/>
              </w:rPr>
              <w:t xml:space="preserve">Noteikumu projekta </w:t>
            </w:r>
            <w:r w:rsidR="007D7DD1" w:rsidRPr="00607847">
              <w:rPr>
                <w:rFonts w:ascii="Times New Roman" w:hAnsi="Times New Roman"/>
                <w:sz w:val="24"/>
                <w:szCs w:val="24"/>
              </w:rPr>
              <w:t>20. un 24.punktā ir atšķirīgi definētas labas klīniskās prakses vadlīnijas (ieteikumi un noteikumi). Nepieciešams lietot vienotu un korektu jēdzienu</w:t>
            </w:r>
          </w:p>
        </w:tc>
        <w:tc>
          <w:tcPr>
            <w:tcW w:w="735" w:type="pct"/>
            <w:tcBorders>
              <w:top w:val="outset" w:sz="6" w:space="0" w:color="414142"/>
              <w:left w:val="outset" w:sz="6" w:space="0" w:color="414142"/>
              <w:bottom w:val="outset" w:sz="6" w:space="0" w:color="414142"/>
              <w:right w:val="outset" w:sz="6" w:space="0" w:color="414142"/>
            </w:tcBorders>
          </w:tcPr>
          <w:p w14:paraId="4F188EDF" w14:textId="0BD657F1" w:rsidR="009F5D54" w:rsidRPr="00F40627" w:rsidRDefault="002F30B3" w:rsidP="002F30B3">
            <w:pPr>
              <w:spacing w:after="0" w:line="240" w:lineRule="auto"/>
              <w:jc w:val="center"/>
              <w:rPr>
                <w:rFonts w:ascii="Times New Roman" w:eastAsia="Times New Roman" w:hAnsi="Times New Roman" w:cs="Times New Roman"/>
                <w:sz w:val="24"/>
                <w:szCs w:val="24"/>
                <w:lang w:eastAsia="lv-LV"/>
              </w:rPr>
            </w:pPr>
            <w:r w:rsidRPr="00C01993">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7C2DD1EE" w14:textId="35714C44" w:rsidR="00F96014" w:rsidRPr="00F96014" w:rsidRDefault="00F96014" w:rsidP="00F37B33">
            <w:pPr>
              <w:ind w:left="220"/>
              <w:contextualSpacing/>
              <w:jc w:val="both"/>
              <w:rPr>
                <w:rFonts w:ascii="Times New Roman" w:hAnsi="Times New Roman" w:cs="Times New Roman"/>
                <w:sz w:val="24"/>
                <w:szCs w:val="24"/>
              </w:rPr>
            </w:pPr>
            <w:r w:rsidRPr="00C01993">
              <w:rPr>
                <w:rFonts w:ascii="Times New Roman" w:hAnsi="Times New Roman" w:cs="Times New Roman"/>
                <w:sz w:val="24"/>
                <w:szCs w:val="24"/>
              </w:rPr>
              <w:t xml:space="preserve">Noteikumu projekta 20. un 24. punktos minētie jēdzieni “ieteikumi” un “noteikumi” tiek aizstāti ar vārdu “vadlīnijas”. </w:t>
            </w:r>
          </w:p>
        </w:tc>
      </w:tr>
      <w:tr w:rsidR="007D7DD1" w:rsidRPr="00504148" w14:paraId="5282E58C"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1FE4246D" w14:textId="05A38287" w:rsidR="007D7DD1" w:rsidRDefault="000A3CDF"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06186">
              <w:rPr>
                <w:rFonts w:ascii="Times New Roman" w:eastAsia="Times New Roman" w:hAnsi="Times New Roman" w:cs="Times New Roman"/>
                <w:sz w:val="24"/>
                <w:szCs w:val="24"/>
                <w:lang w:eastAsia="lv-LV"/>
              </w:rPr>
              <w:t>7</w:t>
            </w:r>
            <w:r w:rsidR="00166835">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0E5626E4" w14:textId="225C7745" w:rsidR="007D7DD1" w:rsidRDefault="00C33B14"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VSIA “Paula Stradiņa klīniskā universitātes slimnīca” Attīstības biedrības Klīniskās izpētes komiteja; </w:t>
            </w:r>
            <w:r w:rsidR="00D67B02">
              <w:rPr>
                <w:rFonts w:ascii="Times New Roman" w:hAnsi="Times New Roman" w:cs="Times New Roman"/>
                <w:sz w:val="24"/>
                <w:szCs w:val="24"/>
              </w:rPr>
              <w:t>Zāļu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653BABFA" w14:textId="718DB2C6" w:rsidR="002F30B3" w:rsidRPr="00C33B14" w:rsidRDefault="00B226EF" w:rsidP="00C33B14">
            <w:pPr>
              <w:pStyle w:val="ListParagraph"/>
              <w:numPr>
                <w:ilvl w:val="0"/>
                <w:numId w:val="25"/>
              </w:numPr>
              <w:spacing w:after="0" w:line="240" w:lineRule="auto"/>
              <w:ind w:left="90" w:firstLine="1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002F30B3" w:rsidRPr="00C33B14">
              <w:rPr>
                <w:rFonts w:ascii="Times New Roman" w:eastAsia="Calibri" w:hAnsi="Times New Roman" w:cs="Times New Roman"/>
                <w:sz w:val="24"/>
                <w:szCs w:val="24"/>
              </w:rPr>
              <w:t>22.punkts</w:t>
            </w:r>
            <w:r w:rsidR="0000726E">
              <w:rPr>
                <w:rFonts w:ascii="Times New Roman" w:eastAsia="Calibri" w:hAnsi="Times New Roman" w:cs="Times New Roman"/>
                <w:sz w:val="24"/>
                <w:szCs w:val="24"/>
              </w:rPr>
              <w:t xml:space="preserve"> noteic, ka </w:t>
            </w:r>
            <w:r w:rsidR="002F30B3" w:rsidRPr="00C33B14">
              <w:rPr>
                <w:rFonts w:ascii="Times New Roman" w:eastAsia="Calibri" w:hAnsi="Times New Roman" w:cs="Times New Roman"/>
                <w:sz w:val="24"/>
                <w:szCs w:val="24"/>
              </w:rPr>
              <w:t xml:space="preserve">atbilstoši noteikumu projekta 17.punktam interešu konflikta deklarācijas ir jāiesniedz vienlaikus ar iesniegumu veselības ministram, nav saprotams, kāpēc tās ir jāiesniedz otrreiz. </w:t>
            </w:r>
          </w:p>
          <w:p w14:paraId="1A1EC2A3" w14:textId="071E9EE6" w:rsidR="007D7DD1" w:rsidRPr="0000726E" w:rsidRDefault="00C33B14" w:rsidP="00B226EF">
            <w:pPr>
              <w:pStyle w:val="ListParagraph"/>
              <w:numPr>
                <w:ilvl w:val="0"/>
                <w:numId w:val="25"/>
              </w:numPr>
              <w:ind w:left="180" w:firstLine="180"/>
              <w:jc w:val="both"/>
              <w:rPr>
                <w:rFonts w:ascii="Times New Roman" w:hAnsi="Times New Roman" w:cs="Times New Roman"/>
                <w:sz w:val="24"/>
                <w:szCs w:val="24"/>
                <w:shd w:val="clear" w:color="auto" w:fill="FFFFFF"/>
              </w:rPr>
            </w:pPr>
            <w:r w:rsidRPr="00C33B14">
              <w:rPr>
                <w:rFonts w:ascii="Times New Roman" w:hAnsi="Times New Roman" w:cs="Times New Roman"/>
                <w:sz w:val="24"/>
                <w:szCs w:val="24"/>
              </w:rPr>
              <w:t>Dzēst no 22.punkta “</w:t>
            </w:r>
            <w:r w:rsidRPr="00C33B14">
              <w:rPr>
                <w:rFonts w:ascii="Times New Roman" w:hAnsi="Times New Roman" w:cs="Times New Roman"/>
                <w:sz w:val="24"/>
                <w:szCs w:val="24"/>
                <w:shd w:val="clear" w:color="auto" w:fill="FFFFFF"/>
              </w:rPr>
              <w:t>publicēšanai Zāļu valsts aģentūras tīmekļa vietnē”. Interešu deklarācija “publicēšanai Zāļu valsts aģentūras tīmekļa vietnē”.</w:t>
            </w:r>
            <w:r w:rsidR="00B226EF">
              <w:rPr>
                <w:rFonts w:ascii="Times New Roman" w:hAnsi="Times New Roman" w:cs="Times New Roman"/>
                <w:sz w:val="24"/>
                <w:szCs w:val="24"/>
                <w:shd w:val="clear" w:color="auto" w:fill="FFFFFF"/>
              </w:rPr>
              <w:t xml:space="preserve"> </w:t>
            </w:r>
            <w:r w:rsidRPr="00B226EF">
              <w:rPr>
                <w:rFonts w:ascii="Times New Roman" w:hAnsi="Times New Roman" w:cs="Times New Roman"/>
                <w:sz w:val="24"/>
                <w:szCs w:val="24"/>
                <w:shd w:val="clear" w:color="auto" w:fill="FFFFFF"/>
              </w:rPr>
              <w:t xml:space="preserve">Ir normāli, ka šāda Interešu deklarācija ir pieejama </w:t>
            </w:r>
            <w:r w:rsidR="00B226EF">
              <w:rPr>
                <w:rFonts w:ascii="Times New Roman" w:hAnsi="Times New Roman" w:cs="Times New Roman"/>
                <w:sz w:val="24"/>
                <w:szCs w:val="24"/>
                <w:shd w:val="clear" w:color="auto" w:fill="FFFFFF"/>
              </w:rPr>
              <w:lastRenderedPageBreak/>
              <w:t>Veselības ministrijai</w:t>
            </w:r>
            <w:r w:rsidRPr="00B226EF">
              <w:rPr>
                <w:rFonts w:ascii="Times New Roman" w:hAnsi="Times New Roman" w:cs="Times New Roman"/>
                <w:sz w:val="24"/>
                <w:szCs w:val="24"/>
                <w:shd w:val="clear" w:color="auto" w:fill="FFFFFF"/>
              </w:rPr>
              <w:t xml:space="preserve"> un </w:t>
            </w:r>
            <w:r w:rsidR="00B226EF">
              <w:rPr>
                <w:rFonts w:ascii="Times New Roman" w:hAnsi="Times New Roman" w:cs="Times New Roman"/>
                <w:sz w:val="24"/>
                <w:szCs w:val="24"/>
                <w:shd w:val="clear" w:color="auto" w:fill="FFFFFF"/>
              </w:rPr>
              <w:t>Zāļu valsts aģentūrai</w:t>
            </w:r>
            <w:r w:rsidRPr="00B226EF">
              <w:rPr>
                <w:rFonts w:ascii="Times New Roman" w:hAnsi="Times New Roman" w:cs="Times New Roman"/>
                <w:sz w:val="24"/>
                <w:szCs w:val="24"/>
                <w:shd w:val="clear" w:color="auto" w:fill="FFFFFF"/>
              </w:rPr>
              <w:t>.</w:t>
            </w:r>
            <w:r w:rsidR="0000726E">
              <w:rPr>
                <w:rFonts w:ascii="Times New Roman" w:hAnsi="Times New Roman" w:cs="Times New Roman"/>
                <w:sz w:val="24"/>
                <w:szCs w:val="24"/>
                <w:shd w:val="clear" w:color="auto" w:fill="FFFFFF"/>
              </w:rPr>
              <w:t xml:space="preserve"> </w:t>
            </w:r>
            <w:r w:rsidRPr="0000726E">
              <w:rPr>
                <w:rFonts w:ascii="Times New Roman" w:hAnsi="Times New Roman" w:cs="Times New Roman"/>
                <w:sz w:val="24"/>
                <w:szCs w:val="24"/>
                <w:shd w:val="clear" w:color="auto" w:fill="FFFFFF"/>
              </w:rPr>
              <w:t>Nav nekāda pamatojuma, kāpēc šādai deklarācijai ar personīgu informāciju jābūt publiski pieejamai.</w:t>
            </w:r>
            <w:r w:rsidR="00B226EF" w:rsidRPr="0000726E">
              <w:rPr>
                <w:rFonts w:ascii="Times New Roman" w:hAnsi="Times New Roman" w:cs="Times New Roman"/>
                <w:sz w:val="24"/>
                <w:szCs w:val="24"/>
                <w:shd w:val="clear" w:color="auto" w:fill="FFFFFF"/>
              </w:rPr>
              <w:t xml:space="preserve"> Turklāt, n</w:t>
            </w:r>
            <w:r w:rsidRPr="0000726E">
              <w:rPr>
                <w:rFonts w:ascii="Times New Roman" w:hAnsi="Times New Roman" w:cs="Times New Roman"/>
                <w:sz w:val="24"/>
                <w:szCs w:val="24"/>
                <w:shd w:val="clear" w:color="auto" w:fill="FFFFFF"/>
              </w:rPr>
              <w:t>o esošā formulējuma nevar saprast, vai šāda deklarācija paredzēta publicēt ar visu personas paraksta paraugu.</w:t>
            </w:r>
          </w:p>
        </w:tc>
        <w:tc>
          <w:tcPr>
            <w:tcW w:w="735" w:type="pct"/>
            <w:tcBorders>
              <w:top w:val="outset" w:sz="6" w:space="0" w:color="414142"/>
              <w:left w:val="outset" w:sz="6" w:space="0" w:color="414142"/>
              <w:bottom w:val="outset" w:sz="6" w:space="0" w:color="414142"/>
              <w:right w:val="outset" w:sz="6" w:space="0" w:color="414142"/>
            </w:tcBorders>
          </w:tcPr>
          <w:p w14:paraId="291D9778" w14:textId="0D34A940" w:rsidR="007D7DD1" w:rsidRPr="00261549" w:rsidRDefault="0000726E" w:rsidP="00261549">
            <w:pPr>
              <w:spacing w:after="0" w:line="240" w:lineRule="auto"/>
              <w:jc w:val="center"/>
              <w:rPr>
                <w:rFonts w:ascii="Times New Roman" w:eastAsia="Times New Roman" w:hAnsi="Times New Roman" w:cs="Times New Roman"/>
                <w:color w:val="FF0000"/>
                <w:sz w:val="24"/>
                <w:szCs w:val="24"/>
                <w:lang w:eastAsia="lv-LV"/>
              </w:rPr>
            </w:pPr>
            <w:r w:rsidRPr="003976E8">
              <w:rPr>
                <w:rFonts w:ascii="Times New Roman" w:eastAsia="Times New Roman" w:hAnsi="Times New Roman" w:cs="Times New Roman"/>
                <w:sz w:val="24"/>
                <w:szCs w:val="24"/>
                <w:lang w:eastAsia="lv-LV"/>
              </w:rPr>
              <w:lastRenderedPageBreak/>
              <w:t>Ņemts vērā daļēji</w:t>
            </w:r>
          </w:p>
        </w:tc>
        <w:tc>
          <w:tcPr>
            <w:tcW w:w="1622" w:type="pct"/>
            <w:tcBorders>
              <w:top w:val="outset" w:sz="6" w:space="0" w:color="414142"/>
              <w:left w:val="outset" w:sz="6" w:space="0" w:color="414142"/>
              <w:bottom w:val="outset" w:sz="6" w:space="0" w:color="414142"/>
              <w:right w:val="outset" w:sz="6" w:space="0" w:color="414142"/>
            </w:tcBorders>
          </w:tcPr>
          <w:p w14:paraId="55BC9FB4" w14:textId="57768BB3" w:rsidR="00276152" w:rsidRPr="00276152" w:rsidRDefault="00276152" w:rsidP="00276152">
            <w:pPr>
              <w:jc w:val="both"/>
              <w:rPr>
                <w:rFonts w:ascii="Times New Roman" w:hAnsi="Times New Roman" w:cs="Times New Roman"/>
                <w:i/>
                <w:iCs/>
                <w:color w:val="FF0000"/>
                <w:sz w:val="24"/>
                <w:szCs w:val="24"/>
              </w:rPr>
            </w:pPr>
            <w:r w:rsidRPr="00276152">
              <w:rPr>
                <w:rFonts w:ascii="Times New Roman" w:hAnsi="Times New Roman" w:cs="Times New Roman"/>
                <w:sz w:val="24"/>
                <w:szCs w:val="24"/>
              </w:rPr>
              <w:t>Papildināta anotācija ar skaidrojumu</w:t>
            </w:r>
            <w:r w:rsidR="00CD4C83">
              <w:rPr>
                <w:rFonts w:ascii="Times New Roman" w:hAnsi="Times New Roman" w:cs="Times New Roman"/>
                <w:sz w:val="24"/>
                <w:szCs w:val="24"/>
              </w:rPr>
              <w:t>.</w:t>
            </w:r>
          </w:p>
          <w:p w14:paraId="6F48AF88" w14:textId="66497360" w:rsidR="00FC1B86" w:rsidRDefault="00FC1B86" w:rsidP="00746F57">
            <w:pPr>
              <w:jc w:val="both"/>
            </w:pPr>
          </w:p>
        </w:tc>
      </w:tr>
      <w:tr w:rsidR="002F30B3" w:rsidRPr="00CF5345" w14:paraId="005B723E"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9A45D66" w14:textId="329DD08F" w:rsidR="002F30B3" w:rsidRDefault="00E06186"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166835">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719FF495" w14:textId="26317FB5" w:rsidR="002F30B3" w:rsidRDefault="00C33B14"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 Zāļu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7457B200" w14:textId="4899FEF8" w:rsidR="002F30B3" w:rsidRPr="002F30B3" w:rsidRDefault="00CF5345" w:rsidP="002F30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002F30B3" w:rsidRPr="002F30B3">
              <w:rPr>
                <w:rFonts w:ascii="Times New Roman" w:eastAsia="Calibri" w:hAnsi="Times New Roman" w:cs="Times New Roman"/>
                <w:sz w:val="24"/>
                <w:szCs w:val="24"/>
              </w:rPr>
              <w:t xml:space="preserve">23.punkts: tā kā veselības ministrs apstiprina ētikas komitejas sastāvu, 23.1. punktu uzskatām par nevajadzīgu administratīvo slogu, jo Veselības ministrija informāciju par komitejas sastāva izmaiņām var iesniegt savai padotības iestādei Zāļu valsts aģentūrai, turklāt nevis vienu reizi gadā – 1.februārī, bet nekavējoties </w:t>
            </w:r>
            <w:bookmarkStart w:id="4" w:name="_Hlk94796275"/>
            <w:r w:rsidR="002F30B3" w:rsidRPr="002F30B3">
              <w:rPr>
                <w:rFonts w:ascii="Times New Roman" w:eastAsia="Calibri" w:hAnsi="Times New Roman" w:cs="Times New Roman"/>
                <w:sz w:val="24"/>
                <w:szCs w:val="24"/>
              </w:rPr>
              <w:t xml:space="preserve">pēc komitejas sastāva izmaiņu veikšanas. </w:t>
            </w:r>
            <w:bookmarkEnd w:id="4"/>
          </w:p>
          <w:p w14:paraId="4A259CF0" w14:textId="77777777" w:rsidR="002F30B3" w:rsidRDefault="002F30B3" w:rsidP="002F30B3">
            <w:pPr>
              <w:spacing w:after="0" w:line="240" w:lineRule="auto"/>
              <w:contextualSpacing/>
              <w:jc w:val="both"/>
              <w:rPr>
                <w:rFonts w:ascii="Times New Roman" w:hAnsi="Times New Roman"/>
                <w:sz w:val="24"/>
                <w:szCs w:val="24"/>
              </w:rPr>
            </w:pPr>
            <w:r w:rsidRPr="00607847">
              <w:rPr>
                <w:rFonts w:ascii="Times New Roman" w:hAnsi="Times New Roman"/>
                <w:sz w:val="24"/>
                <w:szCs w:val="24"/>
              </w:rPr>
              <w:t>23.5. punkts:  būt nepieciešama ministrijas vai sadarbības formātā izstrādāta metodika vai vismaz vadlīnijas finansējuma izlietojuma pārskata sagatavošanai.</w:t>
            </w:r>
          </w:p>
          <w:p w14:paraId="2076F2DD" w14:textId="3A3A741C" w:rsidR="002F30B3" w:rsidRPr="002F30B3" w:rsidRDefault="002F30B3" w:rsidP="00555361">
            <w:pPr>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0E4FD025" w14:textId="6B6FDB01" w:rsidR="002F30B3" w:rsidRPr="00F40627" w:rsidRDefault="00555361" w:rsidP="005553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p>
        </w:tc>
        <w:tc>
          <w:tcPr>
            <w:tcW w:w="1622" w:type="pct"/>
            <w:tcBorders>
              <w:top w:val="outset" w:sz="6" w:space="0" w:color="414142"/>
              <w:left w:val="outset" w:sz="6" w:space="0" w:color="414142"/>
              <w:bottom w:val="outset" w:sz="6" w:space="0" w:color="414142"/>
              <w:right w:val="outset" w:sz="6" w:space="0" w:color="414142"/>
            </w:tcBorders>
          </w:tcPr>
          <w:p w14:paraId="78E5AD27" w14:textId="687ACC50" w:rsidR="00555361" w:rsidRDefault="00457B20" w:rsidP="00FC1B86">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Svītrots </w:t>
            </w:r>
            <w:r w:rsidR="00555361" w:rsidRPr="00555361">
              <w:rPr>
                <w:rFonts w:ascii="Times New Roman" w:eastAsia="Times New Roman" w:hAnsi="Times New Roman" w:cs="Times New Roman"/>
                <w:sz w:val="24"/>
                <w:szCs w:val="24"/>
                <w:lang w:eastAsia="lv-LV"/>
              </w:rPr>
              <w:t>Noteikumu projekta 23.1. punkts</w:t>
            </w:r>
            <w:r>
              <w:rPr>
                <w:rFonts w:ascii="Times New Roman" w:eastAsia="Times New Roman" w:hAnsi="Times New Roman" w:cs="Times New Roman"/>
                <w:sz w:val="24"/>
                <w:szCs w:val="24"/>
                <w:lang w:eastAsia="lv-LV"/>
              </w:rPr>
              <w:t xml:space="preserve">. </w:t>
            </w:r>
            <w:r w:rsidRPr="0099144D">
              <w:rPr>
                <w:rFonts w:ascii="Times New Roman" w:eastAsia="Times New Roman" w:hAnsi="Times New Roman" w:cs="Times New Roman"/>
                <w:sz w:val="24"/>
                <w:szCs w:val="24"/>
                <w:lang w:eastAsia="lv-LV"/>
              </w:rPr>
              <w:t xml:space="preserve">Anotācijā </w:t>
            </w:r>
            <w:r w:rsidR="003901D5" w:rsidRPr="0099144D">
              <w:rPr>
                <w:rFonts w:ascii="Times New Roman" w:eastAsia="Times New Roman" w:hAnsi="Times New Roman" w:cs="Times New Roman"/>
                <w:sz w:val="24"/>
                <w:szCs w:val="24"/>
                <w:lang w:eastAsia="lv-LV"/>
              </w:rPr>
              <w:t>sniegts precizēts skaidrojums ētikas komitejas sastāva izmaiņu veikšanas gadījumos</w:t>
            </w:r>
            <w:r w:rsidR="003901D5">
              <w:rPr>
                <w:rFonts w:ascii="Times New Roman" w:eastAsia="Times New Roman" w:hAnsi="Times New Roman" w:cs="Times New Roman"/>
                <w:sz w:val="24"/>
                <w:szCs w:val="24"/>
                <w:lang w:eastAsia="lv-LV"/>
              </w:rPr>
              <w:t>.</w:t>
            </w:r>
          </w:p>
          <w:p w14:paraId="49FCFD04" w14:textId="13E21895" w:rsidR="003901D5" w:rsidRDefault="003901D5" w:rsidP="00FC1B86">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Metodikas vai vadlīniju izstrāde finansējuma izlietojuma pārskata sagatavošanai nav vērtējama sagatavotā Noteikumu projekta kontekstā.</w:t>
            </w:r>
          </w:p>
          <w:p w14:paraId="354B34D0" w14:textId="77777777" w:rsidR="003901D5" w:rsidRDefault="003901D5" w:rsidP="00FC1B86">
            <w:pPr>
              <w:contextualSpacing/>
              <w:jc w:val="both"/>
              <w:rPr>
                <w:rFonts w:ascii="Times New Roman" w:eastAsia="Times New Roman" w:hAnsi="Times New Roman" w:cs="Times New Roman"/>
                <w:sz w:val="24"/>
                <w:szCs w:val="24"/>
                <w:lang w:eastAsia="lv-LV"/>
              </w:rPr>
            </w:pPr>
          </w:p>
          <w:p w14:paraId="151FB133" w14:textId="77777777" w:rsidR="003901D5" w:rsidRDefault="003901D5" w:rsidP="00FC1B86">
            <w:pPr>
              <w:contextualSpacing/>
              <w:jc w:val="both"/>
              <w:rPr>
                <w:rFonts w:ascii="Times New Roman" w:eastAsia="Times New Roman" w:hAnsi="Times New Roman" w:cs="Times New Roman"/>
                <w:i/>
                <w:iCs/>
                <w:color w:val="FF0000"/>
                <w:sz w:val="24"/>
                <w:szCs w:val="24"/>
                <w:lang w:eastAsia="lv-LV"/>
              </w:rPr>
            </w:pPr>
          </w:p>
          <w:p w14:paraId="30953A57" w14:textId="77777777" w:rsidR="00CF5345" w:rsidRPr="00CF5345" w:rsidRDefault="00CF5345" w:rsidP="004F283F">
            <w:pPr>
              <w:ind w:left="720"/>
              <w:contextualSpacing/>
              <w:jc w:val="both"/>
              <w:rPr>
                <w:rFonts w:ascii="Times New Roman" w:hAnsi="Times New Roman" w:cs="Times New Roman"/>
                <w:sz w:val="24"/>
                <w:szCs w:val="24"/>
              </w:rPr>
            </w:pPr>
          </w:p>
          <w:p w14:paraId="26F0D656" w14:textId="492946AC" w:rsidR="00CF5345" w:rsidRPr="003901D5" w:rsidRDefault="00CF5345" w:rsidP="003901D5">
            <w:pPr>
              <w:tabs>
                <w:tab w:val="left" w:pos="993"/>
              </w:tabs>
              <w:spacing w:after="0" w:line="240" w:lineRule="auto"/>
              <w:jc w:val="both"/>
              <w:rPr>
                <w:rFonts w:ascii="Times New Roman" w:hAnsi="Times New Roman" w:cs="Times New Roman"/>
                <w:sz w:val="24"/>
                <w:szCs w:val="24"/>
              </w:rPr>
            </w:pPr>
          </w:p>
        </w:tc>
      </w:tr>
      <w:tr w:rsidR="00F87A40" w:rsidRPr="00504148" w14:paraId="6F8D30DA"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542C53BA" w14:textId="39F5EA88" w:rsidR="00F87A40" w:rsidRPr="00E106CC" w:rsidRDefault="00E06186" w:rsidP="00947E54">
            <w:pPr>
              <w:spacing w:after="0" w:line="240" w:lineRule="auto"/>
              <w:jc w:val="center"/>
              <w:rPr>
                <w:rFonts w:ascii="Times New Roman" w:eastAsia="Times New Roman" w:hAnsi="Times New Roman" w:cs="Times New Roman"/>
                <w:sz w:val="24"/>
                <w:szCs w:val="24"/>
                <w:lang w:eastAsia="lv-LV"/>
              </w:rPr>
            </w:pPr>
            <w:r w:rsidRPr="00E106CC">
              <w:rPr>
                <w:rFonts w:ascii="Times New Roman" w:eastAsia="Times New Roman" w:hAnsi="Times New Roman" w:cs="Times New Roman"/>
                <w:sz w:val="24"/>
                <w:szCs w:val="24"/>
                <w:lang w:eastAsia="lv-LV"/>
              </w:rPr>
              <w:t>19.</w:t>
            </w:r>
          </w:p>
        </w:tc>
        <w:tc>
          <w:tcPr>
            <w:tcW w:w="1369" w:type="pct"/>
            <w:tcBorders>
              <w:top w:val="outset" w:sz="6" w:space="0" w:color="414142"/>
              <w:left w:val="outset" w:sz="6" w:space="0" w:color="414142"/>
              <w:bottom w:val="outset" w:sz="6" w:space="0" w:color="414142"/>
              <w:right w:val="outset" w:sz="6" w:space="0" w:color="414142"/>
            </w:tcBorders>
          </w:tcPr>
          <w:p w14:paraId="4394DB04" w14:textId="1D0F06F1" w:rsidR="00F87A40" w:rsidRPr="00E106CC" w:rsidRDefault="00F87A40" w:rsidP="00947E54">
            <w:pPr>
              <w:spacing w:after="0" w:line="240" w:lineRule="auto"/>
              <w:rPr>
                <w:rFonts w:ascii="Times New Roman" w:hAnsi="Times New Roman" w:cs="Times New Roman"/>
                <w:sz w:val="24"/>
                <w:szCs w:val="24"/>
              </w:rPr>
            </w:pPr>
            <w:r w:rsidRPr="00E106CC">
              <w:rPr>
                <w:rFonts w:ascii="Times New Roman" w:hAnsi="Times New Roman" w:cs="Times New Roman"/>
                <w:sz w:val="24"/>
                <w:szCs w:val="24"/>
              </w:rPr>
              <w:t xml:space="preserve">VSIA “Paula Stradiņa klīniskā universitātes slimnīca” Attīstības biedrības Klīniskās izpētes komiteja; Zāļu klīniskās izpētes ētikas komiteja; </w:t>
            </w:r>
            <w:r w:rsidRPr="00E106CC">
              <w:rPr>
                <w:rFonts w:ascii="Times New Roman" w:hAnsi="Times New Roman" w:cs="Times New Roman"/>
                <w:sz w:val="24"/>
                <w:szCs w:val="24"/>
              </w:rPr>
              <w:lastRenderedPageBreak/>
              <w:t>Latvijas Patenbrīvo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7BA512BC" w14:textId="77777777" w:rsidR="00F87A40" w:rsidRPr="00E106CC" w:rsidRDefault="00F87A40" w:rsidP="00F87A40">
            <w:pPr>
              <w:rPr>
                <w:rFonts w:ascii="Times New Roman" w:hAnsi="Times New Roman" w:cs="Times New Roman"/>
                <w:sz w:val="24"/>
                <w:szCs w:val="24"/>
              </w:rPr>
            </w:pPr>
            <w:r w:rsidRPr="00E106CC">
              <w:rPr>
                <w:rFonts w:ascii="Times New Roman" w:hAnsi="Times New Roman" w:cs="Times New Roman"/>
                <w:sz w:val="24"/>
                <w:szCs w:val="24"/>
              </w:rPr>
              <w:lastRenderedPageBreak/>
              <w:t xml:space="preserve">Noteikumu projekta 25. punktā nav norādīts 15.4. punktā minētais farmakologs, kas, </w:t>
            </w:r>
            <w:r w:rsidRPr="00E106CC">
              <w:rPr>
                <w:rFonts w:ascii="Times New Roman" w:hAnsi="Times New Roman" w:cs="Times New Roman"/>
                <w:sz w:val="24"/>
                <w:szCs w:val="24"/>
              </w:rPr>
              <w:lastRenderedPageBreak/>
              <w:t>pētījumu aspektā, teorētiski būtu nozīmīgāks par farmaceitu, ja jāizšķiras par vienu vai otru.</w:t>
            </w:r>
          </w:p>
          <w:p w14:paraId="06CCA1BF" w14:textId="77777777" w:rsidR="00F87A40" w:rsidRPr="00E106CC" w:rsidRDefault="00F87A40" w:rsidP="00F87A40">
            <w:pPr>
              <w:rPr>
                <w:rFonts w:ascii="Times New Roman" w:hAnsi="Times New Roman" w:cs="Times New Roman"/>
                <w:sz w:val="24"/>
                <w:szCs w:val="24"/>
              </w:rPr>
            </w:pPr>
            <w:r w:rsidRPr="00E106CC">
              <w:rPr>
                <w:rFonts w:ascii="Times New Roman" w:hAnsi="Times New Roman" w:cs="Times New Roman"/>
                <w:sz w:val="24"/>
                <w:szCs w:val="24"/>
              </w:rPr>
              <w:t>ĒK būtībā nodarbosies ar Regulas II nodaļas jautājumiem. ZVA kompetencē būs  I nodaļas farmakologa un farmaceita ekspertīzes, tāpēc ne farmakologa, ne farmaceita obligāta piedalīšanās sēdē nav nepieciešama.</w:t>
            </w:r>
          </w:p>
          <w:p w14:paraId="7365E224" w14:textId="77777777" w:rsidR="00F87A40" w:rsidRPr="00E106CC" w:rsidRDefault="00F87A40" w:rsidP="00F87A40">
            <w:pPr>
              <w:spacing w:after="0" w:line="240" w:lineRule="auto"/>
              <w:rPr>
                <w:rFonts w:ascii="Times New Roman" w:hAnsi="Times New Roman" w:cs="Times New Roman"/>
                <w:sz w:val="24"/>
                <w:szCs w:val="24"/>
              </w:rPr>
            </w:pPr>
            <w:r w:rsidRPr="00E106CC">
              <w:rPr>
                <w:rFonts w:ascii="Times New Roman" w:hAnsi="Times New Roman" w:cs="Times New Roman"/>
                <w:sz w:val="24"/>
                <w:szCs w:val="24"/>
              </w:rPr>
              <w:t>Šo punktu formulēt:</w:t>
            </w:r>
          </w:p>
          <w:p w14:paraId="40A2F721" w14:textId="26A18367" w:rsidR="00F87A40" w:rsidRPr="00E106CC" w:rsidRDefault="00F87A40" w:rsidP="00F87A40">
            <w:pPr>
              <w:spacing w:after="0" w:line="240" w:lineRule="auto"/>
              <w:contextualSpacing/>
              <w:jc w:val="both"/>
              <w:rPr>
                <w:rFonts w:ascii="Times New Roman" w:eastAsia="Calibri" w:hAnsi="Times New Roman" w:cs="Times New Roman"/>
                <w:sz w:val="24"/>
                <w:szCs w:val="24"/>
              </w:rPr>
            </w:pPr>
            <w:r w:rsidRPr="00E106CC">
              <w:rPr>
                <w:rFonts w:ascii="Times New Roman" w:hAnsi="Times New Roman" w:cs="Times New Roman"/>
                <w:sz w:val="24"/>
                <w:szCs w:val="24"/>
                <w:shd w:val="clear" w:color="auto" w:fill="FFFFFF"/>
              </w:rPr>
              <w:t>“Ētikas komiteja ir lemttiesīga, ja tās sēdē piedalās vairāk nekā puse no ētikas komitejas locekļiem un no tiem vismaz viens ir ārsts, vismaz viena persona ar zināšanām GCP un pieredzi klīnisko pētījumu jomā un vismaz viens ir persona, kas pārstāv pacientu intereses un kura nav saistīta ar klīniskās pārbaudes norises vietu (pētījuma centru)”.</w:t>
            </w:r>
          </w:p>
        </w:tc>
        <w:tc>
          <w:tcPr>
            <w:tcW w:w="735" w:type="pct"/>
            <w:tcBorders>
              <w:top w:val="outset" w:sz="6" w:space="0" w:color="414142"/>
              <w:left w:val="outset" w:sz="6" w:space="0" w:color="414142"/>
              <w:bottom w:val="outset" w:sz="6" w:space="0" w:color="414142"/>
              <w:right w:val="outset" w:sz="6" w:space="0" w:color="414142"/>
            </w:tcBorders>
          </w:tcPr>
          <w:p w14:paraId="46EF7C30" w14:textId="375CC156" w:rsidR="0033127B" w:rsidRPr="00000B75" w:rsidRDefault="0033127B" w:rsidP="0033127B">
            <w:pPr>
              <w:spacing w:after="0" w:line="240" w:lineRule="auto"/>
              <w:jc w:val="center"/>
              <w:rPr>
                <w:rFonts w:ascii="Times New Roman" w:eastAsia="Times New Roman" w:hAnsi="Times New Roman" w:cs="Times New Roman"/>
                <w:color w:val="FF0000"/>
                <w:sz w:val="24"/>
                <w:szCs w:val="24"/>
                <w:lang w:eastAsia="lv-LV"/>
              </w:rPr>
            </w:pPr>
            <w:r w:rsidRPr="00000B75">
              <w:rPr>
                <w:rFonts w:ascii="Times New Roman" w:eastAsia="Times New Roman" w:hAnsi="Times New Roman" w:cs="Times New Roman"/>
                <w:sz w:val="24"/>
                <w:szCs w:val="24"/>
                <w:lang w:eastAsia="lv-LV"/>
              </w:rPr>
              <w:lastRenderedPageBreak/>
              <w:t xml:space="preserve">Ņemts vērā </w:t>
            </w:r>
          </w:p>
        </w:tc>
        <w:tc>
          <w:tcPr>
            <w:tcW w:w="1622" w:type="pct"/>
            <w:tcBorders>
              <w:top w:val="outset" w:sz="6" w:space="0" w:color="414142"/>
              <w:left w:val="outset" w:sz="6" w:space="0" w:color="414142"/>
              <w:bottom w:val="outset" w:sz="6" w:space="0" w:color="414142"/>
              <w:right w:val="outset" w:sz="6" w:space="0" w:color="414142"/>
            </w:tcBorders>
          </w:tcPr>
          <w:p w14:paraId="6B887DF2" w14:textId="1DE82594" w:rsidR="00000B75" w:rsidRPr="00000B75" w:rsidRDefault="00000B75" w:rsidP="00BD11FD">
            <w:pPr>
              <w:contextualSpacing/>
              <w:jc w:val="both"/>
              <w:rPr>
                <w:rFonts w:ascii="Times New Roman" w:hAnsi="Times New Roman" w:cs="Times New Roman"/>
                <w:sz w:val="24"/>
                <w:szCs w:val="24"/>
              </w:rPr>
            </w:pPr>
            <w:r>
              <w:rPr>
                <w:rFonts w:ascii="Times New Roman" w:hAnsi="Times New Roman" w:cs="Times New Roman"/>
                <w:sz w:val="24"/>
                <w:szCs w:val="24"/>
              </w:rPr>
              <w:t>Tiek svītrots</w:t>
            </w:r>
            <w:r w:rsidRPr="00000B75">
              <w:rPr>
                <w:rFonts w:ascii="Times New Roman" w:hAnsi="Times New Roman" w:cs="Times New Roman"/>
                <w:sz w:val="24"/>
                <w:szCs w:val="24"/>
              </w:rPr>
              <w:t xml:space="preserve"> Noteikumu projekta </w:t>
            </w:r>
            <w:r>
              <w:rPr>
                <w:rFonts w:ascii="Times New Roman" w:hAnsi="Times New Roman" w:cs="Times New Roman"/>
                <w:sz w:val="24"/>
                <w:szCs w:val="24"/>
              </w:rPr>
              <w:t>15.4. apakšpunkts.</w:t>
            </w:r>
          </w:p>
          <w:p w14:paraId="6C7C170D" w14:textId="2ADC13C0" w:rsidR="00F87A40" w:rsidRPr="00000B75" w:rsidRDefault="00F87A40" w:rsidP="00BD11FD">
            <w:pPr>
              <w:pStyle w:val="CommentText"/>
              <w:rPr>
                <w:color w:val="FF0000"/>
                <w:lang w:val="lv-LV"/>
              </w:rPr>
            </w:pPr>
          </w:p>
        </w:tc>
      </w:tr>
      <w:tr w:rsidR="002F30B3" w:rsidRPr="00504148" w14:paraId="24D90D5C"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501CEE98" w14:textId="0BB8A071" w:rsidR="002F30B3"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0618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00FA109E" w14:textId="518E5F36" w:rsidR="002F30B3" w:rsidRDefault="00054CE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145C373F" w14:textId="7C9B009E" w:rsidR="002F30B3" w:rsidRPr="00CF5345" w:rsidRDefault="00CF5345" w:rsidP="002F30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002F30B3" w:rsidRPr="002F30B3">
              <w:rPr>
                <w:rFonts w:ascii="Times New Roman" w:eastAsia="Calibri" w:hAnsi="Times New Roman" w:cs="Times New Roman"/>
                <w:sz w:val="24"/>
                <w:szCs w:val="24"/>
              </w:rPr>
              <w:t>26.punkt</w:t>
            </w:r>
            <w:r>
              <w:rPr>
                <w:rFonts w:ascii="Times New Roman" w:eastAsia="Calibri" w:hAnsi="Times New Roman" w:cs="Times New Roman"/>
                <w:sz w:val="24"/>
                <w:szCs w:val="24"/>
              </w:rPr>
              <w:t>ā nepiecie</w:t>
            </w:r>
            <w:r w:rsidR="00261549">
              <w:rPr>
                <w:rFonts w:ascii="Times New Roman" w:eastAsia="Calibri" w:hAnsi="Times New Roman" w:cs="Times New Roman"/>
                <w:sz w:val="24"/>
                <w:szCs w:val="24"/>
              </w:rPr>
              <w:t>š</w:t>
            </w:r>
            <w:r>
              <w:rPr>
                <w:rFonts w:ascii="Times New Roman" w:eastAsia="Calibri" w:hAnsi="Times New Roman" w:cs="Times New Roman"/>
                <w:sz w:val="24"/>
                <w:szCs w:val="24"/>
              </w:rPr>
              <w:t>ams precizēt</w:t>
            </w:r>
            <w:r w:rsidR="002F30B3" w:rsidRPr="002F30B3">
              <w:rPr>
                <w:rFonts w:ascii="Times New Roman" w:eastAsia="Calibri" w:hAnsi="Times New Roman" w:cs="Times New Roman"/>
                <w:sz w:val="24"/>
                <w:szCs w:val="24"/>
              </w:rPr>
              <w:t xml:space="preserve">, ka vienkāršu balsu vairākumu aprēķina no sēdē klātesošo komitejas locekļu skaita. </w:t>
            </w:r>
          </w:p>
        </w:tc>
        <w:tc>
          <w:tcPr>
            <w:tcW w:w="735" w:type="pct"/>
            <w:tcBorders>
              <w:top w:val="outset" w:sz="6" w:space="0" w:color="414142"/>
              <w:left w:val="outset" w:sz="6" w:space="0" w:color="414142"/>
              <w:bottom w:val="outset" w:sz="6" w:space="0" w:color="414142"/>
              <w:right w:val="outset" w:sz="6" w:space="0" w:color="414142"/>
            </w:tcBorders>
          </w:tcPr>
          <w:p w14:paraId="30C0280E" w14:textId="64531458" w:rsidR="002F30B3" w:rsidRPr="00F40627" w:rsidRDefault="002F30B3" w:rsidP="002F30B3">
            <w:pPr>
              <w:spacing w:after="0" w:line="240" w:lineRule="auto"/>
              <w:jc w:val="center"/>
              <w:rPr>
                <w:rFonts w:ascii="Times New Roman" w:eastAsia="Times New Roman" w:hAnsi="Times New Roman" w:cs="Times New Roman"/>
                <w:sz w:val="24"/>
                <w:szCs w:val="24"/>
                <w:lang w:eastAsia="lv-LV"/>
              </w:rPr>
            </w:pPr>
            <w:r w:rsidRPr="00CA1A53">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2EBA4980" w14:textId="77777777" w:rsidR="002F30B3" w:rsidRPr="00CA1A53" w:rsidRDefault="00261549" w:rsidP="00CA1A53">
            <w:pPr>
              <w:spacing w:after="0" w:line="240" w:lineRule="auto"/>
              <w:contextualSpacing/>
              <w:jc w:val="both"/>
              <w:rPr>
                <w:rFonts w:ascii="Times New Roman" w:hAnsi="Times New Roman" w:cs="Times New Roman"/>
                <w:sz w:val="24"/>
                <w:szCs w:val="24"/>
              </w:rPr>
            </w:pPr>
            <w:r w:rsidRPr="00CA1A53">
              <w:rPr>
                <w:rFonts w:ascii="Times New Roman" w:hAnsi="Times New Roman" w:cs="Times New Roman"/>
                <w:sz w:val="24"/>
                <w:szCs w:val="24"/>
              </w:rPr>
              <w:t>Noteikumu projekta 26. punkt</w:t>
            </w:r>
            <w:r w:rsidR="00D57B30" w:rsidRPr="00CA1A53">
              <w:rPr>
                <w:rFonts w:ascii="Times New Roman" w:hAnsi="Times New Roman" w:cs="Times New Roman"/>
                <w:sz w:val="24"/>
                <w:szCs w:val="24"/>
              </w:rPr>
              <w:t>a pirmais teikums</w:t>
            </w:r>
            <w:r w:rsidRPr="00CA1A53">
              <w:rPr>
                <w:rFonts w:ascii="Times New Roman" w:hAnsi="Times New Roman" w:cs="Times New Roman"/>
                <w:sz w:val="24"/>
                <w:szCs w:val="24"/>
              </w:rPr>
              <w:t xml:space="preserve"> izteikts šādā redakcijā: “</w:t>
            </w:r>
            <w:r w:rsidR="00D57B30" w:rsidRPr="00CA1A53">
              <w:rPr>
                <w:rFonts w:ascii="Times New Roman" w:eastAsia="Times New Roman" w:hAnsi="Times New Roman" w:cs="Times New Roman"/>
                <w:sz w:val="24"/>
                <w:szCs w:val="24"/>
                <w:lang w:eastAsia="lv-LV"/>
              </w:rPr>
              <w:t>Ētikas komitejas atzinumu pieņem ar vienkāršu balsu vairākumu, ētikas komitejas locekļiem atklāti balsojot. Balsu vairākumu aprēķina no sēdē klātesošo komitejas locekļu skaita.</w:t>
            </w:r>
            <w:r w:rsidRPr="00CA1A53">
              <w:rPr>
                <w:rFonts w:ascii="Times New Roman" w:hAnsi="Times New Roman" w:cs="Times New Roman"/>
                <w:sz w:val="24"/>
                <w:szCs w:val="24"/>
              </w:rPr>
              <w:t>”</w:t>
            </w:r>
          </w:p>
          <w:p w14:paraId="655FFC6C" w14:textId="77777777" w:rsidR="00D57B30" w:rsidRDefault="00D57B30" w:rsidP="00D57B30">
            <w:pPr>
              <w:contextualSpacing/>
              <w:jc w:val="both"/>
              <w:rPr>
                <w:rFonts w:ascii="Times New Roman" w:hAnsi="Times New Roman" w:cs="Times New Roman"/>
                <w:sz w:val="24"/>
                <w:szCs w:val="24"/>
              </w:rPr>
            </w:pPr>
          </w:p>
          <w:p w14:paraId="56CD80F5" w14:textId="3994C461" w:rsidR="00D57B30" w:rsidRPr="00D57B30" w:rsidRDefault="00D57B30" w:rsidP="00D57B30">
            <w:pPr>
              <w:contextualSpacing/>
              <w:jc w:val="both"/>
              <w:rPr>
                <w:rFonts w:ascii="Times New Roman" w:hAnsi="Times New Roman" w:cs="Times New Roman"/>
                <w:sz w:val="20"/>
                <w:szCs w:val="20"/>
              </w:rPr>
            </w:pPr>
          </w:p>
        </w:tc>
      </w:tr>
      <w:tr w:rsidR="002F30B3" w:rsidRPr="00504148" w14:paraId="3ACBDD08"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63B5275D" w14:textId="3B969745" w:rsidR="002F30B3"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E0618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37B416DE" w14:textId="486FDD49" w:rsidR="002F30B3" w:rsidRDefault="00C11BBA"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VSIA “Paula Stradiņa klīniskā universitātes slimnīca”; </w:t>
            </w:r>
            <w:r w:rsidRPr="00C11BBA">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4F2E4538" w14:textId="2714E564" w:rsidR="002F30B3" w:rsidRPr="002F30B3" w:rsidRDefault="00CF5345" w:rsidP="002F30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002F30B3" w:rsidRPr="002F30B3">
              <w:rPr>
                <w:rFonts w:ascii="Times New Roman" w:eastAsia="Calibri" w:hAnsi="Times New Roman" w:cs="Times New Roman"/>
                <w:sz w:val="24"/>
                <w:szCs w:val="24"/>
              </w:rPr>
              <w:t xml:space="preserve">27.punkts: regulas 9.pants un labas klīniskas prakses vadlīniju 3.2.1. punkts nenosaka prasību, ka komitejas locekļi, kas ir atkarīgi no pētījuma centra (jautājums par definīciju) nedrīkstētu izteikt viedokli par pētījumu. Ir saprotama šādu personu atturēšanās no balsojuma, kā arī interešu konflikta novēršana attiecībā uz attiecībām ar sponsoriem vai personām, kas finansē pētījumu, bet attiecībā uz pētījuma centriem, nosakot šādu regulējumu, nereti var rasties situācijas, ka komitejas klātesošo locekļu vairākumam ir saistības (atkarības attiecības, piemēram darba tiesiskās attiecības) ar kādu no izskatāmā pētījuma centriem.  Pašreiz piedāvātajā redakcijā šādas personas ne vien nedrīkst balsot, bet arī izteikt viedokli. Vēršam uzmanību, ka šādā veidā būs nopietnas problēmas apstiprināt jebkuru pētījumu tādās medicīnas nozarēs kā onkoloģija, neiroloģija, gastroenteroloģija, oftalmoloģija, kardioloģija, u.c., jo maz ticams, ka kāda komiteja būs spējīga izskatīt </w:t>
            </w:r>
            <w:r w:rsidR="002F30B3" w:rsidRPr="002F30B3">
              <w:rPr>
                <w:rFonts w:ascii="Times New Roman" w:eastAsia="Calibri" w:hAnsi="Times New Roman" w:cs="Times New Roman"/>
                <w:sz w:val="24"/>
                <w:szCs w:val="24"/>
              </w:rPr>
              <w:lastRenderedPageBreak/>
              <w:t xml:space="preserve">pētījumu, neiesaistot universitāšu slimnīcās strādājošos attiecīgo nozaru speciālistus. Turklāt, ja ir aizliegums izteikt viedokli par pētījumu, tad jāsecina, ka attiecīgajā ārstniecības iestādē strādājoši ārsti nevar būt arī pieaicinātie eksperti atbilstoši noteikumu projekta 16. un 28.punktam. </w:t>
            </w:r>
          </w:p>
          <w:p w14:paraId="3D2251A8" w14:textId="77777777" w:rsidR="002F30B3" w:rsidRPr="002F30B3" w:rsidRDefault="002F30B3" w:rsidP="00CF5345">
            <w:pPr>
              <w:contextualSpacing/>
              <w:jc w:val="both"/>
              <w:rPr>
                <w:rFonts w:ascii="Times New Roman" w:eastAsia="Calibri" w:hAnsi="Times New Roman" w:cs="Times New Roman"/>
                <w:sz w:val="24"/>
                <w:szCs w:val="24"/>
              </w:rPr>
            </w:pPr>
            <w:r w:rsidRPr="005D0005">
              <w:rPr>
                <w:rFonts w:ascii="Times New Roman" w:eastAsia="Calibri" w:hAnsi="Times New Roman" w:cs="Times New Roman"/>
                <w:sz w:val="24"/>
                <w:szCs w:val="24"/>
              </w:rPr>
              <w:t>Turklāt, nepieciešams definēt, kas ir “netieša interese”. Interešu konflikta regulējums šādu jēdzienu neparedz. Ikvienam</w:t>
            </w:r>
            <w:r w:rsidRPr="002F30B3">
              <w:rPr>
                <w:rFonts w:ascii="Times New Roman" w:eastAsia="Calibri" w:hAnsi="Times New Roman" w:cs="Times New Roman"/>
                <w:sz w:val="24"/>
                <w:szCs w:val="24"/>
              </w:rPr>
              <w:t xml:space="preserve"> praktizējošam ārstam, tāpat kā pacientu pārstāvim var būt netieša pozitīva interese jaunu zāļu izstrādē un nonākšanā tirgu, lai sniegtu pacientiem jaunu, efektīvu terapiju ar mazākām blaknēm un citiem ieguvumiem. </w:t>
            </w:r>
          </w:p>
          <w:p w14:paraId="12DE14B3" w14:textId="77777777" w:rsidR="002F30B3" w:rsidRPr="002F30B3" w:rsidRDefault="002F30B3" w:rsidP="002F30B3">
            <w:pPr>
              <w:spacing w:after="0" w:line="240" w:lineRule="auto"/>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6CCCC688" w14:textId="45CE7E90" w:rsidR="002F30B3" w:rsidRDefault="009E68BD" w:rsidP="002F30B3">
            <w:pPr>
              <w:spacing w:after="0" w:line="240" w:lineRule="auto"/>
              <w:jc w:val="center"/>
              <w:rPr>
                <w:rFonts w:ascii="Times New Roman" w:eastAsia="Times New Roman" w:hAnsi="Times New Roman" w:cs="Times New Roman"/>
                <w:sz w:val="24"/>
                <w:szCs w:val="24"/>
                <w:lang w:eastAsia="lv-LV"/>
              </w:rPr>
            </w:pPr>
            <w:r w:rsidRPr="005D0005">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3980B04A" w14:textId="5CE3154D" w:rsidR="009E68BD" w:rsidRPr="005D0005" w:rsidRDefault="009E68BD" w:rsidP="009E68BD">
            <w:pPr>
              <w:spacing w:after="0" w:line="240" w:lineRule="auto"/>
              <w:jc w:val="both"/>
              <w:rPr>
                <w:rFonts w:ascii="Times New Roman" w:hAnsi="Times New Roman" w:cs="Times New Roman"/>
                <w:sz w:val="24"/>
                <w:szCs w:val="24"/>
              </w:rPr>
            </w:pPr>
            <w:r w:rsidRPr="005D0005">
              <w:rPr>
                <w:rFonts w:ascii="Times New Roman" w:hAnsi="Times New Roman" w:cs="Times New Roman"/>
                <w:sz w:val="24"/>
                <w:szCs w:val="24"/>
              </w:rPr>
              <w:t>Noteikumu projekta 27. punkta otro teikumu izteikt šādā redakcijā: “</w:t>
            </w:r>
            <w:r w:rsidRPr="005D0005">
              <w:rPr>
                <w:rFonts w:ascii="Times New Roman" w:eastAsia="Times New Roman" w:hAnsi="Times New Roman" w:cs="Times New Roman"/>
                <w:sz w:val="24"/>
                <w:szCs w:val="24"/>
                <w:lang w:eastAsia="lv-LV"/>
              </w:rPr>
              <w:t>Ētikas komitejas locekļi atturas balsojumos par jautājumu, kurā tiem ir tieša interese.</w:t>
            </w:r>
            <w:r w:rsidRPr="005D0005">
              <w:rPr>
                <w:rFonts w:ascii="Times New Roman" w:hAnsi="Times New Roman" w:cs="Times New Roman"/>
                <w:sz w:val="24"/>
                <w:szCs w:val="24"/>
              </w:rPr>
              <w:t>”</w:t>
            </w:r>
          </w:p>
          <w:p w14:paraId="65998089" w14:textId="77777777" w:rsidR="009E68BD" w:rsidRDefault="009E68BD" w:rsidP="009E68BD">
            <w:pPr>
              <w:pStyle w:val="ListParagraph"/>
              <w:jc w:val="both"/>
              <w:rPr>
                <w:i/>
                <w:iCs/>
              </w:rPr>
            </w:pPr>
          </w:p>
          <w:p w14:paraId="06E92F65" w14:textId="0EB52137" w:rsidR="00EA635D" w:rsidRPr="00A979D7" w:rsidRDefault="00EA635D" w:rsidP="009E68BD">
            <w:pPr>
              <w:pStyle w:val="ListParagraph"/>
              <w:jc w:val="both"/>
            </w:pPr>
          </w:p>
        </w:tc>
      </w:tr>
      <w:tr w:rsidR="002F30B3" w:rsidRPr="00504148" w14:paraId="1468E320"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035F118F" w14:textId="01F26649" w:rsidR="002F30B3"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0618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713142F5" w14:textId="7FD7A37E" w:rsidR="002F30B3" w:rsidRDefault="00054CE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r w:rsidR="007D0F8A">
              <w:rPr>
                <w:rFonts w:ascii="Times New Roman" w:hAnsi="Times New Roman" w:cs="Times New Roman"/>
                <w:sz w:val="24"/>
                <w:szCs w:val="24"/>
              </w:rPr>
              <w:t>; Zāļu klīniskās izpētes Ētikas komiteja</w:t>
            </w:r>
          </w:p>
        </w:tc>
        <w:tc>
          <w:tcPr>
            <w:tcW w:w="1076" w:type="pct"/>
            <w:tcBorders>
              <w:top w:val="outset" w:sz="6" w:space="0" w:color="414142"/>
              <w:left w:val="outset" w:sz="6" w:space="0" w:color="414142"/>
              <w:bottom w:val="outset" w:sz="6" w:space="0" w:color="414142"/>
              <w:right w:val="outset" w:sz="6" w:space="0" w:color="414142"/>
            </w:tcBorders>
          </w:tcPr>
          <w:p w14:paraId="3DB58046" w14:textId="6183FC08" w:rsidR="002F30B3" w:rsidRPr="002F30B3" w:rsidRDefault="00CF5345" w:rsidP="002F30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002F30B3" w:rsidRPr="002F30B3">
              <w:rPr>
                <w:rFonts w:ascii="Times New Roman" w:eastAsia="Calibri" w:hAnsi="Times New Roman" w:cs="Times New Roman"/>
                <w:sz w:val="24"/>
                <w:szCs w:val="24"/>
              </w:rPr>
              <w:t xml:space="preserve">28.punkts pašreizējā redakcijā nedaudz atšķirīgā redakcijā atkārto 16.punktu. Aicinām to </w:t>
            </w:r>
            <w:r w:rsidR="002F30B3" w:rsidRPr="00CF5345">
              <w:rPr>
                <w:rFonts w:ascii="Times New Roman" w:eastAsia="Calibri" w:hAnsi="Times New Roman" w:cs="Times New Roman"/>
                <w:sz w:val="24"/>
                <w:szCs w:val="24"/>
              </w:rPr>
              <w:t>papildināt aiz vārda “balsstiesībām” ar vārdiem “kā arī administratīvo un tehnisko personālu”.</w:t>
            </w:r>
            <w:r w:rsidR="002F30B3" w:rsidRPr="002F30B3">
              <w:rPr>
                <w:rFonts w:ascii="Times New Roman" w:eastAsia="Calibri" w:hAnsi="Times New Roman" w:cs="Times New Roman"/>
                <w:sz w:val="24"/>
                <w:szCs w:val="24"/>
              </w:rPr>
              <w:t xml:space="preserve"> </w:t>
            </w:r>
          </w:p>
          <w:p w14:paraId="09E2B10F" w14:textId="77777777" w:rsidR="002F30B3" w:rsidRPr="002F30B3" w:rsidRDefault="002F30B3" w:rsidP="002F30B3">
            <w:pPr>
              <w:spacing w:after="0" w:line="240" w:lineRule="auto"/>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58AF5042" w14:textId="47DB99C6" w:rsidR="002F30B3" w:rsidRDefault="00CF5345" w:rsidP="002F30B3">
            <w:pPr>
              <w:spacing w:after="0" w:line="240" w:lineRule="auto"/>
              <w:jc w:val="center"/>
              <w:rPr>
                <w:rFonts w:ascii="Times New Roman" w:eastAsia="Times New Roman" w:hAnsi="Times New Roman" w:cs="Times New Roman"/>
                <w:sz w:val="24"/>
                <w:szCs w:val="24"/>
                <w:lang w:eastAsia="lv-LV"/>
              </w:rPr>
            </w:pPr>
            <w:r w:rsidRPr="00797917">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58A6DC93" w14:textId="5E351D83" w:rsidR="002F30B3" w:rsidRPr="00CF5345" w:rsidRDefault="002C6F6E" w:rsidP="002F30B3">
            <w:pPr>
              <w:contextualSpacing/>
              <w:jc w:val="both"/>
              <w:rPr>
                <w:rFonts w:ascii="Times New Roman" w:hAnsi="Times New Roman" w:cs="Times New Roman"/>
                <w:sz w:val="24"/>
                <w:szCs w:val="24"/>
              </w:rPr>
            </w:pPr>
            <w:r w:rsidRPr="00797917">
              <w:rPr>
                <w:rFonts w:ascii="Times New Roman" w:hAnsi="Times New Roman" w:cs="Times New Roman"/>
                <w:sz w:val="24"/>
                <w:szCs w:val="24"/>
              </w:rPr>
              <w:t>Precizēts n</w:t>
            </w:r>
            <w:r w:rsidR="00CF5345" w:rsidRPr="00797917">
              <w:rPr>
                <w:rFonts w:ascii="Times New Roman" w:hAnsi="Times New Roman" w:cs="Times New Roman"/>
                <w:sz w:val="24"/>
                <w:szCs w:val="24"/>
              </w:rPr>
              <w:t>oteikumu projekta 28.</w:t>
            </w:r>
            <w:r w:rsidRPr="00797917">
              <w:rPr>
                <w:rFonts w:ascii="Times New Roman" w:hAnsi="Times New Roman" w:cs="Times New Roman"/>
                <w:sz w:val="24"/>
                <w:szCs w:val="24"/>
              </w:rPr>
              <w:t xml:space="preserve"> </w:t>
            </w:r>
            <w:r w:rsidR="00CF5345" w:rsidRPr="00797917">
              <w:rPr>
                <w:rFonts w:ascii="Times New Roman" w:hAnsi="Times New Roman" w:cs="Times New Roman"/>
                <w:sz w:val="24"/>
                <w:szCs w:val="24"/>
              </w:rPr>
              <w:t>punkts aiz vārd</w:t>
            </w:r>
            <w:r w:rsidRPr="00797917">
              <w:rPr>
                <w:rFonts w:ascii="Times New Roman" w:hAnsi="Times New Roman" w:cs="Times New Roman"/>
                <w:sz w:val="24"/>
                <w:szCs w:val="24"/>
              </w:rPr>
              <w:t>a</w:t>
            </w:r>
            <w:r w:rsidR="00CF5345" w:rsidRPr="00797917">
              <w:rPr>
                <w:rFonts w:ascii="Times New Roman" w:hAnsi="Times New Roman" w:cs="Times New Roman"/>
                <w:sz w:val="24"/>
                <w:szCs w:val="24"/>
              </w:rPr>
              <w:t xml:space="preserve"> “balsstiesībām” papildināts ar vārdiem “kā arī administratīvo un tehnisko personālu.”</w:t>
            </w:r>
          </w:p>
        </w:tc>
      </w:tr>
      <w:tr w:rsidR="002F30B3" w:rsidRPr="00504148" w14:paraId="2AD00B7B"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0D75A578" w14:textId="0DCEBBF7" w:rsidR="002F30B3"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E0618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7559ABAE" w14:textId="45A2407B" w:rsidR="002F30B3" w:rsidRDefault="00054CE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VSIA “Paula Stradiņa klīniskā universitātes slimnīca” Attīstības biedrības Klīniskās izpētes komiteja; </w:t>
            </w:r>
            <w:r w:rsidR="007D0F8A">
              <w:rPr>
                <w:rFonts w:ascii="Times New Roman" w:hAnsi="Times New Roman" w:cs="Times New Roman"/>
                <w:sz w:val="24"/>
                <w:szCs w:val="24"/>
              </w:rPr>
              <w:t>Zāļu klīniskās izpētes Ētikas komiteja</w:t>
            </w:r>
            <w:r w:rsidR="00C11BBA">
              <w:rPr>
                <w:rFonts w:ascii="Times New Roman" w:hAnsi="Times New Roman" w:cs="Times New Roman"/>
                <w:sz w:val="24"/>
                <w:szCs w:val="24"/>
              </w:rPr>
              <w:t xml:space="preserve">; </w:t>
            </w:r>
            <w:r w:rsidR="00C11BBA" w:rsidRPr="00C11BBA">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3BFFFE08" w14:textId="6D4AC109" w:rsidR="002F30B3" w:rsidRDefault="00C61908" w:rsidP="002F30B3">
            <w:pPr>
              <w:spacing w:after="0" w:line="240" w:lineRule="auto"/>
              <w:contextualSpacing/>
              <w:jc w:val="both"/>
              <w:rPr>
                <w:rFonts w:ascii="Times New Roman" w:eastAsia="Calibri" w:hAnsi="Times New Roman" w:cs="Times New Roman"/>
                <w:sz w:val="24"/>
                <w:szCs w:val="24"/>
              </w:rPr>
            </w:pPr>
            <w:r w:rsidRPr="00C61908">
              <w:rPr>
                <w:rFonts w:ascii="Times New Roman" w:eastAsia="Calibri" w:hAnsi="Times New Roman" w:cs="Times New Roman"/>
                <w:sz w:val="24"/>
                <w:szCs w:val="24"/>
              </w:rPr>
              <w:t xml:space="preserve">Noteikumu projekta </w:t>
            </w:r>
            <w:r w:rsidR="002F30B3" w:rsidRPr="00C61908">
              <w:rPr>
                <w:rFonts w:ascii="Times New Roman" w:eastAsia="Calibri" w:hAnsi="Times New Roman" w:cs="Times New Roman"/>
                <w:sz w:val="24"/>
                <w:szCs w:val="24"/>
              </w:rPr>
              <w:t>30.punkt</w:t>
            </w:r>
            <w:r w:rsidRPr="00C61908">
              <w:rPr>
                <w:rFonts w:ascii="Times New Roman" w:eastAsia="Calibri" w:hAnsi="Times New Roman" w:cs="Times New Roman"/>
                <w:sz w:val="24"/>
                <w:szCs w:val="24"/>
              </w:rPr>
              <w:t>ā</w:t>
            </w:r>
            <w:r w:rsidR="002F30B3" w:rsidRPr="00C61908">
              <w:rPr>
                <w:rFonts w:ascii="Times New Roman" w:eastAsia="Calibri" w:hAnsi="Times New Roman" w:cs="Times New Roman"/>
                <w:sz w:val="24"/>
                <w:szCs w:val="24"/>
              </w:rPr>
              <w:t xml:space="preserve"> kļūdaini attiecībā uz ētikas komitejām ir piemērots regulas 58.pants, kurš attiecas uz sponsoriem un pētniekiem, bet ne uz ētikas komitejām.</w:t>
            </w:r>
            <w:r w:rsidR="002F30B3" w:rsidRPr="002F30B3">
              <w:rPr>
                <w:rFonts w:ascii="Times New Roman" w:eastAsia="Calibri" w:hAnsi="Times New Roman" w:cs="Times New Roman"/>
                <w:sz w:val="24"/>
                <w:szCs w:val="24"/>
              </w:rPr>
              <w:t xml:space="preserve"> Ētikas komitejas rīcībā nav klīniskās pārbaudes pamatlieta (regulas 57.pants), tāpat kā tās rīcībā nav arī tādu dokumentu, kuru lietvedību nosaka medicīniskās dokumentācijas lietvedības kārtība.  Punkta redakcija ir jāgroza un jālemj par īsāku dokumentu glabāšanas laiku. Arhīva pakalpojumi ir jāsedz no ētikas komitejas ieņēmumiem. </w:t>
            </w:r>
          </w:p>
          <w:p w14:paraId="2369038B" w14:textId="7CC79F93" w:rsidR="00C55128" w:rsidRPr="002F30B3" w:rsidRDefault="002C6F6E" w:rsidP="002F30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Iespējams</w:t>
            </w:r>
            <w:r w:rsidR="00C55128">
              <w:rPr>
                <w:rFonts w:ascii="Times New Roman" w:eastAsia="Calibri" w:hAnsi="Times New Roman" w:cs="Times New Roman"/>
                <w:sz w:val="24"/>
                <w:szCs w:val="24"/>
              </w:rPr>
              <w:t xml:space="preserve"> var izdalīt, kurus dokumentus glabā 25 gadus un kurus īsāku termiņu.</w:t>
            </w:r>
          </w:p>
          <w:p w14:paraId="0C1C302B" w14:textId="77777777" w:rsidR="002F30B3" w:rsidRPr="002F30B3" w:rsidRDefault="002F30B3" w:rsidP="002F30B3">
            <w:pPr>
              <w:spacing w:after="0" w:line="240" w:lineRule="auto"/>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3070A223" w14:textId="57436246" w:rsidR="002F30B3" w:rsidRDefault="00C61908" w:rsidP="002F30B3">
            <w:pPr>
              <w:spacing w:after="0" w:line="240" w:lineRule="auto"/>
              <w:jc w:val="center"/>
              <w:rPr>
                <w:rFonts w:ascii="Times New Roman" w:eastAsia="Times New Roman" w:hAnsi="Times New Roman" w:cs="Times New Roman"/>
                <w:sz w:val="24"/>
                <w:szCs w:val="24"/>
                <w:lang w:eastAsia="lv-LV"/>
              </w:rPr>
            </w:pPr>
            <w:r w:rsidRPr="004F5F19">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60E6F394" w14:textId="77777777" w:rsidR="00DE1886" w:rsidRPr="004F5F19" w:rsidRDefault="00DE1886" w:rsidP="00DE1886">
            <w:pPr>
              <w:spacing w:after="0" w:line="240" w:lineRule="auto"/>
              <w:jc w:val="both"/>
              <w:rPr>
                <w:rFonts w:ascii="Times New Roman" w:hAnsi="Times New Roman" w:cs="Times New Roman"/>
                <w:sz w:val="24"/>
                <w:szCs w:val="24"/>
              </w:rPr>
            </w:pPr>
            <w:r w:rsidRPr="004F5F19">
              <w:rPr>
                <w:rFonts w:ascii="Times New Roman" w:hAnsi="Times New Roman" w:cs="Times New Roman"/>
                <w:sz w:val="24"/>
                <w:szCs w:val="24"/>
              </w:rPr>
              <w:t>Noteikumu projekta 30. punkts precizēts, izsakot to šādā redakcijā: “</w:t>
            </w:r>
            <w:r w:rsidRPr="004F5F19">
              <w:rPr>
                <w:rFonts w:ascii="Times New Roman" w:eastAsia="Times New Roman" w:hAnsi="Times New Roman" w:cs="Times New Roman"/>
                <w:sz w:val="24"/>
                <w:szCs w:val="24"/>
                <w:lang w:eastAsia="lv-LV"/>
              </w:rPr>
              <w:t xml:space="preserve">Ētikas komiteja </w:t>
            </w:r>
            <w:r w:rsidR="00291116" w:rsidRPr="004F5F19">
              <w:rPr>
                <w:rFonts w:ascii="Times New Roman" w:eastAsia="Times New Roman" w:hAnsi="Times New Roman" w:cs="Times New Roman"/>
                <w:sz w:val="24"/>
                <w:szCs w:val="24"/>
                <w:lang w:eastAsia="lv-LV"/>
              </w:rPr>
              <w:t xml:space="preserve">ar klīniskās pārbaudes atļaušanas procesu saistītos </w:t>
            </w:r>
            <w:r w:rsidRPr="004F5F19">
              <w:rPr>
                <w:rFonts w:ascii="Times New Roman" w:eastAsia="Times New Roman" w:hAnsi="Times New Roman" w:cs="Times New Roman"/>
                <w:sz w:val="24"/>
                <w:szCs w:val="24"/>
                <w:lang w:eastAsia="lv-LV"/>
              </w:rPr>
              <w:t>dokumentus uzglabā piecus gadus pēc attiecīgās klīniskās pārbaudes pabeigšanas, izņemot gadījumus, ja normatīvajos aktos par medicīnisko dokumentu lietvedības kārtību ir noteikts ilgāks dokumentu glabāšanas termiņš.</w:t>
            </w:r>
            <w:bookmarkStart w:id="5" w:name="p51"/>
            <w:bookmarkStart w:id="6" w:name="p-333771"/>
            <w:bookmarkEnd w:id="5"/>
            <w:bookmarkEnd w:id="6"/>
            <w:r w:rsidRPr="004F5F19">
              <w:rPr>
                <w:rFonts w:ascii="Times New Roman" w:hAnsi="Times New Roman" w:cs="Times New Roman"/>
                <w:sz w:val="24"/>
                <w:szCs w:val="24"/>
              </w:rPr>
              <w:t>”</w:t>
            </w:r>
          </w:p>
          <w:p w14:paraId="6C08DB40" w14:textId="3F05F5C4" w:rsidR="00427FFD" w:rsidRPr="00DE1886" w:rsidRDefault="00427FFD" w:rsidP="00DE1886">
            <w:pPr>
              <w:spacing w:after="0" w:line="240" w:lineRule="auto"/>
              <w:jc w:val="both"/>
              <w:rPr>
                <w:rFonts w:ascii="Times New Roman" w:hAnsi="Times New Roman" w:cs="Times New Roman"/>
                <w:sz w:val="28"/>
                <w:szCs w:val="28"/>
              </w:rPr>
            </w:pPr>
          </w:p>
        </w:tc>
      </w:tr>
      <w:tr w:rsidR="00F3509C" w:rsidRPr="00504148" w14:paraId="576D746D"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198E89F6" w14:textId="5CBECD9E" w:rsidR="00F3509C" w:rsidRDefault="00054CEF"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0618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0C4F510D" w14:textId="1804A50C" w:rsidR="00F3509C" w:rsidRDefault="00F3509C" w:rsidP="00947E54">
            <w:pPr>
              <w:spacing w:after="0" w:line="240" w:lineRule="auto"/>
              <w:rPr>
                <w:rFonts w:ascii="Times New Roman" w:hAnsi="Times New Roman" w:cs="Times New Roman"/>
                <w:sz w:val="24"/>
                <w:szCs w:val="24"/>
              </w:rPr>
            </w:pPr>
            <w:r w:rsidRPr="00C11BBA">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26AE9577" w14:textId="3F26A21D" w:rsidR="00F3509C" w:rsidRPr="00C61908" w:rsidRDefault="00F3509C" w:rsidP="00F3509C">
            <w:pPr>
              <w:shd w:val="clear" w:color="auto" w:fill="FFFFFF"/>
              <w:spacing w:after="0" w:line="240" w:lineRule="auto"/>
              <w:jc w:val="both"/>
              <w:rPr>
                <w:rFonts w:ascii="Times New Roman" w:eastAsia="Times New Roman" w:hAnsi="Times New Roman" w:cs="Times New Roman"/>
                <w:sz w:val="24"/>
                <w:szCs w:val="24"/>
                <w:lang w:eastAsia="lv-LV"/>
              </w:rPr>
            </w:pPr>
            <w:r w:rsidRPr="00C61908">
              <w:rPr>
                <w:rFonts w:ascii="Times New Roman" w:eastAsia="Calibri" w:hAnsi="Times New Roman" w:cs="Times New Roman"/>
                <w:sz w:val="24"/>
                <w:szCs w:val="24"/>
              </w:rPr>
              <w:t>Noteikumu projekta 31.punkts</w:t>
            </w:r>
            <w:r w:rsidR="00C61908" w:rsidRPr="00C61908">
              <w:rPr>
                <w:rFonts w:ascii="Times New Roman" w:eastAsia="Calibri" w:hAnsi="Times New Roman" w:cs="Times New Roman"/>
                <w:sz w:val="24"/>
                <w:szCs w:val="24"/>
              </w:rPr>
              <w:t xml:space="preserve"> noteic, ka</w:t>
            </w:r>
            <w:r w:rsidRPr="00C61908">
              <w:rPr>
                <w:rFonts w:ascii="Times New Roman" w:eastAsia="Calibri" w:hAnsi="Times New Roman" w:cs="Times New Roman"/>
                <w:sz w:val="24"/>
                <w:szCs w:val="24"/>
              </w:rPr>
              <w:t xml:space="preserve"> </w:t>
            </w:r>
            <w:r w:rsidR="00C61908" w:rsidRPr="00C61908">
              <w:rPr>
                <w:rFonts w:ascii="Times New Roman" w:eastAsia="Calibri" w:hAnsi="Times New Roman" w:cs="Times New Roman"/>
                <w:sz w:val="24"/>
                <w:szCs w:val="24"/>
              </w:rPr>
              <w:t>p</w:t>
            </w:r>
            <w:r w:rsidRPr="00C61908">
              <w:rPr>
                <w:rFonts w:ascii="Times New Roman" w:eastAsia="Times New Roman" w:hAnsi="Times New Roman" w:cs="Times New Roman"/>
                <w:color w:val="525252"/>
                <w:sz w:val="24"/>
                <w:szCs w:val="24"/>
                <w:lang w:eastAsia="lv-LV"/>
              </w:rPr>
              <w:t xml:space="preserve">ētāmo personu iesaista klīniskajā </w:t>
            </w:r>
            <w:r w:rsidRPr="00C61908">
              <w:rPr>
                <w:rFonts w:ascii="Times New Roman" w:eastAsia="Times New Roman" w:hAnsi="Times New Roman" w:cs="Times New Roman"/>
                <w:sz w:val="24"/>
                <w:szCs w:val="24"/>
                <w:lang w:eastAsia="lv-LV"/>
              </w:rPr>
              <w:t>pārbaudē, ievērojot regulas V nodaļā un normatīvajos aktos par pacientu tiesībām noteiktās prasības.</w:t>
            </w:r>
          </w:p>
          <w:p w14:paraId="54AAC359" w14:textId="77777777" w:rsidR="00F3509C" w:rsidRPr="00C61908" w:rsidRDefault="00F3509C" w:rsidP="00F3509C">
            <w:pPr>
              <w:pStyle w:val="CommentText"/>
              <w:rPr>
                <w:sz w:val="24"/>
                <w:szCs w:val="24"/>
                <w:lang w:val="lv-LV"/>
              </w:rPr>
            </w:pPr>
            <w:r w:rsidRPr="00C61908">
              <w:rPr>
                <w:sz w:val="24"/>
                <w:szCs w:val="24"/>
                <w:lang w:val="lv-LV"/>
              </w:rPr>
              <w:t>Kādā formā iesniedzams datu aizsardzības paziņojums?</w:t>
            </w:r>
          </w:p>
          <w:p w14:paraId="59E5196B" w14:textId="12A8AB0F" w:rsidR="00F3509C" w:rsidRPr="002F30B3" w:rsidRDefault="00F3509C" w:rsidP="002F30B3">
            <w:pPr>
              <w:spacing w:after="0" w:line="240" w:lineRule="auto"/>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450CF277" w14:textId="545CA4DE" w:rsidR="00F3509C" w:rsidRDefault="00291116" w:rsidP="002F30B3">
            <w:pPr>
              <w:spacing w:after="0" w:line="240" w:lineRule="auto"/>
              <w:jc w:val="center"/>
              <w:rPr>
                <w:rFonts w:ascii="Times New Roman" w:eastAsia="Times New Roman" w:hAnsi="Times New Roman" w:cs="Times New Roman"/>
                <w:sz w:val="24"/>
                <w:szCs w:val="24"/>
                <w:lang w:eastAsia="lv-LV"/>
              </w:rPr>
            </w:pPr>
            <w:r w:rsidRPr="001B6D9F">
              <w:rPr>
                <w:rFonts w:ascii="Times New Roman" w:eastAsia="Times New Roman" w:hAnsi="Times New Roman" w:cs="Times New Roman"/>
                <w:sz w:val="24"/>
                <w:szCs w:val="24"/>
                <w:lang w:eastAsia="lv-LV"/>
              </w:rPr>
              <w:t>Ņemts vērā</w:t>
            </w:r>
            <w:r w:rsidR="00396507">
              <w:rPr>
                <w:rFonts w:ascii="Times New Roman" w:eastAsia="Times New Roman" w:hAnsi="Times New Roman" w:cs="Times New Roman"/>
                <w:sz w:val="24"/>
                <w:szCs w:val="24"/>
                <w:lang w:eastAsia="lv-LV"/>
              </w:rPr>
              <w:t xml:space="preserve"> daļēji</w:t>
            </w:r>
          </w:p>
        </w:tc>
        <w:tc>
          <w:tcPr>
            <w:tcW w:w="1622" w:type="pct"/>
            <w:tcBorders>
              <w:top w:val="outset" w:sz="6" w:space="0" w:color="414142"/>
              <w:left w:val="outset" w:sz="6" w:space="0" w:color="414142"/>
              <w:bottom w:val="outset" w:sz="6" w:space="0" w:color="414142"/>
              <w:right w:val="outset" w:sz="6" w:space="0" w:color="414142"/>
            </w:tcBorders>
          </w:tcPr>
          <w:p w14:paraId="2504E5B6" w14:textId="66F326B7" w:rsidR="001B6D9F" w:rsidRPr="001B6D9F" w:rsidRDefault="00396507" w:rsidP="001B6D9F">
            <w:pPr>
              <w:contextualSpacing/>
              <w:jc w:val="both"/>
              <w:rPr>
                <w:rFonts w:ascii="Times New Roman" w:hAnsi="Times New Roman" w:cs="Times New Roman"/>
                <w:sz w:val="24"/>
                <w:szCs w:val="24"/>
              </w:rPr>
            </w:pPr>
            <w:r>
              <w:rPr>
                <w:rFonts w:ascii="Times New Roman" w:hAnsi="Times New Roman" w:cs="Times New Roman"/>
                <w:sz w:val="24"/>
                <w:szCs w:val="24"/>
              </w:rPr>
              <w:t xml:space="preserve">Netiek vērtēts sagatavotā Noteikumu projekta ietvaros. </w:t>
            </w:r>
            <w:r w:rsidR="001B6D9F" w:rsidRPr="001B6D9F">
              <w:rPr>
                <w:rFonts w:ascii="Times New Roman" w:hAnsi="Times New Roman" w:cs="Times New Roman"/>
                <w:sz w:val="24"/>
                <w:szCs w:val="24"/>
              </w:rPr>
              <w:t xml:space="preserve">ES portālā būs </w:t>
            </w:r>
            <w:r>
              <w:rPr>
                <w:rFonts w:ascii="Times New Roman" w:hAnsi="Times New Roman" w:cs="Times New Roman"/>
                <w:sz w:val="24"/>
                <w:szCs w:val="24"/>
              </w:rPr>
              <w:t>norādīts</w:t>
            </w:r>
            <w:r w:rsidR="001B6D9F" w:rsidRPr="001B6D9F">
              <w:rPr>
                <w:rFonts w:ascii="Times New Roman" w:hAnsi="Times New Roman" w:cs="Times New Roman"/>
                <w:sz w:val="24"/>
                <w:szCs w:val="24"/>
              </w:rPr>
              <w:t xml:space="preserve">, ka jāiesniedz </w:t>
            </w:r>
            <w:r w:rsidR="001B6D9F">
              <w:rPr>
                <w:rFonts w:ascii="Times New Roman" w:hAnsi="Times New Roman" w:cs="Times New Roman"/>
                <w:sz w:val="24"/>
                <w:szCs w:val="24"/>
              </w:rPr>
              <w:t>PDF</w:t>
            </w:r>
            <w:r w:rsidR="001B6D9F" w:rsidRPr="001B6D9F">
              <w:rPr>
                <w:rFonts w:ascii="Times New Roman" w:hAnsi="Times New Roman" w:cs="Times New Roman"/>
                <w:sz w:val="24"/>
                <w:szCs w:val="24"/>
              </w:rPr>
              <w:t xml:space="preserve"> </w:t>
            </w:r>
            <w:r w:rsidR="001B6D9F">
              <w:rPr>
                <w:rFonts w:ascii="Times New Roman" w:hAnsi="Times New Roman" w:cs="Times New Roman"/>
                <w:sz w:val="24"/>
                <w:szCs w:val="24"/>
              </w:rPr>
              <w:t xml:space="preserve">formāta </w:t>
            </w:r>
            <w:r w:rsidR="001B6D9F" w:rsidRPr="001B6D9F">
              <w:rPr>
                <w:rFonts w:ascii="Times New Roman" w:hAnsi="Times New Roman" w:cs="Times New Roman"/>
                <w:sz w:val="24"/>
                <w:szCs w:val="24"/>
              </w:rPr>
              <w:t>dokuments ar apliecinājumu, ka tiks ievērotas GDPR prasības</w:t>
            </w:r>
          </w:p>
          <w:p w14:paraId="1CBE9BD8" w14:textId="78DAAE9E" w:rsidR="001B6D9F" w:rsidRPr="00F3509C" w:rsidRDefault="001B6D9F" w:rsidP="001B6D9F">
            <w:pPr>
              <w:contextualSpacing/>
              <w:jc w:val="both"/>
              <w:rPr>
                <w:rFonts w:ascii="Times New Roman" w:hAnsi="Times New Roman" w:cs="Times New Roman"/>
                <w:i/>
                <w:iCs/>
                <w:color w:val="FF0000"/>
                <w:sz w:val="24"/>
                <w:szCs w:val="24"/>
              </w:rPr>
            </w:pPr>
            <w:r w:rsidRPr="001B6D9F">
              <w:rPr>
                <w:rFonts w:ascii="Times New Roman" w:hAnsi="Times New Roman" w:cs="Times New Roman"/>
                <w:sz w:val="24"/>
                <w:szCs w:val="24"/>
              </w:rPr>
              <w:t xml:space="preserve">Attiecībā uz šo ir Eiropas </w:t>
            </w:r>
            <w:r>
              <w:rPr>
                <w:rFonts w:ascii="Times New Roman" w:hAnsi="Times New Roman" w:cs="Times New Roman"/>
                <w:sz w:val="24"/>
                <w:szCs w:val="24"/>
              </w:rPr>
              <w:t>k</w:t>
            </w:r>
            <w:r w:rsidRPr="001B6D9F">
              <w:rPr>
                <w:rFonts w:ascii="Times New Roman" w:hAnsi="Times New Roman" w:cs="Times New Roman"/>
                <w:sz w:val="24"/>
                <w:szCs w:val="24"/>
              </w:rPr>
              <w:t xml:space="preserve">omisijas </w:t>
            </w:r>
            <w:r>
              <w:rPr>
                <w:rFonts w:ascii="Times New Roman" w:hAnsi="Times New Roman" w:cs="Times New Roman"/>
                <w:sz w:val="24"/>
                <w:szCs w:val="24"/>
              </w:rPr>
              <w:t>j</w:t>
            </w:r>
            <w:r w:rsidRPr="001B6D9F">
              <w:rPr>
                <w:rFonts w:ascii="Times New Roman" w:hAnsi="Times New Roman" w:cs="Times New Roman"/>
                <w:sz w:val="24"/>
                <w:szCs w:val="24"/>
              </w:rPr>
              <w:t>autājumu un atbilžu  dokuments: dohttps://ec.europa.eu/health/system/files/2019-04/qa_clinicaltrials_gdpr_en_0.pdfkuments, bet konkrēta forma</w:t>
            </w:r>
            <w:r w:rsidR="00743D8A">
              <w:rPr>
                <w:rFonts w:ascii="Times New Roman" w:hAnsi="Times New Roman" w:cs="Times New Roman"/>
                <w:sz w:val="24"/>
                <w:szCs w:val="24"/>
              </w:rPr>
              <w:t xml:space="preserve"> izstrādāta</w:t>
            </w:r>
            <w:r w:rsidRPr="001B6D9F">
              <w:rPr>
                <w:rFonts w:ascii="Times New Roman" w:hAnsi="Times New Roman" w:cs="Times New Roman"/>
                <w:sz w:val="24"/>
                <w:szCs w:val="24"/>
              </w:rPr>
              <w:t xml:space="preserve"> nav.</w:t>
            </w:r>
          </w:p>
        </w:tc>
      </w:tr>
      <w:tr w:rsidR="002F30B3" w:rsidRPr="00504148" w14:paraId="0AA2822A"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6E77F11" w14:textId="095B69FF" w:rsidR="002F30B3" w:rsidRDefault="00166835"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0618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6C7C739" w14:textId="380A47A8" w:rsidR="002F30B3" w:rsidRDefault="00054CE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r w:rsidR="007D0F8A">
              <w:rPr>
                <w:rFonts w:ascii="Times New Roman" w:hAnsi="Times New Roman" w:cs="Times New Roman"/>
                <w:sz w:val="24"/>
                <w:szCs w:val="24"/>
              </w:rPr>
              <w:t xml:space="preserve">; </w:t>
            </w:r>
            <w:r w:rsidR="007D0F8A">
              <w:rPr>
                <w:rFonts w:ascii="Times New Roman" w:hAnsi="Times New Roman" w:cs="Times New Roman"/>
                <w:sz w:val="24"/>
                <w:szCs w:val="24"/>
              </w:rPr>
              <w:lastRenderedPageBreak/>
              <w:t>Zāļu klīniskās izpētes Ētikas komiteja; Latvijas klīniskās pētniecības asociācija</w:t>
            </w:r>
          </w:p>
          <w:p w14:paraId="76CD9351" w14:textId="77777777" w:rsidR="002F30B3" w:rsidRDefault="002F30B3" w:rsidP="00947E54">
            <w:pPr>
              <w:spacing w:after="0" w:line="240" w:lineRule="auto"/>
              <w:rPr>
                <w:rFonts w:ascii="Times New Roman" w:hAnsi="Times New Roman" w:cs="Times New Roman"/>
                <w:sz w:val="24"/>
                <w:szCs w:val="24"/>
              </w:rPr>
            </w:pPr>
          </w:p>
          <w:p w14:paraId="65181A4F" w14:textId="77777777" w:rsidR="002F30B3" w:rsidRDefault="002F30B3" w:rsidP="00947E54">
            <w:pPr>
              <w:spacing w:after="0" w:line="240" w:lineRule="auto"/>
              <w:rPr>
                <w:rFonts w:ascii="Times New Roman" w:hAnsi="Times New Roman" w:cs="Times New Roman"/>
                <w:sz w:val="24"/>
                <w:szCs w:val="24"/>
              </w:rPr>
            </w:pPr>
          </w:p>
          <w:p w14:paraId="323D4CEE" w14:textId="77777777" w:rsidR="002F30B3" w:rsidRDefault="002F30B3" w:rsidP="00947E54">
            <w:pPr>
              <w:spacing w:after="0" w:line="240" w:lineRule="auto"/>
              <w:rPr>
                <w:rFonts w:ascii="Times New Roman" w:hAnsi="Times New Roman" w:cs="Times New Roman"/>
                <w:sz w:val="24"/>
                <w:szCs w:val="24"/>
              </w:rPr>
            </w:pPr>
          </w:p>
          <w:p w14:paraId="14E66EA9" w14:textId="77777777" w:rsidR="002F30B3" w:rsidRDefault="002F30B3" w:rsidP="00947E54">
            <w:pPr>
              <w:spacing w:after="0" w:line="240" w:lineRule="auto"/>
              <w:rPr>
                <w:rFonts w:ascii="Times New Roman" w:hAnsi="Times New Roman" w:cs="Times New Roman"/>
                <w:sz w:val="24"/>
                <w:szCs w:val="24"/>
              </w:rPr>
            </w:pPr>
          </w:p>
          <w:p w14:paraId="35C2D72B" w14:textId="77777777" w:rsidR="002F30B3" w:rsidRDefault="002F30B3" w:rsidP="00947E54">
            <w:pPr>
              <w:spacing w:after="0" w:line="240" w:lineRule="auto"/>
              <w:rPr>
                <w:rFonts w:ascii="Times New Roman" w:hAnsi="Times New Roman" w:cs="Times New Roman"/>
                <w:sz w:val="24"/>
                <w:szCs w:val="24"/>
              </w:rPr>
            </w:pPr>
          </w:p>
          <w:p w14:paraId="46154D3F" w14:textId="77777777" w:rsidR="002F30B3" w:rsidRDefault="002F30B3" w:rsidP="00947E54">
            <w:pPr>
              <w:spacing w:after="0" w:line="240" w:lineRule="auto"/>
              <w:rPr>
                <w:rFonts w:ascii="Times New Roman" w:hAnsi="Times New Roman" w:cs="Times New Roman"/>
                <w:sz w:val="24"/>
                <w:szCs w:val="24"/>
              </w:rPr>
            </w:pPr>
          </w:p>
          <w:p w14:paraId="74518DEE" w14:textId="77777777" w:rsidR="002F30B3" w:rsidRDefault="002F30B3" w:rsidP="00947E54">
            <w:pPr>
              <w:spacing w:after="0" w:line="240" w:lineRule="auto"/>
              <w:rPr>
                <w:rFonts w:ascii="Times New Roman" w:hAnsi="Times New Roman" w:cs="Times New Roman"/>
                <w:sz w:val="24"/>
                <w:szCs w:val="24"/>
              </w:rPr>
            </w:pPr>
          </w:p>
          <w:p w14:paraId="6F8D1562" w14:textId="77777777" w:rsidR="002F30B3" w:rsidRDefault="002F30B3" w:rsidP="00947E54">
            <w:pPr>
              <w:spacing w:after="0" w:line="240" w:lineRule="auto"/>
              <w:rPr>
                <w:rFonts w:ascii="Times New Roman" w:hAnsi="Times New Roman" w:cs="Times New Roman"/>
                <w:sz w:val="24"/>
                <w:szCs w:val="24"/>
              </w:rPr>
            </w:pPr>
          </w:p>
          <w:p w14:paraId="78A60A26" w14:textId="77777777" w:rsidR="002F30B3" w:rsidRDefault="002F30B3" w:rsidP="00947E54">
            <w:pPr>
              <w:spacing w:after="0" w:line="240" w:lineRule="auto"/>
              <w:rPr>
                <w:rFonts w:ascii="Times New Roman" w:hAnsi="Times New Roman" w:cs="Times New Roman"/>
                <w:sz w:val="24"/>
                <w:szCs w:val="24"/>
              </w:rPr>
            </w:pPr>
          </w:p>
          <w:p w14:paraId="7DB2FA82" w14:textId="77777777" w:rsidR="002F30B3" w:rsidRDefault="002F30B3" w:rsidP="00947E54">
            <w:pPr>
              <w:spacing w:after="0" w:line="240" w:lineRule="auto"/>
              <w:rPr>
                <w:rFonts w:ascii="Times New Roman" w:hAnsi="Times New Roman" w:cs="Times New Roman"/>
                <w:sz w:val="24"/>
                <w:szCs w:val="24"/>
              </w:rPr>
            </w:pPr>
          </w:p>
          <w:p w14:paraId="1F058C29" w14:textId="77777777" w:rsidR="002F30B3" w:rsidRDefault="002F30B3" w:rsidP="00947E54">
            <w:pPr>
              <w:spacing w:after="0" w:line="240" w:lineRule="auto"/>
              <w:rPr>
                <w:rFonts w:ascii="Times New Roman" w:hAnsi="Times New Roman" w:cs="Times New Roman"/>
                <w:sz w:val="24"/>
                <w:szCs w:val="24"/>
              </w:rPr>
            </w:pPr>
          </w:p>
          <w:p w14:paraId="2701F7EF" w14:textId="77777777" w:rsidR="002F30B3" w:rsidRDefault="002F30B3" w:rsidP="00947E54">
            <w:pPr>
              <w:spacing w:after="0" w:line="240" w:lineRule="auto"/>
              <w:rPr>
                <w:rFonts w:ascii="Times New Roman" w:hAnsi="Times New Roman" w:cs="Times New Roman"/>
                <w:sz w:val="24"/>
                <w:szCs w:val="24"/>
              </w:rPr>
            </w:pPr>
          </w:p>
          <w:p w14:paraId="0D41929F" w14:textId="77777777" w:rsidR="002F30B3" w:rsidRDefault="002F30B3" w:rsidP="00947E54">
            <w:pPr>
              <w:spacing w:after="0" w:line="240" w:lineRule="auto"/>
              <w:rPr>
                <w:rFonts w:ascii="Times New Roman" w:hAnsi="Times New Roman" w:cs="Times New Roman"/>
                <w:sz w:val="24"/>
                <w:szCs w:val="24"/>
              </w:rPr>
            </w:pPr>
          </w:p>
          <w:p w14:paraId="22A7C2F7" w14:textId="77777777" w:rsidR="002F30B3" w:rsidRDefault="002F30B3" w:rsidP="00947E54">
            <w:pPr>
              <w:spacing w:after="0" w:line="240" w:lineRule="auto"/>
              <w:rPr>
                <w:rFonts w:ascii="Times New Roman" w:hAnsi="Times New Roman" w:cs="Times New Roman"/>
                <w:sz w:val="24"/>
                <w:szCs w:val="24"/>
              </w:rPr>
            </w:pPr>
          </w:p>
          <w:p w14:paraId="2BCC6997" w14:textId="77777777" w:rsidR="002F30B3" w:rsidRDefault="002F30B3" w:rsidP="00947E54">
            <w:pPr>
              <w:spacing w:after="0" w:line="240" w:lineRule="auto"/>
              <w:rPr>
                <w:rFonts w:ascii="Times New Roman" w:hAnsi="Times New Roman" w:cs="Times New Roman"/>
                <w:sz w:val="24"/>
                <w:szCs w:val="24"/>
              </w:rPr>
            </w:pPr>
          </w:p>
          <w:p w14:paraId="5D94F392" w14:textId="77777777" w:rsidR="002F30B3" w:rsidRDefault="002F30B3" w:rsidP="00947E54">
            <w:pPr>
              <w:spacing w:after="0" w:line="240" w:lineRule="auto"/>
              <w:rPr>
                <w:rFonts w:ascii="Times New Roman" w:hAnsi="Times New Roman" w:cs="Times New Roman"/>
                <w:sz w:val="24"/>
                <w:szCs w:val="24"/>
              </w:rPr>
            </w:pPr>
          </w:p>
          <w:p w14:paraId="5D883D7C" w14:textId="77777777" w:rsidR="002F30B3" w:rsidRDefault="002F30B3" w:rsidP="00947E54">
            <w:pPr>
              <w:spacing w:after="0" w:line="240" w:lineRule="auto"/>
              <w:rPr>
                <w:rFonts w:ascii="Times New Roman" w:hAnsi="Times New Roman" w:cs="Times New Roman"/>
                <w:sz w:val="24"/>
                <w:szCs w:val="24"/>
              </w:rPr>
            </w:pPr>
          </w:p>
          <w:p w14:paraId="2B3EAAFD" w14:textId="77777777" w:rsidR="002F30B3" w:rsidRDefault="002F30B3" w:rsidP="00947E54">
            <w:pPr>
              <w:spacing w:after="0" w:line="240" w:lineRule="auto"/>
              <w:rPr>
                <w:rFonts w:ascii="Times New Roman" w:hAnsi="Times New Roman" w:cs="Times New Roman"/>
                <w:sz w:val="24"/>
                <w:szCs w:val="24"/>
              </w:rPr>
            </w:pPr>
          </w:p>
          <w:p w14:paraId="0F39F6DA" w14:textId="77777777" w:rsidR="002F30B3" w:rsidRDefault="002F30B3" w:rsidP="00947E54">
            <w:pPr>
              <w:spacing w:after="0" w:line="240" w:lineRule="auto"/>
              <w:rPr>
                <w:rFonts w:ascii="Times New Roman" w:hAnsi="Times New Roman" w:cs="Times New Roman"/>
                <w:sz w:val="24"/>
                <w:szCs w:val="24"/>
              </w:rPr>
            </w:pPr>
          </w:p>
          <w:p w14:paraId="02E35F90" w14:textId="77777777" w:rsidR="002F30B3" w:rsidRDefault="002F30B3" w:rsidP="00947E54">
            <w:pPr>
              <w:spacing w:after="0" w:line="240" w:lineRule="auto"/>
              <w:rPr>
                <w:rFonts w:ascii="Times New Roman" w:hAnsi="Times New Roman" w:cs="Times New Roman"/>
                <w:sz w:val="24"/>
                <w:szCs w:val="24"/>
              </w:rPr>
            </w:pPr>
          </w:p>
          <w:p w14:paraId="0D72F459" w14:textId="77777777" w:rsidR="002F30B3" w:rsidRDefault="002F30B3" w:rsidP="00947E54">
            <w:pPr>
              <w:spacing w:after="0" w:line="240" w:lineRule="auto"/>
              <w:rPr>
                <w:rFonts w:ascii="Times New Roman" w:hAnsi="Times New Roman" w:cs="Times New Roman"/>
                <w:sz w:val="24"/>
                <w:szCs w:val="24"/>
              </w:rPr>
            </w:pPr>
          </w:p>
          <w:p w14:paraId="4BD25F0F" w14:textId="77777777" w:rsidR="002F30B3" w:rsidRDefault="002F30B3" w:rsidP="00947E54">
            <w:pPr>
              <w:spacing w:after="0" w:line="240" w:lineRule="auto"/>
              <w:rPr>
                <w:rFonts w:ascii="Times New Roman" w:hAnsi="Times New Roman" w:cs="Times New Roman"/>
                <w:sz w:val="24"/>
                <w:szCs w:val="24"/>
              </w:rPr>
            </w:pPr>
          </w:p>
          <w:p w14:paraId="66BC1300" w14:textId="77777777" w:rsidR="002F30B3" w:rsidRDefault="002F30B3" w:rsidP="00947E54">
            <w:pPr>
              <w:spacing w:after="0" w:line="240" w:lineRule="auto"/>
              <w:rPr>
                <w:rFonts w:ascii="Times New Roman" w:hAnsi="Times New Roman" w:cs="Times New Roman"/>
                <w:sz w:val="24"/>
                <w:szCs w:val="24"/>
              </w:rPr>
            </w:pPr>
          </w:p>
          <w:p w14:paraId="0BC4DB7B" w14:textId="77777777" w:rsidR="002F30B3" w:rsidRDefault="002F30B3" w:rsidP="00947E54">
            <w:pPr>
              <w:spacing w:after="0" w:line="240" w:lineRule="auto"/>
              <w:rPr>
                <w:rFonts w:ascii="Times New Roman" w:hAnsi="Times New Roman" w:cs="Times New Roman"/>
                <w:sz w:val="24"/>
                <w:szCs w:val="24"/>
              </w:rPr>
            </w:pPr>
          </w:p>
          <w:p w14:paraId="0FBB2065" w14:textId="77777777" w:rsidR="002F30B3" w:rsidRDefault="002F30B3" w:rsidP="00947E54">
            <w:pPr>
              <w:spacing w:after="0" w:line="240" w:lineRule="auto"/>
              <w:rPr>
                <w:rFonts w:ascii="Times New Roman" w:hAnsi="Times New Roman" w:cs="Times New Roman"/>
                <w:sz w:val="24"/>
                <w:szCs w:val="24"/>
              </w:rPr>
            </w:pPr>
          </w:p>
          <w:p w14:paraId="752CF08D" w14:textId="77777777" w:rsidR="002F30B3" w:rsidRDefault="002F30B3" w:rsidP="00947E54">
            <w:pPr>
              <w:spacing w:after="0" w:line="240" w:lineRule="auto"/>
              <w:rPr>
                <w:rFonts w:ascii="Times New Roman" w:hAnsi="Times New Roman" w:cs="Times New Roman"/>
                <w:sz w:val="24"/>
                <w:szCs w:val="24"/>
              </w:rPr>
            </w:pPr>
          </w:p>
          <w:p w14:paraId="42F32A97" w14:textId="77777777" w:rsidR="002F30B3" w:rsidRDefault="002F30B3" w:rsidP="00947E54">
            <w:pPr>
              <w:spacing w:after="0" w:line="240" w:lineRule="auto"/>
              <w:rPr>
                <w:rFonts w:ascii="Times New Roman" w:hAnsi="Times New Roman" w:cs="Times New Roman"/>
                <w:sz w:val="24"/>
                <w:szCs w:val="24"/>
              </w:rPr>
            </w:pPr>
          </w:p>
          <w:p w14:paraId="260C81BF" w14:textId="77777777" w:rsidR="002F30B3" w:rsidRDefault="002F30B3" w:rsidP="00947E54">
            <w:pPr>
              <w:spacing w:after="0" w:line="240" w:lineRule="auto"/>
              <w:rPr>
                <w:rFonts w:ascii="Times New Roman" w:hAnsi="Times New Roman" w:cs="Times New Roman"/>
                <w:sz w:val="24"/>
                <w:szCs w:val="24"/>
              </w:rPr>
            </w:pPr>
          </w:p>
          <w:p w14:paraId="77E6465F" w14:textId="77777777" w:rsidR="002F30B3" w:rsidRDefault="002F30B3" w:rsidP="00947E54">
            <w:pPr>
              <w:spacing w:after="0" w:line="240" w:lineRule="auto"/>
              <w:rPr>
                <w:rFonts w:ascii="Times New Roman" w:hAnsi="Times New Roman" w:cs="Times New Roman"/>
                <w:sz w:val="24"/>
                <w:szCs w:val="24"/>
              </w:rPr>
            </w:pPr>
          </w:p>
          <w:p w14:paraId="5FDD0FE0" w14:textId="77777777" w:rsidR="002F30B3" w:rsidRDefault="002F30B3" w:rsidP="00947E54">
            <w:pPr>
              <w:spacing w:after="0" w:line="240" w:lineRule="auto"/>
              <w:rPr>
                <w:rFonts w:ascii="Times New Roman" w:hAnsi="Times New Roman" w:cs="Times New Roman"/>
                <w:sz w:val="24"/>
                <w:szCs w:val="24"/>
              </w:rPr>
            </w:pPr>
          </w:p>
          <w:p w14:paraId="0C8B26B6" w14:textId="77777777" w:rsidR="002F30B3" w:rsidRDefault="002F30B3" w:rsidP="00947E54">
            <w:pPr>
              <w:spacing w:after="0" w:line="240" w:lineRule="auto"/>
              <w:rPr>
                <w:rFonts w:ascii="Times New Roman" w:hAnsi="Times New Roman" w:cs="Times New Roman"/>
                <w:sz w:val="24"/>
                <w:szCs w:val="24"/>
              </w:rPr>
            </w:pPr>
          </w:p>
          <w:p w14:paraId="55E54447" w14:textId="77777777" w:rsidR="002F30B3" w:rsidRDefault="002F30B3" w:rsidP="00947E54">
            <w:pPr>
              <w:spacing w:after="0" w:line="240" w:lineRule="auto"/>
              <w:rPr>
                <w:rFonts w:ascii="Times New Roman" w:hAnsi="Times New Roman" w:cs="Times New Roman"/>
                <w:sz w:val="24"/>
                <w:szCs w:val="24"/>
              </w:rPr>
            </w:pPr>
          </w:p>
          <w:p w14:paraId="613AF0F5" w14:textId="77777777" w:rsidR="002F30B3" w:rsidRDefault="002F30B3" w:rsidP="00947E54">
            <w:pPr>
              <w:spacing w:after="0" w:line="240" w:lineRule="auto"/>
              <w:rPr>
                <w:rFonts w:ascii="Times New Roman" w:hAnsi="Times New Roman" w:cs="Times New Roman"/>
                <w:sz w:val="24"/>
                <w:szCs w:val="24"/>
              </w:rPr>
            </w:pPr>
          </w:p>
          <w:p w14:paraId="473D9401" w14:textId="77777777" w:rsidR="002F30B3" w:rsidRDefault="002F30B3" w:rsidP="00947E54">
            <w:pPr>
              <w:spacing w:after="0" w:line="240" w:lineRule="auto"/>
              <w:rPr>
                <w:rFonts w:ascii="Times New Roman" w:hAnsi="Times New Roman" w:cs="Times New Roman"/>
                <w:sz w:val="24"/>
                <w:szCs w:val="24"/>
              </w:rPr>
            </w:pPr>
          </w:p>
          <w:p w14:paraId="2EA16E1B" w14:textId="77777777" w:rsidR="002F30B3" w:rsidRDefault="002F30B3" w:rsidP="00947E54">
            <w:pPr>
              <w:spacing w:after="0" w:line="240" w:lineRule="auto"/>
              <w:rPr>
                <w:rFonts w:ascii="Times New Roman" w:hAnsi="Times New Roman" w:cs="Times New Roman"/>
                <w:sz w:val="24"/>
                <w:szCs w:val="24"/>
              </w:rPr>
            </w:pPr>
          </w:p>
          <w:p w14:paraId="4EEEA478" w14:textId="77777777" w:rsidR="002F30B3" w:rsidRDefault="002F30B3" w:rsidP="00947E54">
            <w:pPr>
              <w:spacing w:after="0" w:line="240" w:lineRule="auto"/>
              <w:rPr>
                <w:rFonts w:ascii="Times New Roman" w:hAnsi="Times New Roman" w:cs="Times New Roman"/>
                <w:sz w:val="24"/>
                <w:szCs w:val="24"/>
              </w:rPr>
            </w:pPr>
          </w:p>
          <w:p w14:paraId="6A028E55" w14:textId="683AFEB9" w:rsidR="002F30B3" w:rsidRDefault="002F30B3" w:rsidP="00947E54">
            <w:pPr>
              <w:spacing w:after="0" w:line="240" w:lineRule="auto"/>
              <w:rPr>
                <w:rFonts w:ascii="Times New Roman" w:hAnsi="Times New Roman" w:cs="Times New Roman"/>
                <w:sz w:val="24"/>
                <w:szCs w:val="24"/>
              </w:rPr>
            </w:pPr>
          </w:p>
        </w:tc>
        <w:tc>
          <w:tcPr>
            <w:tcW w:w="1076" w:type="pct"/>
            <w:tcBorders>
              <w:top w:val="outset" w:sz="6" w:space="0" w:color="414142"/>
              <w:left w:val="outset" w:sz="6" w:space="0" w:color="414142"/>
              <w:bottom w:val="outset" w:sz="6" w:space="0" w:color="414142"/>
              <w:right w:val="outset" w:sz="6" w:space="0" w:color="414142"/>
            </w:tcBorders>
          </w:tcPr>
          <w:p w14:paraId="5A5E5B57" w14:textId="77777777" w:rsidR="002F30B3" w:rsidRPr="002F30B3" w:rsidRDefault="002F30B3" w:rsidP="002F30B3">
            <w:pPr>
              <w:spacing w:after="0" w:line="240" w:lineRule="auto"/>
              <w:contextualSpacing/>
              <w:jc w:val="both"/>
              <w:rPr>
                <w:rFonts w:ascii="Times New Roman" w:eastAsia="Calibri" w:hAnsi="Times New Roman" w:cs="Times New Roman"/>
                <w:sz w:val="24"/>
                <w:szCs w:val="24"/>
              </w:rPr>
            </w:pPr>
            <w:r w:rsidRPr="002F30B3">
              <w:rPr>
                <w:rFonts w:ascii="Times New Roman" w:eastAsia="Calibri" w:hAnsi="Times New Roman" w:cs="Times New Roman"/>
                <w:sz w:val="24"/>
                <w:szCs w:val="24"/>
              </w:rPr>
              <w:lastRenderedPageBreak/>
              <w:t xml:space="preserve">Noteikumu projekta 32.punkts. </w:t>
            </w:r>
          </w:p>
          <w:p w14:paraId="70E2ECAC" w14:textId="57479F13" w:rsidR="002F30B3" w:rsidRDefault="002F30B3" w:rsidP="002B0E7A">
            <w:pPr>
              <w:spacing w:after="0" w:line="240" w:lineRule="auto"/>
              <w:jc w:val="both"/>
              <w:rPr>
                <w:rFonts w:ascii="Times New Roman" w:eastAsia="Times New Roman" w:hAnsi="Times New Roman" w:cs="Times New Roman"/>
                <w:sz w:val="24"/>
                <w:szCs w:val="24"/>
              </w:rPr>
            </w:pPr>
            <w:r w:rsidRPr="002F30B3">
              <w:rPr>
                <w:rFonts w:ascii="Times New Roman" w:eastAsia="Times New Roman" w:hAnsi="Times New Roman" w:cs="Times New Roman"/>
                <w:sz w:val="24"/>
                <w:szCs w:val="24"/>
              </w:rPr>
              <w:t xml:space="preserve">Lai novērstu iespējamus pārpratumus un neskaidrību,  Komiteja aicina Veselības </w:t>
            </w:r>
            <w:r w:rsidRPr="002F30B3">
              <w:rPr>
                <w:rFonts w:ascii="Times New Roman" w:eastAsia="Times New Roman" w:hAnsi="Times New Roman" w:cs="Times New Roman"/>
                <w:sz w:val="24"/>
                <w:szCs w:val="24"/>
              </w:rPr>
              <w:lastRenderedPageBreak/>
              <w:t xml:space="preserve">ministriju apsvērt nepieciešamību nepārprotami noteikti bērna vecumu, kurā piekrišanu piedalīties pētījumā sniedz vecāki vai aizbildņi, līdz valstī noteiktajam pilngadības vecumam – 18 gadiem. </w:t>
            </w:r>
            <w:r w:rsidR="00C61908">
              <w:rPr>
                <w:rFonts w:ascii="Times New Roman" w:eastAsia="Times New Roman" w:hAnsi="Times New Roman" w:cs="Times New Roman"/>
                <w:sz w:val="24"/>
                <w:szCs w:val="24"/>
              </w:rPr>
              <w:t>P</w:t>
            </w:r>
            <w:r w:rsidRPr="002F30B3">
              <w:rPr>
                <w:rFonts w:ascii="Times New Roman" w:eastAsia="Times New Roman" w:hAnsi="Times New Roman" w:cs="Times New Roman"/>
                <w:sz w:val="24"/>
                <w:szCs w:val="24"/>
              </w:rPr>
              <w:t xml:space="preserve">ašreizējā noteikumu projekta 32.punkts nepārprotami ir vērsts uz to, ka bērnus pētījumos atļauts iesaistīt bez vecāku informētās piekrišanas saņemšanas (jo pat vecāku viedokļa noskaidrošana nav obligāta). Uzskatām, ka tas nav pareizs virziens, un aicinām nepārprotami noteikt 18 gadu vecumu, līdz kuram, personas iesaistīšanai pētījumā nepieciešama vecāka (aizbildņa) informētā piekrišana. </w:t>
            </w:r>
          </w:p>
          <w:p w14:paraId="0D99CA31" w14:textId="5FEE6D80" w:rsidR="002F30B3" w:rsidRDefault="002F30B3" w:rsidP="002F30B3">
            <w:pPr>
              <w:spacing w:after="0" w:line="240" w:lineRule="auto"/>
              <w:ind w:left="360"/>
              <w:jc w:val="both"/>
              <w:rPr>
                <w:rFonts w:ascii="Times New Roman" w:eastAsia="Times New Roman" w:hAnsi="Times New Roman" w:cs="Times New Roman"/>
                <w:sz w:val="24"/>
                <w:szCs w:val="24"/>
              </w:rPr>
            </w:pPr>
          </w:p>
          <w:p w14:paraId="7F1B46F0" w14:textId="19307A0B" w:rsidR="003611E2" w:rsidRPr="00FF5CAF" w:rsidRDefault="002F30B3" w:rsidP="002B0E7A">
            <w:pPr>
              <w:jc w:val="both"/>
              <w:rPr>
                <w:rFonts w:ascii="Times New Roman" w:eastAsia="Times New Roman" w:hAnsi="Times New Roman"/>
                <w:sz w:val="24"/>
                <w:szCs w:val="24"/>
                <w:lang w:eastAsia="lv-LV"/>
              </w:rPr>
            </w:pPr>
            <w:r w:rsidRPr="001C0EC9">
              <w:rPr>
                <w:rFonts w:ascii="Times New Roman" w:eastAsia="Times New Roman" w:hAnsi="Times New Roman"/>
                <w:sz w:val="24"/>
                <w:szCs w:val="24"/>
                <w:lang w:eastAsia="lv-LV"/>
              </w:rPr>
              <w:t xml:space="preserve">Nepieciešams arī izvērtēt, kāda informācija un no kāda vecuma ir jāsniedz nepilngadīgai personai. Ir dažādu valstu pieredze, kas paredz, ka bērniem līdz 6 gadu vecumam nav nepieciešama atsevišķa Informētā piekrišana. Pārējiem bērniem sadalās pēc vecuma grupām 7-13 un  14-17 gadiem, katram vecumam tiek piedāvāta </w:t>
            </w:r>
            <w:r w:rsidRPr="001C0EC9">
              <w:rPr>
                <w:rFonts w:ascii="Times New Roman" w:eastAsia="Times New Roman" w:hAnsi="Times New Roman"/>
                <w:sz w:val="24"/>
                <w:szCs w:val="24"/>
                <w:lang w:eastAsia="lv-LV"/>
              </w:rPr>
              <w:lastRenderedPageBreak/>
              <w:t>briedumam saprotama informācija par pētījumu. Latvijai līdz šim nav bijis šāds regulējums.</w:t>
            </w:r>
          </w:p>
        </w:tc>
        <w:tc>
          <w:tcPr>
            <w:tcW w:w="735" w:type="pct"/>
            <w:tcBorders>
              <w:top w:val="outset" w:sz="6" w:space="0" w:color="414142"/>
              <w:left w:val="outset" w:sz="6" w:space="0" w:color="414142"/>
              <w:bottom w:val="outset" w:sz="6" w:space="0" w:color="414142"/>
              <w:right w:val="outset" w:sz="6" w:space="0" w:color="414142"/>
            </w:tcBorders>
          </w:tcPr>
          <w:p w14:paraId="547D7340" w14:textId="2738ECF4" w:rsidR="002F30B3" w:rsidRDefault="002F30B3" w:rsidP="002F30B3">
            <w:pPr>
              <w:spacing w:after="0" w:line="240" w:lineRule="auto"/>
              <w:jc w:val="center"/>
              <w:rPr>
                <w:rFonts w:ascii="Times New Roman" w:eastAsia="Times New Roman" w:hAnsi="Times New Roman" w:cs="Times New Roman"/>
                <w:sz w:val="24"/>
                <w:szCs w:val="24"/>
                <w:lang w:eastAsia="lv-LV"/>
              </w:rPr>
            </w:pPr>
            <w:r w:rsidRPr="00797917">
              <w:rPr>
                <w:rFonts w:ascii="Times New Roman" w:eastAsia="Times New Roman" w:hAnsi="Times New Roman" w:cs="Times New Roman"/>
                <w:sz w:val="24"/>
                <w:szCs w:val="24"/>
                <w:lang w:eastAsia="lv-LV"/>
              </w:rPr>
              <w:lastRenderedPageBreak/>
              <w:t>Ņemts vērā</w:t>
            </w:r>
            <w:r w:rsidR="002B0E7A" w:rsidRPr="00797917">
              <w:rPr>
                <w:rFonts w:ascii="Times New Roman" w:eastAsia="Times New Roman" w:hAnsi="Times New Roman" w:cs="Times New Roman"/>
                <w:sz w:val="24"/>
                <w:szCs w:val="24"/>
                <w:lang w:eastAsia="lv-LV"/>
              </w:rPr>
              <w:t xml:space="preserve"> daļēji</w:t>
            </w:r>
          </w:p>
        </w:tc>
        <w:tc>
          <w:tcPr>
            <w:tcW w:w="1622" w:type="pct"/>
            <w:tcBorders>
              <w:top w:val="outset" w:sz="6" w:space="0" w:color="414142"/>
              <w:left w:val="outset" w:sz="6" w:space="0" w:color="414142"/>
              <w:bottom w:val="outset" w:sz="6" w:space="0" w:color="414142"/>
              <w:right w:val="outset" w:sz="6" w:space="0" w:color="414142"/>
            </w:tcBorders>
          </w:tcPr>
          <w:p w14:paraId="3307A48B" w14:textId="144F63FB" w:rsidR="002F30B3" w:rsidRPr="005A41EC" w:rsidRDefault="00C61908" w:rsidP="002F30B3">
            <w:pPr>
              <w:contextualSpacing/>
              <w:jc w:val="both"/>
              <w:rPr>
                <w:rFonts w:ascii="Times New Roman" w:hAnsi="Times New Roman" w:cs="Times New Roman"/>
                <w:sz w:val="24"/>
                <w:szCs w:val="24"/>
              </w:rPr>
            </w:pPr>
            <w:r w:rsidRPr="00797917">
              <w:rPr>
                <w:rFonts w:ascii="Times New Roman" w:hAnsi="Times New Roman" w:cs="Times New Roman"/>
                <w:sz w:val="24"/>
                <w:szCs w:val="24"/>
              </w:rPr>
              <w:t>Noteikumu projekta 32.</w:t>
            </w:r>
            <w:r w:rsidR="00291116" w:rsidRPr="00797917">
              <w:rPr>
                <w:rFonts w:ascii="Times New Roman" w:hAnsi="Times New Roman" w:cs="Times New Roman"/>
                <w:sz w:val="24"/>
                <w:szCs w:val="24"/>
              </w:rPr>
              <w:t xml:space="preserve"> </w:t>
            </w:r>
            <w:r w:rsidRPr="00797917">
              <w:rPr>
                <w:rFonts w:ascii="Times New Roman" w:hAnsi="Times New Roman" w:cs="Times New Roman"/>
                <w:sz w:val="24"/>
                <w:szCs w:val="24"/>
              </w:rPr>
              <w:t>punkt</w:t>
            </w:r>
            <w:r w:rsidR="00576F8D">
              <w:rPr>
                <w:rFonts w:ascii="Times New Roman" w:hAnsi="Times New Roman" w:cs="Times New Roman"/>
                <w:sz w:val="24"/>
                <w:szCs w:val="24"/>
              </w:rPr>
              <w:t>a pirmais teikums</w:t>
            </w:r>
            <w:r w:rsidRPr="00797917">
              <w:rPr>
                <w:rFonts w:ascii="Times New Roman" w:hAnsi="Times New Roman" w:cs="Times New Roman"/>
                <w:sz w:val="24"/>
                <w:szCs w:val="24"/>
              </w:rPr>
              <w:t xml:space="preserve"> izteikts </w:t>
            </w:r>
            <w:r w:rsidR="00291116" w:rsidRPr="00797917">
              <w:rPr>
                <w:rFonts w:ascii="Times New Roman" w:hAnsi="Times New Roman" w:cs="Times New Roman"/>
                <w:sz w:val="24"/>
                <w:szCs w:val="24"/>
              </w:rPr>
              <w:t xml:space="preserve">šādā </w:t>
            </w:r>
            <w:r w:rsidRPr="00797917">
              <w:rPr>
                <w:rFonts w:ascii="Times New Roman" w:hAnsi="Times New Roman" w:cs="Times New Roman"/>
                <w:sz w:val="24"/>
                <w:szCs w:val="24"/>
              </w:rPr>
              <w:t xml:space="preserve">redakcijā: </w:t>
            </w:r>
            <w:r w:rsidR="002F30B3" w:rsidRPr="005A41EC">
              <w:rPr>
                <w:rFonts w:ascii="Times New Roman" w:hAnsi="Times New Roman" w:cs="Times New Roman"/>
                <w:sz w:val="24"/>
                <w:szCs w:val="24"/>
              </w:rPr>
              <w:t>"</w:t>
            </w:r>
            <w:r w:rsidR="005A41EC" w:rsidRPr="005A41EC">
              <w:rPr>
                <w:rFonts w:ascii="Times New Roman" w:hAnsi="Times New Roman" w:cs="Times New Roman"/>
                <w:sz w:val="24"/>
                <w:szCs w:val="24"/>
              </w:rPr>
              <w:t xml:space="preserve">Iesaistot klīniskajā pārbaudē nepilngadīgu personu, rakstveida </w:t>
            </w:r>
            <w:r w:rsidR="005A41EC" w:rsidRPr="005A41EC">
              <w:rPr>
                <w:rFonts w:ascii="Times New Roman" w:hAnsi="Times New Roman" w:cs="Times New Roman"/>
                <w:sz w:val="24"/>
                <w:szCs w:val="24"/>
              </w:rPr>
              <w:lastRenderedPageBreak/>
              <w:t xml:space="preserve">piekrišanu dod </w:t>
            </w:r>
            <w:r w:rsidR="005A41EC" w:rsidRPr="005A41EC">
              <w:rPr>
                <w:rStyle w:val="scayt-misspell-word"/>
                <w:rFonts w:ascii="Times New Roman" w:hAnsi="Times New Roman" w:cs="Times New Roman"/>
                <w:sz w:val="24"/>
                <w:szCs w:val="24"/>
              </w:rPr>
              <w:t>pētāmās</w:t>
            </w:r>
            <w:r w:rsidR="005A41EC" w:rsidRPr="005A41EC">
              <w:rPr>
                <w:rFonts w:ascii="Times New Roman" w:hAnsi="Times New Roman" w:cs="Times New Roman"/>
                <w:sz w:val="24"/>
                <w:szCs w:val="24"/>
              </w:rPr>
              <w:t xml:space="preserve"> personas likumiskais pārstāvis.</w:t>
            </w:r>
            <w:r w:rsidR="002F30B3" w:rsidRPr="005A41EC">
              <w:rPr>
                <w:rFonts w:ascii="Times New Roman" w:hAnsi="Times New Roman" w:cs="Times New Roman"/>
                <w:sz w:val="24"/>
                <w:szCs w:val="24"/>
              </w:rPr>
              <w:t>"</w:t>
            </w:r>
          </w:p>
          <w:p w14:paraId="79B727CC" w14:textId="154E30DF" w:rsidR="001C0EC9" w:rsidRDefault="001C0EC9" w:rsidP="002F30B3">
            <w:pPr>
              <w:contextualSpacing/>
              <w:jc w:val="both"/>
              <w:rPr>
                <w:rFonts w:ascii="Times New Roman" w:hAnsi="Times New Roman" w:cs="Times New Roman"/>
                <w:sz w:val="24"/>
                <w:szCs w:val="24"/>
              </w:rPr>
            </w:pPr>
            <w:r w:rsidRPr="005A41EC">
              <w:rPr>
                <w:rFonts w:ascii="Times New Roman" w:hAnsi="Times New Roman" w:cs="Times New Roman"/>
                <w:sz w:val="24"/>
                <w:szCs w:val="24"/>
              </w:rPr>
              <w:t>Pacientu tiesību likums noteic kārtību</w:t>
            </w:r>
            <w:r w:rsidRPr="00C871CC">
              <w:rPr>
                <w:rFonts w:ascii="Times New Roman" w:hAnsi="Times New Roman" w:cs="Times New Roman"/>
                <w:sz w:val="24"/>
                <w:szCs w:val="24"/>
              </w:rPr>
              <w:t xml:space="preserve"> un vecuma slieksni piekrišanas sniegšanai</w:t>
            </w:r>
            <w:r w:rsidRPr="00A56C16">
              <w:rPr>
                <w:rFonts w:ascii="Times New Roman" w:hAnsi="Times New Roman" w:cs="Times New Roman"/>
                <w:sz w:val="24"/>
                <w:szCs w:val="24"/>
              </w:rPr>
              <w:t xml:space="preserve">, līdz ar ko tā ir sponsora atbildība, kādā </w:t>
            </w:r>
            <w:r w:rsidR="00FF5CAF" w:rsidRPr="00A56C16">
              <w:rPr>
                <w:rFonts w:ascii="Times New Roman" w:hAnsi="Times New Roman" w:cs="Times New Roman"/>
                <w:sz w:val="24"/>
                <w:szCs w:val="24"/>
              </w:rPr>
              <w:t>veidā/formā tiek pasniegta informācija.</w:t>
            </w:r>
          </w:p>
          <w:p w14:paraId="2EAAA9AE" w14:textId="77777777" w:rsidR="001C0EC9" w:rsidRDefault="001C0EC9" w:rsidP="002F30B3">
            <w:pPr>
              <w:contextualSpacing/>
              <w:jc w:val="both"/>
              <w:rPr>
                <w:rFonts w:ascii="Times New Roman" w:hAnsi="Times New Roman" w:cs="Times New Roman"/>
                <w:sz w:val="24"/>
                <w:szCs w:val="24"/>
              </w:rPr>
            </w:pPr>
          </w:p>
          <w:p w14:paraId="6BBB4713" w14:textId="4DE70716" w:rsidR="00797917" w:rsidRPr="00291116" w:rsidRDefault="00797917" w:rsidP="002F30B3">
            <w:pPr>
              <w:contextualSpacing/>
              <w:jc w:val="both"/>
              <w:rPr>
                <w:rFonts w:ascii="Times New Roman" w:hAnsi="Times New Roman" w:cs="Times New Roman"/>
                <w:sz w:val="24"/>
                <w:szCs w:val="24"/>
              </w:rPr>
            </w:pPr>
          </w:p>
        </w:tc>
      </w:tr>
      <w:tr w:rsidR="00693215" w:rsidRPr="00504148" w14:paraId="38787487"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6EA83707" w14:textId="35211988" w:rsidR="00693215" w:rsidRDefault="00054CEF"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E0618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46540978" w14:textId="1152FF21" w:rsidR="00693215" w:rsidRDefault="00693215"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Latvijas Patentbrīvo Medikamentu asociācija</w:t>
            </w:r>
            <w:r w:rsidR="005F76F8">
              <w:rPr>
                <w:rFonts w:ascii="Times New Roman" w:hAnsi="Times New Roman" w:cs="Times New Roman"/>
                <w:sz w:val="24"/>
                <w:szCs w:val="24"/>
              </w:rPr>
              <w:t>; Latvijas klīniskās pētniecības asociācija</w:t>
            </w:r>
          </w:p>
        </w:tc>
        <w:tc>
          <w:tcPr>
            <w:tcW w:w="1076" w:type="pct"/>
            <w:tcBorders>
              <w:top w:val="outset" w:sz="6" w:space="0" w:color="414142"/>
              <w:left w:val="outset" w:sz="6" w:space="0" w:color="414142"/>
              <w:bottom w:val="outset" w:sz="6" w:space="0" w:color="414142"/>
              <w:right w:val="outset" w:sz="6" w:space="0" w:color="414142"/>
            </w:tcBorders>
          </w:tcPr>
          <w:p w14:paraId="20FC193C" w14:textId="5CB559C6" w:rsidR="00693215" w:rsidRPr="00693215" w:rsidRDefault="00693215" w:rsidP="002F30B3">
            <w:pPr>
              <w:spacing w:after="0" w:line="240" w:lineRule="auto"/>
              <w:contextualSpacing/>
              <w:jc w:val="both"/>
              <w:rPr>
                <w:rFonts w:ascii="Times New Roman" w:eastAsia="Calibri" w:hAnsi="Times New Roman" w:cs="Times New Roman"/>
                <w:sz w:val="24"/>
                <w:szCs w:val="24"/>
              </w:rPr>
            </w:pPr>
            <w:r w:rsidRPr="00693215">
              <w:rPr>
                <w:rFonts w:ascii="Times New Roman" w:hAnsi="Times New Roman" w:cs="Times New Roman"/>
                <w:sz w:val="24"/>
                <w:szCs w:val="24"/>
              </w:rPr>
              <w:t>Lai pilnībā izprastu 37. punktā noteikto prasību, lūgums sniegt rakstveida papildu skaidrojumu, precizējot</w:t>
            </w:r>
            <w:r>
              <w:rPr>
                <w:rFonts w:ascii="Times New Roman" w:hAnsi="Times New Roman" w:cs="Times New Roman"/>
                <w:sz w:val="24"/>
                <w:szCs w:val="24"/>
              </w:rPr>
              <w:t>,</w:t>
            </w:r>
            <w:r w:rsidRPr="00693215">
              <w:rPr>
                <w:rFonts w:ascii="Times New Roman" w:hAnsi="Times New Roman" w:cs="Times New Roman"/>
                <w:sz w:val="24"/>
                <w:szCs w:val="24"/>
              </w:rPr>
              <w:t xml:space="preserve"> kurām iestādēm/personām ir tiesības pieprasīt un saņemt pētāmās personas klīniskos un personas datus, norādot konkrētu atsauci uz normatīvajiem datiem. Tas nepārprotami precizētu, kādas tiesības attiecībā uz personas klīniskiem un personas datiem ir pētījuma sponsora pārstāvim (monitoram, auditoram).</w:t>
            </w:r>
          </w:p>
        </w:tc>
        <w:tc>
          <w:tcPr>
            <w:tcW w:w="735" w:type="pct"/>
            <w:tcBorders>
              <w:top w:val="outset" w:sz="6" w:space="0" w:color="414142"/>
              <w:left w:val="outset" w:sz="6" w:space="0" w:color="414142"/>
              <w:bottom w:val="outset" w:sz="6" w:space="0" w:color="414142"/>
              <w:right w:val="outset" w:sz="6" w:space="0" w:color="414142"/>
            </w:tcBorders>
          </w:tcPr>
          <w:p w14:paraId="0260E812" w14:textId="064FCB25" w:rsidR="00693215" w:rsidRPr="002B0E7A" w:rsidRDefault="00FF5CAF" w:rsidP="002F30B3">
            <w:pPr>
              <w:spacing w:after="0" w:line="240" w:lineRule="auto"/>
              <w:jc w:val="center"/>
              <w:rPr>
                <w:rFonts w:ascii="Times New Roman" w:eastAsia="Times New Roman" w:hAnsi="Times New Roman" w:cs="Times New Roman"/>
                <w:sz w:val="24"/>
                <w:szCs w:val="24"/>
                <w:lang w:eastAsia="lv-LV"/>
              </w:rPr>
            </w:pPr>
            <w:r w:rsidRPr="00FF5CAF">
              <w:rPr>
                <w:rFonts w:ascii="Times New Roman" w:eastAsia="Times New Roman" w:hAnsi="Times New Roman" w:cs="Times New Roman"/>
                <w:sz w:val="24"/>
                <w:szCs w:val="24"/>
                <w:lang w:eastAsia="lv-LV"/>
              </w:rPr>
              <w:t>Netiek ņemts vērā</w:t>
            </w:r>
          </w:p>
        </w:tc>
        <w:tc>
          <w:tcPr>
            <w:tcW w:w="1622" w:type="pct"/>
            <w:tcBorders>
              <w:top w:val="outset" w:sz="6" w:space="0" w:color="414142"/>
              <w:left w:val="outset" w:sz="6" w:space="0" w:color="414142"/>
              <w:bottom w:val="outset" w:sz="6" w:space="0" w:color="414142"/>
              <w:right w:val="outset" w:sz="6" w:space="0" w:color="414142"/>
            </w:tcBorders>
          </w:tcPr>
          <w:p w14:paraId="7F15AB3D" w14:textId="35F6D385" w:rsidR="002326F5" w:rsidRPr="00FF5CAF" w:rsidRDefault="002326F5" w:rsidP="002B0E7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w:t>
            </w:r>
            <w:r w:rsidR="00FF5CA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projek</w:t>
            </w:r>
            <w:r w:rsidR="00FF5CAF">
              <w:rPr>
                <w:rFonts w:ascii="Times New Roman" w:eastAsia="Times New Roman" w:hAnsi="Times New Roman" w:cs="Times New Roman"/>
                <w:sz w:val="24"/>
                <w:szCs w:val="24"/>
                <w:lang w:eastAsia="lv-LV"/>
              </w:rPr>
              <w:t>ta</w:t>
            </w:r>
            <w:r>
              <w:rPr>
                <w:rFonts w:ascii="Times New Roman" w:eastAsia="Times New Roman" w:hAnsi="Times New Roman" w:cs="Times New Roman"/>
                <w:sz w:val="24"/>
                <w:szCs w:val="24"/>
                <w:lang w:eastAsia="lv-LV"/>
              </w:rPr>
              <w:t xml:space="preserve"> 37.</w:t>
            </w:r>
            <w:r w:rsidR="00FF5CAF">
              <w:rPr>
                <w:rFonts w:ascii="Times New Roman" w:eastAsia="Times New Roman" w:hAnsi="Times New Roman" w:cs="Times New Roman"/>
                <w:sz w:val="24"/>
                <w:szCs w:val="24"/>
                <w:lang w:eastAsia="lv-LV"/>
              </w:rPr>
              <w:t xml:space="preserve"> punkts </w:t>
            </w:r>
            <w:r w:rsidR="006D5B47">
              <w:rPr>
                <w:rFonts w:ascii="Times New Roman" w:eastAsia="Times New Roman" w:hAnsi="Times New Roman" w:cs="Times New Roman"/>
                <w:sz w:val="24"/>
                <w:szCs w:val="24"/>
                <w:lang w:eastAsia="lv-LV"/>
              </w:rPr>
              <w:t xml:space="preserve">attiecās tikai uz iestādēm, </w:t>
            </w:r>
            <w:r w:rsidR="00213DD2">
              <w:rPr>
                <w:rFonts w:ascii="Times New Roman" w:eastAsia="Times New Roman" w:hAnsi="Times New Roman" w:cs="Times New Roman"/>
                <w:sz w:val="24"/>
                <w:szCs w:val="24"/>
                <w:lang w:eastAsia="lv-LV"/>
              </w:rPr>
              <w:t xml:space="preserve">taču </w:t>
            </w:r>
            <w:r w:rsidR="006D5B47">
              <w:rPr>
                <w:rFonts w:ascii="Times New Roman" w:eastAsia="Times New Roman" w:hAnsi="Times New Roman" w:cs="Times New Roman"/>
                <w:sz w:val="24"/>
                <w:szCs w:val="24"/>
                <w:lang w:eastAsia="lv-LV"/>
              </w:rPr>
              <w:t>neattiecas uz sponsoriem</w:t>
            </w:r>
            <w:r w:rsidR="00FF5CAF">
              <w:rPr>
                <w:rFonts w:ascii="Times New Roman" w:eastAsia="Times New Roman" w:hAnsi="Times New Roman" w:cs="Times New Roman"/>
                <w:sz w:val="24"/>
                <w:szCs w:val="24"/>
                <w:lang w:eastAsia="lv-LV"/>
              </w:rPr>
              <w:t xml:space="preserve">. Savukārt Noteikumu projekta 63. punktā noteiktas tiesības attiecībā uz personas klīniskajiem un personas datiem </w:t>
            </w:r>
            <w:r w:rsidR="00FF5CAF" w:rsidRPr="00FF5CAF">
              <w:rPr>
                <w:rFonts w:ascii="Times New Roman" w:hAnsi="Times New Roman" w:cs="Times New Roman"/>
                <w:sz w:val="24"/>
                <w:szCs w:val="24"/>
              </w:rPr>
              <w:t>sponsoram, sponsora pārstāvjiem un pētniekam</w:t>
            </w:r>
            <w:r w:rsidR="00FF5CAF">
              <w:rPr>
                <w:rFonts w:ascii="Times New Roman" w:hAnsi="Times New Roman" w:cs="Times New Roman"/>
                <w:sz w:val="24"/>
                <w:szCs w:val="24"/>
              </w:rPr>
              <w:t>.</w:t>
            </w:r>
          </w:p>
          <w:p w14:paraId="26E210AB" w14:textId="77777777" w:rsidR="002B0E7A" w:rsidRDefault="002B0E7A" w:rsidP="002F30B3">
            <w:pPr>
              <w:contextualSpacing/>
              <w:jc w:val="both"/>
              <w:rPr>
                <w:rFonts w:ascii="Times New Roman" w:hAnsi="Times New Roman" w:cs="Times New Roman"/>
                <w:i/>
                <w:iCs/>
                <w:sz w:val="24"/>
                <w:szCs w:val="24"/>
              </w:rPr>
            </w:pPr>
          </w:p>
          <w:p w14:paraId="5AB3A2C6" w14:textId="24FC761B" w:rsidR="006D5B47" w:rsidRPr="002B0E7A" w:rsidRDefault="006D5B47" w:rsidP="002F30B3">
            <w:pPr>
              <w:contextualSpacing/>
              <w:jc w:val="both"/>
              <w:rPr>
                <w:rFonts w:ascii="Times New Roman" w:hAnsi="Times New Roman" w:cs="Times New Roman"/>
                <w:i/>
                <w:iCs/>
                <w:sz w:val="24"/>
                <w:szCs w:val="24"/>
              </w:rPr>
            </w:pPr>
          </w:p>
        </w:tc>
      </w:tr>
      <w:tr w:rsidR="00F3509C" w:rsidRPr="00504148" w14:paraId="1A5F414D"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24474DEF" w14:textId="2F9092C3" w:rsidR="00F3509C" w:rsidRDefault="000A3CDF"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06186">
              <w:rPr>
                <w:rFonts w:ascii="Times New Roman" w:eastAsia="Times New Roman" w:hAnsi="Times New Roman" w:cs="Times New Roman"/>
                <w:sz w:val="24"/>
                <w:szCs w:val="24"/>
                <w:lang w:eastAsia="lv-LV"/>
              </w:rPr>
              <w:t>7</w:t>
            </w:r>
            <w:r w:rsidR="00054CEF">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5E8591C1" w14:textId="11ABC5F1" w:rsidR="00F3509C" w:rsidRPr="00F3509C" w:rsidRDefault="00F3509C" w:rsidP="00947E54">
            <w:pPr>
              <w:spacing w:after="0" w:line="240" w:lineRule="auto"/>
              <w:rPr>
                <w:rFonts w:ascii="Times New Roman" w:hAnsi="Times New Roman" w:cs="Times New Roman"/>
                <w:sz w:val="24"/>
                <w:szCs w:val="24"/>
              </w:rPr>
            </w:pPr>
            <w:r w:rsidRPr="00F3509C">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7E5ABD87" w14:textId="316EC83E" w:rsidR="00F3509C" w:rsidRPr="002B0E7A" w:rsidRDefault="00F3509C" w:rsidP="00F3509C">
            <w:pPr>
              <w:shd w:val="clear" w:color="auto" w:fill="FFFFFF"/>
              <w:spacing w:after="0" w:line="240" w:lineRule="auto"/>
              <w:jc w:val="both"/>
              <w:rPr>
                <w:rFonts w:ascii="Times New Roman" w:eastAsia="Times New Roman" w:hAnsi="Times New Roman" w:cs="Times New Roman"/>
                <w:sz w:val="24"/>
                <w:szCs w:val="24"/>
                <w:lang w:eastAsia="lv-LV"/>
              </w:rPr>
            </w:pPr>
            <w:r w:rsidRPr="00F3509C">
              <w:rPr>
                <w:rFonts w:ascii="Times New Roman" w:eastAsia="Times New Roman" w:hAnsi="Times New Roman" w:cs="Times New Roman"/>
                <w:color w:val="525252"/>
                <w:sz w:val="24"/>
                <w:szCs w:val="24"/>
                <w:lang w:eastAsia="lv-LV"/>
              </w:rPr>
              <w:t xml:space="preserve">V.nodaļa </w:t>
            </w:r>
            <w:r w:rsidRPr="002B0E7A">
              <w:rPr>
                <w:rFonts w:ascii="Times New Roman" w:eastAsia="Times New Roman" w:hAnsi="Times New Roman" w:cs="Times New Roman"/>
                <w:sz w:val="24"/>
                <w:szCs w:val="24"/>
                <w:lang w:eastAsia="lv-LV"/>
              </w:rPr>
              <w:t>Klīniskās pārbaudes norise un drošuma ziņojumi</w:t>
            </w:r>
            <w:r w:rsidR="00C61908" w:rsidRPr="002B0E7A">
              <w:rPr>
                <w:rFonts w:ascii="Times New Roman" w:eastAsia="Times New Roman" w:hAnsi="Times New Roman" w:cs="Times New Roman"/>
                <w:sz w:val="24"/>
                <w:szCs w:val="24"/>
                <w:lang w:eastAsia="lv-LV"/>
              </w:rPr>
              <w:t>.</w:t>
            </w:r>
          </w:p>
          <w:p w14:paraId="45358157" w14:textId="00C52D86" w:rsidR="00F3509C" w:rsidRPr="00F3509C" w:rsidRDefault="00F3509C" w:rsidP="00F3509C">
            <w:pPr>
              <w:pStyle w:val="CommentText"/>
              <w:jc w:val="both"/>
              <w:rPr>
                <w:sz w:val="24"/>
                <w:szCs w:val="24"/>
              </w:rPr>
            </w:pPr>
            <w:r w:rsidRPr="002B0E7A">
              <w:rPr>
                <w:sz w:val="24"/>
                <w:szCs w:val="24"/>
                <w:lang w:val="lv-LV"/>
              </w:rPr>
              <w:t xml:space="preserve">Noteikumi nenosaka, kāda drošības informācija </w:t>
            </w:r>
            <w:r w:rsidRPr="00F3509C">
              <w:rPr>
                <w:sz w:val="24"/>
                <w:szCs w:val="24"/>
                <w:lang w:val="lv-LV"/>
              </w:rPr>
              <w:t xml:space="preserve">būtu sniedzama pētniekam. </w:t>
            </w:r>
            <w:r w:rsidRPr="00F3509C">
              <w:rPr>
                <w:sz w:val="24"/>
                <w:szCs w:val="24"/>
              </w:rPr>
              <w:t>Vai to tiešām var noteikt pats pētījuma sponsors (domestic SUSARs, SUSAR LLs, tikai Pētnieka brošūra)?</w:t>
            </w:r>
          </w:p>
        </w:tc>
        <w:tc>
          <w:tcPr>
            <w:tcW w:w="735" w:type="pct"/>
            <w:tcBorders>
              <w:top w:val="outset" w:sz="6" w:space="0" w:color="414142"/>
              <w:left w:val="outset" w:sz="6" w:space="0" w:color="414142"/>
              <w:bottom w:val="outset" w:sz="6" w:space="0" w:color="414142"/>
              <w:right w:val="outset" w:sz="6" w:space="0" w:color="414142"/>
            </w:tcBorders>
          </w:tcPr>
          <w:p w14:paraId="30AFB37C" w14:textId="31CCCE94" w:rsidR="00F3509C" w:rsidRPr="005B7BD3" w:rsidRDefault="005B7BD3" w:rsidP="002F30B3">
            <w:pPr>
              <w:spacing w:after="0" w:line="240" w:lineRule="auto"/>
              <w:jc w:val="center"/>
              <w:rPr>
                <w:rFonts w:ascii="Times New Roman" w:eastAsia="Times New Roman" w:hAnsi="Times New Roman" w:cs="Times New Roman"/>
                <w:sz w:val="24"/>
                <w:szCs w:val="24"/>
                <w:lang w:eastAsia="lv-LV"/>
              </w:rPr>
            </w:pPr>
            <w:r w:rsidRPr="005B7BD3">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2017AA3B" w14:textId="0274DEA1" w:rsidR="00ED6109" w:rsidRDefault="009A647F" w:rsidP="002F30B3">
            <w:pPr>
              <w:contextualSpacing/>
              <w:jc w:val="both"/>
              <w:rPr>
                <w:rFonts w:ascii="Times New Roman" w:hAnsi="Times New Roman" w:cs="Times New Roman"/>
                <w:sz w:val="24"/>
                <w:szCs w:val="24"/>
              </w:rPr>
            </w:pPr>
            <w:r w:rsidRPr="00412BC6">
              <w:rPr>
                <w:rFonts w:ascii="Times New Roman" w:hAnsi="Times New Roman" w:cs="Times New Roman"/>
                <w:sz w:val="24"/>
                <w:szCs w:val="24"/>
              </w:rPr>
              <w:t>Papildināta anotācija ar skaidrojumu.</w:t>
            </w:r>
          </w:p>
          <w:p w14:paraId="5F855D75" w14:textId="0772A040" w:rsidR="00F3509C" w:rsidRPr="00ED6109" w:rsidRDefault="00F3509C" w:rsidP="002F30B3">
            <w:pPr>
              <w:contextualSpacing/>
              <w:jc w:val="both"/>
              <w:rPr>
                <w:rFonts w:ascii="Times New Roman" w:hAnsi="Times New Roman" w:cs="Times New Roman"/>
                <w:i/>
                <w:iCs/>
                <w:sz w:val="24"/>
                <w:szCs w:val="24"/>
              </w:rPr>
            </w:pPr>
          </w:p>
        </w:tc>
      </w:tr>
      <w:tr w:rsidR="002F30B3" w:rsidRPr="00504148" w14:paraId="17696420"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7CFC986D" w14:textId="4C886FA0" w:rsidR="002F30B3" w:rsidRDefault="00E06186"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166835">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017089D5" w14:textId="7D6BC774" w:rsidR="002F30B3" w:rsidRDefault="00054CEF" w:rsidP="00947E54">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6C146C66" w14:textId="2321E4FB" w:rsidR="002F30B3" w:rsidRPr="002F30B3" w:rsidRDefault="002F30B3" w:rsidP="002F30B3">
            <w:pPr>
              <w:spacing w:after="0" w:line="240" w:lineRule="auto"/>
              <w:contextualSpacing/>
              <w:jc w:val="both"/>
              <w:rPr>
                <w:rFonts w:ascii="Times New Roman" w:eastAsia="Calibri" w:hAnsi="Times New Roman" w:cs="Times New Roman"/>
                <w:sz w:val="24"/>
                <w:szCs w:val="24"/>
              </w:rPr>
            </w:pPr>
            <w:r w:rsidRPr="002F30B3">
              <w:rPr>
                <w:rFonts w:ascii="Times New Roman" w:eastAsia="Calibri" w:hAnsi="Times New Roman" w:cs="Times New Roman"/>
                <w:sz w:val="24"/>
                <w:szCs w:val="24"/>
              </w:rPr>
              <w:t>37.punkts un 61.punkts</w:t>
            </w:r>
            <w:r w:rsidR="00C61908">
              <w:rPr>
                <w:rFonts w:ascii="Times New Roman" w:eastAsia="Calibri" w:hAnsi="Times New Roman" w:cs="Times New Roman"/>
                <w:sz w:val="24"/>
                <w:szCs w:val="24"/>
              </w:rPr>
              <w:t>:</w:t>
            </w:r>
          </w:p>
          <w:p w14:paraId="55646A26" w14:textId="04544462" w:rsidR="002F30B3" w:rsidRPr="00211104" w:rsidRDefault="002F30B3" w:rsidP="002F30B3">
            <w:pPr>
              <w:spacing w:after="0" w:line="240" w:lineRule="auto"/>
              <w:jc w:val="both"/>
              <w:rPr>
                <w:rFonts w:ascii="Times New Roman" w:eastAsia="Times New Roman" w:hAnsi="Times New Roman" w:cs="Times New Roman"/>
                <w:sz w:val="24"/>
                <w:szCs w:val="24"/>
              </w:rPr>
            </w:pPr>
            <w:r w:rsidRPr="002F30B3">
              <w:rPr>
                <w:rFonts w:ascii="Times New Roman" w:eastAsia="Times New Roman" w:hAnsi="Times New Roman" w:cs="Times New Roman"/>
                <w:sz w:val="24"/>
                <w:szCs w:val="24"/>
              </w:rPr>
              <w:t>Vēršam uzmanību, ka Pacientu tiesību likuma 10.panta 5.</w:t>
            </w:r>
            <w:r w:rsidRPr="002F30B3">
              <w:rPr>
                <w:rFonts w:ascii="Times New Roman" w:eastAsia="Times New Roman" w:hAnsi="Times New Roman" w:cs="Times New Roman"/>
                <w:sz w:val="24"/>
                <w:szCs w:val="24"/>
                <w:vertAlign w:val="superscript"/>
              </w:rPr>
              <w:t>1</w:t>
            </w:r>
            <w:r w:rsidRPr="002F30B3">
              <w:rPr>
                <w:rFonts w:ascii="Times New Roman" w:eastAsia="Times New Roman" w:hAnsi="Times New Roman" w:cs="Times New Roman"/>
                <w:sz w:val="24"/>
                <w:szCs w:val="24"/>
              </w:rPr>
              <w:t xml:space="preserve">  3.punktā Zāļu valsts aģentūrai informāciju par pacientu atļauts sniegt tikai farmakovigilances funkciju nodrošināšana.  </w:t>
            </w:r>
            <w:r w:rsidRPr="002F30B3">
              <w:rPr>
                <w:rFonts w:ascii="Times New Roman" w:eastAsia="Times New Roman" w:hAnsi="Times New Roman" w:cs="Times New Roman"/>
                <w:sz w:val="24"/>
                <w:szCs w:val="24"/>
              </w:rPr>
              <w:lastRenderedPageBreak/>
              <w:t xml:space="preserve">Uzskatām, ka nepieciešams grozīt Pacientu tiesību likumu, lai novērstu pretrunas un Zāļu valsts aģentūra varētu bez juridiskiem šķēršļiem pildīt savas funkcijas klīnisko pārbaužu uzraudzībā. </w:t>
            </w:r>
          </w:p>
        </w:tc>
        <w:tc>
          <w:tcPr>
            <w:tcW w:w="735" w:type="pct"/>
            <w:tcBorders>
              <w:top w:val="outset" w:sz="6" w:space="0" w:color="414142"/>
              <w:left w:val="outset" w:sz="6" w:space="0" w:color="414142"/>
              <w:bottom w:val="outset" w:sz="6" w:space="0" w:color="414142"/>
              <w:right w:val="outset" w:sz="6" w:space="0" w:color="414142"/>
            </w:tcBorders>
          </w:tcPr>
          <w:p w14:paraId="08490F5F" w14:textId="1D89FF74" w:rsidR="002F30B3" w:rsidRDefault="00ED6109" w:rsidP="002F30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75DF6D1A" w14:textId="4C8415CF" w:rsidR="002F30B3" w:rsidRPr="00ED6109" w:rsidRDefault="009219B1" w:rsidP="002F30B3">
            <w:pPr>
              <w:contextualSpacing/>
              <w:jc w:val="both"/>
              <w:rPr>
                <w:rFonts w:ascii="Times New Roman" w:hAnsi="Times New Roman" w:cs="Times New Roman"/>
                <w:sz w:val="24"/>
                <w:szCs w:val="24"/>
              </w:rPr>
            </w:pPr>
            <w:r w:rsidRPr="00797917">
              <w:rPr>
                <w:rFonts w:ascii="Times New Roman" w:eastAsia="Times New Roman" w:hAnsi="Times New Roman" w:cs="Times New Roman"/>
                <w:sz w:val="24"/>
                <w:szCs w:val="24"/>
              </w:rPr>
              <w:t>Varētu tikt izvērtēta, veicot</w:t>
            </w:r>
            <w:r w:rsidRPr="00797917">
              <w:rPr>
                <w:rFonts w:ascii="Times New Roman" w:eastAsia="Times New Roman" w:hAnsi="Times New Roman" w:cs="Times New Roman"/>
                <w:i/>
                <w:iCs/>
                <w:sz w:val="24"/>
                <w:szCs w:val="24"/>
              </w:rPr>
              <w:t xml:space="preserve"> </w:t>
            </w:r>
            <w:r w:rsidRPr="00797917">
              <w:rPr>
                <w:rFonts w:ascii="Times New Roman" w:eastAsia="Times New Roman" w:hAnsi="Times New Roman" w:cs="Times New Roman"/>
                <w:sz w:val="24"/>
                <w:szCs w:val="24"/>
              </w:rPr>
              <w:t xml:space="preserve">grozījumus </w:t>
            </w:r>
            <w:r>
              <w:rPr>
                <w:rFonts w:ascii="Times New Roman" w:eastAsia="Times New Roman" w:hAnsi="Times New Roman" w:cs="Times New Roman"/>
                <w:sz w:val="24"/>
                <w:szCs w:val="24"/>
              </w:rPr>
              <w:t>Pacientu tiesību likumā.</w:t>
            </w:r>
          </w:p>
        </w:tc>
      </w:tr>
      <w:tr w:rsidR="00C43D3B" w:rsidRPr="00504148" w14:paraId="16C2625C"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2B927399" w14:textId="56FF090F" w:rsidR="00C43D3B" w:rsidRDefault="00E06186"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00054CEF">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2C699025" w14:textId="3056CEA9" w:rsidR="00C43D3B" w:rsidRDefault="0059019E" w:rsidP="00947E54">
            <w:pPr>
              <w:spacing w:after="0" w:line="240" w:lineRule="auto"/>
              <w:rPr>
                <w:rFonts w:ascii="Times New Roman" w:hAnsi="Times New Roman" w:cs="Times New Roman"/>
                <w:sz w:val="24"/>
                <w:szCs w:val="24"/>
              </w:rPr>
            </w:pPr>
            <w:r w:rsidRPr="0059019E">
              <w:rPr>
                <w:rFonts w:ascii="Times New Roman" w:hAnsi="Times New Roman" w:cs="Times New Roman"/>
                <w:sz w:val="24"/>
                <w:szCs w:val="24"/>
              </w:rPr>
              <w:t>Klīnisko pētījumu organizācija</w:t>
            </w:r>
          </w:p>
        </w:tc>
        <w:tc>
          <w:tcPr>
            <w:tcW w:w="1076" w:type="pct"/>
            <w:tcBorders>
              <w:top w:val="outset" w:sz="6" w:space="0" w:color="414142"/>
              <w:left w:val="outset" w:sz="6" w:space="0" w:color="414142"/>
              <w:bottom w:val="outset" w:sz="6" w:space="0" w:color="414142"/>
              <w:right w:val="outset" w:sz="6" w:space="0" w:color="414142"/>
            </w:tcBorders>
          </w:tcPr>
          <w:p w14:paraId="68CBB3EE" w14:textId="4A498B44" w:rsidR="00C43D3B" w:rsidRPr="00C43D3B" w:rsidRDefault="00C61908" w:rsidP="002F30B3">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Noteikumu projekta</w:t>
            </w:r>
            <w:r w:rsidR="00C43D3B" w:rsidRPr="00C43D3B">
              <w:rPr>
                <w:rFonts w:ascii="Times New Roman" w:hAnsi="Times New Roman" w:cs="Times New Roman"/>
                <w:sz w:val="24"/>
                <w:szCs w:val="24"/>
              </w:rPr>
              <w:t xml:space="preserve"> 38.</w:t>
            </w:r>
            <w:r>
              <w:rPr>
                <w:rFonts w:ascii="Times New Roman" w:hAnsi="Times New Roman" w:cs="Times New Roman"/>
                <w:sz w:val="24"/>
                <w:szCs w:val="24"/>
              </w:rPr>
              <w:t>punkts noteic, ka</w:t>
            </w:r>
            <w:r w:rsidR="00C43D3B" w:rsidRPr="00C43D3B">
              <w:rPr>
                <w:rFonts w:ascii="Times New Roman" w:hAnsi="Times New Roman" w:cs="Times New Roman"/>
                <w:sz w:val="24"/>
                <w:szCs w:val="24"/>
              </w:rPr>
              <w:t xml:space="preserve"> Zāļu valsts aģentūra saskaņā ar regulas 42. panta 3. punktu ziņo Eiropas Zāļu aģentūrai par sponsora paziņotām iespējamām būtiskām blakusparādībām. Vārda “būtiskām” vietā iesakām “nopietnām”</w:t>
            </w:r>
            <w:r w:rsidR="00C43D3B">
              <w:rPr>
                <w:rFonts w:ascii="Times New Roman" w:hAnsi="Times New Roman" w:cs="Times New Roman"/>
                <w:sz w:val="24"/>
                <w:szCs w:val="24"/>
              </w:rPr>
              <w:t>.</w:t>
            </w:r>
          </w:p>
        </w:tc>
        <w:tc>
          <w:tcPr>
            <w:tcW w:w="735" w:type="pct"/>
            <w:tcBorders>
              <w:top w:val="outset" w:sz="6" w:space="0" w:color="414142"/>
              <w:left w:val="outset" w:sz="6" w:space="0" w:color="414142"/>
              <w:bottom w:val="outset" w:sz="6" w:space="0" w:color="414142"/>
              <w:right w:val="outset" w:sz="6" w:space="0" w:color="414142"/>
            </w:tcBorders>
          </w:tcPr>
          <w:p w14:paraId="69C29F27" w14:textId="67E2C5D1" w:rsidR="00C43D3B" w:rsidRPr="00797917" w:rsidRDefault="00C61908" w:rsidP="002F30B3">
            <w:pPr>
              <w:spacing w:after="0" w:line="240" w:lineRule="auto"/>
              <w:jc w:val="center"/>
              <w:rPr>
                <w:rFonts w:ascii="Times New Roman" w:eastAsia="Times New Roman" w:hAnsi="Times New Roman" w:cs="Times New Roman"/>
                <w:sz w:val="24"/>
                <w:szCs w:val="24"/>
                <w:lang w:eastAsia="lv-LV"/>
              </w:rPr>
            </w:pPr>
            <w:r w:rsidRPr="00797917">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6A60985F" w14:textId="5F81EFDF" w:rsidR="00C43D3B" w:rsidRPr="00797917" w:rsidRDefault="00C61908" w:rsidP="002F30B3">
            <w:pPr>
              <w:contextualSpacing/>
              <w:jc w:val="both"/>
              <w:rPr>
                <w:rFonts w:ascii="Times New Roman" w:hAnsi="Times New Roman" w:cs="Times New Roman"/>
                <w:sz w:val="24"/>
                <w:szCs w:val="24"/>
              </w:rPr>
            </w:pPr>
            <w:r w:rsidRPr="00797917">
              <w:rPr>
                <w:rFonts w:ascii="Times New Roman" w:hAnsi="Times New Roman" w:cs="Times New Roman"/>
                <w:sz w:val="24"/>
                <w:szCs w:val="24"/>
              </w:rPr>
              <w:t>Noteikumu projekta 38.</w:t>
            </w:r>
            <w:r w:rsidR="00211104" w:rsidRPr="00797917">
              <w:rPr>
                <w:rFonts w:ascii="Times New Roman" w:hAnsi="Times New Roman" w:cs="Times New Roman"/>
                <w:sz w:val="24"/>
                <w:szCs w:val="24"/>
              </w:rPr>
              <w:t xml:space="preserve"> </w:t>
            </w:r>
            <w:r w:rsidRPr="00797917">
              <w:rPr>
                <w:rFonts w:ascii="Times New Roman" w:hAnsi="Times New Roman" w:cs="Times New Roman"/>
                <w:sz w:val="24"/>
                <w:szCs w:val="24"/>
              </w:rPr>
              <w:t>punktā vārds “būtiskām” aizstāts ar vārdu “nopietnām”</w:t>
            </w:r>
            <w:r w:rsidR="00211104" w:rsidRPr="00797917">
              <w:rPr>
                <w:rFonts w:ascii="Times New Roman" w:hAnsi="Times New Roman" w:cs="Times New Roman"/>
                <w:sz w:val="24"/>
                <w:szCs w:val="24"/>
              </w:rPr>
              <w:t>.</w:t>
            </w:r>
          </w:p>
        </w:tc>
      </w:tr>
      <w:tr w:rsidR="00F3509C" w:rsidRPr="009F7E47" w14:paraId="2BCDB61C"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1D907FB9" w14:textId="7EB6B153" w:rsidR="00F3509C" w:rsidRDefault="00054CEF" w:rsidP="00947E5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0618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4B80B0E0" w14:textId="05392EA8" w:rsidR="00F3509C" w:rsidRPr="0059019E" w:rsidRDefault="00F3509C" w:rsidP="00947E54">
            <w:pPr>
              <w:spacing w:after="0" w:line="240" w:lineRule="auto"/>
              <w:rPr>
                <w:rFonts w:ascii="Times New Roman" w:hAnsi="Times New Roman" w:cs="Times New Roman"/>
                <w:sz w:val="24"/>
                <w:szCs w:val="24"/>
              </w:rPr>
            </w:pPr>
            <w:r w:rsidRPr="00F3509C">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792D3301" w14:textId="601046FB" w:rsidR="00F3509C" w:rsidRPr="005E1939" w:rsidRDefault="00F3509C" w:rsidP="00F3509C">
            <w:pPr>
              <w:shd w:val="clear" w:color="auto" w:fill="FFFFFF"/>
              <w:spacing w:after="0" w:line="240" w:lineRule="auto"/>
              <w:jc w:val="both"/>
              <w:rPr>
                <w:rFonts w:ascii="Times New Roman" w:eastAsia="Times New Roman" w:hAnsi="Times New Roman" w:cs="Times New Roman"/>
                <w:sz w:val="24"/>
                <w:szCs w:val="24"/>
                <w:lang w:eastAsia="lv-LV"/>
              </w:rPr>
            </w:pPr>
            <w:r w:rsidRPr="00C61908">
              <w:rPr>
                <w:rFonts w:ascii="Times New Roman" w:eastAsia="Times New Roman" w:hAnsi="Times New Roman" w:cs="Times New Roman"/>
                <w:sz w:val="24"/>
                <w:szCs w:val="24"/>
                <w:lang w:eastAsia="lv-LV"/>
              </w:rPr>
              <w:t xml:space="preserve">Noteikumu projekta 39.punktā paredzēts, ka Zāļu valsts aģentūra saskaņā ar regulas 44. pantu novērtē no Eiropas Zāļu aģentūras saņemto informāciju, nepieciešamības gadījumā novērtēšanā iesaistot ētikas komiteju, lai pieņemtu lēmumu par </w:t>
            </w:r>
            <w:r w:rsidRPr="005E1939">
              <w:rPr>
                <w:rFonts w:ascii="Times New Roman" w:eastAsia="Times New Roman" w:hAnsi="Times New Roman" w:cs="Times New Roman"/>
                <w:sz w:val="24"/>
                <w:szCs w:val="24"/>
                <w:lang w:eastAsia="lv-LV"/>
              </w:rPr>
              <w:t>regulas 77. pantā minētiem koriģējošiem pasākumiem.</w:t>
            </w:r>
          </w:p>
          <w:p w14:paraId="230E64F5" w14:textId="35E03457" w:rsidR="00F3509C" w:rsidRPr="005E1939" w:rsidRDefault="00F3509C" w:rsidP="005E1939">
            <w:pPr>
              <w:pStyle w:val="CommentText"/>
              <w:jc w:val="both"/>
              <w:rPr>
                <w:sz w:val="24"/>
                <w:szCs w:val="24"/>
                <w:lang w:val="lv-LV"/>
              </w:rPr>
            </w:pPr>
            <w:r w:rsidRPr="005E1939">
              <w:rPr>
                <w:sz w:val="24"/>
                <w:szCs w:val="24"/>
                <w:lang w:val="lv-LV"/>
              </w:rPr>
              <w:t>Vai atbilstoši noteiktajam</w:t>
            </w:r>
            <w:r w:rsidRPr="00C61908">
              <w:rPr>
                <w:sz w:val="24"/>
                <w:szCs w:val="24"/>
                <w:lang w:val="lv-LV"/>
              </w:rPr>
              <w:t>, domestic SUSARs sūta tikai Z</w:t>
            </w:r>
            <w:r w:rsidR="00C61908">
              <w:rPr>
                <w:sz w:val="24"/>
                <w:szCs w:val="24"/>
                <w:lang w:val="lv-LV"/>
              </w:rPr>
              <w:t>āļu valsts aģentūrai</w:t>
            </w:r>
            <w:r w:rsidRPr="00C61908">
              <w:rPr>
                <w:sz w:val="24"/>
                <w:szCs w:val="24"/>
                <w:lang w:val="lv-LV"/>
              </w:rPr>
              <w:t xml:space="preserve"> un </w:t>
            </w:r>
            <w:r w:rsidR="00C61908">
              <w:rPr>
                <w:sz w:val="24"/>
                <w:szCs w:val="24"/>
                <w:lang w:val="lv-LV"/>
              </w:rPr>
              <w:t>aģentūra</w:t>
            </w:r>
            <w:r w:rsidRPr="00C61908">
              <w:rPr>
                <w:sz w:val="24"/>
                <w:szCs w:val="24"/>
                <w:lang w:val="lv-LV"/>
              </w:rPr>
              <w:t xml:space="preserve"> nepieciešamības gadījumā informēs </w:t>
            </w:r>
            <w:r w:rsidR="00C61908">
              <w:rPr>
                <w:sz w:val="24"/>
                <w:szCs w:val="24"/>
                <w:lang w:val="lv-LV"/>
              </w:rPr>
              <w:t>ētikas komitejas</w:t>
            </w:r>
            <w:r w:rsidRPr="00C61908">
              <w:rPr>
                <w:sz w:val="24"/>
                <w:szCs w:val="24"/>
                <w:lang w:val="lv-LV"/>
              </w:rPr>
              <w:t xml:space="preserve">. Sponsoram nav jāinformē </w:t>
            </w:r>
            <w:r w:rsidR="00C61908">
              <w:rPr>
                <w:sz w:val="24"/>
                <w:szCs w:val="24"/>
                <w:lang w:val="lv-LV"/>
              </w:rPr>
              <w:t>ētikas komitejas</w:t>
            </w:r>
            <w:r w:rsidRPr="00C61908">
              <w:rPr>
                <w:sz w:val="24"/>
                <w:szCs w:val="24"/>
                <w:lang w:val="lv-LV"/>
              </w:rPr>
              <w:t xml:space="preserve"> par domestic SUSARs.</w:t>
            </w:r>
          </w:p>
        </w:tc>
        <w:tc>
          <w:tcPr>
            <w:tcW w:w="735" w:type="pct"/>
            <w:tcBorders>
              <w:top w:val="outset" w:sz="6" w:space="0" w:color="414142"/>
              <w:left w:val="outset" w:sz="6" w:space="0" w:color="414142"/>
              <w:bottom w:val="outset" w:sz="6" w:space="0" w:color="414142"/>
              <w:right w:val="outset" w:sz="6" w:space="0" w:color="414142"/>
            </w:tcBorders>
          </w:tcPr>
          <w:p w14:paraId="7A43CDD6" w14:textId="3DABA688" w:rsidR="00F3509C" w:rsidRPr="002E7FCD" w:rsidRDefault="005E1939" w:rsidP="002F30B3">
            <w:pPr>
              <w:spacing w:after="0" w:line="240" w:lineRule="auto"/>
              <w:jc w:val="center"/>
              <w:rPr>
                <w:rFonts w:ascii="Times New Roman" w:eastAsia="Times New Roman" w:hAnsi="Times New Roman" w:cs="Times New Roman"/>
                <w:sz w:val="24"/>
                <w:szCs w:val="24"/>
                <w:lang w:eastAsia="lv-LV"/>
              </w:rPr>
            </w:pPr>
            <w:r w:rsidRPr="002E7FCD">
              <w:rPr>
                <w:rFonts w:ascii="Times New Roman" w:eastAsia="Times New Roman" w:hAnsi="Times New Roman" w:cs="Times New Roman"/>
                <w:sz w:val="24"/>
                <w:szCs w:val="24"/>
                <w:lang w:eastAsia="lv-LV"/>
              </w:rPr>
              <w:t>Ņemts vērā daļēji</w:t>
            </w:r>
          </w:p>
        </w:tc>
        <w:tc>
          <w:tcPr>
            <w:tcW w:w="1622" w:type="pct"/>
            <w:tcBorders>
              <w:top w:val="outset" w:sz="6" w:space="0" w:color="414142"/>
              <w:left w:val="outset" w:sz="6" w:space="0" w:color="414142"/>
              <w:bottom w:val="outset" w:sz="6" w:space="0" w:color="414142"/>
              <w:right w:val="outset" w:sz="6" w:space="0" w:color="414142"/>
            </w:tcBorders>
          </w:tcPr>
          <w:p w14:paraId="491A7787" w14:textId="5A0BB5B4" w:rsidR="002E7FCD" w:rsidRPr="002E7FCD" w:rsidRDefault="002E7FCD" w:rsidP="002E7FCD">
            <w:pPr>
              <w:contextualSpacing/>
              <w:jc w:val="both"/>
              <w:rPr>
                <w:rFonts w:ascii="Times New Roman" w:hAnsi="Times New Roman" w:cs="Times New Roman"/>
                <w:sz w:val="24"/>
                <w:szCs w:val="24"/>
              </w:rPr>
            </w:pPr>
            <w:r w:rsidRPr="002E7FCD">
              <w:rPr>
                <w:rFonts w:ascii="Times New Roman" w:hAnsi="Times New Roman" w:cs="Times New Roman"/>
                <w:sz w:val="24"/>
                <w:szCs w:val="24"/>
              </w:rPr>
              <w:t>Ņemot vērā, ka katras dalībvalsts kompetencē ir izstrādāt pētāmo zāļu uzraudzības kārtību, drošuma vērtēšanu veiks Zāļu valsts aģentūra.  Ētikas komitejas šobrīd netiks iesaistītas ziņojumu izvērtēšanā. Zāļu valsts aģentūrai nebūs jāsūta informācija par SUSAR. ZVA informēs ētikas komitejas par  būtisku drošuma informāciju.</w:t>
            </w:r>
          </w:p>
          <w:p w14:paraId="163C8BD9" w14:textId="76E8B835" w:rsidR="00E65AE9" w:rsidRPr="002E7FCD" w:rsidRDefault="00E65AE9" w:rsidP="002F30B3">
            <w:pPr>
              <w:contextualSpacing/>
              <w:jc w:val="both"/>
              <w:rPr>
                <w:rFonts w:ascii="Times New Roman" w:hAnsi="Times New Roman" w:cs="Times New Roman"/>
                <w:sz w:val="24"/>
                <w:szCs w:val="24"/>
              </w:rPr>
            </w:pPr>
          </w:p>
        </w:tc>
      </w:tr>
      <w:tr w:rsidR="00F3509C" w:rsidRPr="00504148" w14:paraId="018DA50A"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569A1326" w14:textId="256CB0F3" w:rsidR="00F3509C" w:rsidRDefault="00054CEF" w:rsidP="00F3509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E0618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6FDD8107" w14:textId="3478312F" w:rsidR="00F3509C" w:rsidRPr="00F3509C" w:rsidRDefault="00F3509C" w:rsidP="00F3509C">
            <w:pPr>
              <w:spacing w:after="0" w:line="240" w:lineRule="auto"/>
              <w:rPr>
                <w:rFonts w:ascii="Times New Roman" w:hAnsi="Times New Roman" w:cs="Times New Roman"/>
                <w:sz w:val="24"/>
                <w:szCs w:val="24"/>
                <w:shd w:val="clear" w:color="auto" w:fill="FFFFFF"/>
              </w:rPr>
            </w:pPr>
            <w:r w:rsidRPr="00F3509C">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3EF45131" w14:textId="5A7404CF" w:rsidR="00F3509C" w:rsidRPr="00211104" w:rsidRDefault="00F3509C" w:rsidP="00F3509C">
            <w:pPr>
              <w:shd w:val="clear" w:color="auto" w:fill="FFFFFF"/>
              <w:spacing w:after="0" w:line="240" w:lineRule="auto"/>
              <w:jc w:val="both"/>
              <w:rPr>
                <w:rFonts w:ascii="Times New Roman" w:eastAsia="Times New Roman" w:hAnsi="Times New Roman" w:cs="Times New Roman"/>
                <w:sz w:val="24"/>
                <w:szCs w:val="24"/>
                <w:lang w:eastAsia="lv-LV"/>
              </w:rPr>
            </w:pPr>
            <w:r w:rsidRPr="00211104">
              <w:rPr>
                <w:rFonts w:ascii="Times New Roman" w:eastAsia="Times New Roman" w:hAnsi="Times New Roman" w:cs="Times New Roman"/>
                <w:sz w:val="24"/>
                <w:szCs w:val="24"/>
                <w:lang w:eastAsia="lv-LV"/>
              </w:rPr>
              <w:t>Noteikumu projekta 40.punktā noteikts, ka Zāļu valsts aģentūra vērtē sponsora saskaņā ar regulas 43.pantu iesniegtos  ikgadējos drošuma ziņojumus.</w:t>
            </w:r>
          </w:p>
          <w:p w14:paraId="1FABDCC9" w14:textId="0988C618" w:rsidR="00F3509C" w:rsidRPr="00F3509C" w:rsidRDefault="00F3509C" w:rsidP="00F3509C">
            <w:pPr>
              <w:shd w:val="clear" w:color="auto" w:fill="FFFFFF"/>
              <w:spacing w:after="0" w:line="240" w:lineRule="auto"/>
              <w:jc w:val="both"/>
              <w:rPr>
                <w:rFonts w:ascii="Times New Roman" w:eastAsia="Times New Roman" w:hAnsi="Times New Roman" w:cs="Times New Roman"/>
                <w:color w:val="525252"/>
                <w:sz w:val="24"/>
                <w:szCs w:val="24"/>
                <w:lang w:eastAsia="lv-LV"/>
              </w:rPr>
            </w:pPr>
            <w:r w:rsidRPr="00C61908">
              <w:rPr>
                <w:rFonts w:ascii="Times New Roman" w:hAnsi="Times New Roman" w:cs="Times New Roman"/>
                <w:sz w:val="24"/>
                <w:szCs w:val="24"/>
              </w:rPr>
              <w:t>Tātad Z</w:t>
            </w:r>
            <w:r w:rsidR="00C61908">
              <w:rPr>
                <w:rFonts w:ascii="Times New Roman" w:hAnsi="Times New Roman" w:cs="Times New Roman"/>
                <w:sz w:val="24"/>
                <w:szCs w:val="24"/>
              </w:rPr>
              <w:t>āļu valsts aģentūrai</w:t>
            </w:r>
            <w:r w:rsidRPr="00C61908">
              <w:rPr>
                <w:rFonts w:ascii="Times New Roman" w:hAnsi="Times New Roman" w:cs="Times New Roman"/>
                <w:sz w:val="24"/>
                <w:szCs w:val="24"/>
              </w:rPr>
              <w:t xml:space="preserve"> iesniedz tikai DSUR ziņojumus</w:t>
            </w:r>
            <w:r w:rsidR="00C61908">
              <w:rPr>
                <w:rFonts w:ascii="Times New Roman" w:hAnsi="Times New Roman" w:cs="Times New Roman"/>
                <w:sz w:val="24"/>
                <w:szCs w:val="24"/>
              </w:rPr>
              <w:t xml:space="preserve"> un n</w:t>
            </w:r>
            <w:r w:rsidRPr="00C61908">
              <w:rPr>
                <w:rFonts w:ascii="Times New Roman" w:hAnsi="Times New Roman" w:cs="Times New Roman"/>
                <w:sz w:val="24"/>
                <w:szCs w:val="24"/>
              </w:rPr>
              <w:t xml:space="preserve">av </w:t>
            </w:r>
            <w:r w:rsidRPr="0053058E">
              <w:rPr>
                <w:rFonts w:ascii="Times New Roman" w:hAnsi="Times New Roman" w:cs="Times New Roman"/>
                <w:sz w:val="24"/>
                <w:szCs w:val="24"/>
              </w:rPr>
              <w:t>jāiesniedz SUSAR LLs 2 reizes gadā?</w:t>
            </w:r>
          </w:p>
        </w:tc>
        <w:tc>
          <w:tcPr>
            <w:tcW w:w="735" w:type="pct"/>
            <w:tcBorders>
              <w:top w:val="outset" w:sz="6" w:space="0" w:color="414142"/>
              <w:left w:val="outset" w:sz="6" w:space="0" w:color="414142"/>
              <w:bottom w:val="outset" w:sz="6" w:space="0" w:color="414142"/>
              <w:right w:val="outset" w:sz="6" w:space="0" w:color="414142"/>
            </w:tcBorders>
          </w:tcPr>
          <w:p w14:paraId="1F41CC96" w14:textId="596302C1" w:rsidR="00F3509C" w:rsidRDefault="009F7E47" w:rsidP="00F3509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p>
        </w:tc>
        <w:tc>
          <w:tcPr>
            <w:tcW w:w="1622" w:type="pct"/>
            <w:tcBorders>
              <w:top w:val="outset" w:sz="6" w:space="0" w:color="414142"/>
              <w:left w:val="outset" w:sz="6" w:space="0" w:color="414142"/>
              <w:bottom w:val="outset" w:sz="6" w:space="0" w:color="414142"/>
              <w:right w:val="outset" w:sz="6" w:space="0" w:color="414142"/>
            </w:tcBorders>
          </w:tcPr>
          <w:p w14:paraId="3A52477F" w14:textId="72E75808" w:rsidR="009F7E47" w:rsidRPr="009F7E47" w:rsidRDefault="009F7E47" w:rsidP="00F3509C">
            <w:pPr>
              <w:contextualSpacing/>
              <w:jc w:val="both"/>
              <w:rPr>
                <w:rFonts w:ascii="Times New Roman" w:hAnsi="Times New Roman" w:cs="Times New Roman"/>
                <w:sz w:val="24"/>
                <w:szCs w:val="24"/>
              </w:rPr>
            </w:pPr>
            <w:r w:rsidRPr="009F7E47">
              <w:rPr>
                <w:rFonts w:ascii="Times New Roman" w:hAnsi="Times New Roman" w:cs="Times New Roman"/>
                <w:sz w:val="24"/>
                <w:szCs w:val="24"/>
              </w:rPr>
              <w:t>I</w:t>
            </w:r>
            <w:r w:rsidR="002D145C" w:rsidRPr="009F7E47">
              <w:rPr>
                <w:rFonts w:ascii="Times New Roman" w:hAnsi="Times New Roman" w:cs="Times New Roman"/>
                <w:sz w:val="24"/>
                <w:szCs w:val="24"/>
              </w:rPr>
              <w:t>kgadējie dro</w:t>
            </w:r>
            <w:r>
              <w:rPr>
                <w:rFonts w:ascii="Times New Roman" w:hAnsi="Times New Roman" w:cs="Times New Roman"/>
                <w:sz w:val="24"/>
                <w:szCs w:val="24"/>
              </w:rPr>
              <w:t>š</w:t>
            </w:r>
            <w:r w:rsidR="002D145C" w:rsidRPr="009F7E47">
              <w:rPr>
                <w:rFonts w:ascii="Times New Roman" w:hAnsi="Times New Roman" w:cs="Times New Roman"/>
                <w:sz w:val="24"/>
                <w:szCs w:val="24"/>
              </w:rPr>
              <w:t xml:space="preserve">uma ziņojumi būs pieejami </w:t>
            </w:r>
            <w:r>
              <w:rPr>
                <w:rFonts w:ascii="Times New Roman" w:hAnsi="Times New Roman" w:cs="Times New Roman"/>
                <w:sz w:val="24"/>
                <w:szCs w:val="24"/>
              </w:rPr>
              <w:t>ētikas komitejām</w:t>
            </w:r>
            <w:r w:rsidR="002D145C" w:rsidRPr="009F7E47">
              <w:rPr>
                <w:rFonts w:ascii="Times New Roman" w:hAnsi="Times New Roman" w:cs="Times New Roman"/>
                <w:sz w:val="24"/>
                <w:szCs w:val="24"/>
              </w:rPr>
              <w:t xml:space="preserve"> klīnisko pētījumu portālā</w:t>
            </w:r>
            <w:r w:rsidR="006D5829" w:rsidRPr="009F7E47">
              <w:rPr>
                <w:rFonts w:ascii="Times New Roman" w:hAnsi="Times New Roman" w:cs="Times New Roman"/>
                <w:sz w:val="24"/>
                <w:szCs w:val="24"/>
              </w:rPr>
              <w:t>, lai neradītu papildu slogu sponsoram</w:t>
            </w:r>
            <w:r>
              <w:rPr>
                <w:rFonts w:ascii="Times New Roman" w:hAnsi="Times New Roman" w:cs="Times New Roman"/>
                <w:sz w:val="24"/>
                <w:szCs w:val="24"/>
              </w:rPr>
              <w:t>.</w:t>
            </w:r>
            <w:r w:rsidR="006D5829" w:rsidRPr="009F7E47">
              <w:rPr>
                <w:rFonts w:ascii="Times New Roman" w:hAnsi="Times New Roman" w:cs="Times New Roman"/>
                <w:sz w:val="24"/>
                <w:szCs w:val="24"/>
              </w:rPr>
              <w:t xml:space="preserve"> </w:t>
            </w:r>
            <w:r w:rsidRPr="009F7E47">
              <w:rPr>
                <w:rFonts w:ascii="Times New Roman" w:hAnsi="Times New Roman" w:cs="Times New Roman"/>
                <w:sz w:val="24"/>
                <w:szCs w:val="24"/>
              </w:rPr>
              <w:t>SUSARu line listingi nav jāsniedz</w:t>
            </w:r>
            <w:r>
              <w:rPr>
                <w:rFonts w:ascii="Times New Roman" w:hAnsi="Times New Roman" w:cs="Times New Roman"/>
                <w:sz w:val="24"/>
                <w:szCs w:val="24"/>
              </w:rPr>
              <w:t xml:space="preserve"> divas reizes gadā.</w:t>
            </w:r>
          </w:p>
        </w:tc>
      </w:tr>
      <w:tr w:rsidR="00F3509C" w:rsidRPr="00504148" w14:paraId="00C5ECE9"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D23A6F8" w14:textId="36FA1242" w:rsidR="00F3509C" w:rsidRDefault="00054CEF" w:rsidP="00F3509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0618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BC93B02" w14:textId="35C669E6" w:rsidR="00F3509C" w:rsidRPr="00F3509C" w:rsidRDefault="00F3509C" w:rsidP="00F3509C">
            <w:pPr>
              <w:spacing w:after="0" w:line="240" w:lineRule="auto"/>
              <w:rPr>
                <w:rFonts w:ascii="Times New Roman" w:hAnsi="Times New Roman" w:cs="Times New Roman"/>
                <w:sz w:val="24"/>
                <w:szCs w:val="24"/>
                <w:shd w:val="clear" w:color="auto" w:fill="FFFFFF"/>
              </w:rPr>
            </w:pPr>
            <w:r w:rsidRPr="00F3509C">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03BBC5CB" w14:textId="3F408C72" w:rsidR="00F3509C" w:rsidRPr="00C61908" w:rsidRDefault="00F3509C" w:rsidP="00F3509C">
            <w:pPr>
              <w:shd w:val="clear" w:color="auto" w:fill="FFFFFF"/>
              <w:spacing w:after="0" w:line="240" w:lineRule="auto"/>
              <w:jc w:val="both"/>
              <w:rPr>
                <w:rFonts w:ascii="Times New Roman" w:eastAsia="Times New Roman" w:hAnsi="Times New Roman" w:cs="Times New Roman"/>
                <w:sz w:val="24"/>
                <w:szCs w:val="24"/>
                <w:lang w:eastAsia="lv-LV"/>
              </w:rPr>
            </w:pPr>
            <w:r w:rsidRPr="00C61908">
              <w:rPr>
                <w:rFonts w:ascii="Times New Roman" w:eastAsia="Times New Roman" w:hAnsi="Times New Roman" w:cs="Times New Roman"/>
                <w:sz w:val="24"/>
                <w:szCs w:val="24"/>
                <w:lang w:eastAsia="lv-LV"/>
              </w:rPr>
              <w:t>Noteikumu projekta 41.punktā noteikts, ka Zāļu valsts aģentūra novērtē nopietnus pārkāpumus, neparedzētus notikumus un steidzamus drošības pasākumus, par kuriem sponsors ziņojis saskaņā ar regulas 53., 54. un 55. pantu un ierosina regulas 78. pantā noteiktos koriģējošus pasākumus.</w:t>
            </w:r>
          </w:p>
          <w:p w14:paraId="11E97713" w14:textId="2CC7BF49" w:rsidR="00F3509C" w:rsidRPr="00C61908" w:rsidRDefault="00F3509C" w:rsidP="00F3509C">
            <w:pPr>
              <w:shd w:val="clear" w:color="auto" w:fill="FFFFFF"/>
              <w:spacing w:after="0" w:line="240" w:lineRule="auto"/>
              <w:jc w:val="both"/>
              <w:rPr>
                <w:rFonts w:ascii="Verdana" w:eastAsia="Times New Roman" w:hAnsi="Verdana" w:cs="Times New Roman"/>
                <w:sz w:val="19"/>
                <w:szCs w:val="19"/>
                <w:lang w:eastAsia="lv-LV"/>
              </w:rPr>
            </w:pPr>
            <w:r w:rsidRPr="00C61908">
              <w:rPr>
                <w:rFonts w:ascii="Times New Roman" w:hAnsi="Times New Roman" w:cs="Times New Roman"/>
                <w:sz w:val="24"/>
                <w:szCs w:val="24"/>
              </w:rPr>
              <w:t>Ko saprotam ar nopietnu pārkāpumu – vai arī atkāpes no protokola tagad jāziņo?</w:t>
            </w:r>
          </w:p>
        </w:tc>
        <w:tc>
          <w:tcPr>
            <w:tcW w:w="735" w:type="pct"/>
            <w:tcBorders>
              <w:top w:val="outset" w:sz="6" w:space="0" w:color="414142"/>
              <w:left w:val="outset" w:sz="6" w:space="0" w:color="414142"/>
              <w:bottom w:val="outset" w:sz="6" w:space="0" w:color="414142"/>
              <w:right w:val="outset" w:sz="6" w:space="0" w:color="414142"/>
            </w:tcBorders>
          </w:tcPr>
          <w:p w14:paraId="4489C1FC" w14:textId="31F9FE5B" w:rsidR="00F3509C" w:rsidRDefault="009F7E47" w:rsidP="00F3509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p>
        </w:tc>
        <w:tc>
          <w:tcPr>
            <w:tcW w:w="1622" w:type="pct"/>
            <w:tcBorders>
              <w:top w:val="outset" w:sz="6" w:space="0" w:color="414142"/>
              <w:left w:val="outset" w:sz="6" w:space="0" w:color="414142"/>
              <w:bottom w:val="outset" w:sz="6" w:space="0" w:color="414142"/>
              <w:right w:val="outset" w:sz="6" w:space="0" w:color="414142"/>
            </w:tcBorders>
          </w:tcPr>
          <w:p w14:paraId="647B25CB" w14:textId="03777F44" w:rsidR="009F7E47" w:rsidRPr="00460FB5" w:rsidRDefault="009F7E47" w:rsidP="009F7E47">
            <w:pPr>
              <w:contextualSpacing/>
              <w:jc w:val="both"/>
              <w:rPr>
                <w:rFonts w:ascii="Times New Roman" w:hAnsi="Times New Roman" w:cs="Times New Roman"/>
                <w:i/>
                <w:iCs/>
                <w:sz w:val="24"/>
                <w:szCs w:val="24"/>
              </w:rPr>
            </w:pPr>
            <w:r w:rsidRPr="00B41AB9">
              <w:rPr>
                <w:rFonts w:ascii="Times New Roman" w:hAnsi="Times New Roman" w:cs="Times New Roman"/>
                <w:sz w:val="24"/>
                <w:szCs w:val="24"/>
              </w:rPr>
              <w:t>Nopietnu pārkā</w:t>
            </w:r>
            <w:r w:rsidR="00821C3D">
              <w:rPr>
                <w:rFonts w:ascii="Times New Roman" w:hAnsi="Times New Roman" w:cs="Times New Roman"/>
                <w:sz w:val="24"/>
                <w:szCs w:val="24"/>
              </w:rPr>
              <w:t>p</w:t>
            </w:r>
            <w:r w:rsidRPr="00B41AB9">
              <w:rPr>
                <w:rFonts w:ascii="Times New Roman" w:hAnsi="Times New Roman" w:cs="Times New Roman"/>
                <w:sz w:val="24"/>
                <w:szCs w:val="24"/>
              </w:rPr>
              <w:t>umu ziņošanai ir izveidotas ES vadlīnijas: “</w:t>
            </w:r>
            <w:r w:rsidRPr="00460FB5">
              <w:rPr>
                <w:rFonts w:ascii="Times New Roman" w:hAnsi="Times New Roman" w:cs="Times New Roman"/>
                <w:i/>
                <w:iCs/>
                <w:sz w:val="24"/>
                <w:szCs w:val="24"/>
              </w:rPr>
              <w:t>Guideline for the notification of serious breaches of</w:t>
            </w:r>
          </w:p>
          <w:p w14:paraId="73E3AF38" w14:textId="22211D51" w:rsidR="009F7E47" w:rsidRDefault="009F7E47" w:rsidP="009F7E47">
            <w:pPr>
              <w:contextualSpacing/>
              <w:jc w:val="both"/>
            </w:pPr>
            <w:r w:rsidRPr="00460FB5">
              <w:rPr>
                <w:rFonts w:ascii="Times New Roman" w:hAnsi="Times New Roman" w:cs="Times New Roman"/>
                <w:i/>
                <w:iCs/>
                <w:sz w:val="24"/>
                <w:szCs w:val="24"/>
              </w:rPr>
              <w:t>Regulation (EU) No 536/2014 or the clinical trial protocol</w:t>
            </w:r>
            <w:r w:rsidRPr="00B41AB9">
              <w:rPr>
                <w:rFonts w:ascii="Times New Roman" w:hAnsi="Times New Roman" w:cs="Times New Roman"/>
                <w:sz w:val="24"/>
                <w:szCs w:val="24"/>
              </w:rPr>
              <w:t>”, kur ir skaidrots, kas tieši būs jāziņo</w:t>
            </w:r>
            <w:r w:rsidR="00B41AB9">
              <w:rPr>
                <w:rFonts w:ascii="Times New Roman" w:hAnsi="Times New Roman" w:cs="Times New Roman"/>
                <w:sz w:val="24"/>
                <w:szCs w:val="24"/>
              </w:rPr>
              <w:t>.</w:t>
            </w:r>
          </w:p>
        </w:tc>
      </w:tr>
      <w:tr w:rsidR="00F3509C" w:rsidRPr="00504148" w14:paraId="4CFB065E"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B2160B5" w14:textId="0B6F3F78" w:rsidR="00F3509C" w:rsidRDefault="00054CEF" w:rsidP="00F3509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0618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0A87C464" w14:textId="4CE6C5A3" w:rsidR="00F3509C" w:rsidRPr="00F3509C" w:rsidRDefault="00F3509C" w:rsidP="00F3509C">
            <w:pPr>
              <w:spacing w:after="0" w:line="240" w:lineRule="auto"/>
              <w:rPr>
                <w:rFonts w:ascii="Times New Roman" w:hAnsi="Times New Roman" w:cs="Times New Roman"/>
                <w:sz w:val="24"/>
                <w:szCs w:val="24"/>
                <w:shd w:val="clear" w:color="auto" w:fill="FFFFFF"/>
              </w:rPr>
            </w:pPr>
            <w:r w:rsidRPr="00F3509C">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4872AD8A" w14:textId="1E0E22EF" w:rsidR="00F3509C" w:rsidRPr="00211104" w:rsidRDefault="00F3509C" w:rsidP="00F3509C">
            <w:pPr>
              <w:shd w:val="clear" w:color="auto" w:fill="FFFFFF"/>
              <w:spacing w:after="0" w:line="240" w:lineRule="auto"/>
              <w:jc w:val="both"/>
              <w:rPr>
                <w:rFonts w:ascii="Times New Roman" w:eastAsia="Times New Roman" w:hAnsi="Times New Roman" w:cs="Times New Roman"/>
                <w:sz w:val="24"/>
                <w:szCs w:val="24"/>
                <w:lang w:eastAsia="lv-LV"/>
              </w:rPr>
            </w:pPr>
            <w:r w:rsidRPr="00211104">
              <w:rPr>
                <w:rFonts w:ascii="Times New Roman" w:eastAsia="Times New Roman" w:hAnsi="Times New Roman" w:cs="Times New Roman"/>
                <w:sz w:val="24"/>
                <w:szCs w:val="24"/>
                <w:lang w:eastAsia="lv-LV"/>
              </w:rPr>
              <w:t>Noteikumu projekta 44.punkts noteic, ka Sponsors izvēlas pētnieku, ņemot vērā viņa kvalifikāciju un pieredzi. Ja nepieciešams, sponsors nodrošina pētnieka papildu apmācību.</w:t>
            </w:r>
          </w:p>
          <w:p w14:paraId="2D4DF716" w14:textId="540AED55" w:rsidR="00F3509C" w:rsidRPr="00F3509C" w:rsidRDefault="00F3509C" w:rsidP="00F3509C">
            <w:pPr>
              <w:pStyle w:val="CommentText"/>
              <w:jc w:val="both"/>
              <w:rPr>
                <w:sz w:val="24"/>
                <w:szCs w:val="24"/>
                <w:lang w:val="lv-LV"/>
              </w:rPr>
            </w:pPr>
            <w:r w:rsidRPr="00211104">
              <w:rPr>
                <w:sz w:val="24"/>
                <w:szCs w:val="24"/>
                <w:lang w:val="lv-LV"/>
              </w:rPr>
              <w:t xml:space="preserve">Saprotams, ka jāiesniedz tikai galvenā pētnieka CV, laikam arī GCP sertifikātu (nav </w:t>
            </w:r>
            <w:r w:rsidRPr="00F3509C">
              <w:rPr>
                <w:sz w:val="24"/>
                <w:szCs w:val="24"/>
                <w:lang w:val="lv-LV"/>
              </w:rPr>
              <w:t xml:space="preserve">noteikts derīguma termiņš). </w:t>
            </w:r>
          </w:p>
          <w:p w14:paraId="230CDF7C" w14:textId="1F7D4FB6" w:rsidR="00F3509C" w:rsidRPr="00F3509C" w:rsidRDefault="00C61908" w:rsidP="00F3509C">
            <w:pPr>
              <w:pStyle w:val="CommentText"/>
              <w:jc w:val="both"/>
              <w:rPr>
                <w:sz w:val="24"/>
                <w:szCs w:val="24"/>
                <w:lang w:val="lv-LV"/>
              </w:rPr>
            </w:pPr>
            <w:r>
              <w:rPr>
                <w:sz w:val="24"/>
                <w:szCs w:val="24"/>
                <w:lang w:val="lv-LV"/>
              </w:rPr>
              <w:lastRenderedPageBreak/>
              <w:t xml:space="preserve">Nav saprotams, </w:t>
            </w:r>
            <w:r w:rsidR="00F3509C" w:rsidRPr="00F3509C">
              <w:rPr>
                <w:sz w:val="24"/>
                <w:szCs w:val="24"/>
                <w:lang w:val="lv-LV"/>
              </w:rPr>
              <w:t>vai jāsniedz arī ārstu profesionālie sertifikāti vai arī Z</w:t>
            </w:r>
            <w:r>
              <w:rPr>
                <w:sz w:val="24"/>
                <w:szCs w:val="24"/>
                <w:lang w:val="lv-LV"/>
              </w:rPr>
              <w:t>āļu valsts aģentūra</w:t>
            </w:r>
            <w:r w:rsidR="00F3509C" w:rsidRPr="00F3509C">
              <w:rPr>
                <w:sz w:val="24"/>
                <w:szCs w:val="24"/>
                <w:lang w:val="lv-LV"/>
              </w:rPr>
              <w:t>/</w:t>
            </w:r>
            <w:r>
              <w:rPr>
                <w:sz w:val="24"/>
                <w:szCs w:val="24"/>
                <w:lang w:val="lv-LV"/>
              </w:rPr>
              <w:t>ētikas komiteja</w:t>
            </w:r>
            <w:r w:rsidR="00F3509C" w:rsidRPr="00F3509C">
              <w:rPr>
                <w:sz w:val="24"/>
                <w:szCs w:val="24"/>
                <w:lang w:val="lv-LV"/>
              </w:rPr>
              <w:t xml:space="preserve"> paši skatīsies reģistrā</w:t>
            </w:r>
            <w:r>
              <w:rPr>
                <w:sz w:val="24"/>
                <w:szCs w:val="24"/>
                <w:lang w:val="lv-LV"/>
              </w:rPr>
              <w:t>, k</w:t>
            </w:r>
            <w:r w:rsidR="00F3509C" w:rsidRPr="00F3509C">
              <w:rPr>
                <w:sz w:val="24"/>
                <w:szCs w:val="24"/>
                <w:lang w:val="lv-LV"/>
              </w:rPr>
              <w:t xml:space="preserve">āds dokuments jāiesniedz, lai izvērtētu </w:t>
            </w:r>
          </w:p>
          <w:p w14:paraId="1585F27E" w14:textId="12B046EA" w:rsidR="00F3509C" w:rsidRPr="00F3509C" w:rsidRDefault="00F3509C" w:rsidP="00F3509C">
            <w:pPr>
              <w:shd w:val="clear" w:color="auto" w:fill="FFFFFF"/>
              <w:spacing w:after="0" w:line="240" w:lineRule="auto"/>
              <w:jc w:val="both"/>
              <w:rPr>
                <w:rFonts w:ascii="Times New Roman" w:eastAsia="Times New Roman" w:hAnsi="Times New Roman" w:cs="Times New Roman"/>
                <w:color w:val="525252"/>
                <w:sz w:val="24"/>
                <w:szCs w:val="24"/>
                <w:lang w:eastAsia="lv-LV"/>
              </w:rPr>
            </w:pPr>
            <w:r w:rsidRPr="00F3509C">
              <w:rPr>
                <w:rFonts w:ascii="Times New Roman" w:hAnsi="Times New Roman" w:cs="Times New Roman"/>
                <w:sz w:val="24"/>
                <w:szCs w:val="24"/>
              </w:rPr>
              <w:t xml:space="preserve">Ārsta ekonomiskās intereses – FD forma vai kas līdzīgs </w:t>
            </w:r>
            <w:r w:rsidR="00C61908">
              <w:rPr>
                <w:rFonts w:ascii="Times New Roman" w:hAnsi="Times New Roman" w:cs="Times New Roman"/>
                <w:sz w:val="24"/>
                <w:szCs w:val="24"/>
              </w:rPr>
              <w:t>ētikas komitejas</w:t>
            </w:r>
            <w:r w:rsidRPr="00F3509C">
              <w:rPr>
                <w:rFonts w:ascii="Times New Roman" w:hAnsi="Times New Roman" w:cs="Times New Roman"/>
                <w:sz w:val="24"/>
                <w:szCs w:val="24"/>
              </w:rPr>
              <w:t xml:space="preserve"> dokumentam, kas atrodams pielikumā MK noteikumu draftam?</w:t>
            </w:r>
          </w:p>
        </w:tc>
        <w:tc>
          <w:tcPr>
            <w:tcW w:w="735" w:type="pct"/>
            <w:tcBorders>
              <w:top w:val="outset" w:sz="6" w:space="0" w:color="414142"/>
              <w:left w:val="outset" w:sz="6" w:space="0" w:color="414142"/>
              <w:bottom w:val="outset" w:sz="6" w:space="0" w:color="414142"/>
              <w:right w:val="outset" w:sz="6" w:space="0" w:color="414142"/>
            </w:tcBorders>
          </w:tcPr>
          <w:p w14:paraId="4EB48E29" w14:textId="2259C1CF" w:rsidR="00F3509C" w:rsidRDefault="007E4249" w:rsidP="00F3509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 daļēji</w:t>
            </w:r>
          </w:p>
        </w:tc>
        <w:tc>
          <w:tcPr>
            <w:tcW w:w="1622" w:type="pct"/>
            <w:tcBorders>
              <w:top w:val="outset" w:sz="6" w:space="0" w:color="414142"/>
              <w:left w:val="outset" w:sz="6" w:space="0" w:color="414142"/>
              <w:bottom w:val="outset" w:sz="6" w:space="0" w:color="414142"/>
              <w:right w:val="outset" w:sz="6" w:space="0" w:color="414142"/>
            </w:tcBorders>
          </w:tcPr>
          <w:p w14:paraId="7FBE922F" w14:textId="4B8D7555" w:rsidR="003D7637" w:rsidRPr="007E4249" w:rsidRDefault="007E4249" w:rsidP="00F3509C">
            <w:pPr>
              <w:contextualSpacing/>
              <w:jc w:val="both"/>
              <w:rPr>
                <w:rFonts w:ascii="Times New Roman" w:hAnsi="Times New Roman" w:cs="Times New Roman"/>
                <w:sz w:val="24"/>
                <w:szCs w:val="24"/>
              </w:rPr>
            </w:pPr>
            <w:r w:rsidRPr="007E4249">
              <w:rPr>
                <w:rFonts w:ascii="Times New Roman" w:hAnsi="Times New Roman" w:cs="Times New Roman"/>
                <w:sz w:val="24"/>
                <w:szCs w:val="24"/>
              </w:rPr>
              <w:t>Saskaņā ar CTR, dalībvalstis neprasa papildu dokumentus tiem, kas ir noteikti CTR (1.pielikuma 64.-66. punkti, kur cita starpā teikts: “</w:t>
            </w:r>
            <w:r w:rsidRPr="00460FB5">
              <w:rPr>
                <w:rFonts w:ascii="Times New Roman" w:hAnsi="Times New Roman" w:cs="Times New Roman"/>
                <w:i/>
                <w:iCs/>
                <w:sz w:val="24"/>
                <w:szCs w:val="24"/>
              </w:rPr>
              <w:t>description of the qualification of the investigators in a current curriculum vitae and other relevant documents shall be submitted. Any previous training in the principles of good clinical practice or experience obtained from work with clinical trials and patient care shall be described</w:t>
            </w:r>
            <w:r w:rsidRPr="007E4249">
              <w:rPr>
                <w:rFonts w:ascii="Times New Roman" w:hAnsi="Times New Roman" w:cs="Times New Roman"/>
                <w:sz w:val="24"/>
                <w:szCs w:val="24"/>
              </w:rPr>
              <w:t xml:space="preserve">”), bet to būtu jānosaka dalībvaksts </w:t>
            </w:r>
            <w:r>
              <w:rPr>
                <w:rFonts w:ascii="Times New Roman" w:hAnsi="Times New Roman" w:cs="Times New Roman"/>
                <w:sz w:val="24"/>
                <w:szCs w:val="24"/>
              </w:rPr>
              <w:lastRenderedPageBreak/>
              <w:t>ētikas komitejai</w:t>
            </w:r>
            <w:r w:rsidRPr="007E4249">
              <w:rPr>
                <w:rFonts w:ascii="Times New Roman" w:hAnsi="Times New Roman" w:cs="Times New Roman"/>
                <w:sz w:val="24"/>
                <w:szCs w:val="24"/>
              </w:rPr>
              <w:t>, kādus tieši dokumetus tās grib vērtēt. Vairākas valstis prasīs tikai CV.</w:t>
            </w:r>
          </w:p>
        </w:tc>
      </w:tr>
      <w:tr w:rsidR="00F3509C" w:rsidRPr="00504148" w14:paraId="1C06A06E"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245D34AD" w14:textId="22749268" w:rsidR="00F3509C" w:rsidRDefault="00054CEF" w:rsidP="00F3509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E06186">
              <w:rPr>
                <w:rFonts w:ascii="Times New Roman" w:eastAsia="Times New Roman" w:hAnsi="Times New Roman" w:cs="Times New Roman"/>
                <w:sz w:val="24"/>
                <w:szCs w:val="24"/>
                <w:lang w:eastAsia="lv-LV"/>
              </w:rPr>
              <w:t>4</w:t>
            </w:r>
            <w:r w:rsidR="00F3509C">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415684B8" w14:textId="7993793C" w:rsidR="00F3509C" w:rsidRDefault="00054CEF" w:rsidP="00F3509C">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p w14:paraId="2000D99A" w14:textId="2607609A" w:rsidR="00F3509C" w:rsidRDefault="00F3509C" w:rsidP="00F3509C">
            <w:pPr>
              <w:spacing w:after="0" w:line="240" w:lineRule="auto"/>
              <w:rPr>
                <w:rFonts w:ascii="Times New Roman" w:hAnsi="Times New Roman" w:cs="Times New Roman"/>
                <w:sz w:val="24"/>
                <w:szCs w:val="24"/>
              </w:rPr>
            </w:pPr>
            <w:r>
              <w:rPr>
                <w:rFonts w:ascii="Times New Roman" w:hAnsi="Times New Roman" w:cs="Times New Roman"/>
                <w:sz w:val="24"/>
                <w:szCs w:val="24"/>
              </w:rPr>
              <w:t>Latvijas klīniskās pētniecības asociācija</w:t>
            </w:r>
          </w:p>
          <w:p w14:paraId="73C41082" w14:textId="77777777" w:rsidR="00F3509C" w:rsidRDefault="00F3509C" w:rsidP="00F3509C">
            <w:pPr>
              <w:spacing w:after="0" w:line="240" w:lineRule="auto"/>
              <w:rPr>
                <w:rFonts w:ascii="Times New Roman" w:hAnsi="Times New Roman" w:cs="Times New Roman"/>
                <w:sz w:val="24"/>
                <w:szCs w:val="24"/>
              </w:rPr>
            </w:pPr>
          </w:p>
          <w:p w14:paraId="5BE6F866" w14:textId="77777777" w:rsidR="00F3509C" w:rsidRDefault="00F3509C" w:rsidP="00F3509C">
            <w:pPr>
              <w:spacing w:after="0" w:line="240" w:lineRule="auto"/>
              <w:rPr>
                <w:rFonts w:ascii="Times New Roman" w:hAnsi="Times New Roman" w:cs="Times New Roman"/>
                <w:sz w:val="24"/>
                <w:szCs w:val="24"/>
              </w:rPr>
            </w:pPr>
          </w:p>
          <w:p w14:paraId="5B48224C" w14:textId="77777777" w:rsidR="00F3509C" w:rsidRDefault="00F3509C" w:rsidP="00F3509C">
            <w:pPr>
              <w:spacing w:after="0" w:line="240" w:lineRule="auto"/>
              <w:rPr>
                <w:rFonts w:ascii="Times New Roman" w:hAnsi="Times New Roman" w:cs="Times New Roman"/>
                <w:sz w:val="24"/>
                <w:szCs w:val="24"/>
              </w:rPr>
            </w:pPr>
          </w:p>
          <w:p w14:paraId="56A2C95A" w14:textId="77777777" w:rsidR="00F3509C" w:rsidRDefault="00F3509C" w:rsidP="00F3509C">
            <w:pPr>
              <w:spacing w:after="0" w:line="240" w:lineRule="auto"/>
              <w:rPr>
                <w:rFonts w:ascii="Times New Roman" w:hAnsi="Times New Roman" w:cs="Times New Roman"/>
                <w:sz w:val="24"/>
                <w:szCs w:val="24"/>
              </w:rPr>
            </w:pPr>
          </w:p>
          <w:p w14:paraId="0BEFB74D" w14:textId="77777777" w:rsidR="00F3509C" w:rsidRDefault="00F3509C" w:rsidP="00F3509C">
            <w:pPr>
              <w:spacing w:after="0" w:line="240" w:lineRule="auto"/>
              <w:rPr>
                <w:rFonts w:ascii="Times New Roman" w:hAnsi="Times New Roman" w:cs="Times New Roman"/>
                <w:sz w:val="24"/>
                <w:szCs w:val="24"/>
              </w:rPr>
            </w:pPr>
          </w:p>
          <w:p w14:paraId="6F431A53" w14:textId="77777777" w:rsidR="00F3509C" w:rsidRDefault="00F3509C" w:rsidP="00F3509C">
            <w:pPr>
              <w:spacing w:after="0" w:line="240" w:lineRule="auto"/>
              <w:rPr>
                <w:rFonts w:ascii="Times New Roman" w:hAnsi="Times New Roman" w:cs="Times New Roman"/>
                <w:sz w:val="24"/>
                <w:szCs w:val="24"/>
              </w:rPr>
            </w:pPr>
          </w:p>
          <w:p w14:paraId="04699F5D" w14:textId="77777777" w:rsidR="00F3509C" w:rsidRDefault="00F3509C" w:rsidP="00F3509C">
            <w:pPr>
              <w:spacing w:after="0" w:line="240" w:lineRule="auto"/>
              <w:rPr>
                <w:rFonts w:ascii="Times New Roman" w:hAnsi="Times New Roman" w:cs="Times New Roman"/>
                <w:sz w:val="24"/>
                <w:szCs w:val="24"/>
              </w:rPr>
            </w:pPr>
          </w:p>
          <w:p w14:paraId="79D3EF2E" w14:textId="77777777" w:rsidR="00F3509C" w:rsidRDefault="00F3509C" w:rsidP="00F3509C">
            <w:pPr>
              <w:spacing w:after="0" w:line="240" w:lineRule="auto"/>
              <w:rPr>
                <w:rFonts w:ascii="Times New Roman" w:hAnsi="Times New Roman" w:cs="Times New Roman"/>
                <w:sz w:val="24"/>
                <w:szCs w:val="24"/>
              </w:rPr>
            </w:pPr>
          </w:p>
          <w:p w14:paraId="56BF0ADF" w14:textId="77777777" w:rsidR="00F3509C" w:rsidRDefault="00F3509C" w:rsidP="00F3509C">
            <w:pPr>
              <w:spacing w:after="0" w:line="240" w:lineRule="auto"/>
              <w:rPr>
                <w:rFonts w:ascii="Times New Roman" w:hAnsi="Times New Roman" w:cs="Times New Roman"/>
                <w:sz w:val="24"/>
                <w:szCs w:val="24"/>
              </w:rPr>
            </w:pPr>
          </w:p>
          <w:p w14:paraId="7840CAA9" w14:textId="77777777" w:rsidR="00F3509C" w:rsidRDefault="00F3509C" w:rsidP="00F3509C">
            <w:pPr>
              <w:spacing w:after="0" w:line="240" w:lineRule="auto"/>
              <w:rPr>
                <w:rFonts w:ascii="Times New Roman" w:hAnsi="Times New Roman" w:cs="Times New Roman"/>
                <w:sz w:val="24"/>
                <w:szCs w:val="24"/>
              </w:rPr>
            </w:pPr>
          </w:p>
          <w:p w14:paraId="1FC6F04B" w14:textId="77777777" w:rsidR="00F3509C" w:rsidRDefault="00F3509C" w:rsidP="00F3509C">
            <w:pPr>
              <w:spacing w:after="0" w:line="240" w:lineRule="auto"/>
              <w:rPr>
                <w:rFonts w:ascii="Times New Roman" w:hAnsi="Times New Roman" w:cs="Times New Roman"/>
                <w:sz w:val="24"/>
                <w:szCs w:val="24"/>
              </w:rPr>
            </w:pPr>
          </w:p>
          <w:p w14:paraId="67BF929F" w14:textId="77777777" w:rsidR="00F3509C" w:rsidRDefault="00F3509C" w:rsidP="00F3509C">
            <w:pPr>
              <w:spacing w:after="0" w:line="240" w:lineRule="auto"/>
              <w:rPr>
                <w:rFonts w:ascii="Times New Roman" w:hAnsi="Times New Roman" w:cs="Times New Roman"/>
                <w:sz w:val="24"/>
                <w:szCs w:val="24"/>
              </w:rPr>
            </w:pPr>
          </w:p>
          <w:p w14:paraId="3CD6AF6B" w14:textId="77777777" w:rsidR="00F3509C" w:rsidRDefault="00F3509C" w:rsidP="00F3509C">
            <w:pPr>
              <w:spacing w:after="0" w:line="240" w:lineRule="auto"/>
              <w:rPr>
                <w:rFonts w:ascii="Times New Roman" w:hAnsi="Times New Roman" w:cs="Times New Roman"/>
                <w:sz w:val="24"/>
                <w:szCs w:val="24"/>
              </w:rPr>
            </w:pPr>
          </w:p>
          <w:p w14:paraId="113CCC94" w14:textId="77777777" w:rsidR="00F3509C" w:rsidRDefault="00F3509C" w:rsidP="00F3509C">
            <w:pPr>
              <w:spacing w:after="0" w:line="240" w:lineRule="auto"/>
              <w:rPr>
                <w:rFonts w:ascii="Times New Roman" w:hAnsi="Times New Roman" w:cs="Times New Roman"/>
                <w:sz w:val="24"/>
                <w:szCs w:val="24"/>
              </w:rPr>
            </w:pPr>
          </w:p>
          <w:p w14:paraId="45EFC922" w14:textId="77777777" w:rsidR="00F3509C" w:rsidRDefault="00F3509C" w:rsidP="00F3509C">
            <w:pPr>
              <w:spacing w:after="0" w:line="240" w:lineRule="auto"/>
              <w:rPr>
                <w:rFonts w:ascii="Times New Roman" w:hAnsi="Times New Roman" w:cs="Times New Roman"/>
                <w:sz w:val="24"/>
                <w:szCs w:val="24"/>
              </w:rPr>
            </w:pPr>
          </w:p>
          <w:p w14:paraId="005499D1" w14:textId="77777777" w:rsidR="00F3509C" w:rsidRDefault="00F3509C" w:rsidP="00F3509C">
            <w:pPr>
              <w:spacing w:after="0" w:line="240" w:lineRule="auto"/>
              <w:rPr>
                <w:rFonts w:ascii="Times New Roman" w:hAnsi="Times New Roman" w:cs="Times New Roman"/>
                <w:sz w:val="24"/>
                <w:szCs w:val="24"/>
              </w:rPr>
            </w:pPr>
          </w:p>
          <w:p w14:paraId="5F92A61A" w14:textId="77777777" w:rsidR="00F3509C" w:rsidRDefault="00F3509C" w:rsidP="00F3509C">
            <w:pPr>
              <w:spacing w:after="0" w:line="240" w:lineRule="auto"/>
              <w:rPr>
                <w:rFonts w:ascii="Times New Roman" w:hAnsi="Times New Roman" w:cs="Times New Roman"/>
                <w:sz w:val="24"/>
                <w:szCs w:val="24"/>
              </w:rPr>
            </w:pPr>
          </w:p>
          <w:p w14:paraId="161C90FA" w14:textId="77777777" w:rsidR="00F3509C" w:rsidRDefault="00F3509C" w:rsidP="00F3509C">
            <w:pPr>
              <w:spacing w:after="0" w:line="240" w:lineRule="auto"/>
              <w:rPr>
                <w:rFonts w:ascii="Times New Roman" w:hAnsi="Times New Roman" w:cs="Times New Roman"/>
                <w:sz w:val="24"/>
                <w:szCs w:val="24"/>
              </w:rPr>
            </w:pPr>
          </w:p>
          <w:p w14:paraId="542D460B" w14:textId="77777777" w:rsidR="00F3509C" w:rsidRDefault="00F3509C" w:rsidP="00F3509C">
            <w:pPr>
              <w:spacing w:after="0" w:line="240" w:lineRule="auto"/>
              <w:rPr>
                <w:rFonts w:ascii="Times New Roman" w:hAnsi="Times New Roman" w:cs="Times New Roman"/>
                <w:sz w:val="24"/>
                <w:szCs w:val="24"/>
              </w:rPr>
            </w:pPr>
          </w:p>
          <w:p w14:paraId="56B58332" w14:textId="77777777" w:rsidR="00F3509C" w:rsidRDefault="00F3509C" w:rsidP="00F3509C">
            <w:pPr>
              <w:spacing w:after="0" w:line="240" w:lineRule="auto"/>
              <w:rPr>
                <w:rFonts w:ascii="Times New Roman" w:hAnsi="Times New Roman" w:cs="Times New Roman"/>
                <w:sz w:val="24"/>
                <w:szCs w:val="24"/>
              </w:rPr>
            </w:pPr>
          </w:p>
          <w:p w14:paraId="49F82852" w14:textId="77777777" w:rsidR="00F3509C" w:rsidRDefault="00F3509C" w:rsidP="00F3509C">
            <w:pPr>
              <w:spacing w:after="0" w:line="240" w:lineRule="auto"/>
              <w:rPr>
                <w:rFonts w:ascii="Times New Roman" w:hAnsi="Times New Roman" w:cs="Times New Roman"/>
                <w:sz w:val="24"/>
                <w:szCs w:val="24"/>
              </w:rPr>
            </w:pPr>
          </w:p>
          <w:p w14:paraId="4E4E42E1" w14:textId="77777777" w:rsidR="00F3509C" w:rsidRDefault="00F3509C" w:rsidP="00F3509C">
            <w:pPr>
              <w:spacing w:after="0" w:line="240" w:lineRule="auto"/>
              <w:rPr>
                <w:rFonts w:ascii="Times New Roman" w:hAnsi="Times New Roman" w:cs="Times New Roman"/>
                <w:sz w:val="24"/>
                <w:szCs w:val="24"/>
              </w:rPr>
            </w:pPr>
          </w:p>
          <w:p w14:paraId="630D71F7" w14:textId="77777777" w:rsidR="00F3509C" w:rsidRDefault="00F3509C" w:rsidP="00F3509C">
            <w:pPr>
              <w:spacing w:after="0" w:line="240" w:lineRule="auto"/>
              <w:rPr>
                <w:rFonts w:ascii="Times New Roman" w:hAnsi="Times New Roman" w:cs="Times New Roman"/>
                <w:sz w:val="24"/>
                <w:szCs w:val="24"/>
              </w:rPr>
            </w:pPr>
          </w:p>
          <w:p w14:paraId="653C46DF" w14:textId="77777777" w:rsidR="00F3509C" w:rsidRDefault="00F3509C" w:rsidP="00F3509C">
            <w:pPr>
              <w:spacing w:after="0" w:line="240" w:lineRule="auto"/>
              <w:rPr>
                <w:rFonts w:ascii="Times New Roman" w:hAnsi="Times New Roman" w:cs="Times New Roman"/>
                <w:sz w:val="24"/>
                <w:szCs w:val="24"/>
              </w:rPr>
            </w:pPr>
          </w:p>
          <w:p w14:paraId="26BA9C74" w14:textId="0411BD9B" w:rsidR="00F3509C" w:rsidRDefault="00F3509C" w:rsidP="00F3509C">
            <w:pPr>
              <w:spacing w:after="0" w:line="240" w:lineRule="auto"/>
              <w:rPr>
                <w:rFonts w:ascii="Times New Roman" w:hAnsi="Times New Roman" w:cs="Times New Roman"/>
                <w:sz w:val="24"/>
                <w:szCs w:val="24"/>
              </w:rPr>
            </w:pPr>
          </w:p>
        </w:tc>
        <w:tc>
          <w:tcPr>
            <w:tcW w:w="1076" w:type="pct"/>
            <w:tcBorders>
              <w:top w:val="outset" w:sz="6" w:space="0" w:color="414142"/>
              <w:left w:val="outset" w:sz="6" w:space="0" w:color="414142"/>
              <w:bottom w:val="outset" w:sz="6" w:space="0" w:color="414142"/>
              <w:right w:val="outset" w:sz="6" w:space="0" w:color="414142"/>
            </w:tcBorders>
          </w:tcPr>
          <w:p w14:paraId="40082DA5" w14:textId="22D6D18C" w:rsidR="00F3509C" w:rsidRPr="006150C3" w:rsidRDefault="006150C3" w:rsidP="006150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Noteikumu projekta </w:t>
            </w:r>
            <w:r w:rsidR="00F3509C" w:rsidRPr="006150C3">
              <w:rPr>
                <w:rFonts w:ascii="Times New Roman" w:eastAsia="Calibri" w:hAnsi="Times New Roman" w:cs="Times New Roman"/>
                <w:sz w:val="24"/>
                <w:szCs w:val="24"/>
              </w:rPr>
              <w:t>45.punkts būtiski mīkstina ar MK noteikumu Nr.289 61.19.punktā noteiktās prasības pētniekiem. Aicinām noteikumu 45.punktu papildināt pēc vārda “jomu” ar vārdiem “</w:t>
            </w:r>
            <w:r w:rsidR="00F3509C" w:rsidRPr="006150C3">
              <w:rPr>
                <w:rFonts w:ascii="Times New Roman" w:eastAsia="Calibri" w:hAnsi="Times New Roman" w:cs="Times New Roman"/>
                <w:sz w:val="24"/>
                <w:szCs w:val="24"/>
                <w:shd w:val="clear" w:color="auto" w:fill="FFFFFF"/>
              </w:rPr>
              <w:t xml:space="preserve">kā arī ir apguvis labas klīniskās prakses prasības un normatīvos aktus par zāļu klīniskās izpētes veikšanu”. </w:t>
            </w:r>
          </w:p>
          <w:p w14:paraId="14CBDC00" w14:textId="77777777" w:rsidR="00F3509C" w:rsidRPr="002F30B3" w:rsidRDefault="00F3509C" w:rsidP="00F3509C">
            <w:pPr>
              <w:contextualSpacing/>
              <w:jc w:val="both"/>
              <w:rPr>
                <w:rFonts w:ascii="Times New Roman" w:eastAsia="Calibri" w:hAnsi="Times New Roman" w:cs="Times New Roman"/>
                <w:sz w:val="24"/>
                <w:szCs w:val="24"/>
                <w:shd w:val="clear" w:color="auto" w:fill="FFFFFF"/>
              </w:rPr>
            </w:pPr>
            <w:r w:rsidRPr="002F30B3">
              <w:rPr>
                <w:rFonts w:ascii="Times New Roman" w:eastAsia="Calibri" w:hAnsi="Times New Roman" w:cs="Times New Roman"/>
                <w:sz w:val="24"/>
                <w:szCs w:val="24"/>
                <w:shd w:val="clear" w:color="auto" w:fill="FFFFFF"/>
              </w:rPr>
              <w:t xml:space="preserve">Ja šāda prasība netiks noteikta, ētikas komitejas iespējas izvērtēt pētnieka kvalifikāciju ir ierobežotas ar sertifikāta pārbaudi un informācijas pārbaudi par praktisko pieredzi attiecīgajā ārstniecības nozarē, bet ne zināšanas un pieredzi klīniskajos pētījumos. </w:t>
            </w:r>
          </w:p>
          <w:p w14:paraId="6010CC2E" w14:textId="671BABAA" w:rsidR="00F3509C" w:rsidRPr="006150C3" w:rsidRDefault="00F3509C" w:rsidP="006150C3">
            <w:pPr>
              <w:spacing w:after="0" w:line="240" w:lineRule="auto"/>
              <w:jc w:val="both"/>
              <w:rPr>
                <w:rFonts w:ascii="Times New Roman" w:hAnsi="Times New Roman"/>
                <w:sz w:val="24"/>
                <w:szCs w:val="24"/>
              </w:rPr>
            </w:pPr>
            <w:r w:rsidRPr="006150C3">
              <w:rPr>
                <w:rFonts w:ascii="Times New Roman" w:eastAsia="Calibri" w:hAnsi="Times New Roman" w:cs="Times New Roman"/>
                <w:sz w:val="24"/>
                <w:szCs w:val="24"/>
                <w:shd w:val="clear" w:color="auto" w:fill="FFFFFF"/>
              </w:rPr>
              <w:t xml:space="preserve">Turklāt Labas klīniskās prakses sertifikātam būtu nosakāms derīguma termiņš šādu iemeslu </w:t>
            </w:r>
            <w:r w:rsidRPr="006150C3">
              <w:rPr>
                <w:rFonts w:ascii="Times New Roman" w:eastAsia="Calibri" w:hAnsi="Times New Roman" w:cs="Times New Roman"/>
                <w:sz w:val="24"/>
                <w:szCs w:val="24"/>
                <w:shd w:val="clear" w:color="auto" w:fill="FFFFFF"/>
              </w:rPr>
              <w:lastRenderedPageBreak/>
              <w:t xml:space="preserve">dēļ: </w:t>
            </w:r>
            <w:r w:rsidR="006150C3" w:rsidRPr="006150C3">
              <w:rPr>
                <w:rFonts w:ascii="Times New Roman" w:hAnsi="Times New Roman"/>
                <w:sz w:val="24"/>
                <w:szCs w:val="24"/>
              </w:rPr>
              <w:t>termiņu 2-3 gadu robežās. Līdzīga prasība nosakāma arī attiecībā uz pētnieka CV, lai iesniedzot pētījuma dokumentus, pievienotais CV būtu aktuāls.</w:t>
            </w:r>
          </w:p>
        </w:tc>
        <w:tc>
          <w:tcPr>
            <w:tcW w:w="735" w:type="pct"/>
            <w:tcBorders>
              <w:top w:val="outset" w:sz="6" w:space="0" w:color="414142"/>
              <w:left w:val="outset" w:sz="6" w:space="0" w:color="414142"/>
              <w:bottom w:val="outset" w:sz="6" w:space="0" w:color="414142"/>
              <w:right w:val="outset" w:sz="6" w:space="0" w:color="414142"/>
            </w:tcBorders>
          </w:tcPr>
          <w:p w14:paraId="7F75E9D5" w14:textId="32A2EDBC" w:rsidR="00F3509C" w:rsidRDefault="006150C3" w:rsidP="00F3509C">
            <w:pPr>
              <w:spacing w:after="0" w:line="240" w:lineRule="auto"/>
              <w:jc w:val="center"/>
              <w:rPr>
                <w:rFonts w:ascii="Times New Roman" w:eastAsia="Times New Roman" w:hAnsi="Times New Roman" w:cs="Times New Roman"/>
                <w:sz w:val="24"/>
                <w:szCs w:val="24"/>
                <w:lang w:eastAsia="lv-LV"/>
              </w:rPr>
            </w:pPr>
            <w:r w:rsidRPr="00AB5AA0">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3AECB6B1" w14:textId="3AF17655" w:rsidR="00AB5AA0" w:rsidRPr="00AB5AA0" w:rsidRDefault="006150C3" w:rsidP="00AB5AA0">
            <w:pPr>
              <w:jc w:val="both"/>
              <w:rPr>
                <w:rFonts w:ascii="Times New Roman" w:hAnsi="Times New Roman" w:cs="Times New Roman"/>
                <w:i/>
                <w:iCs/>
                <w:sz w:val="24"/>
                <w:szCs w:val="24"/>
              </w:rPr>
            </w:pPr>
            <w:r w:rsidRPr="00AB5AA0">
              <w:rPr>
                <w:rFonts w:ascii="Times New Roman" w:hAnsi="Times New Roman" w:cs="Times New Roman"/>
                <w:sz w:val="24"/>
                <w:szCs w:val="24"/>
              </w:rPr>
              <w:t>Noteikumu projekta 45.</w:t>
            </w:r>
            <w:r w:rsidR="00211104" w:rsidRPr="00AB5AA0">
              <w:rPr>
                <w:rFonts w:ascii="Times New Roman" w:hAnsi="Times New Roman" w:cs="Times New Roman"/>
                <w:sz w:val="24"/>
                <w:szCs w:val="24"/>
              </w:rPr>
              <w:t xml:space="preserve"> </w:t>
            </w:r>
            <w:r w:rsidRPr="00AB5AA0">
              <w:rPr>
                <w:rFonts w:ascii="Times New Roman" w:hAnsi="Times New Roman" w:cs="Times New Roman"/>
                <w:sz w:val="24"/>
                <w:szCs w:val="24"/>
              </w:rPr>
              <w:t>punkts aiz vārda “joma” papildināts ar vārdiem “</w:t>
            </w:r>
            <w:r w:rsidRPr="00AB5AA0">
              <w:rPr>
                <w:rFonts w:ascii="Times New Roman" w:eastAsia="Calibri" w:hAnsi="Times New Roman" w:cs="Times New Roman"/>
                <w:sz w:val="24"/>
                <w:szCs w:val="24"/>
                <w:shd w:val="clear" w:color="auto" w:fill="FFFFFF"/>
              </w:rPr>
              <w:t xml:space="preserve">kā arī ir apguvis </w:t>
            </w:r>
            <w:r w:rsidR="00AB5AA0" w:rsidRPr="00AB5AA0">
              <w:rPr>
                <w:rFonts w:ascii="Times New Roman" w:eastAsia="Calibri" w:hAnsi="Times New Roman" w:cs="Times New Roman"/>
                <w:sz w:val="24"/>
                <w:szCs w:val="24"/>
                <w:shd w:val="clear" w:color="auto" w:fill="FFFFFF"/>
              </w:rPr>
              <w:t xml:space="preserve">aktuālās </w:t>
            </w:r>
            <w:r w:rsidRPr="00AB5AA0">
              <w:rPr>
                <w:rFonts w:ascii="Times New Roman" w:eastAsia="Calibri" w:hAnsi="Times New Roman" w:cs="Times New Roman"/>
                <w:sz w:val="24"/>
                <w:szCs w:val="24"/>
                <w:shd w:val="clear" w:color="auto" w:fill="FFFFFF"/>
              </w:rPr>
              <w:t xml:space="preserve">labas klīniskās prakses </w:t>
            </w:r>
            <w:r w:rsidR="00AB5AA0" w:rsidRPr="00AB5AA0">
              <w:rPr>
                <w:rFonts w:ascii="Times New Roman" w:eastAsia="Calibri" w:hAnsi="Times New Roman" w:cs="Times New Roman"/>
                <w:sz w:val="24"/>
                <w:szCs w:val="24"/>
                <w:shd w:val="clear" w:color="auto" w:fill="FFFFFF"/>
              </w:rPr>
              <w:t xml:space="preserve">vadlīnijas.” </w:t>
            </w:r>
          </w:p>
          <w:p w14:paraId="69988A83" w14:textId="22FC4C15" w:rsidR="0050021A" w:rsidRPr="006150C3" w:rsidRDefault="0050021A" w:rsidP="00211104">
            <w:pPr>
              <w:pStyle w:val="ListParagraph"/>
              <w:jc w:val="both"/>
              <w:rPr>
                <w:rFonts w:ascii="Times New Roman" w:hAnsi="Times New Roman" w:cs="Times New Roman"/>
                <w:i/>
                <w:iCs/>
                <w:sz w:val="24"/>
                <w:szCs w:val="24"/>
              </w:rPr>
            </w:pPr>
          </w:p>
        </w:tc>
      </w:tr>
      <w:tr w:rsidR="00752F5F" w:rsidRPr="00504148" w14:paraId="32A1218F"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721812A8" w14:textId="37A5818C"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0618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2090AED8" w14:textId="6053DEB6"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Patentbrīvo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69905907" w14:textId="67C399DA" w:rsidR="00752F5F" w:rsidRPr="00693215" w:rsidRDefault="00752F5F" w:rsidP="00752F5F">
            <w:pPr>
              <w:spacing w:after="120" w:line="240" w:lineRule="auto"/>
              <w:jc w:val="both"/>
              <w:rPr>
                <w:rFonts w:ascii="Times New Roman" w:hAnsi="Times New Roman" w:cs="Times New Roman"/>
                <w:sz w:val="24"/>
                <w:szCs w:val="24"/>
              </w:rPr>
            </w:pPr>
            <w:r w:rsidRPr="00693215">
              <w:rPr>
                <w:rFonts w:ascii="Times New Roman" w:hAnsi="Times New Roman" w:cs="Times New Roman"/>
                <w:sz w:val="24"/>
                <w:szCs w:val="24"/>
              </w:rPr>
              <w:t>Būtu nepieciešams papildu precizējums/skaidrojums par</w:t>
            </w:r>
            <w:r>
              <w:rPr>
                <w:rFonts w:ascii="Times New Roman" w:hAnsi="Times New Roman" w:cs="Times New Roman"/>
                <w:sz w:val="24"/>
                <w:szCs w:val="24"/>
              </w:rPr>
              <w:t xml:space="preserve"> </w:t>
            </w:r>
            <w:r w:rsidRPr="00693215">
              <w:rPr>
                <w:rFonts w:ascii="Times New Roman" w:hAnsi="Times New Roman" w:cs="Times New Roman"/>
                <w:sz w:val="24"/>
                <w:szCs w:val="24"/>
              </w:rPr>
              <w:t>46.</w:t>
            </w:r>
            <w:r>
              <w:rPr>
                <w:rFonts w:ascii="Times New Roman" w:hAnsi="Times New Roman" w:cs="Times New Roman"/>
                <w:sz w:val="24"/>
                <w:szCs w:val="24"/>
              </w:rPr>
              <w:t>punktu</w:t>
            </w:r>
            <w:r w:rsidRPr="00693215">
              <w:rPr>
                <w:rFonts w:ascii="Times New Roman" w:hAnsi="Times New Roman" w:cs="Times New Roman"/>
                <w:sz w:val="24"/>
                <w:szCs w:val="24"/>
              </w:rPr>
              <w:t xml:space="preserve"> "Pētnieks drīkst piedalīties pirmās fāzes pētījumos, ja viņam ir iepriekšēja pieredze zāļu klīniskajās pārbaudēs." definīciju "pirmās fāzes pētījumos". Vai šie pētījumi vairs netiek uzskatīti par klīnisko pārbaudi?</w:t>
            </w:r>
          </w:p>
        </w:tc>
        <w:tc>
          <w:tcPr>
            <w:tcW w:w="735" w:type="pct"/>
            <w:tcBorders>
              <w:top w:val="outset" w:sz="6" w:space="0" w:color="414142"/>
              <w:left w:val="outset" w:sz="6" w:space="0" w:color="414142"/>
              <w:bottom w:val="outset" w:sz="6" w:space="0" w:color="414142"/>
              <w:right w:val="outset" w:sz="6" w:space="0" w:color="414142"/>
            </w:tcBorders>
          </w:tcPr>
          <w:p w14:paraId="61B44319" w14:textId="4D257A4D"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5A516075" w14:textId="24357547" w:rsidR="004033CF" w:rsidRPr="004033CF" w:rsidRDefault="004033CF" w:rsidP="00752F5F">
            <w:pPr>
              <w:contextualSpacing/>
              <w:jc w:val="both"/>
              <w:rPr>
                <w:rFonts w:ascii="Times New Roman" w:hAnsi="Times New Roman" w:cs="Times New Roman"/>
                <w:sz w:val="24"/>
                <w:szCs w:val="24"/>
              </w:rPr>
            </w:pPr>
            <w:r w:rsidRPr="004033CF">
              <w:rPr>
                <w:rFonts w:ascii="Times New Roman" w:hAnsi="Times New Roman" w:cs="Times New Roman"/>
                <w:sz w:val="24"/>
                <w:szCs w:val="24"/>
              </w:rPr>
              <w:t>Noteikumu projekta 46. punkts precizēts, aizstājot vārdu “pētījums” ar vārdu “pārbaudes”</w:t>
            </w:r>
          </w:p>
          <w:p w14:paraId="5B7F02F4" w14:textId="31E0EC93" w:rsidR="00752F5F" w:rsidRPr="006150C3" w:rsidRDefault="00752F5F" w:rsidP="00752F5F">
            <w:pPr>
              <w:contextualSpacing/>
              <w:jc w:val="both"/>
              <w:rPr>
                <w:i/>
                <w:iCs/>
              </w:rPr>
            </w:pPr>
          </w:p>
        </w:tc>
      </w:tr>
      <w:tr w:rsidR="00752F5F" w:rsidRPr="00504148" w14:paraId="5BC84B52"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0AB88E34" w14:textId="1B83786D"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0618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653424C6" w14:textId="284656E2"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Patentbrīvo medikamentu asociācija; Latvijas klīniskās pētniecības asociācija</w:t>
            </w:r>
          </w:p>
        </w:tc>
        <w:tc>
          <w:tcPr>
            <w:tcW w:w="1076" w:type="pct"/>
            <w:tcBorders>
              <w:top w:val="outset" w:sz="6" w:space="0" w:color="414142"/>
              <w:left w:val="outset" w:sz="6" w:space="0" w:color="414142"/>
              <w:bottom w:val="outset" w:sz="6" w:space="0" w:color="414142"/>
              <w:right w:val="outset" w:sz="6" w:space="0" w:color="414142"/>
            </w:tcBorders>
          </w:tcPr>
          <w:p w14:paraId="1C73BB00" w14:textId="37BE0096" w:rsidR="00752F5F" w:rsidRPr="00693215" w:rsidRDefault="00752F5F" w:rsidP="00752F5F">
            <w:pPr>
              <w:spacing w:after="120" w:line="240" w:lineRule="auto"/>
              <w:jc w:val="both"/>
              <w:rPr>
                <w:rFonts w:ascii="Times New Roman" w:hAnsi="Times New Roman" w:cs="Times New Roman"/>
                <w:sz w:val="24"/>
                <w:szCs w:val="24"/>
              </w:rPr>
            </w:pPr>
            <w:r w:rsidRPr="00693215">
              <w:rPr>
                <w:rFonts w:ascii="Times New Roman" w:hAnsi="Times New Roman" w:cs="Times New Roman"/>
                <w:sz w:val="24"/>
                <w:szCs w:val="24"/>
              </w:rPr>
              <w:t>Lūdzam skaidrojumu par 48. panta prasību, ka pētāmās zāles aizliegts uzglabāt un izplatīt ārpus pētījuma centra. Profesionālā literatūrā par pandēmijas periodu ir publikācijas, kas apraksta zāļu piegādi pētījuma subjektam uz mājām, piemēram, lai mazinātu kontaktēšanos ambulatorā centrā, ja nav nepieciešami kādi speciāli izmeklējumi (attālināta vizīte). Vai tāda iespēja ir akceptējama, ja paliek esošā redakcija?</w:t>
            </w:r>
          </w:p>
        </w:tc>
        <w:tc>
          <w:tcPr>
            <w:tcW w:w="735" w:type="pct"/>
            <w:tcBorders>
              <w:top w:val="outset" w:sz="6" w:space="0" w:color="414142"/>
              <w:left w:val="outset" w:sz="6" w:space="0" w:color="414142"/>
              <w:bottom w:val="outset" w:sz="6" w:space="0" w:color="414142"/>
              <w:right w:val="outset" w:sz="6" w:space="0" w:color="414142"/>
            </w:tcBorders>
          </w:tcPr>
          <w:p w14:paraId="1ED9C2EC" w14:textId="45A41F25" w:rsidR="00752F5F" w:rsidRDefault="002E774B"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5E4D7D92" w14:textId="16C1136E" w:rsidR="00752F5F" w:rsidRPr="002E774B" w:rsidRDefault="002E774B" w:rsidP="00752F5F">
            <w:pPr>
              <w:contextualSpacing/>
              <w:jc w:val="both"/>
              <w:rPr>
                <w:rFonts w:ascii="Times New Roman" w:hAnsi="Times New Roman" w:cs="Times New Roman"/>
                <w:sz w:val="24"/>
                <w:szCs w:val="24"/>
              </w:rPr>
            </w:pPr>
            <w:r w:rsidRPr="002E774B">
              <w:rPr>
                <w:rFonts w:ascii="Times New Roman" w:hAnsi="Times New Roman" w:cs="Times New Roman"/>
                <w:sz w:val="24"/>
                <w:szCs w:val="24"/>
              </w:rPr>
              <w:t xml:space="preserve">Noteikumu projekta 48. punktā tiek svītrots otrais teikums. </w:t>
            </w:r>
          </w:p>
          <w:p w14:paraId="23179BFF" w14:textId="56E3D143" w:rsidR="00752F5F" w:rsidRPr="006150C3" w:rsidRDefault="00752F5F" w:rsidP="002E774B">
            <w:pPr>
              <w:spacing w:after="0" w:line="240" w:lineRule="auto"/>
              <w:ind w:left="426" w:hanging="426"/>
              <w:jc w:val="both"/>
              <w:rPr>
                <w:i/>
                <w:iCs/>
              </w:rPr>
            </w:pPr>
          </w:p>
        </w:tc>
      </w:tr>
      <w:tr w:rsidR="00752F5F" w:rsidRPr="00504148" w14:paraId="201CD95A"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69E5FC82" w14:textId="7910418D"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E0618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3714F380" w14:textId="299EE0A5"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3A464552" w14:textId="43FA83E2" w:rsidR="00752F5F" w:rsidRPr="002F30B3" w:rsidRDefault="00752F5F" w:rsidP="00752F5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Pr="002F30B3">
              <w:rPr>
                <w:rFonts w:ascii="Times New Roman" w:eastAsia="Calibri" w:hAnsi="Times New Roman" w:cs="Times New Roman"/>
                <w:sz w:val="24"/>
                <w:szCs w:val="24"/>
              </w:rPr>
              <w:t>49.punkt</w:t>
            </w:r>
            <w:r>
              <w:rPr>
                <w:rFonts w:ascii="Times New Roman" w:eastAsia="Calibri" w:hAnsi="Times New Roman" w:cs="Times New Roman"/>
                <w:sz w:val="24"/>
                <w:szCs w:val="24"/>
              </w:rPr>
              <w:t>ā</w:t>
            </w:r>
            <w:r w:rsidRPr="002F30B3">
              <w:rPr>
                <w:rFonts w:ascii="Times New Roman" w:eastAsia="Calibri" w:hAnsi="Times New Roman" w:cs="Times New Roman"/>
                <w:sz w:val="24"/>
                <w:szCs w:val="24"/>
              </w:rPr>
              <w:t xml:space="preserve"> </w:t>
            </w:r>
            <w:r w:rsidRPr="00403592">
              <w:rPr>
                <w:rFonts w:ascii="Times New Roman" w:eastAsia="Calibri" w:hAnsi="Times New Roman" w:cs="Times New Roman"/>
                <w:sz w:val="24"/>
                <w:szCs w:val="24"/>
              </w:rPr>
              <w:t>vārdus “ir pieejami” aizstāt ar vārdiem “tiek nodrošināti”.</w:t>
            </w:r>
            <w:r w:rsidRPr="002F30B3">
              <w:rPr>
                <w:rFonts w:ascii="Times New Roman" w:eastAsia="Calibri" w:hAnsi="Times New Roman" w:cs="Times New Roman"/>
                <w:sz w:val="24"/>
                <w:szCs w:val="24"/>
              </w:rPr>
              <w:t xml:space="preserve"> </w:t>
            </w:r>
          </w:p>
          <w:p w14:paraId="39CE3B09" w14:textId="77777777" w:rsidR="00752F5F" w:rsidRPr="002F30B3" w:rsidRDefault="00752F5F" w:rsidP="00752F5F">
            <w:pPr>
              <w:spacing w:after="0" w:line="240" w:lineRule="auto"/>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37BB9153" w14:textId="23059DB7" w:rsidR="00752F5F" w:rsidRPr="00797917" w:rsidRDefault="00752F5F" w:rsidP="00752F5F">
            <w:pPr>
              <w:spacing w:after="0" w:line="240" w:lineRule="auto"/>
              <w:jc w:val="center"/>
              <w:rPr>
                <w:rFonts w:ascii="Times New Roman" w:eastAsia="Times New Roman" w:hAnsi="Times New Roman" w:cs="Times New Roman"/>
                <w:sz w:val="24"/>
                <w:szCs w:val="24"/>
                <w:lang w:eastAsia="lv-LV"/>
              </w:rPr>
            </w:pPr>
            <w:r w:rsidRPr="00797917">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31C2FAD0" w14:textId="51F0113A" w:rsidR="00752F5F" w:rsidRPr="00797917" w:rsidRDefault="00752F5F" w:rsidP="00752F5F">
            <w:pPr>
              <w:contextualSpacing/>
              <w:jc w:val="both"/>
              <w:rPr>
                <w:rFonts w:ascii="Times New Roman" w:hAnsi="Times New Roman" w:cs="Times New Roman"/>
                <w:sz w:val="24"/>
                <w:szCs w:val="24"/>
              </w:rPr>
            </w:pPr>
            <w:r w:rsidRPr="00797917">
              <w:rPr>
                <w:rFonts w:ascii="Times New Roman" w:hAnsi="Times New Roman" w:cs="Times New Roman"/>
                <w:sz w:val="24"/>
                <w:szCs w:val="24"/>
              </w:rPr>
              <w:t>Noteikumu projekta 49. punktā vārdi “ir pieejami” aizstāt</w:t>
            </w:r>
            <w:r w:rsidR="005A6ADA">
              <w:rPr>
                <w:rFonts w:ascii="Times New Roman" w:hAnsi="Times New Roman" w:cs="Times New Roman"/>
                <w:sz w:val="24"/>
                <w:szCs w:val="24"/>
              </w:rPr>
              <w:t>i</w:t>
            </w:r>
            <w:r w:rsidRPr="00797917">
              <w:rPr>
                <w:rFonts w:ascii="Times New Roman" w:hAnsi="Times New Roman" w:cs="Times New Roman"/>
                <w:sz w:val="24"/>
                <w:szCs w:val="24"/>
              </w:rPr>
              <w:t xml:space="preserve"> ar vārdiem “tiek nodrošināti”.</w:t>
            </w:r>
          </w:p>
        </w:tc>
      </w:tr>
      <w:tr w:rsidR="00752F5F" w:rsidRPr="00504148" w14:paraId="0069A1A8"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28511F73" w14:textId="5B7C19C9" w:rsidR="00752F5F" w:rsidRDefault="00E06186"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r w:rsidR="00752F5F">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4B303852" w14:textId="57FEE5D3"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Patentbrīvo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13ED8ED0" w14:textId="019DEF45" w:rsidR="00752F5F" w:rsidRPr="00693215" w:rsidRDefault="00752F5F" w:rsidP="00752F5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Sniegt plašāku skaidrojumu, v</w:t>
            </w:r>
            <w:r w:rsidRPr="00693215">
              <w:rPr>
                <w:rFonts w:ascii="Times New Roman" w:hAnsi="Times New Roman" w:cs="Times New Roman"/>
                <w:sz w:val="24"/>
                <w:szCs w:val="24"/>
              </w:rPr>
              <w:t xml:space="preserve">ai atbilstoši </w:t>
            </w:r>
            <w:r>
              <w:rPr>
                <w:rFonts w:ascii="Times New Roman" w:hAnsi="Times New Roman" w:cs="Times New Roman"/>
                <w:sz w:val="24"/>
                <w:szCs w:val="24"/>
              </w:rPr>
              <w:t>Noteikumu projekta 51.punktam, kas noteic, ka “</w:t>
            </w:r>
            <w:r w:rsidRPr="00693215">
              <w:rPr>
                <w:rFonts w:ascii="Times New Roman" w:hAnsi="Times New Roman" w:cs="Times New Roman"/>
                <w:sz w:val="24"/>
                <w:szCs w:val="24"/>
              </w:rPr>
              <w:t>Ārstniecības iestādei, kas veic maziejaukšanās klīnisko pārbaudi, jānoslēdz civiltiesiskās apdrošināšanas līgums, paredzot maziejaukšanās klīniskās pārbaudes izraisīta kaitējuma kompensēšanu.", ja ārstniecības iestāde (vai Sponsors) plāno iesaistīt arī citas ārstniecības iestādes kā papildus centrus, tad katrai ārstniecības iestādei ir jānoslēdz civiltiesiskās apdrošināšanas līgums</w:t>
            </w:r>
            <w:r>
              <w:rPr>
                <w:rFonts w:ascii="Times New Roman" w:hAnsi="Times New Roman" w:cs="Times New Roman"/>
                <w:sz w:val="24"/>
                <w:szCs w:val="24"/>
              </w:rPr>
              <w:t>, v</w:t>
            </w:r>
            <w:r w:rsidRPr="00693215">
              <w:rPr>
                <w:rFonts w:ascii="Times New Roman" w:hAnsi="Times New Roman" w:cs="Times New Roman"/>
                <w:sz w:val="24"/>
                <w:szCs w:val="24"/>
              </w:rPr>
              <w:t xml:space="preserve">ai to var izdarīt par visu maziejaukšanās klīnisko pārbaudi centralizēti? </w:t>
            </w:r>
          </w:p>
        </w:tc>
        <w:tc>
          <w:tcPr>
            <w:tcW w:w="735" w:type="pct"/>
            <w:tcBorders>
              <w:top w:val="outset" w:sz="6" w:space="0" w:color="414142"/>
              <w:left w:val="outset" w:sz="6" w:space="0" w:color="414142"/>
              <w:bottom w:val="outset" w:sz="6" w:space="0" w:color="414142"/>
              <w:right w:val="outset" w:sz="6" w:space="0" w:color="414142"/>
            </w:tcBorders>
          </w:tcPr>
          <w:p w14:paraId="1B8C800E" w14:textId="0AC4A2BF" w:rsidR="00752F5F" w:rsidRDefault="005A6ADA"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78195F4A" w14:textId="3D150434" w:rsidR="005A6ADA" w:rsidRPr="00460FB5" w:rsidRDefault="00DB2596" w:rsidP="00752F5F">
            <w:pPr>
              <w:jc w:val="both"/>
              <w:rPr>
                <w:rFonts w:ascii="Times New Roman" w:hAnsi="Times New Roman" w:cs="Times New Roman"/>
                <w:i/>
                <w:iCs/>
                <w:color w:val="FF0000"/>
                <w:sz w:val="24"/>
                <w:szCs w:val="24"/>
              </w:rPr>
            </w:pPr>
            <w:r w:rsidRPr="00276152">
              <w:rPr>
                <w:rFonts w:ascii="Times New Roman" w:hAnsi="Times New Roman" w:cs="Times New Roman"/>
                <w:sz w:val="24"/>
                <w:szCs w:val="24"/>
              </w:rPr>
              <w:t>Papildināta anotācija ar skaidrojumu</w:t>
            </w:r>
          </w:p>
        </w:tc>
      </w:tr>
      <w:tr w:rsidR="00752F5F" w:rsidRPr="00504148" w14:paraId="5367AC0B"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B919360" w14:textId="5CD93536" w:rsidR="00752F5F" w:rsidRDefault="00E06186"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r w:rsidR="00752F5F">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5ACF9C98" w14:textId="6C20707A"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VSIA “Paula Stradiņa klīniskā universitātes slimnīca” Attīstības biedrības Klīniskās izpētes komiteja; </w:t>
            </w:r>
            <w:r w:rsidRPr="00BB481D">
              <w:rPr>
                <w:rFonts w:ascii="Times New Roman" w:hAnsi="Times New Roman" w:cs="Times New Roman"/>
                <w:sz w:val="24"/>
                <w:szCs w:val="24"/>
                <w:shd w:val="clear" w:color="auto" w:fill="FFFFFF"/>
              </w:rPr>
              <w:t>SIA Novartis Baltics klīnisko pētījumu komanda</w:t>
            </w:r>
          </w:p>
        </w:tc>
        <w:tc>
          <w:tcPr>
            <w:tcW w:w="1076" w:type="pct"/>
            <w:tcBorders>
              <w:top w:val="outset" w:sz="6" w:space="0" w:color="414142"/>
              <w:left w:val="outset" w:sz="6" w:space="0" w:color="414142"/>
              <w:bottom w:val="outset" w:sz="6" w:space="0" w:color="414142"/>
              <w:right w:val="outset" w:sz="6" w:space="0" w:color="414142"/>
            </w:tcBorders>
          </w:tcPr>
          <w:p w14:paraId="1144EBBE" w14:textId="77777777" w:rsidR="00752F5F" w:rsidRPr="002F30B3" w:rsidRDefault="00752F5F" w:rsidP="00752F5F">
            <w:pPr>
              <w:spacing w:after="0" w:line="240" w:lineRule="auto"/>
              <w:contextualSpacing/>
              <w:jc w:val="both"/>
              <w:rPr>
                <w:rFonts w:ascii="Times New Roman" w:eastAsia="Calibri" w:hAnsi="Times New Roman" w:cs="Times New Roman"/>
                <w:sz w:val="24"/>
                <w:szCs w:val="24"/>
              </w:rPr>
            </w:pPr>
            <w:r w:rsidRPr="00DB2596">
              <w:rPr>
                <w:rFonts w:ascii="Times New Roman" w:eastAsia="Calibri" w:hAnsi="Times New Roman" w:cs="Times New Roman"/>
                <w:sz w:val="24"/>
                <w:szCs w:val="24"/>
              </w:rPr>
              <w:t>52.punkts: saturiski neatbilst nodaļas virsrakstam.</w:t>
            </w:r>
          </w:p>
          <w:p w14:paraId="361C3F28" w14:textId="77777777" w:rsidR="00752F5F" w:rsidRPr="00BB481D" w:rsidRDefault="00752F5F" w:rsidP="00752F5F">
            <w:pPr>
              <w:shd w:val="clear" w:color="auto" w:fill="FFFFFF"/>
              <w:spacing w:after="0" w:line="240" w:lineRule="auto"/>
              <w:jc w:val="both"/>
              <w:rPr>
                <w:rFonts w:ascii="Times New Roman" w:eastAsia="Times New Roman" w:hAnsi="Times New Roman" w:cs="Times New Roman"/>
                <w:sz w:val="24"/>
                <w:szCs w:val="24"/>
                <w:lang w:eastAsia="lv-LV"/>
              </w:rPr>
            </w:pPr>
            <w:bookmarkStart w:id="7" w:name="_Hlk94796972"/>
            <w:r w:rsidRPr="00BB481D">
              <w:rPr>
                <w:rFonts w:ascii="Times New Roman" w:eastAsia="Times New Roman" w:hAnsi="Times New Roman" w:cs="Times New Roman"/>
                <w:sz w:val="24"/>
                <w:szCs w:val="24"/>
                <w:lang w:eastAsia="lv-LV"/>
              </w:rPr>
              <w:t xml:space="preserve">Noteikumu projekta 52.punkts noteic, ka Līgumā ar sponsoru par klīniskās pārbaudes veikšanu, ārstniecības iestāde iekļauj aprēķinu par klīniskās pārbaudes veikšanas izraisītajiem papildu izdevumiem ārstniecības iestādei, tai skaitā ar </w:t>
            </w:r>
            <w:r w:rsidRPr="00BB481D">
              <w:rPr>
                <w:rFonts w:ascii="Times New Roman" w:eastAsia="Times New Roman" w:hAnsi="Times New Roman" w:cs="Times New Roman"/>
                <w:sz w:val="24"/>
                <w:szCs w:val="24"/>
                <w:lang w:eastAsia="lv-LV"/>
              </w:rPr>
              <w:lastRenderedPageBreak/>
              <w:t>cilvēkresursu un materiālās bāzes izmantošanu saistītajām izmaksām.</w:t>
            </w:r>
          </w:p>
          <w:p w14:paraId="69B76170" w14:textId="3587F5E0" w:rsidR="00752F5F" w:rsidRPr="002F30B3" w:rsidRDefault="00DB2596" w:rsidP="00752F5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ka </w:t>
            </w:r>
            <w:r w:rsidR="00752F5F">
              <w:rPr>
                <w:rFonts w:ascii="Times New Roman" w:eastAsia="Calibri" w:hAnsi="Times New Roman" w:cs="Times New Roman"/>
                <w:sz w:val="24"/>
                <w:szCs w:val="24"/>
              </w:rPr>
              <w:t>v</w:t>
            </w:r>
            <w:r w:rsidR="00752F5F" w:rsidRPr="00BB481D">
              <w:rPr>
                <w:rFonts w:ascii="Times New Roman" w:hAnsi="Times New Roman" w:cs="Times New Roman"/>
                <w:sz w:val="24"/>
                <w:szCs w:val="24"/>
              </w:rPr>
              <w:t>airumā gadījumu cilvēkresursu izmaksas tiek iekļautas atsevišķos līgumos ar galveno pētnieku, pētniekiem un citiem centra pā</w:t>
            </w:r>
            <w:r>
              <w:rPr>
                <w:rFonts w:ascii="Times New Roman" w:hAnsi="Times New Roman" w:cs="Times New Roman"/>
                <w:sz w:val="24"/>
                <w:szCs w:val="24"/>
              </w:rPr>
              <w:t>r</w:t>
            </w:r>
            <w:r w:rsidR="00752F5F" w:rsidRPr="00BB481D">
              <w:rPr>
                <w:rFonts w:ascii="Times New Roman" w:hAnsi="Times New Roman" w:cs="Times New Roman"/>
                <w:sz w:val="24"/>
                <w:szCs w:val="24"/>
              </w:rPr>
              <w:t>stāvjiem</w:t>
            </w:r>
            <w:r>
              <w:rPr>
                <w:rFonts w:ascii="Times New Roman" w:hAnsi="Times New Roman" w:cs="Times New Roman"/>
                <w:sz w:val="24"/>
                <w:szCs w:val="24"/>
              </w:rPr>
              <w:t>, nepieciešams paredzēt, ka tie var būt vairāki līgumi.</w:t>
            </w:r>
            <w:bookmarkEnd w:id="7"/>
          </w:p>
        </w:tc>
        <w:tc>
          <w:tcPr>
            <w:tcW w:w="735" w:type="pct"/>
            <w:tcBorders>
              <w:top w:val="outset" w:sz="6" w:space="0" w:color="414142"/>
              <w:left w:val="outset" w:sz="6" w:space="0" w:color="414142"/>
              <w:bottom w:val="outset" w:sz="6" w:space="0" w:color="414142"/>
              <w:right w:val="outset" w:sz="6" w:space="0" w:color="414142"/>
            </w:tcBorders>
          </w:tcPr>
          <w:p w14:paraId="3B21E6F2" w14:textId="58DD7A31"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05B3666D" w14:textId="77777777" w:rsidR="00DB2596" w:rsidRPr="00276152" w:rsidRDefault="00752F5F" w:rsidP="00DB2596">
            <w:pPr>
              <w:jc w:val="both"/>
              <w:rPr>
                <w:rFonts w:ascii="Times New Roman" w:hAnsi="Times New Roman" w:cs="Times New Roman"/>
                <w:i/>
                <w:iCs/>
                <w:color w:val="FF0000"/>
                <w:sz w:val="24"/>
                <w:szCs w:val="24"/>
              </w:rPr>
            </w:pPr>
            <w:r w:rsidRPr="00797917">
              <w:rPr>
                <w:rFonts w:ascii="Times New Roman" w:hAnsi="Times New Roman" w:cs="Times New Roman"/>
                <w:sz w:val="24"/>
                <w:szCs w:val="24"/>
              </w:rPr>
              <w:t>Noteikumu projekta 52.</w:t>
            </w:r>
            <w:r>
              <w:rPr>
                <w:rFonts w:ascii="Times New Roman" w:hAnsi="Times New Roman" w:cs="Times New Roman"/>
                <w:sz w:val="24"/>
                <w:szCs w:val="24"/>
              </w:rPr>
              <w:t xml:space="preserve"> </w:t>
            </w:r>
            <w:r w:rsidRPr="00797917">
              <w:rPr>
                <w:rFonts w:ascii="Times New Roman" w:hAnsi="Times New Roman" w:cs="Times New Roman"/>
                <w:sz w:val="24"/>
                <w:szCs w:val="24"/>
              </w:rPr>
              <w:t xml:space="preserve">punkts tiek </w:t>
            </w:r>
            <w:r>
              <w:rPr>
                <w:rFonts w:ascii="Times New Roman" w:hAnsi="Times New Roman" w:cs="Times New Roman"/>
                <w:sz w:val="24"/>
                <w:szCs w:val="24"/>
              </w:rPr>
              <w:t>pārcelts</w:t>
            </w:r>
            <w:r w:rsidRPr="00797917">
              <w:rPr>
                <w:rFonts w:ascii="Times New Roman" w:hAnsi="Times New Roman" w:cs="Times New Roman"/>
                <w:sz w:val="24"/>
                <w:szCs w:val="24"/>
              </w:rPr>
              <w:t xml:space="preserve"> </w:t>
            </w:r>
            <w:r w:rsidR="00DB2596">
              <w:rPr>
                <w:rFonts w:ascii="Times New Roman" w:hAnsi="Times New Roman" w:cs="Times New Roman"/>
                <w:sz w:val="24"/>
                <w:szCs w:val="24"/>
              </w:rPr>
              <w:t>uz VII.nodaļu un izteikts kā</w:t>
            </w:r>
            <w:r w:rsidRPr="00797917">
              <w:rPr>
                <w:rFonts w:ascii="Times New Roman" w:hAnsi="Times New Roman" w:cs="Times New Roman"/>
                <w:sz w:val="24"/>
                <w:szCs w:val="24"/>
              </w:rPr>
              <w:t xml:space="preserve"> Noteikumu projekta 50.</w:t>
            </w:r>
            <w:r>
              <w:rPr>
                <w:rFonts w:ascii="Times New Roman" w:hAnsi="Times New Roman" w:cs="Times New Roman"/>
                <w:sz w:val="24"/>
                <w:szCs w:val="24"/>
              </w:rPr>
              <w:t xml:space="preserve"> </w:t>
            </w:r>
            <w:r w:rsidRPr="00797917">
              <w:rPr>
                <w:rFonts w:ascii="Times New Roman" w:hAnsi="Times New Roman" w:cs="Times New Roman"/>
                <w:sz w:val="24"/>
                <w:szCs w:val="24"/>
              </w:rPr>
              <w:t>punkts.</w:t>
            </w:r>
            <w:r w:rsidR="00DB2596">
              <w:rPr>
                <w:rFonts w:ascii="Times New Roman" w:hAnsi="Times New Roman" w:cs="Times New Roman"/>
                <w:sz w:val="24"/>
                <w:szCs w:val="24"/>
              </w:rPr>
              <w:t xml:space="preserve"> </w:t>
            </w:r>
            <w:r w:rsidR="00DB2596" w:rsidRPr="00276152">
              <w:rPr>
                <w:rFonts w:ascii="Times New Roman" w:hAnsi="Times New Roman" w:cs="Times New Roman"/>
                <w:sz w:val="24"/>
                <w:szCs w:val="24"/>
              </w:rPr>
              <w:t>Papildināta anotācija ar skaidrojumu</w:t>
            </w:r>
          </w:p>
          <w:p w14:paraId="1EA5A2EA" w14:textId="536E155D" w:rsidR="00752F5F" w:rsidRPr="00DB2596" w:rsidRDefault="00752F5F" w:rsidP="00DB2596">
            <w:pPr>
              <w:jc w:val="both"/>
              <w:rPr>
                <w:rFonts w:ascii="Times New Roman" w:hAnsi="Times New Roman" w:cs="Times New Roman"/>
                <w:sz w:val="24"/>
                <w:szCs w:val="24"/>
              </w:rPr>
            </w:pPr>
          </w:p>
        </w:tc>
      </w:tr>
      <w:tr w:rsidR="00752F5F" w:rsidRPr="00CA7D56" w14:paraId="4C746F1C" w14:textId="77777777" w:rsidTr="00967A9B">
        <w:trPr>
          <w:trHeight w:val="1239"/>
        </w:trPr>
        <w:tc>
          <w:tcPr>
            <w:tcW w:w="198" w:type="pct"/>
            <w:tcBorders>
              <w:top w:val="outset" w:sz="6" w:space="0" w:color="414142"/>
              <w:left w:val="outset" w:sz="6" w:space="0" w:color="414142"/>
              <w:bottom w:val="outset" w:sz="6" w:space="0" w:color="414142"/>
              <w:right w:val="outset" w:sz="6" w:space="0" w:color="414142"/>
            </w:tcBorders>
          </w:tcPr>
          <w:p w14:paraId="73FFEA51" w14:textId="5BF79AFE"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0618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3BCD1C0A" w14:textId="20AAC068"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46B973CA" w14:textId="13EED705" w:rsidR="00752F5F" w:rsidRPr="002F30B3" w:rsidRDefault="00752F5F" w:rsidP="00752F5F">
            <w:pPr>
              <w:spacing w:after="0" w:line="240" w:lineRule="auto"/>
              <w:contextualSpacing/>
              <w:jc w:val="both"/>
              <w:rPr>
                <w:rFonts w:ascii="Times New Roman" w:eastAsia="Calibri" w:hAnsi="Times New Roman" w:cs="Times New Roman"/>
                <w:sz w:val="24"/>
                <w:szCs w:val="24"/>
                <w:highlight w:val="yellow"/>
              </w:rPr>
            </w:pPr>
            <w:r w:rsidRPr="002F30B3">
              <w:rPr>
                <w:rFonts w:ascii="Times New Roman" w:eastAsia="Times New Roman" w:hAnsi="Times New Roman" w:cs="Times New Roman"/>
                <w:sz w:val="24"/>
                <w:szCs w:val="24"/>
              </w:rPr>
              <w:t>53.punkts: nepieciešams precizēt frāzi “lēmuma pamatojuma novērtēšanā” , precīzāk būtu “lēmuma pamatošanā” .</w:t>
            </w:r>
          </w:p>
        </w:tc>
        <w:tc>
          <w:tcPr>
            <w:tcW w:w="735" w:type="pct"/>
            <w:tcBorders>
              <w:top w:val="outset" w:sz="6" w:space="0" w:color="414142"/>
              <w:left w:val="outset" w:sz="6" w:space="0" w:color="414142"/>
              <w:bottom w:val="outset" w:sz="6" w:space="0" w:color="414142"/>
              <w:right w:val="outset" w:sz="6" w:space="0" w:color="414142"/>
            </w:tcBorders>
          </w:tcPr>
          <w:p w14:paraId="539BE326" w14:textId="70ED4FB3" w:rsidR="00752F5F" w:rsidRDefault="00752F5F" w:rsidP="00752F5F">
            <w:pPr>
              <w:spacing w:after="0" w:line="240" w:lineRule="auto"/>
              <w:jc w:val="center"/>
              <w:rPr>
                <w:rFonts w:ascii="Times New Roman" w:eastAsia="Times New Roman" w:hAnsi="Times New Roman" w:cs="Times New Roman"/>
                <w:sz w:val="24"/>
                <w:szCs w:val="24"/>
                <w:lang w:eastAsia="lv-LV"/>
              </w:rPr>
            </w:pPr>
            <w:r w:rsidRPr="00DB2596">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1E660FAF" w14:textId="0F92FBF8" w:rsidR="00752F5F" w:rsidRPr="00CA7D56" w:rsidRDefault="00752F5F" w:rsidP="00752F5F">
            <w:pPr>
              <w:contextualSpacing/>
              <w:jc w:val="both"/>
              <w:rPr>
                <w:rFonts w:ascii="Times New Roman" w:hAnsi="Times New Roman" w:cs="Times New Roman"/>
                <w:sz w:val="24"/>
                <w:szCs w:val="24"/>
              </w:rPr>
            </w:pPr>
            <w:r w:rsidRPr="00CA7D56">
              <w:rPr>
                <w:rFonts w:ascii="Times New Roman" w:hAnsi="Times New Roman" w:cs="Times New Roman"/>
                <w:sz w:val="24"/>
                <w:szCs w:val="24"/>
              </w:rPr>
              <w:t>Noteikumu projekta 53.</w:t>
            </w:r>
            <w:r>
              <w:rPr>
                <w:rFonts w:ascii="Times New Roman" w:hAnsi="Times New Roman" w:cs="Times New Roman"/>
                <w:sz w:val="24"/>
                <w:szCs w:val="24"/>
              </w:rPr>
              <w:t xml:space="preserve"> </w:t>
            </w:r>
            <w:r w:rsidRPr="00CA7D56">
              <w:rPr>
                <w:rFonts w:ascii="Times New Roman" w:hAnsi="Times New Roman" w:cs="Times New Roman"/>
                <w:sz w:val="24"/>
                <w:szCs w:val="24"/>
              </w:rPr>
              <w:t xml:space="preserve">punktā </w:t>
            </w:r>
            <w:r>
              <w:rPr>
                <w:rFonts w:ascii="Times New Roman" w:hAnsi="Times New Roman" w:cs="Times New Roman"/>
                <w:sz w:val="24"/>
                <w:szCs w:val="24"/>
              </w:rPr>
              <w:t>vārdi</w:t>
            </w:r>
            <w:r w:rsidRPr="00CA7D56">
              <w:rPr>
                <w:rFonts w:ascii="Times New Roman" w:hAnsi="Times New Roman" w:cs="Times New Roman"/>
                <w:sz w:val="24"/>
                <w:szCs w:val="24"/>
              </w:rPr>
              <w:t xml:space="preserve"> “lēmuma pamatojuma novērtēšanā” aizstāta ar </w:t>
            </w:r>
            <w:r>
              <w:rPr>
                <w:rFonts w:ascii="Times New Roman" w:hAnsi="Times New Roman" w:cs="Times New Roman"/>
                <w:sz w:val="24"/>
                <w:szCs w:val="24"/>
              </w:rPr>
              <w:t>vārdiem</w:t>
            </w:r>
            <w:r w:rsidRPr="00CA7D56">
              <w:rPr>
                <w:rFonts w:ascii="Times New Roman" w:hAnsi="Times New Roman" w:cs="Times New Roman"/>
                <w:sz w:val="24"/>
                <w:szCs w:val="24"/>
              </w:rPr>
              <w:t xml:space="preserve"> “lēmuma pamatošanā”.</w:t>
            </w:r>
          </w:p>
        </w:tc>
      </w:tr>
      <w:tr w:rsidR="00752F5F" w:rsidRPr="00504148" w14:paraId="47AD279A"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A18657F" w14:textId="7579DE47"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0618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54FA8DA8" w14:textId="5721BB38"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Patenbrīvo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2B193BAD" w14:textId="6D21076F" w:rsidR="00752F5F" w:rsidRPr="00693215" w:rsidRDefault="00752F5F" w:rsidP="00752F5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Noteikumu projekta</w:t>
            </w:r>
            <w:r w:rsidRPr="00693215">
              <w:rPr>
                <w:rFonts w:ascii="Times New Roman" w:hAnsi="Times New Roman" w:cs="Times New Roman"/>
                <w:sz w:val="24"/>
                <w:szCs w:val="24"/>
              </w:rPr>
              <w:t xml:space="preserve"> 59.</w:t>
            </w:r>
            <w:r>
              <w:rPr>
                <w:rFonts w:ascii="Times New Roman" w:hAnsi="Times New Roman" w:cs="Times New Roman"/>
                <w:sz w:val="24"/>
                <w:szCs w:val="24"/>
              </w:rPr>
              <w:t>punkts noteic, ka:</w:t>
            </w:r>
            <w:r w:rsidRPr="00693215">
              <w:rPr>
                <w:rFonts w:ascii="Times New Roman" w:hAnsi="Times New Roman" w:cs="Times New Roman"/>
                <w:sz w:val="24"/>
                <w:szCs w:val="24"/>
              </w:rPr>
              <w:t xml:space="preserve"> "Klīniskās pārbaudes uzraudzību atbilstoši kompetencei ir tiesīgas veikt Veselības inspekcijas amatpersonas." </w:t>
            </w:r>
            <w:r w:rsidRPr="007C1852">
              <w:rPr>
                <w:rFonts w:ascii="Times New Roman" w:hAnsi="Times New Roman" w:cs="Times New Roman"/>
                <w:sz w:val="24"/>
                <w:szCs w:val="24"/>
              </w:rPr>
              <w:t>Nepieciešams plašāks skaidrojums par minēto uzraudzību, norādot kā tā tiks organizēt, vai katrai klīniskai pārbaudei/izvēles kārtā, vai Veselības inspekcijas (VI) personāls ir apmācīts veikt šo uzraudzību/kāda ir kompetence,  vai Zāļu valsts aģentūrai jāpieņem kāds lēmums (kāda darbība seko) pēc minētās uzraudzības rezultātu saņemšanas no Veselības inspekcijas?</w:t>
            </w:r>
          </w:p>
        </w:tc>
        <w:tc>
          <w:tcPr>
            <w:tcW w:w="735" w:type="pct"/>
            <w:tcBorders>
              <w:top w:val="outset" w:sz="6" w:space="0" w:color="414142"/>
              <w:left w:val="outset" w:sz="6" w:space="0" w:color="414142"/>
              <w:bottom w:val="outset" w:sz="6" w:space="0" w:color="414142"/>
              <w:right w:val="outset" w:sz="6" w:space="0" w:color="414142"/>
            </w:tcBorders>
          </w:tcPr>
          <w:p w14:paraId="021326EE" w14:textId="265DFEFC" w:rsidR="00752F5F" w:rsidRDefault="00752F5F" w:rsidP="00752F5F">
            <w:pPr>
              <w:spacing w:after="0" w:line="240" w:lineRule="auto"/>
              <w:jc w:val="center"/>
              <w:rPr>
                <w:rFonts w:ascii="Times New Roman" w:eastAsia="Times New Roman" w:hAnsi="Times New Roman" w:cs="Times New Roman"/>
                <w:sz w:val="24"/>
                <w:szCs w:val="24"/>
                <w:lang w:eastAsia="lv-LV"/>
              </w:rPr>
            </w:pPr>
            <w:r w:rsidRPr="00DB2596">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70B8401E" w14:textId="76630B51" w:rsidR="00752F5F" w:rsidRPr="007C1852" w:rsidRDefault="007C1852" w:rsidP="00752F5F">
            <w:pPr>
              <w:contextualSpacing/>
              <w:jc w:val="both"/>
              <w:rPr>
                <w:rFonts w:ascii="Times New Roman" w:hAnsi="Times New Roman" w:cs="Times New Roman"/>
                <w:sz w:val="24"/>
                <w:szCs w:val="24"/>
              </w:rPr>
            </w:pPr>
            <w:r w:rsidRPr="007C1852">
              <w:rPr>
                <w:rFonts w:ascii="Times New Roman" w:hAnsi="Times New Roman" w:cs="Times New Roman"/>
                <w:sz w:val="24"/>
                <w:szCs w:val="24"/>
              </w:rPr>
              <w:t>Noteikumu projekta 59. punkta pirmais teikums izteikts šādā redakcijā: “</w:t>
            </w:r>
            <w:r w:rsidRPr="007C1852">
              <w:rPr>
                <w:rFonts w:ascii="Times New Roman" w:eastAsia="Times New Roman" w:hAnsi="Times New Roman" w:cs="Times New Roman"/>
                <w:sz w:val="24"/>
                <w:szCs w:val="24"/>
                <w:lang w:eastAsia="lv-LV"/>
              </w:rPr>
              <w:t>Klīniskās pārbaudes uzraudzību atbilstoši kompetencei ir tiesīgas veikt Veselības inspekcijas amatpersonas</w:t>
            </w:r>
            <w:r>
              <w:rPr>
                <w:rFonts w:ascii="Times New Roman" w:eastAsia="Times New Roman" w:hAnsi="Times New Roman" w:cs="Times New Roman"/>
                <w:sz w:val="24"/>
                <w:szCs w:val="24"/>
                <w:lang w:eastAsia="lv-LV"/>
              </w:rPr>
              <w:t xml:space="preserve"> pēc Zāļu valsts aģentūras pieprasījuma.</w:t>
            </w:r>
            <w:r w:rsidRPr="007C1852">
              <w:rPr>
                <w:rFonts w:ascii="Times New Roman" w:hAnsi="Times New Roman" w:cs="Times New Roman"/>
                <w:sz w:val="24"/>
                <w:szCs w:val="24"/>
              </w:rPr>
              <w:t>”</w:t>
            </w:r>
          </w:p>
          <w:p w14:paraId="33C92C16" w14:textId="50B62852" w:rsidR="00752F5F" w:rsidRPr="00812E86" w:rsidRDefault="00752F5F" w:rsidP="00752F5F">
            <w:pPr>
              <w:contextualSpacing/>
              <w:jc w:val="both"/>
              <w:rPr>
                <w:rFonts w:ascii="Times New Roman" w:hAnsi="Times New Roman" w:cs="Times New Roman"/>
                <w:sz w:val="20"/>
                <w:szCs w:val="20"/>
              </w:rPr>
            </w:pPr>
          </w:p>
        </w:tc>
      </w:tr>
      <w:tr w:rsidR="00752F5F" w:rsidRPr="00504148" w14:paraId="7A248075"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3CF4FFD" w14:textId="4D3A25D4"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00E0618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333C63DE" w14:textId="151E11E8"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Patenbrīvo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2ED01603" w14:textId="4E5DCFAB" w:rsidR="00752F5F" w:rsidRPr="00693215" w:rsidRDefault="00752F5F" w:rsidP="00752F5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Nepieciešams plašāks skaidrojums, v</w:t>
            </w:r>
            <w:r w:rsidRPr="00693215">
              <w:rPr>
                <w:rFonts w:ascii="Times New Roman" w:hAnsi="Times New Roman" w:cs="Times New Roman"/>
                <w:sz w:val="24"/>
                <w:szCs w:val="24"/>
              </w:rPr>
              <w:t xml:space="preserve">ai atbilstoši  </w:t>
            </w:r>
            <w:bookmarkStart w:id="8" w:name="_Hlk94797018"/>
            <w:r w:rsidRPr="00693215">
              <w:rPr>
                <w:rFonts w:ascii="Times New Roman" w:hAnsi="Times New Roman" w:cs="Times New Roman"/>
                <w:sz w:val="24"/>
                <w:szCs w:val="24"/>
              </w:rPr>
              <w:t>60.</w:t>
            </w:r>
            <w:r>
              <w:rPr>
                <w:rFonts w:ascii="Times New Roman" w:hAnsi="Times New Roman" w:cs="Times New Roman"/>
                <w:sz w:val="24"/>
                <w:szCs w:val="24"/>
              </w:rPr>
              <w:t>punktam</w:t>
            </w:r>
            <w:r w:rsidRPr="00693215">
              <w:rPr>
                <w:rFonts w:ascii="Times New Roman" w:hAnsi="Times New Roman" w:cs="Times New Roman"/>
                <w:sz w:val="24"/>
                <w:szCs w:val="24"/>
              </w:rPr>
              <w:t xml:space="preserve"> "Zāļu valsts aģentūras amatpersonām pēc šo noteikumu 56. punktā minētās identifikācijas kartes uzrādīšanas un bez tiesas rīkojuma ir tiesības piekļūt uzņēmumiem, ārstniecības iestādēm un citām klīniskajā pārbaudē iesaistītām vietām."</w:t>
            </w:r>
            <w:r>
              <w:rPr>
                <w:rFonts w:ascii="Times New Roman" w:hAnsi="Times New Roman" w:cs="Times New Roman"/>
                <w:sz w:val="24"/>
                <w:szCs w:val="24"/>
              </w:rPr>
              <w:t>, vai Zāļu valsts aģentūras</w:t>
            </w:r>
            <w:r w:rsidRPr="00693215">
              <w:rPr>
                <w:rFonts w:ascii="Times New Roman" w:hAnsi="Times New Roman" w:cs="Times New Roman"/>
                <w:sz w:val="24"/>
                <w:szCs w:val="24"/>
              </w:rPr>
              <w:t xml:space="preserve"> amatpersonas brīdina Sponsoru vai ārstniecības iestādi par inspekcijas veikšanu</w:t>
            </w:r>
            <w:r>
              <w:rPr>
                <w:rFonts w:ascii="Times New Roman" w:hAnsi="Times New Roman" w:cs="Times New Roman"/>
                <w:sz w:val="24"/>
                <w:szCs w:val="24"/>
              </w:rPr>
              <w:t>, c</w:t>
            </w:r>
            <w:r w:rsidRPr="00693215">
              <w:rPr>
                <w:rFonts w:ascii="Times New Roman" w:hAnsi="Times New Roman" w:cs="Times New Roman"/>
                <w:sz w:val="24"/>
                <w:szCs w:val="24"/>
              </w:rPr>
              <w:t>ik dienas iepriekš?</w:t>
            </w:r>
            <w:bookmarkEnd w:id="8"/>
          </w:p>
        </w:tc>
        <w:tc>
          <w:tcPr>
            <w:tcW w:w="735" w:type="pct"/>
            <w:tcBorders>
              <w:top w:val="outset" w:sz="6" w:space="0" w:color="414142"/>
              <w:left w:val="outset" w:sz="6" w:space="0" w:color="414142"/>
              <w:bottom w:val="outset" w:sz="6" w:space="0" w:color="414142"/>
              <w:right w:val="outset" w:sz="6" w:space="0" w:color="414142"/>
            </w:tcBorders>
          </w:tcPr>
          <w:p w14:paraId="7FE94D2C" w14:textId="1C42BF56" w:rsidR="00752F5F" w:rsidRDefault="006A04A7"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r w:rsidR="00314A31">
              <w:rPr>
                <w:rFonts w:ascii="Times New Roman" w:eastAsia="Times New Roman" w:hAnsi="Times New Roman" w:cs="Times New Roman"/>
                <w:sz w:val="24"/>
                <w:szCs w:val="24"/>
                <w:lang w:eastAsia="lv-LV"/>
              </w:rPr>
              <w:t xml:space="preserve"> daļēji</w:t>
            </w:r>
          </w:p>
        </w:tc>
        <w:tc>
          <w:tcPr>
            <w:tcW w:w="1622" w:type="pct"/>
            <w:tcBorders>
              <w:top w:val="outset" w:sz="6" w:space="0" w:color="414142"/>
              <w:left w:val="outset" w:sz="6" w:space="0" w:color="414142"/>
              <w:bottom w:val="outset" w:sz="6" w:space="0" w:color="414142"/>
              <w:right w:val="outset" w:sz="6" w:space="0" w:color="414142"/>
            </w:tcBorders>
          </w:tcPr>
          <w:p w14:paraId="11EFA157" w14:textId="77777777" w:rsidR="00314A31" w:rsidRPr="00246866" w:rsidRDefault="00314A31" w:rsidP="00314A31">
            <w:pPr>
              <w:spacing w:after="0" w:line="240" w:lineRule="auto"/>
              <w:contextualSpacing/>
              <w:jc w:val="both"/>
              <w:rPr>
                <w:rFonts w:ascii="Times New Roman" w:hAnsi="Times New Roman" w:cs="Times New Roman"/>
                <w:sz w:val="24"/>
                <w:szCs w:val="24"/>
              </w:rPr>
            </w:pPr>
            <w:r w:rsidRPr="00246866">
              <w:rPr>
                <w:rFonts w:ascii="Times New Roman" w:hAnsi="Times New Roman" w:cs="Times New Roman"/>
                <w:sz w:val="24"/>
                <w:szCs w:val="24"/>
              </w:rPr>
              <w:t xml:space="preserve">Parasti informē 30 dienas iepriekš, bet ārkārtas situācijās var brīdināt, piem., 1 dienu iepriekš. </w:t>
            </w:r>
          </w:p>
          <w:p w14:paraId="310D3E47" w14:textId="2C6F2540" w:rsidR="00314A31" w:rsidRPr="00246866" w:rsidRDefault="00314A31" w:rsidP="00314A3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w:t>
            </w:r>
            <w:r w:rsidRPr="00246866">
              <w:rPr>
                <w:rFonts w:ascii="Times New Roman" w:hAnsi="Times New Roman" w:cs="Times New Roman"/>
                <w:sz w:val="24"/>
                <w:szCs w:val="24"/>
              </w:rPr>
              <w:t xml:space="preserve">nspekciju procedūru apraksti būs publiski pieejami portālā, t.sk., </w:t>
            </w:r>
            <w:r>
              <w:rPr>
                <w:rFonts w:ascii="Times New Roman" w:hAnsi="Times New Roman" w:cs="Times New Roman"/>
                <w:sz w:val="24"/>
                <w:szCs w:val="24"/>
              </w:rPr>
              <w:t xml:space="preserve">procedūru apraksti </w:t>
            </w:r>
            <w:r w:rsidRPr="00246866">
              <w:rPr>
                <w:rFonts w:ascii="Times New Roman" w:hAnsi="Times New Roman" w:cs="Times New Roman"/>
                <w:sz w:val="24"/>
                <w:szCs w:val="24"/>
              </w:rPr>
              <w:t>par sponsora brīdināšanu</w:t>
            </w:r>
            <w:r>
              <w:rPr>
                <w:rFonts w:ascii="Times New Roman" w:hAnsi="Times New Roman" w:cs="Times New Roman"/>
                <w:sz w:val="24"/>
                <w:szCs w:val="24"/>
              </w:rPr>
              <w:t>.</w:t>
            </w:r>
          </w:p>
          <w:p w14:paraId="6FDEE034" w14:textId="77777777" w:rsidR="006A04A7" w:rsidRDefault="006A04A7" w:rsidP="00752F5F">
            <w:pPr>
              <w:contextualSpacing/>
              <w:jc w:val="both"/>
              <w:rPr>
                <w:i/>
                <w:iCs/>
              </w:rPr>
            </w:pPr>
          </w:p>
          <w:p w14:paraId="03E1BF05" w14:textId="77777777" w:rsidR="00246866" w:rsidRPr="00246866" w:rsidRDefault="00246866" w:rsidP="00246866">
            <w:pPr>
              <w:spacing w:after="0" w:line="240" w:lineRule="auto"/>
              <w:jc w:val="both"/>
              <w:rPr>
                <w:rFonts w:ascii="Times New Roman" w:eastAsia="Times New Roman" w:hAnsi="Times New Roman" w:cs="Times New Roman"/>
                <w:color w:val="333333"/>
                <w:sz w:val="24"/>
                <w:szCs w:val="24"/>
                <w:lang w:eastAsia="lv-LV"/>
              </w:rPr>
            </w:pPr>
          </w:p>
          <w:p w14:paraId="34429A41" w14:textId="0EC21411" w:rsidR="006A04A7" w:rsidRPr="002305AE" w:rsidRDefault="006A04A7" w:rsidP="006A04A7">
            <w:pPr>
              <w:contextualSpacing/>
              <w:jc w:val="both"/>
              <w:rPr>
                <w:i/>
                <w:iCs/>
              </w:rPr>
            </w:pPr>
          </w:p>
        </w:tc>
      </w:tr>
      <w:tr w:rsidR="00752F5F" w:rsidRPr="00504148" w14:paraId="64E0E5D9"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21D82DC6" w14:textId="44E33553"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0618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7D60CB95" w14:textId="77238A6D"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236FE21B" w14:textId="3F24B62F" w:rsidR="00752F5F" w:rsidRPr="002F30B3" w:rsidRDefault="00752F5F" w:rsidP="00752F5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Pr="002F30B3">
              <w:rPr>
                <w:rFonts w:ascii="Times New Roman" w:eastAsia="Calibri" w:hAnsi="Times New Roman" w:cs="Times New Roman"/>
                <w:sz w:val="24"/>
                <w:szCs w:val="24"/>
              </w:rPr>
              <w:t>63.punkt</w:t>
            </w:r>
            <w:r>
              <w:rPr>
                <w:rFonts w:ascii="Times New Roman" w:eastAsia="Calibri" w:hAnsi="Times New Roman" w:cs="Times New Roman"/>
                <w:sz w:val="24"/>
                <w:szCs w:val="24"/>
              </w:rPr>
              <w:t>ā</w:t>
            </w:r>
            <w:r w:rsidRPr="002F30B3">
              <w:rPr>
                <w:rFonts w:ascii="Times New Roman" w:eastAsia="Calibri" w:hAnsi="Times New Roman" w:cs="Times New Roman"/>
                <w:sz w:val="24"/>
                <w:szCs w:val="24"/>
              </w:rPr>
              <w:t xml:space="preserve"> tiek lietots jēdziens “izpētes projekta pašnovērtējums”. Tā tas nav iepriekš skaidrots, </w:t>
            </w:r>
            <w:r>
              <w:rPr>
                <w:rFonts w:ascii="Times New Roman" w:eastAsia="Calibri" w:hAnsi="Times New Roman" w:cs="Times New Roman"/>
                <w:sz w:val="24"/>
                <w:szCs w:val="24"/>
              </w:rPr>
              <w:t>kā arī nav</w:t>
            </w:r>
            <w:r w:rsidRPr="002F30B3">
              <w:rPr>
                <w:rFonts w:ascii="Times New Roman" w:eastAsia="Calibri" w:hAnsi="Times New Roman" w:cs="Times New Roman"/>
                <w:sz w:val="24"/>
                <w:szCs w:val="24"/>
              </w:rPr>
              <w:t xml:space="preserve"> minēts regulā, tad tas ir visai neskaidrs. Arī konteksts, kādā tas ir lietots izpratni neatvieglo. </w:t>
            </w:r>
          </w:p>
          <w:p w14:paraId="056F1E59" w14:textId="77777777" w:rsidR="00752F5F" w:rsidRPr="002F30B3" w:rsidRDefault="00752F5F" w:rsidP="00752F5F">
            <w:pPr>
              <w:spacing w:after="0" w:line="240" w:lineRule="auto"/>
              <w:contextualSpacing/>
              <w:jc w:val="both"/>
              <w:rPr>
                <w:rFonts w:ascii="Times New Roman" w:eastAsia="Times New Roman"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12EC02B1" w14:textId="7857A1DB" w:rsidR="00752F5F" w:rsidRDefault="007B2C70"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03300949" w14:textId="770BA14E" w:rsidR="00752F5F" w:rsidRPr="007B2C70" w:rsidRDefault="007B2C70" w:rsidP="007B2C7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Noteikumu projekta 63. punkts precizēts, </w:t>
            </w:r>
            <w:r w:rsidRPr="007B2C70">
              <w:rPr>
                <w:rFonts w:ascii="Times New Roman" w:hAnsi="Times New Roman" w:cs="Times New Roman"/>
                <w:sz w:val="24"/>
                <w:szCs w:val="24"/>
              </w:rPr>
              <w:t xml:space="preserve">izsakot to šādā redakcijā: “Informētā piekrišana, kas sniegta saskaņā ar regulas V nodaļu, </w:t>
            </w:r>
            <w:bookmarkStart w:id="9" w:name="_Hlk81384925"/>
            <w:r w:rsidRPr="007B2C70">
              <w:rPr>
                <w:rFonts w:ascii="Times New Roman" w:hAnsi="Times New Roman" w:cs="Times New Roman"/>
                <w:sz w:val="24"/>
                <w:szCs w:val="24"/>
              </w:rPr>
              <w:t>kā arī uz šīs piekrišanas pamata dotajai atļaujai savu personas datu apstrādei</w:t>
            </w:r>
            <w:bookmarkEnd w:id="9"/>
            <w:r w:rsidRPr="007B2C70">
              <w:rPr>
                <w:rFonts w:ascii="Times New Roman" w:hAnsi="Times New Roman" w:cs="Times New Roman"/>
                <w:sz w:val="24"/>
                <w:szCs w:val="24"/>
              </w:rPr>
              <w:t>, dod sponsoram, sponsora pārstāvjiem un pētniekam tiešu piekļuvi pacientu medicīniskajiem dokumentiem, tostarp personas datiem un elektroniskiem ierakstiem, lai iegūtu informāciju par pētījuma subjekta veselības stāvokli, kas nepieciešams kvalitātes kontrolei un uzraudzībai, kuru veic minētās personas.</w:t>
            </w:r>
            <w:r>
              <w:rPr>
                <w:rFonts w:ascii="Times New Roman" w:hAnsi="Times New Roman" w:cs="Times New Roman"/>
                <w:sz w:val="24"/>
                <w:szCs w:val="24"/>
              </w:rPr>
              <w:t>”</w:t>
            </w:r>
          </w:p>
        </w:tc>
      </w:tr>
      <w:tr w:rsidR="00752F5F" w:rsidRPr="00504148" w14:paraId="2BB9508F"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14993530" w14:textId="1519D44D"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0618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549A29BC" w14:textId="32F3E952"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Zāļu klīniskās izpētes Ētikas komiteja</w:t>
            </w:r>
          </w:p>
        </w:tc>
        <w:tc>
          <w:tcPr>
            <w:tcW w:w="1076" w:type="pct"/>
            <w:tcBorders>
              <w:top w:val="outset" w:sz="6" w:space="0" w:color="414142"/>
              <w:left w:val="outset" w:sz="6" w:space="0" w:color="414142"/>
              <w:bottom w:val="outset" w:sz="6" w:space="0" w:color="414142"/>
              <w:right w:val="outset" w:sz="6" w:space="0" w:color="414142"/>
            </w:tcBorders>
          </w:tcPr>
          <w:p w14:paraId="11D5D448" w14:textId="77777777" w:rsidR="00752F5F" w:rsidRPr="00DB7321" w:rsidRDefault="00752F5F" w:rsidP="00752F5F">
            <w:pPr>
              <w:rPr>
                <w:rFonts w:ascii="Times New Roman" w:hAnsi="Times New Roman" w:cs="Times New Roman"/>
                <w:sz w:val="24"/>
                <w:szCs w:val="24"/>
              </w:rPr>
            </w:pPr>
            <w:r w:rsidRPr="00DB7321">
              <w:rPr>
                <w:rFonts w:ascii="Times New Roman" w:hAnsi="Times New Roman" w:cs="Times New Roman"/>
                <w:sz w:val="24"/>
                <w:szCs w:val="24"/>
              </w:rPr>
              <w:t xml:space="preserve">ZVA piestādot ārvalstu sponsoram rēķinu bez PVN, jāņem vērā, ka tālākā norēķināšanās LV iekšienē </w:t>
            </w:r>
            <w:r w:rsidRPr="00DB7321">
              <w:rPr>
                <w:rFonts w:ascii="Times New Roman" w:hAnsi="Times New Roman" w:cs="Times New Roman"/>
                <w:sz w:val="24"/>
                <w:szCs w:val="24"/>
              </w:rPr>
              <w:lastRenderedPageBreak/>
              <w:t>tomēr būs apliekama ar 21% PVN.</w:t>
            </w:r>
          </w:p>
          <w:p w14:paraId="393FED16" w14:textId="533D842E" w:rsidR="00752F5F" w:rsidRPr="002F30B3" w:rsidRDefault="00752F5F" w:rsidP="00752F5F">
            <w:pPr>
              <w:spacing w:after="0" w:line="240" w:lineRule="auto"/>
              <w:contextualSpacing/>
              <w:jc w:val="both"/>
              <w:rPr>
                <w:rFonts w:ascii="Times New Roman" w:eastAsia="Calibri" w:hAnsi="Times New Roman" w:cs="Times New Roman"/>
                <w:sz w:val="24"/>
                <w:szCs w:val="24"/>
              </w:rPr>
            </w:pPr>
            <w:r w:rsidRPr="00DB7321">
              <w:rPr>
                <w:rFonts w:ascii="Times New Roman" w:hAnsi="Times New Roman" w:cs="Times New Roman"/>
                <w:sz w:val="24"/>
                <w:szCs w:val="24"/>
              </w:rPr>
              <w:t>Šī summa jau sākotnēji ir jāpievieno ārvalstu sponsoram piestādītajam rēķinam.</w:t>
            </w:r>
          </w:p>
        </w:tc>
        <w:tc>
          <w:tcPr>
            <w:tcW w:w="735" w:type="pct"/>
            <w:tcBorders>
              <w:top w:val="outset" w:sz="6" w:space="0" w:color="414142"/>
              <w:left w:val="outset" w:sz="6" w:space="0" w:color="414142"/>
              <w:bottom w:val="outset" w:sz="6" w:space="0" w:color="414142"/>
              <w:right w:val="outset" w:sz="6" w:space="0" w:color="414142"/>
            </w:tcBorders>
          </w:tcPr>
          <w:p w14:paraId="64772C06" w14:textId="055C7C0C" w:rsidR="00752F5F" w:rsidRPr="00287E56" w:rsidRDefault="00287E56" w:rsidP="00752F5F">
            <w:pPr>
              <w:spacing w:after="0" w:line="240" w:lineRule="auto"/>
              <w:jc w:val="center"/>
              <w:rPr>
                <w:rFonts w:ascii="Times New Roman" w:eastAsia="Times New Roman" w:hAnsi="Times New Roman" w:cs="Times New Roman"/>
                <w:color w:val="FF0000"/>
                <w:sz w:val="24"/>
                <w:szCs w:val="24"/>
                <w:lang w:eastAsia="lv-LV"/>
              </w:rPr>
            </w:pPr>
            <w:r w:rsidRPr="00287E56">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4AE0C383" w14:textId="6AAC42DE" w:rsidR="00752F5F" w:rsidRPr="00287E56" w:rsidRDefault="00752F5F" w:rsidP="00752F5F">
            <w:pPr>
              <w:contextualSpacing/>
              <w:jc w:val="both"/>
              <w:rPr>
                <w:rFonts w:ascii="Times New Roman" w:hAnsi="Times New Roman" w:cs="Times New Roman"/>
                <w:color w:val="FF0000"/>
                <w:sz w:val="24"/>
                <w:szCs w:val="24"/>
              </w:rPr>
            </w:pPr>
            <w:r w:rsidRPr="00287E56">
              <w:rPr>
                <w:rFonts w:ascii="Times New Roman" w:hAnsi="Times New Roman" w:cs="Times New Roman"/>
                <w:sz w:val="24"/>
                <w:szCs w:val="24"/>
              </w:rPr>
              <w:t>Līdz šim Z</w:t>
            </w:r>
            <w:r w:rsidR="00287E56">
              <w:rPr>
                <w:rFonts w:ascii="Times New Roman" w:hAnsi="Times New Roman" w:cs="Times New Roman"/>
                <w:sz w:val="24"/>
                <w:szCs w:val="24"/>
              </w:rPr>
              <w:t>āļu valsts aģentūra, piestādot ārvalstu sponsoram rēķinu</w:t>
            </w:r>
            <w:r w:rsidRPr="00287E56">
              <w:rPr>
                <w:rFonts w:ascii="Times New Roman" w:hAnsi="Times New Roman" w:cs="Times New Roman"/>
                <w:sz w:val="24"/>
                <w:szCs w:val="24"/>
              </w:rPr>
              <w:t xml:space="preserve"> nepiemēroja 21%, bet </w:t>
            </w:r>
            <w:r w:rsidR="00287E56">
              <w:rPr>
                <w:rFonts w:ascii="Times New Roman" w:hAnsi="Times New Roman" w:cs="Times New Roman"/>
                <w:sz w:val="24"/>
                <w:szCs w:val="24"/>
              </w:rPr>
              <w:t>tas būs jāpiemēro</w:t>
            </w:r>
            <w:r w:rsidRPr="00287E56">
              <w:rPr>
                <w:rFonts w:ascii="Times New Roman" w:hAnsi="Times New Roman" w:cs="Times New Roman"/>
                <w:sz w:val="24"/>
                <w:szCs w:val="24"/>
              </w:rPr>
              <w:t xml:space="preserve">, jo </w:t>
            </w:r>
            <w:r w:rsidR="00287E56">
              <w:rPr>
                <w:rFonts w:ascii="Times New Roman" w:hAnsi="Times New Roman" w:cs="Times New Roman"/>
                <w:sz w:val="24"/>
                <w:szCs w:val="24"/>
              </w:rPr>
              <w:t>ētikas komitejas</w:t>
            </w:r>
            <w:r w:rsidRPr="00287E56">
              <w:rPr>
                <w:rFonts w:ascii="Times New Roman" w:hAnsi="Times New Roman" w:cs="Times New Roman"/>
                <w:sz w:val="24"/>
                <w:szCs w:val="24"/>
              </w:rPr>
              <w:t xml:space="preserve"> ir PVN maksātāji</w:t>
            </w:r>
            <w:r w:rsidR="00287E56">
              <w:rPr>
                <w:rFonts w:ascii="Times New Roman" w:hAnsi="Times New Roman" w:cs="Times New Roman"/>
                <w:sz w:val="24"/>
                <w:szCs w:val="24"/>
              </w:rPr>
              <w:t>.</w:t>
            </w:r>
          </w:p>
        </w:tc>
      </w:tr>
      <w:tr w:rsidR="00752F5F" w:rsidRPr="00504148" w14:paraId="00BCA638"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749F011F" w14:textId="5AB74B18"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0618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2FAE77E" w14:textId="3A6AFB85"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2AE6FD17" w14:textId="468895A2" w:rsidR="00752F5F" w:rsidRPr="002F30B3" w:rsidRDefault="00752F5F" w:rsidP="00752F5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Pr="002F30B3">
              <w:rPr>
                <w:rFonts w:ascii="Times New Roman" w:eastAsia="Calibri" w:hAnsi="Times New Roman" w:cs="Times New Roman"/>
                <w:sz w:val="24"/>
                <w:szCs w:val="24"/>
              </w:rPr>
              <w:t>68.punkts</w:t>
            </w:r>
            <w:r>
              <w:rPr>
                <w:rFonts w:ascii="Times New Roman" w:eastAsia="Calibri" w:hAnsi="Times New Roman" w:cs="Times New Roman"/>
                <w:sz w:val="24"/>
                <w:szCs w:val="24"/>
              </w:rPr>
              <w:t xml:space="preserve"> </w:t>
            </w:r>
            <w:r w:rsidRPr="002F30B3">
              <w:rPr>
                <w:rFonts w:ascii="Times New Roman" w:eastAsia="Calibri" w:hAnsi="Times New Roman" w:cs="Times New Roman"/>
                <w:sz w:val="24"/>
                <w:szCs w:val="24"/>
              </w:rPr>
              <w:t>ir juridisks jautājums, ar ko – ar kādu subjektu Zāļu valsts aģentūra slēgs līgumu. Komiteja nav juridiska persona, komitejai nav konta kredītiestādē.</w:t>
            </w:r>
          </w:p>
          <w:p w14:paraId="3E8F8F89" w14:textId="77777777" w:rsidR="00752F5F" w:rsidRPr="002F30B3" w:rsidRDefault="00752F5F" w:rsidP="00752F5F">
            <w:pPr>
              <w:spacing w:after="0" w:line="240" w:lineRule="auto"/>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24824E8B" w14:textId="77718C32" w:rsidR="00752F5F" w:rsidRDefault="007E38C9"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360BE0D2" w14:textId="2DF2E711" w:rsidR="00752F5F" w:rsidRPr="00235F54" w:rsidRDefault="00235F54" w:rsidP="00752F5F">
            <w:pPr>
              <w:contextualSpacing/>
              <w:jc w:val="both"/>
              <w:rPr>
                <w:rFonts w:ascii="Times New Roman" w:hAnsi="Times New Roman" w:cs="Times New Roman"/>
                <w:i/>
                <w:iCs/>
                <w:sz w:val="24"/>
                <w:szCs w:val="24"/>
              </w:rPr>
            </w:pPr>
            <w:r w:rsidRPr="00235F54">
              <w:rPr>
                <w:rFonts w:ascii="Times New Roman" w:hAnsi="Times New Roman" w:cs="Times New Roman"/>
                <w:sz w:val="24"/>
                <w:szCs w:val="24"/>
              </w:rPr>
              <w:t>Noteikumu projekta 68. punktu izteikt šādā redakcijā: “</w:t>
            </w:r>
            <w:r w:rsidRPr="00235F54">
              <w:rPr>
                <w:rFonts w:ascii="Times New Roman" w:hAnsi="Times New Roman" w:cs="Times New Roman"/>
                <w:color w:val="201F1E"/>
                <w:sz w:val="24"/>
                <w:szCs w:val="24"/>
                <w:shd w:val="clear" w:color="auto" w:fill="FFFFFF"/>
              </w:rPr>
              <w:t>Zāļu valsts aģentūra slēdz līgumu par sadarbību klīnisko pārbaužu pieteikumu izskatīšanā ar juridisku personu, kas nodrošina ētikas komitejas darbību, iekļaujot finansiālos nosacījumus.</w:t>
            </w:r>
            <w:r w:rsidRPr="00235F54">
              <w:rPr>
                <w:rFonts w:ascii="Times New Roman" w:hAnsi="Times New Roman" w:cs="Times New Roman"/>
                <w:sz w:val="24"/>
                <w:szCs w:val="24"/>
              </w:rPr>
              <w:t>”</w:t>
            </w:r>
          </w:p>
        </w:tc>
      </w:tr>
      <w:tr w:rsidR="00752F5F" w:rsidRPr="00504148" w14:paraId="0E5A2ACB"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11E860CF" w14:textId="6555C9D5"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0618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AD6B2D4" w14:textId="5594D42C"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Patentbrīvo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39972963" w14:textId="552895FE" w:rsidR="00752F5F" w:rsidRPr="005E1764" w:rsidRDefault="00752F5F" w:rsidP="00752F5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Nepieciešams plašāks skaidrojums, v</w:t>
            </w:r>
            <w:r w:rsidRPr="005E1764">
              <w:rPr>
                <w:rFonts w:ascii="Times New Roman" w:hAnsi="Times New Roman" w:cs="Times New Roman"/>
                <w:sz w:val="24"/>
                <w:szCs w:val="24"/>
              </w:rPr>
              <w:t xml:space="preserve">ai atbilstoši </w:t>
            </w:r>
            <w:r>
              <w:rPr>
                <w:rFonts w:ascii="Times New Roman" w:hAnsi="Times New Roman" w:cs="Times New Roman"/>
                <w:sz w:val="24"/>
                <w:szCs w:val="24"/>
              </w:rPr>
              <w:t xml:space="preserve">Noteikumu projekta </w:t>
            </w:r>
            <w:r w:rsidRPr="005E1764">
              <w:rPr>
                <w:rFonts w:ascii="Times New Roman" w:hAnsi="Times New Roman" w:cs="Times New Roman"/>
                <w:sz w:val="24"/>
                <w:szCs w:val="24"/>
              </w:rPr>
              <w:t>73.</w:t>
            </w:r>
            <w:r>
              <w:rPr>
                <w:rFonts w:ascii="Times New Roman" w:hAnsi="Times New Roman" w:cs="Times New Roman"/>
                <w:sz w:val="24"/>
                <w:szCs w:val="24"/>
              </w:rPr>
              <w:t>punktam, kas noteic, ka:</w:t>
            </w:r>
            <w:r w:rsidRPr="005E1764">
              <w:rPr>
                <w:rFonts w:ascii="Times New Roman" w:hAnsi="Times New Roman" w:cs="Times New Roman"/>
                <w:sz w:val="24"/>
                <w:szCs w:val="24"/>
              </w:rPr>
              <w:t xml:space="preserve"> "Pirms beziejaukšanās pētījuma uzsākšanas ārsts vai zāļu ražotāja pārstāvis, kas ir atbildīgs par pētījuma koordinēšanu (turpmāk – iesniedzējs), iesniedz ētikas komitejā šādus dokumentus:..."</w:t>
            </w:r>
            <w:r>
              <w:rPr>
                <w:rFonts w:ascii="Times New Roman" w:hAnsi="Times New Roman" w:cs="Times New Roman"/>
                <w:sz w:val="24"/>
                <w:szCs w:val="24"/>
              </w:rPr>
              <w:t xml:space="preserve">, ņemot vērā, ka </w:t>
            </w:r>
            <w:r w:rsidRPr="005E1764">
              <w:rPr>
                <w:rFonts w:ascii="Times New Roman" w:hAnsi="Times New Roman" w:cs="Times New Roman"/>
                <w:sz w:val="24"/>
                <w:szCs w:val="24"/>
              </w:rPr>
              <w:t>beziejaukšanās pētījuma gadījumā ārsts/zāļu ražotāja pārstāvis var pats izvēlēties Ētikas komiteju, kur plāno iesniegt dokumentāciju, vai tomēr tas notiek ar Z</w:t>
            </w:r>
            <w:r>
              <w:rPr>
                <w:rFonts w:ascii="Times New Roman" w:hAnsi="Times New Roman" w:cs="Times New Roman"/>
                <w:sz w:val="24"/>
                <w:szCs w:val="24"/>
              </w:rPr>
              <w:t>āļu valsts aģentūras</w:t>
            </w:r>
            <w:r w:rsidRPr="005E1764">
              <w:rPr>
                <w:rFonts w:ascii="Times New Roman" w:hAnsi="Times New Roman" w:cs="Times New Roman"/>
                <w:sz w:val="24"/>
                <w:szCs w:val="24"/>
              </w:rPr>
              <w:t xml:space="preserve"> starpniecību, līdzīgi kā klīniskās pārbaudes gadījumā? Vai Ētikas komitejas pārstāvji paziņo pieteicējam to, </w:t>
            </w:r>
            <w:r w:rsidRPr="005E1764">
              <w:rPr>
                <w:rFonts w:ascii="Times New Roman" w:hAnsi="Times New Roman" w:cs="Times New Roman"/>
                <w:sz w:val="24"/>
                <w:szCs w:val="24"/>
              </w:rPr>
              <w:lastRenderedPageBreak/>
              <w:t>ka, pozitīva lēmuma gadījumā, atzinums ir nosūtīts ZVA? Vai jāgaida ZVA komentāri/atzinums 30 dienu laikā, kā tas ir tagad?</w:t>
            </w:r>
          </w:p>
        </w:tc>
        <w:tc>
          <w:tcPr>
            <w:tcW w:w="735" w:type="pct"/>
            <w:tcBorders>
              <w:top w:val="outset" w:sz="6" w:space="0" w:color="414142"/>
              <w:left w:val="outset" w:sz="6" w:space="0" w:color="414142"/>
              <w:bottom w:val="outset" w:sz="6" w:space="0" w:color="414142"/>
              <w:right w:val="outset" w:sz="6" w:space="0" w:color="414142"/>
            </w:tcBorders>
          </w:tcPr>
          <w:p w14:paraId="771B818B" w14:textId="610BB7F0" w:rsidR="00752F5F" w:rsidRDefault="007E38C9"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4D12790E" w14:textId="77777777" w:rsidR="007E38C9" w:rsidRPr="006A04A7" w:rsidRDefault="007E38C9" w:rsidP="007E38C9">
            <w:pPr>
              <w:contextualSpacing/>
              <w:jc w:val="both"/>
              <w:rPr>
                <w:color w:val="FF0000"/>
              </w:rPr>
            </w:pPr>
            <w:r w:rsidRPr="00276152">
              <w:rPr>
                <w:rFonts w:ascii="Times New Roman" w:hAnsi="Times New Roman" w:cs="Times New Roman"/>
                <w:sz w:val="24"/>
                <w:szCs w:val="24"/>
              </w:rPr>
              <w:t>Papildināta anotācija ar skaidrojumu</w:t>
            </w:r>
            <w:r>
              <w:rPr>
                <w:rFonts w:ascii="Times New Roman" w:hAnsi="Times New Roman" w:cs="Times New Roman"/>
                <w:sz w:val="24"/>
                <w:szCs w:val="24"/>
              </w:rPr>
              <w:t>.</w:t>
            </w:r>
          </w:p>
          <w:p w14:paraId="7545B5BE" w14:textId="4723CBED" w:rsidR="00752F5F" w:rsidRPr="00A14DDD" w:rsidRDefault="00752F5F" w:rsidP="00752F5F">
            <w:pPr>
              <w:pStyle w:val="CommentText"/>
              <w:rPr>
                <w:i/>
                <w:iCs/>
                <w:lang w:val="lv-LV"/>
              </w:rPr>
            </w:pPr>
          </w:p>
        </w:tc>
      </w:tr>
      <w:tr w:rsidR="00752F5F" w:rsidRPr="00504148" w14:paraId="53F4BD51"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4952053A" w14:textId="7CDDB1EF"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0618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6A9F70E3" w14:textId="2982637F"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w:t>
            </w:r>
          </w:p>
        </w:tc>
        <w:tc>
          <w:tcPr>
            <w:tcW w:w="1076" w:type="pct"/>
            <w:tcBorders>
              <w:top w:val="outset" w:sz="6" w:space="0" w:color="414142"/>
              <w:left w:val="outset" w:sz="6" w:space="0" w:color="414142"/>
              <w:bottom w:val="outset" w:sz="6" w:space="0" w:color="414142"/>
              <w:right w:val="outset" w:sz="6" w:space="0" w:color="414142"/>
            </w:tcBorders>
          </w:tcPr>
          <w:p w14:paraId="3BF27EE0" w14:textId="2C313430" w:rsidR="00752F5F" w:rsidRPr="002F30B3" w:rsidRDefault="00752F5F" w:rsidP="00752F5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Nepieciešams precizēt </w:t>
            </w:r>
            <w:r w:rsidRPr="002F30B3">
              <w:rPr>
                <w:rFonts w:ascii="Times New Roman" w:eastAsia="Calibri" w:hAnsi="Times New Roman" w:cs="Times New Roman"/>
                <w:sz w:val="24"/>
                <w:szCs w:val="24"/>
              </w:rPr>
              <w:t>73.2. punkt</w:t>
            </w:r>
            <w:r>
              <w:rPr>
                <w:rFonts w:ascii="Times New Roman" w:eastAsia="Calibri" w:hAnsi="Times New Roman" w:cs="Times New Roman"/>
                <w:sz w:val="24"/>
                <w:szCs w:val="24"/>
              </w:rPr>
              <w:t>a</w:t>
            </w:r>
            <w:r w:rsidRPr="002F30B3">
              <w:rPr>
                <w:rFonts w:ascii="Times New Roman" w:eastAsia="Calibri" w:hAnsi="Times New Roman" w:cs="Times New Roman"/>
                <w:sz w:val="24"/>
                <w:szCs w:val="24"/>
              </w:rPr>
              <w:t xml:space="preserve"> terminoloģiju “ārstēšanas dati”. Pacientu tiesību likuma 10.pantā tiek lietots jēdziens “pacienta dati” un “</w:t>
            </w:r>
            <w:r w:rsidRPr="002F30B3">
              <w:rPr>
                <w:rFonts w:ascii="Times New Roman" w:eastAsia="Calibri" w:hAnsi="Times New Roman" w:cs="Times New Roman"/>
                <w:sz w:val="24"/>
                <w:szCs w:val="24"/>
                <w:shd w:val="clear" w:color="auto" w:fill="FFFFFF"/>
              </w:rPr>
              <w:t xml:space="preserve">informācija, kas attiecas uz identificētu vai identificējamu pacientu”. Savukārt Vispārējās datu aizsardzības regulas 9.pantā (arī 4.panta 15.punktā) starp īpašu kategoriju personas datiem minēti “veselības dati”. </w:t>
            </w:r>
          </w:p>
          <w:p w14:paraId="01BAA71C" w14:textId="77777777" w:rsidR="00752F5F" w:rsidRPr="002F30B3" w:rsidRDefault="00752F5F" w:rsidP="00752F5F">
            <w:pPr>
              <w:spacing w:after="0" w:line="240" w:lineRule="auto"/>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70A98D33" w14:textId="74C59B81"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0DBA295B" w14:textId="5F7CF30C" w:rsidR="00752F5F" w:rsidRDefault="00752F5F" w:rsidP="00752F5F">
            <w:pPr>
              <w:contextualSpacing/>
              <w:jc w:val="both"/>
              <w:rPr>
                <w:rFonts w:ascii="Times New Roman" w:hAnsi="Times New Roman" w:cs="Times New Roman"/>
                <w:sz w:val="24"/>
                <w:szCs w:val="24"/>
              </w:rPr>
            </w:pPr>
            <w:r w:rsidRPr="00A14DDD">
              <w:rPr>
                <w:rFonts w:ascii="Times New Roman" w:hAnsi="Times New Roman" w:cs="Times New Roman"/>
                <w:sz w:val="24"/>
                <w:szCs w:val="24"/>
              </w:rPr>
              <w:t>Noteikumu projekta 73.2.</w:t>
            </w:r>
            <w:r w:rsidR="00EF3FE5">
              <w:rPr>
                <w:rFonts w:ascii="Times New Roman" w:hAnsi="Times New Roman" w:cs="Times New Roman"/>
                <w:sz w:val="24"/>
                <w:szCs w:val="24"/>
              </w:rPr>
              <w:t xml:space="preserve"> </w:t>
            </w:r>
            <w:r w:rsidRPr="00A14DDD">
              <w:rPr>
                <w:rFonts w:ascii="Times New Roman" w:hAnsi="Times New Roman" w:cs="Times New Roman"/>
                <w:sz w:val="24"/>
                <w:szCs w:val="24"/>
              </w:rPr>
              <w:t>punktā noteiktais definējums ”ārstēšanas dati” tiek aizstāts ar vārdiem “</w:t>
            </w:r>
            <w:r w:rsidR="00EF3FE5">
              <w:rPr>
                <w:rFonts w:ascii="Times New Roman" w:hAnsi="Times New Roman" w:cs="Times New Roman"/>
                <w:sz w:val="24"/>
                <w:szCs w:val="24"/>
              </w:rPr>
              <w:t>pacienta</w:t>
            </w:r>
            <w:r w:rsidRPr="00A14DDD">
              <w:rPr>
                <w:rFonts w:ascii="Times New Roman" w:hAnsi="Times New Roman" w:cs="Times New Roman"/>
                <w:sz w:val="24"/>
                <w:szCs w:val="24"/>
              </w:rPr>
              <w:t xml:space="preserve"> dati”.</w:t>
            </w:r>
          </w:p>
          <w:p w14:paraId="2C8C556F" w14:textId="77777777" w:rsidR="00752F5F" w:rsidRDefault="00752F5F" w:rsidP="00752F5F">
            <w:pPr>
              <w:contextualSpacing/>
              <w:jc w:val="both"/>
              <w:rPr>
                <w:rFonts w:ascii="Times New Roman" w:hAnsi="Times New Roman" w:cs="Times New Roman"/>
                <w:sz w:val="24"/>
                <w:szCs w:val="24"/>
              </w:rPr>
            </w:pPr>
          </w:p>
          <w:p w14:paraId="339AC7EE" w14:textId="57850A45" w:rsidR="00752F5F" w:rsidRPr="00A14DDD" w:rsidRDefault="00752F5F" w:rsidP="00752F5F">
            <w:pPr>
              <w:contextualSpacing/>
              <w:jc w:val="both"/>
              <w:rPr>
                <w:rFonts w:ascii="Times New Roman" w:hAnsi="Times New Roman" w:cs="Times New Roman"/>
                <w:sz w:val="24"/>
                <w:szCs w:val="24"/>
              </w:rPr>
            </w:pPr>
          </w:p>
        </w:tc>
      </w:tr>
      <w:tr w:rsidR="00752F5F" w:rsidRPr="00504148" w14:paraId="05A9EC9B"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645C5D48" w14:textId="7B2A9399" w:rsidR="00752F5F" w:rsidRDefault="00E06186"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752F5F">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4673784F" w14:textId="71349624"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 Latvijas klīniskās pētniecības asociācija, Biofarmaceitisko zāļu ražotāju asociācija Latvijā</w:t>
            </w:r>
          </w:p>
        </w:tc>
        <w:tc>
          <w:tcPr>
            <w:tcW w:w="1076" w:type="pct"/>
            <w:tcBorders>
              <w:top w:val="outset" w:sz="6" w:space="0" w:color="414142"/>
              <w:left w:val="outset" w:sz="6" w:space="0" w:color="414142"/>
              <w:bottom w:val="outset" w:sz="6" w:space="0" w:color="414142"/>
              <w:right w:val="outset" w:sz="6" w:space="0" w:color="414142"/>
            </w:tcBorders>
          </w:tcPr>
          <w:p w14:paraId="722E5E45" w14:textId="77777777" w:rsidR="00752F5F" w:rsidRPr="002F30B3" w:rsidRDefault="00752F5F" w:rsidP="00752F5F">
            <w:pPr>
              <w:spacing w:after="0" w:line="240" w:lineRule="auto"/>
              <w:contextualSpacing/>
              <w:jc w:val="both"/>
              <w:rPr>
                <w:rFonts w:ascii="Times New Roman" w:eastAsia="Calibri" w:hAnsi="Times New Roman" w:cs="Times New Roman"/>
                <w:sz w:val="24"/>
                <w:szCs w:val="24"/>
              </w:rPr>
            </w:pPr>
            <w:r w:rsidRPr="002F30B3">
              <w:rPr>
                <w:rFonts w:ascii="Times New Roman" w:eastAsia="Calibri" w:hAnsi="Times New Roman" w:cs="Times New Roman"/>
                <w:sz w:val="24"/>
                <w:szCs w:val="24"/>
              </w:rPr>
              <w:t>81. un 82. punkta redakcija ir neskaidra:</w:t>
            </w:r>
          </w:p>
          <w:p w14:paraId="77E35FD2" w14:textId="5407BAB6" w:rsidR="00752F5F" w:rsidRPr="002F30B3" w:rsidRDefault="00752F5F" w:rsidP="00752F5F">
            <w:pPr>
              <w:pStyle w:val="ListParagraph"/>
              <w:numPr>
                <w:ilvl w:val="0"/>
                <w:numId w:val="19"/>
              </w:numPr>
              <w:spacing w:after="0" w:line="240" w:lineRule="auto"/>
              <w:ind w:left="90" w:firstLine="270"/>
              <w:jc w:val="both"/>
              <w:rPr>
                <w:rFonts w:ascii="Times New Roman" w:eastAsia="Calibri" w:hAnsi="Times New Roman" w:cs="Times New Roman"/>
                <w:sz w:val="24"/>
                <w:szCs w:val="24"/>
              </w:rPr>
            </w:pPr>
            <w:r w:rsidRPr="002F30B3">
              <w:rPr>
                <w:rFonts w:ascii="Times New Roman" w:eastAsia="Calibri" w:hAnsi="Times New Roman" w:cs="Times New Roman"/>
                <w:sz w:val="24"/>
                <w:szCs w:val="24"/>
              </w:rPr>
              <w:t>šim pārejas perioda regulējumam jāattiecas arī uz ētikas komitejām;</w:t>
            </w:r>
          </w:p>
          <w:p w14:paraId="56DB50C7" w14:textId="33BEF3D3" w:rsidR="00752F5F" w:rsidRPr="00EF6843" w:rsidRDefault="00752F5F" w:rsidP="00752F5F">
            <w:pPr>
              <w:numPr>
                <w:ilvl w:val="0"/>
                <w:numId w:val="19"/>
              </w:numPr>
              <w:spacing w:after="0" w:line="240" w:lineRule="auto"/>
              <w:ind w:left="90" w:firstLine="270"/>
              <w:contextualSpacing/>
              <w:jc w:val="both"/>
              <w:rPr>
                <w:rFonts w:ascii="Times New Roman" w:eastAsia="Calibri" w:hAnsi="Times New Roman" w:cs="Times New Roman"/>
                <w:sz w:val="24"/>
                <w:szCs w:val="24"/>
              </w:rPr>
            </w:pPr>
            <w:r w:rsidRPr="002F30B3">
              <w:rPr>
                <w:rFonts w:ascii="Times New Roman" w:eastAsia="Calibri" w:hAnsi="Times New Roman" w:cs="Times New Roman"/>
                <w:sz w:val="24"/>
                <w:szCs w:val="24"/>
              </w:rPr>
              <w:t xml:space="preserve">neskaidra ir punktu redakcija attiecībā uz trim tajos minētajiem datumiem 2022.gada 31.janvāris, 2023.gada 31.janvāris un 2025.gada 30.janvāris. 81. un 82.punktā minētie laika periodi pārklājas, un šis apstāklis rada neskaidrību. </w:t>
            </w:r>
          </w:p>
        </w:tc>
        <w:tc>
          <w:tcPr>
            <w:tcW w:w="735" w:type="pct"/>
            <w:tcBorders>
              <w:top w:val="outset" w:sz="6" w:space="0" w:color="414142"/>
              <w:left w:val="outset" w:sz="6" w:space="0" w:color="414142"/>
              <w:bottom w:val="outset" w:sz="6" w:space="0" w:color="414142"/>
              <w:right w:val="outset" w:sz="6" w:space="0" w:color="414142"/>
            </w:tcBorders>
          </w:tcPr>
          <w:p w14:paraId="36B6D994" w14:textId="78E6487A" w:rsidR="00752F5F" w:rsidRDefault="00EF6843"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0C9FB19E" w14:textId="77777777" w:rsidR="00EF6843" w:rsidRPr="006A04A7" w:rsidRDefault="00EF6843" w:rsidP="00EF6843">
            <w:pPr>
              <w:contextualSpacing/>
              <w:jc w:val="both"/>
              <w:rPr>
                <w:color w:val="FF0000"/>
              </w:rPr>
            </w:pPr>
            <w:r w:rsidRPr="00276152">
              <w:rPr>
                <w:rFonts w:ascii="Times New Roman" w:hAnsi="Times New Roman" w:cs="Times New Roman"/>
                <w:sz w:val="24"/>
                <w:szCs w:val="24"/>
              </w:rPr>
              <w:t>Papildināta anotācija ar skaidrojumu</w:t>
            </w:r>
            <w:r>
              <w:rPr>
                <w:rFonts w:ascii="Times New Roman" w:hAnsi="Times New Roman" w:cs="Times New Roman"/>
                <w:sz w:val="24"/>
                <w:szCs w:val="24"/>
              </w:rPr>
              <w:t>.</w:t>
            </w:r>
          </w:p>
          <w:p w14:paraId="1FC5E333" w14:textId="73FC60C7" w:rsidR="00752F5F" w:rsidRPr="00EF6843" w:rsidRDefault="00752F5F" w:rsidP="00752F5F">
            <w:pPr>
              <w:pStyle w:val="CommentText"/>
              <w:rPr>
                <w:i/>
                <w:iCs/>
                <w:sz w:val="24"/>
                <w:szCs w:val="24"/>
                <w:lang w:val="lv-LV"/>
              </w:rPr>
            </w:pPr>
          </w:p>
        </w:tc>
      </w:tr>
      <w:tr w:rsidR="00752F5F" w:rsidRPr="00504148" w14:paraId="02AA1E56"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61E0E8FF" w14:textId="4DA54532" w:rsidR="00752F5F" w:rsidRDefault="00E06186"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49</w:t>
            </w:r>
            <w:r w:rsidR="00752F5F">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664A061" w14:textId="77777777"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slimnīca” Attīstības biedrības Klīniskās izpētes komiteja;</w:t>
            </w:r>
          </w:p>
          <w:p w14:paraId="0C5756D5" w14:textId="3566F829"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klīniskās pētniecības asociācija</w:t>
            </w:r>
          </w:p>
        </w:tc>
        <w:tc>
          <w:tcPr>
            <w:tcW w:w="1076" w:type="pct"/>
            <w:tcBorders>
              <w:top w:val="outset" w:sz="6" w:space="0" w:color="414142"/>
              <w:left w:val="outset" w:sz="6" w:space="0" w:color="414142"/>
              <w:bottom w:val="outset" w:sz="6" w:space="0" w:color="414142"/>
              <w:right w:val="outset" w:sz="6" w:space="0" w:color="414142"/>
            </w:tcBorders>
          </w:tcPr>
          <w:p w14:paraId="7CEF2E21" w14:textId="77777777" w:rsidR="00752F5F" w:rsidRPr="002F30B3" w:rsidRDefault="00752F5F" w:rsidP="00752F5F">
            <w:pPr>
              <w:spacing w:after="0" w:line="240" w:lineRule="auto"/>
              <w:contextualSpacing/>
              <w:jc w:val="both"/>
              <w:rPr>
                <w:rFonts w:ascii="Times New Roman" w:eastAsia="Calibri" w:hAnsi="Times New Roman" w:cs="Times New Roman"/>
                <w:sz w:val="24"/>
                <w:szCs w:val="24"/>
              </w:rPr>
            </w:pPr>
            <w:r w:rsidRPr="002F30B3">
              <w:rPr>
                <w:rFonts w:ascii="Times New Roman" w:eastAsia="Calibri" w:hAnsi="Times New Roman" w:cs="Times New Roman"/>
                <w:sz w:val="24"/>
                <w:szCs w:val="24"/>
              </w:rPr>
              <w:t xml:space="preserve">Nepieciešams juridiski risināt līdz šim apstiprināto pētījumu būtisku grozījumu izskatīšanas kārtību, nosakot sākotnējo iesniegumu izskatījušo komiteju kompetenci. </w:t>
            </w:r>
          </w:p>
          <w:p w14:paraId="0DAAD4D7" w14:textId="77777777" w:rsidR="00752F5F" w:rsidRPr="002F30B3" w:rsidRDefault="00752F5F" w:rsidP="00752F5F">
            <w:pPr>
              <w:spacing w:after="0" w:line="240" w:lineRule="auto"/>
              <w:contextualSpacing/>
              <w:jc w:val="both"/>
              <w:rPr>
                <w:rFonts w:ascii="Times New Roman" w:eastAsia="Calibri"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6DB3FD11" w14:textId="280C7771" w:rsidR="00752F5F" w:rsidRDefault="007158A0"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2D006186" w14:textId="505E00B2" w:rsidR="00752F5F" w:rsidRPr="005830E5" w:rsidRDefault="007158A0" w:rsidP="005830E5">
            <w:pPr>
              <w:contextualSpacing/>
              <w:jc w:val="both"/>
              <w:rPr>
                <w:color w:val="FF0000"/>
              </w:rPr>
            </w:pPr>
            <w:r w:rsidRPr="00276152">
              <w:rPr>
                <w:rFonts w:ascii="Times New Roman" w:hAnsi="Times New Roman" w:cs="Times New Roman"/>
                <w:sz w:val="24"/>
                <w:szCs w:val="24"/>
              </w:rPr>
              <w:t>Papildināta anotācija ar skaidrojumu</w:t>
            </w:r>
            <w:r>
              <w:rPr>
                <w:rFonts w:ascii="Times New Roman" w:hAnsi="Times New Roman" w:cs="Times New Roman"/>
                <w:sz w:val="24"/>
                <w:szCs w:val="24"/>
              </w:rPr>
              <w:t>.</w:t>
            </w:r>
          </w:p>
        </w:tc>
      </w:tr>
      <w:tr w:rsidR="00752F5F" w:rsidRPr="00504148" w14:paraId="6B77190F"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47A175DD" w14:textId="6C20FDF0"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0618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833681E" w14:textId="2E9C8C55"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klīniskās pētniecības asociācija, Latvijas Patentbrīvo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072E0FA8" w14:textId="633DF999" w:rsidR="00752F5F" w:rsidRPr="002F30B3" w:rsidRDefault="00752F5F" w:rsidP="00752F5F">
            <w:pPr>
              <w:spacing w:after="0" w:line="240" w:lineRule="auto"/>
              <w:contextualSpacing/>
              <w:jc w:val="both"/>
              <w:rPr>
                <w:rFonts w:ascii="Times New Roman" w:eastAsia="Calibri" w:hAnsi="Times New Roman" w:cs="Times New Roman"/>
                <w:sz w:val="24"/>
                <w:szCs w:val="24"/>
              </w:rPr>
            </w:pPr>
            <w:r w:rsidRPr="00BA71BE">
              <w:rPr>
                <w:rFonts w:ascii="Times New Roman" w:hAnsi="Times New Roman"/>
                <w:sz w:val="24"/>
                <w:szCs w:val="24"/>
              </w:rPr>
              <w:t xml:space="preserve">MK noteikumu projekts attiecas ne tikai </w:t>
            </w:r>
            <w:r>
              <w:rPr>
                <w:rFonts w:ascii="Times New Roman" w:hAnsi="Times New Roman"/>
                <w:sz w:val="24"/>
                <w:szCs w:val="24"/>
              </w:rPr>
              <w:t xml:space="preserve">uz </w:t>
            </w:r>
            <w:r w:rsidRPr="00BA71BE">
              <w:rPr>
                <w:rFonts w:ascii="Times New Roman" w:hAnsi="Times New Roman"/>
                <w:sz w:val="24"/>
                <w:szCs w:val="24"/>
              </w:rPr>
              <w:t>pacientiem, bet arī veseliem brīvprātīgajiem. Lūdzu attiecīgi papildināt anotāciju</w:t>
            </w:r>
          </w:p>
        </w:tc>
        <w:tc>
          <w:tcPr>
            <w:tcW w:w="735" w:type="pct"/>
            <w:tcBorders>
              <w:top w:val="outset" w:sz="6" w:space="0" w:color="414142"/>
              <w:left w:val="outset" w:sz="6" w:space="0" w:color="414142"/>
              <w:bottom w:val="outset" w:sz="6" w:space="0" w:color="414142"/>
              <w:right w:val="outset" w:sz="6" w:space="0" w:color="414142"/>
            </w:tcBorders>
          </w:tcPr>
          <w:p w14:paraId="0D1B61D2" w14:textId="4ADC6C89"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1622" w:type="pct"/>
            <w:tcBorders>
              <w:top w:val="outset" w:sz="6" w:space="0" w:color="414142"/>
              <w:left w:val="outset" w:sz="6" w:space="0" w:color="414142"/>
              <w:bottom w:val="outset" w:sz="6" w:space="0" w:color="414142"/>
              <w:right w:val="outset" w:sz="6" w:space="0" w:color="414142"/>
            </w:tcBorders>
          </w:tcPr>
          <w:p w14:paraId="6FA65556" w14:textId="2A859181" w:rsidR="007158A0" w:rsidRPr="006A04A7" w:rsidRDefault="007158A0" w:rsidP="007158A0">
            <w:pPr>
              <w:contextualSpacing/>
              <w:jc w:val="both"/>
              <w:rPr>
                <w:color w:val="FF0000"/>
              </w:rPr>
            </w:pPr>
            <w:r w:rsidRPr="00276152">
              <w:rPr>
                <w:rFonts w:ascii="Times New Roman" w:hAnsi="Times New Roman" w:cs="Times New Roman"/>
                <w:sz w:val="24"/>
                <w:szCs w:val="24"/>
              </w:rPr>
              <w:t>Papildināt</w:t>
            </w:r>
            <w:r w:rsidR="005B558A">
              <w:rPr>
                <w:rFonts w:ascii="Times New Roman" w:hAnsi="Times New Roman" w:cs="Times New Roman"/>
                <w:sz w:val="24"/>
                <w:szCs w:val="24"/>
              </w:rPr>
              <w:t>s anotācijas 2.1. punkts.</w:t>
            </w:r>
          </w:p>
          <w:p w14:paraId="6E847B32" w14:textId="1AA5D668" w:rsidR="00752F5F" w:rsidRPr="007158A0" w:rsidRDefault="00752F5F" w:rsidP="00752F5F">
            <w:pPr>
              <w:pStyle w:val="CommentText"/>
              <w:rPr>
                <w:i/>
                <w:iCs/>
                <w:lang w:val="lv-LV"/>
              </w:rPr>
            </w:pPr>
          </w:p>
        </w:tc>
      </w:tr>
      <w:tr w:rsidR="00752F5F" w:rsidRPr="00504148" w14:paraId="6DFF20C0"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6E9D2F9C" w14:textId="42C0DF5A"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0618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F38700E" w14:textId="687ADDF8"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klīniskās pētniecības asociācija</w:t>
            </w:r>
          </w:p>
        </w:tc>
        <w:tc>
          <w:tcPr>
            <w:tcW w:w="1076" w:type="pct"/>
            <w:tcBorders>
              <w:top w:val="outset" w:sz="6" w:space="0" w:color="414142"/>
              <w:left w:val="outset" w:sz="6" w:space="0" w:color="414142"/>
              <w:bottom w:val="outset" w:sz="6" w:space="0" w:color="414142"/>
              <w:right w:val="outset" w:sz="6" w:space="0" w:color="414142"/>
            </w:tcBorders>
          </w:tcPr>
          <w:p w14:paraId="532F90A4" w14:textId="5E39E588" w:rsidR="00752F5F" w:rsidRPr="00BA71BE" w:rsidRDefault="00752F5F" w:rsidP="00752F5F">
            <w:pPr>
              <w:jc w:val="both"/>
              <w:rPr>
                <w:rFonts w:ascii="Times New Roman" w:hAnsi="Times New Roman"/>
                <w:sz w:val="24"/>
                <w:szCs w:val="24"/>
              </w:rPr>
            </w:pPr>
            <w:r w:rsidRPr="002F30B3">
              <w:rPr>
                <w:rFonts w:ascii="Times New Roman" w:hAnsi="Times New Roman"/>
                <w:sz w:val="24"/>
                <w:szCs w:val="24"/>
              </w:rPr>
              <w:t xml:space="preserve">Par Pacientu informēto piekrišanu </w:t>
            </w:r>
            <w:r>
              <w:rPr>
                <w:rFonts w:ascii="Times New Roman" w:hAnsi="Times New Roman"/>
                <w:sz w:val="24"/>
                <w:szCs w:val="24"/>
              </w:rPr>
              <w:t>–</w:t>
            </w:r>
            <w:r w:rsidRPr="002F30B3">
              <w:rPr>
                <w:rFonts w:ascii="Times New Roman" w:hAnsi="Times New Roman"/>
                <w:sz w:val="24"/>
                <w:szCs w:val="24"/>
              </w:rPr>
              <w:t xml:space="preserve"> nepieciešams precizēt, ka Informēto piekrišanu iesniedz valsts valodā izskatīšanai un apstiprināšanai. Informēto piekrišanu citā pacientiem saprotamā valodā – iesniedz informācijai/vai apstiprināšanai kopā ar sertificētu tulkojumu, kas tulkots no apstiprinātās Informētās piekrišanas valsts valodā. Šeit aicinām atvērt diskusiju vai vajag iesniegt sertificētu tulkojumu uz apstiprināšanu vai tikai informācijai (šāds modelis jau darbojas Lietuvā).</w:t>
            </w:r>
          </w:p>
        </w:tc>
        <w:tc>
          <w:tcPr>
            <w:tcW w:w="735" w:type="pct"/>
            <w:tcBorders>
              <w:top w:val="outset" w:sz="6" w:space="0" w:color="414142"/>
              <w:left w:val="outset" w:sz="6" w:space="0" w:color="414142"/>
              <w:bottom w:val="outset" w:sz="6" w:space="0" w:color="414142"/>
              <w:right w:val="outset" w:sz="6" w:space="0" w:color="414142"/>
            </w:tcBorders>
          </w:tcPr>
          <w:p w14:paraId="62CCCF53" w14:textId="6888A863" w:rsidR="00752F5F" w:rsidRDefault="007158A0"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r w:rsidR="00390BBF">
              <w:rPr>
                <w:rFonts w:ascii="Times New Roman" w:eastAsia="Times New Roman" w:hAnsi="Times New Roman" w:cs="Times New Roman"/>
                <w:sz w:val="24"/>
                <w:szCs w:val="24"/>
                <w:lang w:eastAsia="lv-LV"/>
              </w:rPr>
              <w:t xml:space="preserve"> daļēji</w:t>
            </w:r>
          </w:p>
        </w:tc>
        <w:tc>
          <w:tcPr>
            <w:tcW w:w="1622" w:type="pct"/>
            <w:tcBorders>
              <w:top w:val="outset" w:sz="6" w:space="0" w:color="414142"/>
              <w:left w:val="outset" w:sz="6" w:space="0" w:color="414142"/>
              <w:bottom w:val="outset" w:sz="6" w:space="0" w:color="414142"/>
              <w:right w:val="outset" w:sz="6" w:space="0" w:color="414142"/>
            </w:tcBorders>
          </w:tcPr>
          <w:p w14:paraId="663A84A2" w14:textId="09689100" w:rsidR="00752F5F" w:rsidRPr="00390BBF" w:rsidRDefault="00390BBF" w:rsidP="00752F5F">
            <w:pPr>
              <w:pStyle w:val="CommentText"/>
              <w:rPr>
                <w:sz w:val="24"/>
                <w:szCs w:val="24"/>
                <w:lang w:val="lv-LV"/>
              </w:rPr>
            </w:pPr>
            <w:r>
              <w:rPr>
                <w:sz w:val="24"/>
                <w:szCs w:val="24"/>
                <w:lang w:val="lv-LV"/>
              </w:rPr>
              <w:t>Ņemot vērā, ka pētāmai personai</w:t>
            </w:r>
            <w:r w:rsidR="00752F5F" w:rsidRPr="00390BBF">
              <w:rPr>
                <w:sz w:val="24"/>
                <w:szCs w:val="24"/>
                <w:lang w:val="lv-LV"/>
              </w:rPr>
              <w:t xml:space="preserve"> paredzētā dokumentācija tiek iesniegta ta</w:t>
            </w:r>
            <w:r>
              <w:rPr>
                <w:sz w:val="24"/>
                <w:szCs w:val="24"/>
                <w:lang w:val="lv-LV"/>
              </w:rPr>
              <w:t>i</w:t>
            </w:r>
            <w:r w:rsidR="00752F5F" w:rsidRPr="00390BBF">
              <w:rPr>
                <w:sz w:val="24"/>
                <w:szCs w:val="24"/>
                <w:lang w:val="lv-LV"/>
              </w:rPr>
              <w:t xml:space="preserve"> saprotamā valodā</w:t>
            </w:r>
            <w:r>
              <w:rPr>
                <w:sz w:val="24"/>
                <w:szCs w:val="24"/>
                <w:lang w:val="lv-LV"/>
              </w:rPr>
              <w:t>, n</w:t>
            </w:r>
            <w:r w:rsidR="00752F5F" w:rsidRPr="00390BBF">
              <w:rPr>
                <w:sz w:val="24"/>
                <w:szCs w:val="24"/>
                <w:lang w:val="lv-LV"/>
              </w:rPr>
              <w:t>av nepieciešams apliecināts tulkojums</w:t>
            </w:r>
            <w:r>
              <w:rPr>
                <w:sz w:val="24"/>
                <w:szCs w:val="24"/>
                <w:lang w:val="lv-LV"/>
              </w:rPr>
              <w:t xml:space="preserve"> –</w:t>
            </w:r>
            <w:r w:rsidR="00752F5F" w:rsidRPr="00390BBF">
              <w:rPr>
                <w:sz w:val="24"/>
                <w:szCs w:val="24"/>
                <w:lang w:val="lv-LV"/>
              </w:rPr>
              <w:t xml:space="preserve"> </w:t>
            </w:r>
            <w:r>
              <w:rPr>
                <w:sz w:val="24"/>
                <w:szCs w:val="24"/>
                <w:lang w:val="lv-LV"/>
              </w:rPr>
              <w:t xml:space="preserve">tas ir </w:t>
            </w:r>
            <w:r w:rsidR="00752F5F" w:rsidRPr="00390BBF">
              <w:rPr>
                <w:sz w:val="24"/>
                <w:szCs w:val="24"/>
                <w:lang w:val="lv-LV"/>
              </w:rPr>
              <w:t xml:space="preserve">papildus slogs sponsoram, </w:t>
            </w:r>
            <w:r>
              <w:rPr>
                <w:sz w:val="24"/>
                <w:szCs w:val="24"/>
                <w:lang w:val="lv-LV"/>
              </w:rPr>
              <w:t>ētikas komiteja</w:t>
            </w:r>
            <w:r w:rsidR="00752F5F" w:rsidRPr="00390BBF">
              <w:rPr>
                <w:sz w:val="24"/>
                <w:szCs w:val="24"/>
                <w:lang w:val="lv-LV"/>
              </w:rPr>
              <w:t xml:space="preserve"> vērtē </w:t>
            </w:r>
            <w:r>
              <w:rPr>
                <w:sz w:val="24"/>
                <w:szCs w:val="24"/>
                <w:lang w:val="lv-LV"/>
              </w:rPr>
              <w:t xml:space="preserve">dokumentus </w:t>
            </w:r>
            <w:r w:rsidR="00752F5F" w:rsidRPr="00390BBF">
              <w:rPr>
                <w:sz w:val="24"/>
                <w:szCs w:val="24"/>
                <w:lang w:val="lv-LV"/>
              </w:rPr>
              <w:t>pēc būtības</w:t>
            </w:r>
            <w:r>
              <w:rPr>
                <w:sz w:val="24"/>
                <w:szCs w:val="24"/>
                <w:lang w:val="lv-LV"/>
              </w:rPr>
              <w:t>.</w:t>
            </w:r>
          </w:p>
        </w:tc>
      </w:tr>
      <w:tr w:rsidR="00752F5F" w:rsidRPr="00504148" w14:paraId="7A04EDAA"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719ED5E3" w14:textId="0974E65F"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0618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758061FE" w14:textId="38C1FFB7"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klīniskās pētniecības asociācija; Latvijas Patentbrīvo medikamentu asociācija</w:t>
            </w:r>
          </w:p>
        </w:tc>
        <w:tc>
          <w:tcPr>
            <w:tcW w:w="1076" w:type="pct"/>
            <w:tcBorders>
              <w:top w:val="outset" w:sz="6" w:space="0" w:color="414142"/>
              <w:left w:val="outset" w:sz="6" w:space="0" w:color="414142"/>
              <w:bottom w:val="outset" w:sz="6" w:space="0" w:color="414142"/>
              <w:right w:val="outset" w:sz="6" w:space="0" w:color="414142"/>
            </w:tcBorders>
          </w:tcPr>
          <w:p w14:paraId="593C4947" w14:textId="493D6002" w:rsidR="00752F5F" w:rsidRPr="002F30B3" w:rsidRDefault="00752F5F" w:rsidP="00752F5F">
            <w:pPr>
              <w:jc w:val="both"/>
              <w:rPr>
                <w:rFonts w:ascii="Times New Roman" w:hAnsi="Times New Roman"/>
                <w:sz w:val="24"/>
                <w:szCs w:val="24"/>
              </w:rPr>
            </w:pPr>
            <w:r>
              <w:rPr>
                <w:rFonts w:ascii="Times New Roman" w:hAnsi="Times New Roman"/>
                <w:sz w:val="24"/>
                <w:szCs w:val="24"/>
              </w:rPr>
              <w:t>S</w:t>
            </w:r>
            <w:r w:rsidRPr="002F30B3">
              <w:rPr>
                <w:rFonts w:ascii="Times New Roman" w:hAnsi="Times New Roman"/>
                <w:sz w:val="24"/>
                <w:szCs w:val="24"/>
              </w:rPr>
              <w:t xml:space="preserve">niegt skaidrojumu par prasībām pētījuma datu pārvaldībai. Vai tie var būt </w:t>
            </w:r>
            <w:r w:rsidRPr="002F30B3">
              <w:rPr>
                <w:rFonts w:ascii="Times New Roman" w:hAnsi="Times New Roman"/>
                <w:sz w:val="24"/>
                <w:szCs w:val="24"/>
              </w:rPr>
              <w:lastRenderedPageBreak/>
              <w:t>elektroniski? Vai ir kādas konkrētas prasības par to parakstīšanu, glabāšanu, pārsūtīšanu, arhivēšanu? Vai kādas konkrētas prasības datu sistēmām, kas tiek izmantotas? Vai pētījuma dati drīkst būt lokalizācijās, kas atrodas trešajās valstīs.</w:t>
            </w:r>
          </w:p>
        </w:tc>
        <w:tc>
          <w:tcPr>
            <w:tcW w:w="735" w:type="pct"/>
            <w:tcBorders>
              <w:top w:val="outset" w:sz="6" w:space="0" w:color="414142"/>
              <w:left w:val="outset" w:sz="6" w:space="0" w:color="414142"/>
              <w:bottom w:val="outset" w:sz="6" w:space="0" w:color="414142"/>
              <w:right w:val="outset" w:sz="6" w:space="0" w:color="414142"/>
            </w:tcBorders>
          </w:tcPr>
          <w:p w14:paraId="78D41A4E" w14:textId="5FEECBA6" w:rsidR="00752F5F" w:rsidRDefault="0036445E"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Netiek ņemts vērā</w:t>
            </w:r>
          </w:p>
        </w:tc>
        <w:tc>
          <w:tcPr>
            <w:tcW w:w="1622" w:type="pct"/>
            <w:tcBorders>
              <w:top w:val="outset" w:sz="6" w:space="0" w:color="414142"/>
              <w:left w:val="outset" w:sz="6" w:space="0" w:color="414142"/>
              <w:bottom w:val="outset" w:sz="6" w:space="0" w:color="414142"/>
              <w:right w:val="outset" w:sz="6" w:space="0" w:color="414142"/>
            </w:tcBorders>
          </w:tcPr>
          <w:p w14:paraId="3505E947" w14:textId="577DFAC7" w:rsidR="00877260" w:rsidRPr="0036445E" w:rsidRDefault="0036445E" w:rsidP="00877260">
            <w:pPr>
              <w:jc w:val="both"/>
              <w:rPr>
                <w:rFonts w:ascii="Times New Roman" w:hAnsi="Times New Roman"/>
                <w:sz w:val="24"/>
                <w:szCs w:val="24"/>
              </w:rPr>
            </w:pPr>
            <w:r w:rsidRPr="00877260">
              <w:rPr>
                <w:rFonts w:ascii="Times New Roman" w:hAnsi="Times New Roman"/>
                <w:sz w:val="24"/>
                <w:szCs w:val="24"/>
              </w:rPr>
              <w:t>Uzdotie jautājumi nav vērtējami sagatavotā Noteikumu projekta kontekstā.</w:t>
            </w:r>
            <w:r w:rsidR="00877260">
              <w:rPr>
                <w:rFonts w:ascii="Times New Roman" w:hAnsi="Times New Roman"/>
                <w:sz w:val="24"/>
                <w:szCs w:val="24"/>
              </w:rPr>
              <w:t xml:space="preserve"> Šo</w:t>
            </w:r>
            <w:r w:rsidR="00967A9B">
              <w:rPr>
                <w:rFonts w:ascii="Times New Roman" w:hAnsi="Times New Roman"/>
                <w:sz w:val="24"/>
                <w:szCs w:val="24"/>
              </w:rPr>
              <w:t>s</w:t>
            </w:r>
            <w:r w:rsidR="00877260">
              <w:rPr>
                <w:rFonts w:ascii="Times New Roman" w:hAnsi="Times New Roman"/>
                <w:sz w:val="24"/>
                <w:szCs w:val="24"/>
              </w:rPr>
              <w:t xml:space="preserve"> jautājumu</w:t>
            </w:r>
            <w:r w:rsidR="00967A9B">
              <w:rPr>
                <w:rFonts w:ascii="Times New Roman" w:hAnsi="Times New Roman"/>
                <w:sz w:val="24"/>
                <w:szCs w:val="24"/>
              </w:rPr>
              <w:t>s</w:t>
            </w:r>
            <w:r w:rsidR="00877260">
              <w:rPr>
                <w:rFonts w:ascii="Times New Roman" w:hAnsi="Times New Roman"/>
                <w:sz w:val="24"/>
                <w:szCs w:val="24"/>
              </w:rPr>
              <w:t xml:space="preserve"> regulē citi normatīvie akti</w:t>
            </w:r>
            <w:r w:rsidR="00967A9B">
              <w:rPr>
                <w:rFonts w:ascii="Times New Roman" w:hAnsi="Times New Roman"/>
                <w:sz w:val="24"/>
                <w:szCs w:val="24"/>
              </w:rPr>
              <w:t xml:space="preserve">, kas regulē </w:t>
            </w:r>
            <w:r w:rsidR="00A46CD9">
              <w:rPr>
                <w:rFonts w:ascii="Times New Roman" w:hAnsi="Times New Roman"/>
                <w:sz w:val="24"/>
                <w:szCs w:val="24"/>
              </w:rPr>
              <w:t xml:space="preserve">pētījuma </w:t>
            </w:r>
            <w:r w:rsidR="00A46CD9">
              <w:rPr>
                <w:rFonts w:ascii="Times New Roman" w:hAnsi="Times New Roman"/>
                <w:sz w:val="24"/>
                <w:szCs w:val="24"/>
              </w:rPr>
              <w:lastRenderedPageBreak/>
              <w:t xml:space="preserve">datu pārvaldību, kā arī </w:t>
            </w:r>
            <w:r w:rsidR="00967A9B">
              <w:rPr>
                <w:rFonts w:ascii="Times New Roman" w:hAnsi="Times New Roman"/>
                <w:sz w:val="24"/>
                <w:szCs w:val="24"/>
              </w:rPr>
              <w:t>elektronisko dokumentu</w:t>
            </w:r>
            <w:r w:rsidR="00A46CD9">
              <w:rPr>
                <w:rFonts w:ascii="Times New Roman" w:hAnsi="Times New Roman"/>
                <w:sz w:val="24"/>
                <w:szCs w:val="24"/>
              </w:rPr>
              <w:t xml:space="preserve"> pārvaldības un arhivēšanas kārtību.</w:t>
            </w:r>
            <w:r w:rsidR="00877260">
              <w:rPr>
                <w:rFonts w:ascii="Times New Roman" w:hAnsi="Times New Roman"/>
                <w:sz w:val="24"/>
                <w:szCs w:val="24"/>
              </w:rPr>
              <w:t xml:space="preserve"> </w:t>
            </w:r>
          </w:p>
          <w:p w14:paraId="289C25A0" w14:textId="3ED30B1B" w:rsidR="0036445E" w:rsidRPr="0036445E" w:rsidRDefault="0036445E" w:rsidP="0036445E">
            <w:pPr>
              <w:jc w:val="both"/>
              <w:rPr>
                <w:rFonts w:ascii="Times New Roman" w:hAnsi="Times New Roman"/>
                <w:sz w:val="24"/>
                <w:szCs w:val="24"/>
              </w:rPr>
            </w:pPr>
          </w:p>
          <w:p w14:paraId="34024713" w14:textId="77777777" w:rsidR="0036445E" w:rsidRDefault="0036445E" w:rsidP="0036445E">
            <w:pPr>
              <w:pStyle w:val="ListParagraph"/>
              <w:ind w:left="644"/>
              <w:jc w:val="both"/>
              <w:rPr>
                <w:rFonts w:ascii="Times New Roman" w:hAnsi="Times New Roman"/>
                <w:sz w:val="24"/>
                <w:szCs w:val="24"/>
              </w:rPr>
            </w:pPr>
          </w:p>
          <w:p w14:paraId="41CE3013" w14:textId="77777777" w:rsidR="0036445E" w:rsidRDefault="0036445E" w:rsidP="0036445E">
            <w:pPr>
              <w:pStyle w:val="ListParagraph"/>
              <w:ind w:left="644"/>
              <w:jc w:val="both"/>
              <w:rPr>
                <w:rFonts w:ascii="Times New Roman" w:hAnsi="Times New Roman"/>
                <w:sz w:val="24"/>
                <w:szCs w:val="24"/>
              </w:rPr>
            </w:pPr>
          </w:p>
          <w:p w14:paraId="7C0229A7" w14:textId="0EE50456" w:rsidR="00752F5F" w:rsidRPr="00511B81" w:rsidRDefault="00752F5F" w:rsidP="00752F5F">
            <w:pPr>
              <w:jc w:val="both"/>
              <w:rPr>
                <w:rFonts w:ascii="Times New Roman" w:hAnsi="Times New Roman"/>
                <w:sz w:val="24"/>
                <w:szCs w:val="24"/>
              </w:rPr>
            </w:pPr>
          </w:p>
        </w:tc>
      </w:tr>
      <w:tr w:rsidR="00752F5F" w:rsidRPr="00504148" w14:paraId="75DF7522"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2574DDB2" w14:textId="4742EDA2"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E0618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0F69CADC" w14:textId="5C3AA667"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Latvijas klīniskās pētniecības asociācija, Biofarmaceitisko zāļu ražotāju asociācija Latvijā</w:t>
            </w:r>
          </w:p>
        </w:tc>
        <w:tc>
          <w:tcPr>
            <w:tcW w:w="1076" w:type="pct"/>
            <w:tcBorders>
              <w:top w:val="outset" w:sz="6" w:space="0" w:color="414142"/>
              <w:left w:val="outset" w:sz="6" w:space="0" w:color="414142"/>
              <w:bottom w:val="outset" w:sz="6" w:space="0" w:color="414142"/>
              <w:right w:val="outset" w:sz="6" w:space="0" w:color="414142"/>
            </w:tcBorders>
          </w:tcPr>
          <w:p w14:paraId="6898218D" w14:textId="3EE13621" w:rsidR="00752F5F" w:rsidRPr="002F30B3" w:rsidRDefault="00752F5F" w:rsidP="00752F5F">
            <w:pPr>
              <w:jc w:val="both"/>
              <w:rPr>
                <w:rFonts w:ascii="Times New Roman" w:hAnsi="Times New Roman"/>
                <w:sz w:val="24"/>
                <w:szCs w:val="24"/>
              </w:rPr>
            </w:pPr>
            <w:r>
              <w:rPr>
                <w:rFonts w:ascii="Times New Roman" w:eastAsia="Times New Roman" w:hAnsi="Times New Roman" w:cs="Times New Roman"/>
                <w:sz w:val="24"/>
                <w:szCs w:val="24"/>
              </w:rPr>
              <w:t>Iekļaut projektā skaidrojumu par Iesniedzamajiem dokumentiem, kas attiecas uz valsts dokumentiem. Vai jāsniedz Eiropas Zāļu aģentūras piedāvātās veidlapas, vai ir pieļaujamas Sponsoru veidlapas, vai tiks gatavotas valsts specifiskas veidlapas?</w:t>
            </w:r>
          </w:p>
        </w:tc>
        <w:tc>
          <w:tcPr>
            <w:tcW w:w="735" w:type="pct"/>
            <w:tcBorders>
              <w:top w:val="outset" w:sz="6" w:space="0" w:color="414142"/>
              <w:left w:val="outset" w:sz="6" w:space="0" w:color="414142"/>
              <w:bottom w:val="outset" w:sz="6" w:space="0" w:color="414142"/>
              <w:right w:val="outset" w:sz="6" w:space="0" w:color="414142"/>
            </w:tcBorders>
          </w:tcPr>
          <w:p w14:paraId="2F4C10F0" w14:textId="67EC24A3" w:rsidR="00752F5F" w:rsidRDefault="0036445E"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r w:rsidR="00265140">
              <w:rPr>
                <w:rFonts w:ascii="Times New Roman" w:eastAsia="Times New Roman" w:hAnsi="Times New Roman" w:cs="Times New Roman"/>
                <w:sz w:val="24"/>
                <w:szCs w:val="24"/>
                <w:lang w:eastAsia="lv-LV"/>
              </w:rPr>
              <w:t xml:space="preserve"> daļēji</w:t>
            </w:r>
          </w:p>
        </w:tc>
        <w:tc>
          <w:tcPr>
            <w:tcW w:w="1622" w:type="pct"/>
            <w:tcBorders>
              <w:top w:val="outset" w:sz="6" w:space="0" w:color="414142"/>
              <w:left w:val="outset" w:sz="6" w:space="0" w:color="414142"/>
              <w:bottom w:val="outset" w:sz="6" w:space="0" w:color="414142"/>
              <w:right w:val="outset" w:sz="6" w:space="0" w:color="414142"/>
            </w:tcBorders>
          </w:tcPr>
          <w:p w14:paraId="287EB072" w14:textId="517F28CF" w:rsidR="0036445E" w:rsidRPr="0036445E" w:rsidRDefault="0036445E" w:rsidP="0036445E">
            <w:pPr>
              <w:pStyle w:val="ListParagraph"/>
              <w:ind w:left="284"/>
              <w:jc w:val="both"/>
              <w:rPr>
                <w:rFonts w:ascii="Times New Roman" w:hAnsi="Times New Roman"/>
                <w:sz w:val="24"/>
                <w:szCs w:val="24"/>
              </w:rPr>
            </w:pPr>
            <w:r w:rsidRPr="0036445E">
              <w:rPr>
                <w:rFonts w:ascii="Times New Roman" w:hAnsi="Times New Roman"/>
                <w:sz w:val="24"/>
                <w:szCs w:val="24"/>
              </w:rPr>
              <w:t>Šis jautājums tika skaidrots Zāļu valsts aģentūras organizētā sanāksmē 20.01.2022. Dokumenti jāsniedz tikai ES portālā CITS, valsts specifiskas veidlapas netiks veidotas.</w:t>
            </w:r>
          </w:p>
          <w:p w14:paraId="4BF479B1" w14:textId="77777777" w:rsidR="00752F5F" w:rsidRDefault="00752F5F" w:rsidP="00752F5F">
            <w:pPr>
              <w:pStyle w:val="ListParagraph"/>
              <w:ind w:left="284"/>
              <w:jc w:val="both"/>
              <w:rPr>
                <w:rFonts w:ascii="Times New Roman" w:hAnsi="Times New Roman"/>
                <w:i/>
                <w:iCs/>
                <w:color w:val="FF0000"/>
                <w:sz w:val="24"/>
                <w:szCs w:val="24"/>
              </w:rPr>
            </w:pPr>
          </w:p>
          <w:p w14:paraId="1432A48D" w14:textId="1A0D7C3C" w:rsidR="00752F5F" w:rsidRPr="00693215" w:rsidRDefault="00752F5F" w:rsidP="00752F5F">
            <w:pPr>
              <w:pStyle w:val="ListParagraph"/>
              <w:ind w:left="284"/>
              <w:jc w:val="both"/>
              <w:rPr>
                <w:rFonts w:ascii="Times New Roman" w:hAnsi="Times New Roman"/>
                <w:i/>
                <w:iCs/>
                <w:sz w:val="24"/>
                <w:szCs w:val="24"/>
              </w:rPr>
            </w:pPr>
          </w:p>
        </w:tc>
      </w:tr>
      <w:tr w:rsidR="00752F5F" w:rsidRPr="00504148" w14:paraId="03D55971"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2DF64E9B" w14:textId="2CD46B59"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0618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6F2CBF75" w14:textId="77777777" w:rsidR="00752F5F" w:rsidRDefault="00752F5F" w:rsidP="00752F5F">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Latvijas klīniskās pētniecības asociācija, Biofarmaceitisko zāļu ražotāju asociācija Latvijā; </w:t>
            </w:r>
            <w:r w:rsidRPr="00C11BBA">
              <w:rPr>
                <w:rFonts w:ascii="Times New Roman" w:hAnsi="Times New Roman" w:cs="Times New Roman"/>
                <w:sz w:val="24"/>
                <w:szCs w:val="24"/>
                <w:shd w:val="clear" w:color="auto" w:fill="FFFFFF"/>
              </w:rPr>
              <w:t>SIA Novartis Baltics klīnisko pētījumu komanda</w:t>
            </w:r>
          </w:p>
          <w:p w14:paraId="51F8EC0C" w14:textId="77777777" w:rsidR="009C75CC" w:rsidRDefault="009C75CC" w:rsidP="00752F5F">
            <w:pPr>
              <w:spacing w:after="0" w:line="240" w:lineRule="auto"/>
              <w:rPr>
                <w:rFonts w:ascii="Times New Roman" w:hAnsi="Times New Roman" w:cs="Times New Roman"/>
                <w:sz w:val="24"/>
                <w:szCs w:val="24"/>
                <w:shd w:val="clear" w:color="auto" w:fill="FFFFFF"/>
              </w:rPr>
            </w:pPr>
          </w:p>
          <w:p w14:paraId="561F0903" w14:textId="77777777" w:rsidR="009C75CC" w:rsidRDefault="009C75CC" w:rsidP="00752F5F">
            <w:pPr>
              <w:spacing w:after="0" w:line="240" w:lineRule="auto"/>
              <w:rPr>
                <w:rFonts w:ascii="Times New Roman" w:hAnsi="Times New Roman" w:cs="Times New Roman"/>
                <w:sz w:val="24"/>
                <w:szCs w:val="24"/>
                <w:shd w:val="clear" w:color="auto" w:fill="FFFFFF"/>
              </w:rPr>
            </w:pPr>
          </w:p>
          <w:p w14:paraId="29D6EC09" w14:textId="77777777" w:rsidR="009C75CC" w:rsidRDefault="009C75CC" w:rsidP="00752F5F">
            <w:pPr>
              <w:spacing w:after="0" w:line="240" w:lineRule="auto"/>
              <w:rPr>
                <w:rFonts w:ascii="Times New Roman" w:hAnsi="Times New Roman" w:cs="Times New Roman"/>
                <w:sz w:val="24"/>
                <w:szCs w:val="24"/>
                <w:shd w:val="clear" w:color="auto" w:fill="FFFFFF"/>
              </w:rPr>
            </w:pPr>
          </w:p>
          <w:p w14:paraId="23BE62BE" w14:textId="77777777" w:rsidR="009C75CC" w:rsidRDefault="009C75CC" w:rsidP="009C75CC">
            <w:pPr>
              <w:pStyle w:val="ListParagraph"/>
              <w:ind w:left="284"/>
              <w:jc w:val="both"/>
              <w:rPr>
                <w:rFonts w:ascii="Times New Roman" w:hAnsi="Times New Roman"/>
                <w:i/>
                <w:iCs/>
                <w:color w:val="FF0000"/>
                <w:sz w:val="24"/>
                <w:szCs w:val="24"/>
              </w:rPr>
            </w:pPr>
          </w:p>
          <w:p w14:paraId="5D325637" w14:textId="7FA9A2C9" w:rsidR="009C75CC" w:rsidRDefault="009C75CC" w:rsidP="00752F5F">
            <w:pPr>
              <w:spacing w:after="0" w:line="240" w:lineRule="auto"/>
              <w:rPr>
                <w:rFonts w:ascii="Times New Roman" w:hAnsi="Times New Roman" w:cs="Times New Roman"/>
                <w:sz w:val="24"/>
                <w:szCs w:val="24"/>
              </w:rPr>
            </w:pPr>
          </w:p>
        </w:tc>
        <w:tc>
          <w:tcPr>
            <w:tcW w:w="1076" w:type="pct"/>
            <w:tcBorders>
              <w:top w:val="outset" w:sz="6" w:space="0" w:color="414142"/>
              <w:left w:val="outset" w:sz="6" w:space="0" w:color="414142"/>
              <w:bottom w:val="outset" w:sz="6" w:space="0" w:color="414142"/>
              <w:right w:val="outset" w:sz="6" w:space="0" w:color="414142"/>
            </w:tcBorders>
          </w:tcPr>
          <w:p w14:paraId="6F2267E0" w14:textId="55531DD8" w:rsidR="00752F5F" w:rsidRDefault="00752F5F" w:rsidP="00752F5F">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Sniegt plašāku skaidrojumu par Latvijas noteiktajām prasībām attiecībā uz regulas 1. pielikuma N sadaļas  67. punkta - telpu piemērotības apraksts – izpildi. Vai tā ir līdz šim iesniegtā ārstniecības iestādes piekrišana vai ir domāts kāds specifisks dokuments? Kurš to pilda un paraksta? Attiecībā uz P sadaļas 69.-71. punktiem - vai kā finansiālais pierādījums tiek </w:t>
            </w:r>
            <w:r>
              <w:rPr>
                <w:rFonts w:ascii="Times New Roman" w:eastAsia="Times New Roman" w:hAnsi="Times New Roman" w:cs="Times New Roman"/>
                <w:sz w:val="24"/>
                <w:szCs w:val="24"/>
              </w:rPr>
              <w:lastRenderedPageBreak/>
              <w:t>atzīts līguma paraugs ar pētniekiem un iestādi?</w:t>
            </w:r>
          </w:p>
        </w:tc>
        <w:tc>
          <w:tcPr>
            <w:tcW w:w="735" w:type="pct"/>
            <w:tcBorders>
              <w:top w:val="outset" w:sz="6" w:space="0" w:color="414142"/>
              <w:left w:val="outset" w:sz="6" w:space="0" w:color="414142"/>
              <w:bottom w:val="outset" w:sz="6" w:space="0" w:color="414142"/>
              <w:right w:val="outset" w:sz="6" w:space="0" w:color="414142"/>
            </w:tcBorders>
          </w:tcPr>
          <w:p w14:paraId="15F7EBCC" w14:textId="1FF01CA0" w:rsidR="00752F5F" w:rsidRDefault="0036445E"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r w:rsidR="00265140">
              <w:rPr>
                <w:rFonts w:ascii="Times New Roman" w:eastAsia="Times New Roman" w:hAnsi="Times New Roman" w:cs="Times New Roman"/>
                <w:sz w:val="24"/>
                <w:szCs w:val="24"/>
                <w:lang w:eastAsia="lv-LV"/>
              </w:rPr>
              <w:t xml:space="preserve"> daļēji</w:t>
            </w:r>
          </w:p>
        </w:tc>
        <w:tc>
          <w:tcPr>
            <w:tcW w:w="1622" w:type="pct"/>
            <w:tcBorders>
              <w:top w:val="outset" w:sz="6" w:space="0" w:color="414142"/>
              <w:left w:val="outset" w:sz="6" w:space="0" w:color="414142"/>
              <w:bottom w:val="outset" w:sz="6" w:space="0" w:color="414142"/>
              <w:right w:val="outset" w:sz="6" w:space="0" w:color="414142"/>
            </w:tcBorders>
          </w:tcPr>
          <w:p w14:paraId="2140719A" w14:textId="77777777" w:rsidR="009C75CC" w:rsidRDefault="009C75CC" w:rsidP="009C75CC">
            <w:pPr>
              <w:jc w:val="both"/>
              <w:rPr>
                <w:rFonts w:ascii="Times New Roman" w:hAnsi="Times New Roman"/>
                <w:sz w:val="24"/>
                <w:szCs w:val="24"/>
              </w:rPr>
            </w:pPr>
            <w:r w:rsidRPr="009C75CC">
              <w:rPr>
                <w:rFonts w:ascii="Times New Roman" w:hAnsi="Times New Roman"/>
                <w:sz w:val="24"/>
                <w:szCs w:val="24"/>
              </w:rPr>
              <w:t>Tas ir dokuments, kas apliecina pētījuma centrs atbilst pētījuma prasībām, kuru paraksta iestādes vadītājs.</w:t>
            </w:r>
          </w:p>
          <w:p w14:paraId="6DADFF7C" w14:textId="4C5CB09D" w:rsidR="0036445E" w:rsidRPr="002E1534" w:rsidRDefault="009C75CC" w:rsidP="009C75CC">
            <w:pPr>
              <w:jc w:val="both"/>
              <w:rPr>
                <w:rFonts w:ascii="Times New Roman" w:hAnsi="Times New Roman" w:cs="Times New Roman"/>
                <w:sz w:val="24"/>
                <w:szCs w:val="24"/>
              </w:rPr>
            </w:pPr>
            <w:r w:rsidRPr="002E1534">
              <w:rPr>
                <w:rFonts w:ascii="Times New Roman" w:hAnsi="Times New Roman" w:cs="Times New Roman"/>
                <w:sz w:val="24"/>
                <w:szCs w:val="24"/>
              </w:rPr>
              <w:t>Plašāks nepieciešamo dokumentu kopums, kas piemērojams klīniskajiem pētījumiem, kas tiks atļauti saskaņā ar Regulu 536/2014 ir pieejams:</w:t>
            </w:r>
            <w:r w:rsidR="002E1534" w:rsidRPr="002E1534">
              <w:rPr>
                <w:rFonts w:ascii="Times New Roman" w:hAnsi="Times New Roman" w:cs="Times New Roman"/>
                <w:color w:val="201F1E"/>
                <w:sz w:val="24"/>
                <w:szCs w:val="24"/>
                <w:shd w:val="clear" w:color="auto" w:fill="FFFFFF"/>
              </w:rPr>
              <w:t xml:space="preserve"> https://ec.europa.eu/health/medicinal-products/eudralex/eudralex-volume-10_en#set-of-documents-applicable-to-clinical-trials-that-will-be-authorised-under-regulation-eu-no-5362014-once-it-becomes-applicable</w:t>
            </w:r>
            <w:r w:rsidR="002E1534">
              <w:rPr>
                <w:rFonts w:ascii="Times New Roman" w:hAnsi="Times New Roman" w:cs="Times New Roman"/>
                <w:color w:val="201F1E"/>
                <w:sz w:val="24"/>
                <w:szCs w:val="24"/>
                <w:shd w:val="clear" w:color="auto" w:fill="FFFFFF"/>
              </w:rPr>
              <w:t>.</w:t>
            </w:r>
            <w:r w:rsidRPr="002E1534">
              <w:rPr>
                <w:rFonts w:ascii="Times New Roman" w:hAnsi="Times New Roman" w:cs="Times New Roman"/>
                <w:sz w:val="24"/>
                <w:szCs w:val="24"/>
              </w:rPr>
              <w:t xml:space="preserve">  </w:t>
            </w:r>
          </w:p>
          <w:p w14:paraId="631DA87B" w14:textId="794E869A" w:rsidR="00752F5F" w:rsidRPr="000B0BF3" w:rsidRDefault="00752F5F" w:rsidP="009C75CC">
            <w:pPr>
              <w:pStyle w:val="ListParagraph"/>
              <w:ind w:left="284"/>
              <w:jc w:val="both"/>
              <w:rPr>
                <w:rFonts w:ascii="Times New Roman" w:hAnsi="Times New Roman"/>
                <w:i/>
                <w:iCs/>
                <w:sz w:val="24"/>
                <w:szCs w:val="24"/>
              </w:rPr>
            </w:pPr>
          </w:p>
        </w:tc>
      </w:tr>
      <w:tr w:rsidR="00752F5F" w:rsidRPr="00504148" w14:paraId="71782C4A"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7A25FCE2" w14:textId="31D9D885"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0618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E636DE7" w14:textId="5AA2EA42"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Biofarmaceitisko zāļu ražotāju asociācija Latvijā</w:t>
            </w:r>
          </w:p>
        </w:tc>
        <w:tc>
          <w:tcPr>
            <w:tcW w:w="1076" w:type="pct"/>
            <w:tcBorders>
              <w:top w:val="outset" w:sz="6" w:space="0" w:color="414142"/>
              <w:left w:val="outset" w:sz="6" w:space="0" w:color="414142"/>
              <w:bottom w:val="outset" w:sz="6" w:space="0" w:color="414142"/>
              <w:right w:val="outset" w:sz="6" w:space="0" w:color="414142"/>
            </w:tcBorders>
          </w:tcPr>
          <w:p w14:paraId="677BFDDF" w14:textId="1FADB2F5" w:rsidR="00752F5F" w:rsidRDefault="00752F5F" w:rsidP="00752F5F">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Regulu nepiemēro beziejaukšanās pētījumiem (</w:t>
            </w:r>
            <w:r w:rsidRPr="000B0BF3">
              <w:rPr>
                <w:rFonts w:ascii="Times New Roman" w:eastAsia="Times New Roman" w:hAnsi="Times New Roman" w:cs="Times New Roman"/>
                <w:i/>
                <w:iCs/>
                <w:sz w:val="24"/>
                <w:szCs w:val="24"/>
              </w:rPr>
              <w:t>Non-interventional study</w:t>
            </w:r>
            <w:r>
              <w:rPr>
                <w:rFonts w:ascii="Times New Roman" w:eastAsia="Times New Roman" w:hAnsi="Times New Roman" w:cs="Times New Roman"/>
                <w:sz w:val="24"/>
                <w:szCs w:val="24"/>
              </w:rPr>
              <w:t>) - nosaka Regulas 536/2014  1. pants. Veselības ministrijas izstrādātais MK noteikumu projekts paredz beziejaukšanās pētījumu regulējumu (12. sadaļas 72. - 79. punkts). Tā kā noteikumu projekts regulē beziejaukšanās pētījumus, tad gribētu lūgt plašāku skaidrojumu - vai un kāda būtiska informācija tiek prasīta iesniegt pētījuma laikā. Lūdzam skaidrot veselības datu otrreizējas izmantošanas jautājumus - vai anonimizētu veselības datu otrreizēja izmantošana arī tiek klasificēta kā beziejaukšanās pētījums?</w:t>
            </w:r>
          </w:p>
        </w:tc>
        <w:tc>
          <w:tcPr>
            <w:tcW w:w="735" w:type="pct"/>
            <w:tcBorders>
              <w:top w:val="outset" w:sz="6" w:space="0" w:color="414142"/>
              <w:left w:val="outset" w:sz="6" w:space="0" w:color="414142"/>
              <w:bottom w:val="outset" w:sz="6" w:space="0" w:color="414142"/>
              <w:right w:val="outset" w:sz="6" w:space="0" w:color="414142"/>
            </w:tcBorders>
          </w:tcPr>
          <w:p w14:paraId="1AC754BE" w14:textId="722B3157" w:rsidR="00752F5F" w:rsidRDefault="00070C71"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r w:rsidR="00A83A6E">
              <w:rPr>
                <w:rFonts w:ascii="Times New Roman" w:eastAsia="Times New Roman" w:hAnsi="Times New Roman" w:cs="Times New Roman"/>
                <w:sz w:val="24"/>
                <w:szCs w:val="24"/>
                <w:lang w:eastAsia="lv-LV"/>
              </w:rPr>
              <w:t xml:space="preserve"> daļēji</w:t>
            </w:r>
          </w:p>
        </w:tc>
        <w:tc>
          <w:tcPr>
            <w:tcW w:w="1622" w:type="pct"/>
            <w:tcBorders>
              <w:top w:val="outset" w:sz="6" w:space="0" w:color="414142"/>
              <w:left w:val="outset" w:sz="6" w:space="0" w:color="414142"/>
              <w:bottom w:val="outset" w:sz="6" w:space="0" w:color="414142"/>
              <w:right w:val="outset" w:sz="6" w:space="0" w:color="414142"/>
            </w:tcBorders>
          </w:tcPr>
          <w:p w14:paraId="031D9F46" w14:textId="60867476" w:rsidR="008F4876" w:rsidRPr="007158A0" w:rsidRDefault="008F4876" w:rsidP="008F4876">
            <w:pPr>
              <w:contextualSpacing/>
              <w:jc w:val="both"/>
              <w:rPr>
                <w:color w:val="FF0000"/>
              </w:rPr>
            </w:pPr>
            <w:r w:rsidRPr="00276152">
              <w:rPr>
                <w:rFonts w:ascii="Times New Roman" w:hAnsi="Times New Roman" w:cs="Times New Roman"/>
                <w:sz w:val="24"/>
                <w:szCs w:val="24"/>
              </w:rPr>
              <w:t>Papildināta anotācija ar skaidrojumu</w:t>
            </w:r>
            <w:r>
              <w:rPr>
                <w:rFonts w:ascii="Times New Roman" w:hAnsi="Times New Roman" w:cs="Times New Roman"/>
                <w:sz w:val="24"/>
                <w:szCs w:val="24"/>
              </w:rPr>
              <w:t>.</w:t>
            </w:r>
            <w:r w:rsidR="00DC020E">
              <w:rPr>
                <w:rFonts w:ascii="Times New Roman" w:hAnsi="Times New Roman" w:cs="Times New Roman"/>
                <w:sz w:val="24"/>
                <w:szCs w:val="24"/>
              </w:rPr>
              <w:t xml:space="preserve"> Anonimizētu datu otrreizēja izmantošana tiek klasificēta kā beziejaukšanās pētījums gadījumos, kad dati tiek pseidoanonimizēti.</w:t>
            </w:r>
          </w:p>
          <w:p w14:paraId="2A36606B" w14:textId="77777777" w:rsidR="008F4876" w:rsidRDefault="008F4876" w:rsidP="00752F5F">
            <w:pPr>
              <w:pStyle w:val="ListParagraph"/>
              <w:ind w:left="284"/>
              <w:jc w:val="both"/>
              <w:rPr>
                <w:rFonts w:ascii="Times New Roman" w:hAnsi="Times New Roman"/>
                <w:i/>
                <w:iCs/>
                <w:color w:val="FF0000"/>
                <w:sz w:val="24"/>
                <w:szCs w:val="24"/>
              </w:rPr>
            </w:pPr>
          </w:p>
          <w:p w14:paraId="0A4F6ECB" w14:textId="77777777" w:rsidR="008F4876" w:rsidRPr="00DC020E" w:rsidRDefault="008F4876" w:rsidP="00DC020E">
            <w:pPr>
              <w:jc w:val="both"/>
              <w:rPr>
                <w:rFonts w:ascii="Times New Roman" w:hAnsi="Times New Roman"/>
                <w:i/>
                <w:iCs/>
                <w:color w:val="FF0000"/>
                <w:sz w:val="24"/>
                <w:szCs w:val="24"/>
              </w:rPr>
            </w:pPr>
          </w:p>
          <w:p w14:paraId="6C0AB2BF" w14:textId="245A1A18" w:rsidR="00752F5F" w:rsidRPr="008F4876" w:rsidRDefault="00752F5F" w:rsidP="008F4876">
            <w:pPr>
              <w:jc w:val="both"/>
              <w:rPr>
                <w:rFonts w:ascii="Times New Roman" w:hAnsi="Times New Roman"/>
                <w:i/>
                <w:iCs/>
                <w:sz w:val="24"/>
                <w:szCs w:val="24"/>
              </w:rPr>
            </w:pPr>
          </w:p>
        </w:tc>
      </w:tr>
      <w:tr w:rsidR="00752F5F" w:rsidRPr="00504148" w14:paraId="106DAD0F"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4308743A" w14:textId="719EADB0"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0618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365FABB0" w14:textId="137C1ACA"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Biofarmaceitisko zāļu ražotāju asociācija Latvijā</w:t>
            </w:r>
          </w:p>
        </w:tc>
        <w:tc>
          <w:tcPr>
            <w:tcW w:w="1076" w:type="pct"/>
            <w:tcBorders>
              <w:top w:val="outset" w:sz="6" w:space="0" w:color="414142"/>
              <w:left w:val="outset" w:sz="6" w:space="0" w:color="414142"/>
              <w:bottom w:val="outset" w:sz="6" w:space="0" w:color="414142"/>
              <w:right w:val="outset" w:sz="6" w:space="0" w:color="414142"/>
            </w:tcBorders>
          </w:tcPr>
          <w:p w14:paraId="1888BC02" w14:textId="77777777" w:rsidR="00752F5F" w:rsidRPr="00D46530" w:rsidRDefault="00752F5F" w:rsidP="00752F5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Zāļu nodrošināšana beziejaukšanās pētījumos - atsaucoties uz anotācijā atzīmēto  beziejaukšanās pētījumu būtisko nozīmi sabiedrības veselības  interešu pilnveidošanai, kā arī  novēroto </w:t>
            </w:r>
            <w:r>
              <w:rPr>
                <w:rFonts w:ascii="Times New Roman" w:eastAsia="Times New Roman" w:hAnsi="Times New Roman" w:cs="Times New Roman"/>
                <w:sz w:val="24"/>
                <w:szCs w:val="24"/>
              </w:rPr>
              <w:lastRenderedPageBreak/>
              <w:t>blakusparādību uzraudzībā un farmakovigilances īstenošanas efektivizācijā, vēlamies jautāt, kad ir plānots mainīt/atcelt  2006.gada 31.oktobra MK noteikumu Nr. 899 “</w:t>
            </w:r>
            <w:r w:rsidRPr="00336C7C">
              <w:rPr>
                <w:rFonts w:ascii="Times New Roman" w:eastAsia="Times New Roman" w:hAnsi="Times New Roman" w:cs="Times New Roman"/>
                <w:sz w:val="24"/>
                <w:szCs w:val="24"/>
              </w:rPr>
              <w:t xml:space="preserve">Ambulatorajai ārstēšanai paredzēto zāļu un medicīnisko ierīču iegādes izdevumu kompensācijas kārtība” </w:t>
            </w:r>
            <w:r w:rsidRPr="00D46530">
              <w:rPr>
                <w:rFonts w:ascii="Times New Roman" w:eastAsia="Times New Roman" w:hAnsi="Times New Roman" w:cs="Times New Roman"/>
                <w:sz w:val="24"/>
                <w:szCs w:val="24"/>
              </w:rPr>
              <w:t>31. punktu  - “Veicot kompensējamo zāļu lietošanas novērojumus, zāļu ražotājs sedz izmaksas, kas saistītas ar attiecīgo zāļu iegādi un to lietošanas novērojumiem”, jo tas nesekmē veselības datu otrreizēju izmantošanu un šādu pētījumu uzsākšanu. Vēršam uzmanību, ka Eiropas</w:t>
            </w:r>
            <w:r>
              <w:rPr>
                <w:rFonts w:ascii="Times New Roman" w:eastAsia="Times New Roman" w:hAnsi="Times New Roman" w:cs="Times New Roman"/>
                <w:sz w:val="24"/>
                <w:szCs w:val="24"/>
              </w:rPr>
              <w:t xml:space="preserve"> Savienības</w:t>
            </w:r>
            <w:r w:rsidRPr="00D46530">
              <w:rPr>
                <w:rFonts w:ascii="Times New Roman" w:eastAsia="Times New Roman" w:hAnsi="Times New Roman" w:cs="Times New Roman"/>
                <w:sz w:val="24"/>
                <w:szCs w:val="24"/>
              </w:rPr>
              <w:t xml:space="preserve"> valstīs šāda prasība nepastāv.</w:t>
            </w:r>
          </w:p>
          <w:p w14:paraId="0F4A57E1" w14:textId="77777777" w:rsidR="00752F5F" w:rsidRDefault="00752F5F" w:rsidP="00752F5F">
            <w:pPr>
              <w:shd w:val="clear" w:color="auto" w:fill="FFFFFF"/>
              <w:spacing w:after="0" w:line="276" w:lineRule="auto"/>
              <w:jc w:val="both"/>
              <w:rPr>
                <w:rFonts w:ascii="Times New Roman" w:eastAsia="Times New Roman"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321A1D85" w14:textId="46408258" w:rsidR="00752F5F" w:rsidRDefault="008F4876"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2EEB356F" w14:textId="38A5E684" w:rsidR="00752F5F" w:rsidRPr="000B0BF3" w:rsidRDefault="00066F05" w:rsidP="00752F5F">
            <w:pPr>
              <w:pStyle w:val="ListParagraph"/>
              <w:ind w:left="284"/>
              <w:jc w:val="both"/>
              <w:rPr>
                <w:rFonts w:ascii="Times New Roman" w:hAnsi="Times New Roman"/>
                <w:i/>
                <w:iCs/>
                <w:sz w:val="24"/>
                <w:szCs w:val="24"/>
              </w:rPr>
            </w:pPr>
            <w:r w:rsidRPr="00797917">
              <w:rPr>
                <w:rFonts w:ascii="Times New Roman" w:eastAsia="Times New Roman" w:hAnsi="Times New Roman" w:cs="Times New Roman"/>
                <w:sz w:val="24"/>
                <w:szCs w:val="24"/>
              </w:rPr>
              <w:t>Varētu tikt izvērtēt</w:t>
            </w:r>
            <w:r>
              <w:rPr>
                <w:rFonts w:ascii="Times New Roman" w:eastAsia="Times New Roman" w:hAnsi="Times New Roman" w:cs="Times New Roman"/>
                <w:sz w:val="24"/>
                <w:szCs w:val="24"/>
              </w:rPr>
              <w:t>s</w:t>
            </w:r>
            <w:r w:rsidRPr="00797917">
              <w:rPr>
                <w:rFonts w:ascii="Times New Roman" w:eastAsia="Times New Roman" w:hAnsi="Times New Roman" w:cs="Times New Roman"/>
                <w:sz w:val="24"/>
                <w:szCs w:val="24"/>
              </w:rPr>
              <w:t>, veicot</w:t>
            </w:r>
            <w:r w:rsidRPr="00797917">
              <w:rPr>
                <w:rFonts w:ascii="Times New Roman" w:eastAsia="Times New Roman" w:hAnsi="Times New Roman" w:cs="Times New Roman"/>
                <w:i/>
                <w:iCs/>
                <w:sz w:val="24"/>
                <w:szCs w:val="24"/>
              </w:rPr>
              <w:t xml:space="preserve"> </w:t>
            </w:r>
            <w:r w:rsidRPr="00797917">
              <w:rPr>
                <w:rFonts w:ascii="Times New Roman" w:eastAsia="Times New Roman" w:hAnsi="Times New Roman" w:cs="Times New Roman"/>
                <w:sz w:val="24"/>
                <w:szCs w:val="24"/>
              </w:rPr>
              <w:t>grozījumus Ministru kabineta 200</w:t>
            </w:r>
            <w:r>
              <w:rPr>
                <w:rFonts w:ascii="Times New Roman" w:eastAsia="Times New Roman" w:hAnsi="Times New Roman" w:cs="Times New Roman"/>
                <w:sz w:val="24"/>
                <w:szCs w:val="24"/>
              </w:rPr>
              <w:t>6</w:t>
            </w:r>
            <w:r w:rsidRPr="00797917">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31.oktobra</w:t>
            </w:r>
            <w:r w:rsidRPr="00797917">
              <w:rPr>
                <w:rFonts w:ascii="Times New Roman" w:eastAsia="Times New Roman" w:hAnsi="Times New Roman" w:cs="Times New Roman"/>
                <w:sz w:val="24"/>
                <w:szCs w:val="24"/>
              </w:rPr>
              <w:t xml:space="preserve"> noteikumos Nr.</w:t>
            </w:r>
            <w:r>
              <w:rPr>
                <w:rFonts w:ascii="Times New Roman" w:eastAsia="Times New Roman" w:hAnsi="Times New Roman" w:cs="Times New Roman"/>
                <w:sz w:val="24"/>
                <w:szCs w:val="24"/>
              </w:rPr>
              <w:t>899</w:t>
            </w:r>
            <w:r w:rsidRPr="007979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36C7C">
              <w:rPr>
                <w:rFonts w:ascii="Times New Roman" w:eastAsia="Times New Roman" w:hAnsi="Times New Roman" w:cs="Times New Roman"/>
                <w:sz w:val="24"/>
                <w:szCs w:val="24"/>
              </w:rPr>
              <w:t>Ambulatorajai ārstēšanai paredzēto zāļu un medicīnisko ierīču iegādes izdevumu kompensācijas kārtība</w:t>
            </w:r>
            <w:r w:rsidRPr="0079791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752F5F" w:rsidRPr="00504148" w14:paraId="0ACA14DB"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7CEFD095" w14:textId="3BF24E3A"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0618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721D4F9" w14:textId="3FFC64BD"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 Biofarmaceitisko zāļu ražotāju asociācija Latvijā</w:t>
            </w:r>
          </w:p>
        </w:tc>
        <w:tc>
          <w:tcPr>
            <w:tcW w:w="1076" w:type="pct"/>
            <w:tcBorders>
              <w:top w:val="outset" w:sz="6" w:space="0" w:color="414142"/>
              <w:left w:val="outset" w:sz="6" w:space="0" w:color="414142"/>
              <w:bottom w:val="outset" w:sz="6" w:space="0" w:color="414142"/>
              <w:right w:val="outset" w:sz="6" w:space="0" w:color="414142"/>
            </w:tcBorders>
          </w:tcPr>
          <w:p w14:paraId="07F41D37" w14:textId="4B75B305" w:rsidR="00752F5F" w:rsidRDefault="00752F5F" w:rsidP="00752F5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Atbilstoši šī brīža situācijai,- ja Latvijā paredzēts veikt pētījumu, kur pacientam veic analīzes, kas ietver visas DNS (pilnīgu genoma sekvencēšanu) vai daļas DNS analīzes, Sponsoriem jāievēro Cilvēka genoma likuma 22. pantu un </w:t>
            </w:r>
            <w:r>
              <w:rPr>
                <w:rFonts w:ascii="Times New Roman" w:eastAsia="Times New Roman" w:hAnsi="Times New Roman" w:cs="Times New Roman"/>
                <w:sz w:val="24"/>
                <w:szCs w:val="24"/>
              </w:rPr>
              <w:lastRenderedPageBreak/>
              <w:t xml:space="preserve">2004.gada 10.augusta  MK noteikumu Nr. 692 </w:t>
            </w:r>
            <w:r w:rsidRPr="00D3031B">
              <w:rPr>
                <w:rFonts w:ascii="Times New Roman" w:eastAsia="Times New Roman" w:hAnsi="Times New Roman" w:cs="Times New Roman"/>
                <w:sz w:val="24"/>
                <w:szCs w:val="24"/>
              </w:rPr>
              <w:t>“</w:t>
            </w:r>
            <w:r w:rsidRPr="00336C7C">
              <w:rPr>
                <w:rFonts w:ascii="Times New Roman" w:eastAsia="Times New Roman" w:hAnsi="Times New Roman" w:cs="Times New Roman"/>
                <w:sz w:val="24"/>
                <w:szCs w:val="24"/>
              </w:rPr>
              <w:t>Ģenētiskās izpētes kārtība”</w:t>
            </w:r>
            <w:r>
              <w:rPr>
                <w:rFonts w:ascii="Times New Roman" w:eastAsia="Times New Roman" w:hAnsi="Times New Roman" w:cs="Times New Roman"/>
                <w:sz w:val="24"/>
                <w:szCs w:val="24"/>
              </w:rPr>
              <w:t xml:space="preserve"> 2. punkta prasības, kurā ir noteikts, ka šādu izpēti izvērtē Centrālā medicīnas ētikas komiteja (turpmāk – CMĒK). Kā to plānots īstenot Latvijā ar jaunās regulas ieviešanu? Kā paātrināt procesu, jo CMĒK, vadoties no publiski pieejamās informācijas, nav noteikts sanāksmju grafiks un atbildes saņemšanas termiņš? Vai ir plānots, ka šiem pētījumiem CMĒK tiks piesaistīta uzreiz/centralizēti un vai būs iespējams iekļauties paredzētajos/noteiktajos termiņos?</w:t>
            </w:r>
          </w:p>
        </w:tc>
        <w:tc>
          <w:tcPr>
            <w:tcW w:w="735" w:type="pct"/>
            <w:tcBorders>
              <w:top w:val="outset" w:sz="6" w:space="0" w:color="414142"/>
              <w:left w:val="outset" w:sz="6" w:space="0" w:color="414142"/>
              <w:bottom w:val="outset" w:sz="6" w:space="0" w:color="414142"/>
              <w:right w:val="outset" w:sz="6" w:space="0" w:color="414142"/>
            </w:tcBorders>
          </w:tcPr>
          <w:p w14:paraId="3B1188C5" w14:textId="221CC948" w:rsidR="00752F5F" w:rsidRDefault="008B4DC3"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 daļēji</w:t>
            </w:r>
          </w:p>
        </w:tc>
        <w:tc>
          <w:tcPr>
            <w:tcW w:w="1622" w:type="pct"/>
            <w:tcBorders>
              <w:top w:val="outset" w:sz="6" w:space="0" w:color="414142"/>
              <w:left w:val="outset" w:sz="6" w:space="0" w:color="414142"/>
              <w:bottom w:val="outset" w:sz="6" w:space="0" w:color="414142"/>
              <w:right w:val="outset" w:sz="6" w:space="0" w:color="414142"/>
            </w:tcBorders>
          </w:tcPr>
          <w:p w14:paraId="2AB8B37A" w14:textId="4E478C79" w:rsidR="00E35033" w:rsidRPr="002F30B3" w:rsidRDefault="002109E2" w:rsidP="00752F5F">
            <w:pPr>
              <w:pStyle w:val="ListParagraph"/>
              <w:ind w:left="284"/>
              <w:jc w:val="both"/>
              <w:rPr>
                <w:rFonts w:ascii="Times New Roman" w:hAnsi="Times New Roman"/>
                <w:sz w:val="24"/>
                <w:szCs w:val="24"/>
              </w:rPr>
            </w:pPr>
            <w:r>
              <w:rPr>
                <w:rFonts w:ascii="Times New Roman" w:hAnsi="Times New Roman"/>
                <w:sz w:val="24"/>
                <w:szCs w:val="24"/>
              </w:rPr>
              <w:t>Ņemot vērā, ka līdz ar regulas Nr. 536/2014 ieviešanu Latvija nevar prasīt sponsoram sniegt papildu dokumentus Centrālās medicīnas ētikas komitejā</w:t>
            </w:r>
            <w:r w:rsidR="005B5E1C">
              <w:rPr>
                <w:rFonts w:ascii="Times New Roman" w:hAnsi="Times New Roman"/>
                <w:sz w:val="24"/>
                <w:szCs w:val="24"/>
              </w:rPr>
              <w:t>.</w:t>
            </w:r>
            <w:r>
              <w:rPr>
                <w:rFonts w:ascii="Times New Roman" w:hAnsi="Times New Roman"/>
                <w:sz w:val="24"/>
                <w:szCs w:val="24"/>
              </w:rPr>
              <w:t xml:space="preserve"> </w:t>
            </w:r>
            <w:r w:rsidR="005B5E1C">
              <w:rPr>
                <w:rFonts w:ascii="Times New Roman" w:hAnsi="Times New Roman"/>
                <w:sz w:val="24"/>
                <w:szCs w:val="24"/>
              </w:rPr>
              <w:t>J</w:t>
            </w:r>
            <w:r>
              <w:rPr>
                <w:rFonts w:ascii="Times New Roman" w:hAnsi="Times New Roman"/>
                <w:sz w:val="24"/>
                <w:szCs w:val="24"/>
              </w:rPr>
              <w:t xml:space="preserve">autājumus, kas skar </w:t>
            </w:r>
            <w:r w:rsidR="00FB35F5">
              <w:rPr>
                <w:rFonts w:ascii="Times New Roman" w:hAnsi="Times New Roman"/>
                <w:sz w:val="24"/>
                <w:szCs w:val="24"/>
              </w:rPr>
              <w:t>pētījumu veikšanu, ietverot DNS (pilnīgu genoma sekvencēšanu) vai daļas DNS analīzes,</w:t>
            </w:r>
            <w:r>
              <w:rPr>
                <w:rFonts w:ascii="Times New Roman" w:hAnsi="Times New Roman"/>
                <w:sz w:val="24"/>
                <w:szCs w:val="24"/>
              </w:rPr>
              <w:t xml:space="preserve"> skatīs zāļu klīniskās izpētes ētikas komiteja.</w:t>
            </w:r>
          </w:p>
        </w:tc>
      </w:tr>
      <w:tr w:rsidR="00752F5F" w:rsidRPr="00504148" w14:paraId="5DA31466"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7C042867" w14:textId="1D9CEDCB" w:rsidR="00752F5F" w:rsidRDefault="00E06186"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58</w:t>
            </w:r>
            <w:r w:rsidR="00752F5F">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468F0196" w14:textId="6CAF48BE"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VSIA “Paula Stradiņa klīniskā universitātes slimnīca” Attīstības biedrības Klīniskās izpētes komiteja; Biofarmaceitisko zāļu ražotāju asociācija Latvijā</w:t>
            </w:r>
          </w:p>
        </w:tc>
        <w:tc>
          <w:tcPr>
            <w:tcW w:w="1076" w:type="pct"/>
            <w:tcBorders>
              <w:top w:val="outset" w:sz="6" w:space="0" w:color="414142"/>
              <w:left w:val="outset" w:sz="6" w:space="0" w:color="414142"/>
              <w:bottom w:val="outset" w:sz="6" w:space="0" w:color="414142"/>
              <w:right w:val="outset" w:sz="6" w:space="0" w:color="414142"/>
            </w:tcBorders>
          </w:tcPr>
          <w:p w14:paraId="26C9A3C2" w14:textId="77777777" w:rsidR="00752F5F" w:rsidRDefault="00752F5F" w:rsidP="00752F5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Pēcpētījumu piegāde nav atrunāta regulā, bet, ja pētījumam noslēdzoties, medikaments pacientam ir nepieciešams, tas nav pieejams kompensācijas ietvaros un ir atrunāts pētījuma protokolā, Sponsoram jānodrošina medikaments atbilstoši Pasaules ārstu asociācijas Helsinku deklarācijas (2013.) </w:t>
            </w:r>
            <w:r>
              <w:rPr>
                <w:rFonts w:ascii="Times New Roman" w:eastAsia="Times New Roman" w:hAnsi="Times New Roman" w:cs="Times New Roman"/>
                <w:sz w:val="24"/>
                <w:szCs w:val="24"/>
              </w:rPr>
              <w:lastRenderedPageBreak/>
              <w:t>34. punktam - tas nav ne ziedojums, ne dāvinājums. Noteikumu projektā nepieciešams paredzēt, ka Sponsoram ir iespēja nodrošināt pēcpētījuma piegādi. Aicinām izvērtēt nepieciešamību</w:t>
            </w:r>
            <w:r w:rsidRPr="00D3031B">
              <w:rPr>
                <w:rFonts w:ascii="Times New Roman" w:eastAsia="Times New Roman" w:hAnsi="Times New Roman" w:cs="Times New Roman"/>
                <w:sz w:val="24"/>
                <w:szCs w:val="24"/>
              </w:rPr>
              <w:t xml:space="preserve"> veikt </w:t>
            </w:r>
            <w:r>
              <w:rPr>
                <w:rFonts w:ascii="Times New Roman" w:eastAsia="Times New Roman" w:hAnsi="Times New Roman" w:cs="Times New Roman"/>
                <w:sz w:val="24"/>
                <w:szCs w:val="24"/>
              </w:rPr>
              <w:t xml:space="preserve">attiecīgus </w:t>
            </w:r>
            <w:r w:rsidRPr="00D3031B">
              <w:rPr>
                <w:rFonts w:ascii="Times New Roman" w:eastAsia="Times New Roman" w:hAnsi="Times New Roman" w:cs="Times New Roman"/>
                <w:sz w:val="24"/>
                <w:szCs w:val="24"/>
              </w:rPr>
              <w:t xml:space="preserve">grozījumus </w:t>
            </w:r>
            <w:r>
              <w:rPr>
                <w:rFonts w:ascii="Times New Roman" w:eastAsia="Times New Roman" w:hAnsi="Times New Roman" w:cs="Times New Roman"/>
                <w:sz w:val="24"/>
                <w:szCs w:val="24"/>
              </w:rPr>
              <w:t xml:space="preserve">arī </w:t>
            </w:r>
            <w:r w:rsidRPr="00D3031B">
              <w:rPr>
                <w:rFonts w:ascii="Times New Roman" w:eastAsia="Times New Roman" w:hAnsi="Times New Roman" w:cs="Times New Roman"/>
                <w:sz w:val="24"/>
                <w:szCs w:val="24"/>
              </w:rPr>
              <w:t>2007.gada 26.jūnija Ministru kabineta noteikumos Nr.416 Zāļu izplatīšanas un kvalitātes kontroles kārtība”, paredzot pēcpētījuma piegādes</w:t>
            </w:r>
            <w:r>
              <w:rPr>
                <w:rFonts w:ascii="Times New Roman" w:eastAsia="Times New Roman" w:hAnsi="Times New Roman" w:cs="Times New Roman"/>
                <w:sz w:val="24"/>
                <w:szCs w:val="24"/>
              </w:rPr>
              <w:t xml:space="preserve">. </w:t>
            </w:r>
          </w:p>
          <w:p w14:paraId="773CAF3B" w14:textId="77777777" w:rsidR="00752F5F" w:rsidRDefault="00752F5F" w:rsidP="00752F5F">
            <w:pPr>
              <w:spacing w:after="0" w:line="276" w:lineRule="auto"/>
              <w:jc w:val="both"/>
              <w:rPr>
                <w:rFonts w:ascii="Times New Roman" w:eastAsia="Times New Roman"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6E1B5F2B" w14:textId="46FCF5A3" w:rsidR="00752F5F"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tc>
        <w:tc>
          <w:tcPr>
            <w:tcW w:w="1622" w:type="pct"/>
            <w:tcBorders>
              <w:top w:val="outset" w:sz="6" w:space="0" w:color="414142"/>
              <w:left w:val="outset" w:sz="6" w:space="0" w:color="414142"/>
              <w:bottom w:val="outset" w:sz="6" w:space="0" w:color="414142"/>
              <w:right w:val="outset" w:sz="6" w:space="0" w:color="414142"/>
            </w:tcBorders>
          </w:tcPr>
          <w:p w14:paraId="2B1EF4D3" w14:textId="46743C7E" w:rsidR="00752F5F" w:rsidRPr="002F30B3" w:rsidRDefault="00752F5F" w:rsidP="00752F5F">
            <w:pPr>
              <w:pStyle w:val="ListParagraph"/>
              <w:ind w:left="284"/>
              <w:jc w:val="both"/>
              <w:rPr>
                <w:rFonts w:ascii="Times New Roman" w:hAnsi="Times New Roman"/>
                <w:sz w:val="24"/>
                <w:szCs w:val="24"/>
              </w:rPr>
            </w:pPr>
            <w:r w:rsidRPr="00797917">
              <w:rPr>
                <w:rFonts w:ascii="Times New Roman" w:eastAsia="Times New Roman" w:hAnsi="Times New Roman" w:cs="Times New Roman"/>
                <w:sz w:val="24"/>
                <w:szCs w:val="24"/>
              </w:rPr>
              <w:t>Varētu tikt izvērtēt</w:t>
            </w:r>
            <w:r w:rsidR="00C52001">
              <w:rPr>
                <w:rFonts w:ascii="Times New Roman" w:eastAsia="Times New Roman" w:hAnsi="Times New Roman" w:cs="Times New Roman"/>
                <w:sz w:val="24"/>
                <w:szCs w:val="24"/>
              </w:rPr>
              <w:t>s</w:t>
            </w:r>
            <w:r w:rsidRPr="00797917">
              <w:rPr>
                <w:rFonts w:ascii="Times New Roman" w:eastAsia="Times New Roman" w:hAnsi="Times New Roman" w:cs="Times New Roman"/>
                <w:sz w:val="24"/>
                <w:szCs w:val="24"/>
              </w:rPr>
              <w:t>, veicot</w:t>
            </w:r>
            <w:r w:rsidRPr="00797917">
              <w:rPr>
                <w:rFonts w:ascii="Times New Roman" w:eastAsia="Times New Roman" w:hAnsi="Times New Roman" w:cs="Times New Roman"/>
                <w:i/>
                <w:iCs/>
                <w:sz w:val="24"/>
                <w:szCs w:val="24"/>
              </w:rPr>
              <w:t xml:space="preserve"> </w:t>
            </w:r>
            <w:r w:rsidRPr="00797917">
              <w:rPr>
                <w:rFonts w:ascii="Times New Roman" w:eastAsia="Times New Roman" w:hAnsi="Times New Roman" w:cs="Times New Roman"/>
                <w:sz w:val="24"/>
                <w:szCs w:val="24"/>
              </w:rPr>
              <w:t xml:space="preserve">grozījumus Ministru kabineta 2007.gada 26.jūnija noteikumos Nr.416 </w:t>
            </w:r>
            <w:r w:rsidR="00C52001">
              <w:rPr>
                <w:rFonts w:ascii="Times New Roman" w:eastAsia="Times New Roman" w:hAnsi="Times New Roman" w:cs="Times New Roman"/>
                <w:sz w:val="24"/>
                <w:szCs w:val="24"/>
              </w:rPr>
              <w:t>“</w:t>
            </w:r>
            <w:r w:rsidRPr="00797917">
              <w:rPr>
                <w:rFonts w:ascii="Times New Roman" w:eastAsia="Times New Roman" w:hAnsi="Times New Roman" w:cs="Times New Roman"/>
                <w:sz w:val="24"/>
                <w:szCs w:val="24"/>
              </w:rPr>
              <w:t>Zāļu izplatīšanas un kvalitātes kontroles kārtība”</w:t>
            </w:r>
          </w:p>
        </w:tc>
      </w:tr>
      <w:tr w:rsidR="00752F5F" w:rsidRPr="00504148" w14:paraId="76BE92FF"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39B2C0EA" w14:textId="29E857EC" w:rsidR="00752F5F" w:rsidRDefault="00E06186"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r w:rsidR="00752F5F">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199FAF58" w14:textId="4F1BF6E0" w:rsidR="00752F5F" w:rsidRDefault="00752F5F"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Biofarmaceitisko zāļu ražotāju asociācija Latvijā</w:t>
            </w:r>
          </w:p>
        </w:tc>
        <w:tc>
          <w:tcPr>
            <w:tcW w:w="1076" w:type="pct"/>
            <w:tcBorders>
              <w:top w:val="outset" w:sz="6" w:space="0" w:color="414142"/>
              <w:left w:val="outset" w:sz="6" w:space="0" w:color="414142"/>
              <w:bottom w:val="outset" w:sz="6" w:space="0" w:color="414142"/>
              <w:right w:val="outset" w:sz="6" w:space="0" w:color="414142"/>
            </w:tcBorders>
          </w:tcPr>
          <w:p w14:paraId="1E1690BF" w14:textId="6F9C970E" w:rsidR="00752F5F" w:rsidRDefault="00752F5F" w:rsidP="00752F5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29. punkts – sniegt skaidrojumu/viedokli par iespējamo elektronisko dokumentu izmantošanu klīniskajos pētījumos, piemēram, elektroniski parakstīt pacientu piekrišanas formas? </w:t>
            </w:r>
          </w:p>
        </w:tc>
        <w:tc>
          <w:tcPr>
            <w:tcW w:w="735" w:type="pct"/>
            <w:tcBorders>
              <w:top w:val="outset" w:sz="6" w:space="0" w:color="414142"/>
              <w:left w:val="outset" w:sz="6" w:space="0" w:color="414142"/>
              <w:bottom w:val="outset" w:sz="6" w:space="0" w:color="414142"/>
              <w:right w:val="outset" w:sz="6" w:space="0" w:color="414142"/>
            </w:tcBorders>
          </w:tcPr>
          <w:p w14:paraId="62BBB7B1" w14:textId="525B6E16" w:rsidR="00752F5F" w:rsidRDefault="00C52001"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p>
        </w:tc>
        <w:tc>
          <w:tcPr>
            <w:tcW w:w="1622" w:type="pct"/>
            <w:tcBorders>
              <w:top w:val="outset" w:sz="6" w:space="0" w:color="414142"/>
              <w:left w:val="outset" w:sz="6" w:space="0" w:color="414142"/>
              <w:bottom w:val="outset" w:sz="6" w:space="0" w:color="414142"/>
              <w:right w:val="outset" w:sz="6" w:space="0" w:color="414142"/>
            </w:tcBorders>
          </w:tcPr>
          <w:p w14:paraId="2E8DA9F8" w14:textId="4D6ED039" w:rsidR="00C52001" w:rsidRPr="00C52001" w:rsidRDefault="00C52001" w:rsidP="00C52001">
            <w:pPr>
              <w:spacing w:after="0" w:line="276" w:lineRule="auto"/>
              <w:ind w:left="426"/>
              <w:jc w:val="both"/>
              <w:rPr>
                <w:rFonts w:ascii="Times New Roman" w:eastAsia="Times New Roman" w:hAnsi="Times New Roman" w:cs="Times New Roman"/>
                <w:sz w:val="24"/>
                <w:szCs w:val="24"/>
              </w:rPr>
            </w:pPr>
            <w:r w:rsidRPr="00C52001">
              <w:rPr>
                <w:rFonts w:ascii="Times New Roman" w:eastAsia="Times New Roman" w:hAnsi="Times New Roman" w:cs="Times New Roman"/>
                <w:sz w:val="24"/>
                <w:szCs w:val="24"/>
              </w:rPr>
              <w:t>Ir iespēja izmantot elektroniski parakstītus dokumentus, ja tie parakstīti atbilstoši normatīvajos aktos noteikt</w:t>
            </w:r>
            <w:r>
              <w:rPr>
                <w:rFonts w:ascii="Times New Roman" w:eastAsia="Times New Roman" w:hAnsi="Times New Roman" w:cs="Times New Roman"/>
                <w:sz w:val="24"/>
                <w:szCs w:val="24"/>
              </w:rPr>
              <w:t>ā</w:t>
            </w:r>
            <w:r w:rsidRPr="00C52001">
              <w:rPr>
                <w:rFonts w:ascii="Times New Roman" w:eastAsia="Times New Roman" w:hAnsi="Times New Roman" w:cs="Times New Roman"/>
                <w:sz w:val="24"/>
                <w:szCs w:val="24"/>
              </w:rPr>
              <w:t>m prasībām</w:t>
            </w:r>
            <w:r>
              <w:rPr>
                <w:rFonts w:ascii="Times New Roman" w:eastAsia="Times New Roman" w:hAnsi="Times New Roman" w:cs="Times New Roman"/>
                <w:sz w:val="24"/>
                <w:szCs w:val="24"/>
              </w:rPr>
              <w:t xml:space="preserve">, tomēr </w:t>
            </w:r>
            <w:r w:rsidRPr="00C52001">
              <w:rPr>
                <w:rFonts w:ascii="Times New Roman" w:eastAsia="Times New Roman" w:hAnsi="Times New Roman" w:cs="Times New Roman"/>
                <w:sz w:val="24"/>
                <w:szCs w:val="24"/>
              </w:rPr>
              <w:t>jāņem vērā, ka attiecībā uz personu informēto piekrišanu, t</w:t>
            </w:r>
            <w:r>
              <w:rPr>
                <w:rFonts w:ascii="Times New Roman" w:eastAsia="Times New Roman" w:hAnsi="Times New Roman" w:cs="Times New Roman"/>
                <w:sz w:val="24"/>
                <w:szCs w:val="24"/>
              </w:rPr>
              <w:t>ā</w:t>
            </w:r>
            <w:r w:rsidRPr="00C52001">
              <w:rPr>
                <w:rFonts w:ascii="Times New Roman" w:eastAsia="Times New Roman" w:hAnsi="Times New Roman" w:cs="Times New Roman"/>
                <w:sz w:val="24"/>
                <w:szCs w:val="24"/>
              </w:rPr>
              <w:t xml:space="preserve"> pagaidām netiek atļauta attālināti. </w:t>
            </w:r>
          </w:p>
          <w:p w14:paraId="5682E601" w14:textId="6065702F" w:rsidR="00752F5F" w:rsidRPr="000B0BF3" w:rsidRDefault="00752F5F" w:rsidP="00752F5F">
            <w:pPr>
              <w:jc w:val="both"/>
              <w:rPr>
                <w:rFonts w:ascii="Times New Roman" w:eastAsia="Times New Roman" w:hAnsi="Times New Roman" w:cs="Times New Roman"/>
                <w:sz w:val="24"/>
                <w:szCs w:val="24"/>
              </w:rPr>
            </w:pPr>
          </w:p>
        </w:tc>
      </w:tr>
      <w:tr w:rsidR="00752F5F" w:rsidRPr="00DF122F" w14:paraId="1BF13608"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7BC4AED1" w14:textId="7B7B2E74" w:rsidR="00752F5F" w:rsidRPr="007D0F8A"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E06186">
              <w:rPr>
                <w:rFonts w:ascii="Times New Roman" w:eastAsia="Times New Roman" w:hAnsi="Times New Roman" w:cs="Times New Roman"/>
                <w:sz w:val="24"/>
                <w:szCs w:val="24"/>
                <w:lang w:eastAsia="lv-LV"/>
              </w:rPr>
              <w:t>0</w:t>
            </w:r>
            <w:r w:rsidRPr="007D0F8A">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43739012" w14:textId="0200A787" w:rsidR="00752F5F" w:rsidRPr="007D0F8A" w:rsidRDefault="00752F5F" w:rsidP="00752F5F">
            <w:pPr>
              <w:spacing w:after="0" w:line="240" w:lineRule="auto"/>
              <w:rPr>
                <w:rFonts w:ascii="Times New Roman" w:hAnsi="Times New Roman" w:cs="Times New Roman"/>
                <w:sz w:val="24"/>
                <w:szCs w:val="24"/>
              </w:rPr>
            </w:pPr>
            <w:r w:rsidRPr="0059019E">
              <w:rPr>
                <w:rFonts w:ascii="Times New Roman" w:hAnsi="Times New Roman" w:cs="Times New Roman"/>
                <w:sz w:val="24"/>
                <w:szCs w:val="24"/>
              </w:rPr>
              <w:t>Klīnisko pētījumu organizācija</w:t>
            </w:r>
          </w:p>
        </w:tc>
        <w:tc>
          <w:tcPr>
            <w:tcW w:w="1076" w:type="pct"/>
            <w:tcBorders>
              <w:top w:val="outset" w:sz="6" w:space="0" w:color="414142"/>
              <w:left w:val="outset" w:sz="6" w:space="0" w:color="414142"/>
              <w:bottom w:val="outset" w:sz="6" w:space="0" w:color="414142"/>
              <w:right w:val="outset" w:sz="6" w:space="0" w:color="414142"/>
            </w:tcBorders>
          </w:tcPr>
          <w:p w14:paraId="436ADE07" w14:textId="396D2B68" w:rsidR="00752F5F" w:rsidRPr="00DF122F" w:rsidRDefault="00752F5F" w:rsidP="00752F5F">
            <w:pPr>
              <w:jc w:val="both"/>
              <w:rPr>
                <w:rFonts w:ascii="Times New Roman" w:hAnsi="Times New Roman" w:cs="Times New Roman"/>
                <w:sz w:val="24"/>
                <w:szCs w:val="24"/>
                <w:highlight w:val="yellow"/>
              </w:rPr>
            </w:pPr>
            <w:r w:rsidRPr="00DF122F">
              <w:rPr>
                <w:rFonts w:ascii="Times New Roman" w:hAnsi="Times New Roman" w:cs="Times New Roman"/>
                <w:sz w:val="24"/>
                <w:szCs w:val="24"/>
              </w:rPr>
              <w:t>Regula 536/2014 nosaka, ka marķējumu un tā valodu/-as nosaka dalībvalstis. Jaunajos noteikumos nav informācijas par prasībām marķējumam un nav arī atsauces uz MK Nr. 57. Varbūt varētu ielikt atsauci, lai viss būtu skaidrs.</w:t>
            </w:r>
          </w:p>
        </w:tc>
        <w:tc>
          <w:tcPr>
            <w:tcW w:w="735" w:type="pct"/>
            <w:tcBorders>
              <w:top w:val="outset" w:sz="6" w:space="0" w:color="414142"/>
              <w:left w:val="outset" w:sz="6" w:space="0" w:color="414142"/>
              <w:bottom w:val="outset" w:sz="6" w:space="0" w:color="414142"/>
              <w:right w:val="outset" w:sz="6" w:space="0" w:color="414142"/>
            </w:tcBorders>
          </w:tcPr>
          <w:p w14:paraId="75D48410" w14:textId="0AF3E7A3" w:rsidR="00752F5F" w:rsidRPr="001B7393" w:rsidRDefault="00860B54" w:rsidP="00752F5F">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Ņemts vērā daļēji</w:t>
            </w:r>
          </w:p>
        </w:tc>
        <w:tc>
          <w:tcPr>
            <w:tcW w:w="1622" w:type="pct"/>
            <w:tcBorders>
              <w:top w:val="outset" w:sz="6" w:space="0" w:color="414142"/>
              <w:left w:val="outset" w:sz="6" w:space="0" w:color="414142"/>
              <w:bottom w:val="outset" w:sz="6" w:space="0" w:color="414142"/>
              <w:right w:val="outset" w:sz="6" w:space="0" w:color="414142"/>
            </w:tcBorders>
          </w:tcPr>
          <w:p w14:paraId="74DB4BA0" w14:textId="4A78252B" w:rsidR="00752F5F" w:rsidRPr="00724BD4" w:rsidRDefault="00724BD4" w:rsidP="00752F5F">
            <w:pPr>
              <w:spacing w:after="0" w:line="276" w:lineRule="auto"/>
              <w:ind w:left="426"/>
              <w:jc w:val="both"/>
              <w:rPr>
                <w:rFonts w:ascii="Times New Roman" w:eastAsia="Times New Roman" w:hAnsi="Times New Roman" w:cs="Times New Roman"/>
                <w:color w:val="FF0000"/>
                <w:sz w:val="24"/>
                <w:szCs w:val="24"/>
              </w:rPr>
            </w:pPr>
            <w:r w:rsidRPr="00724BD4">
              <w:rPr>
                <w:rFonts w:ascii="Times New Roman" w:hAnsi="Times New Roman" w:cs="Times New Roman"/>
                <w:sz w:val="24"/>
                <w:szCs w:val="24"/>
              </w:rPr>
              <w:t>Noteikumu projekta VI.nodaļā noteiktas prasības p</w:t>
            </w:r>
            <w:r w:rsidRPr="00724BD4">
              <w:rPr>
                <w:rFonts w:ascii="Times New Roman" w:eastAsia="Times New Roman" w:hAnsi="Times New Roman" w:cs="Times New Roman"/>
                <w:sz w:val="24"/>
                <w:szCs w:val="24"/>
                <w:lang w:eastAsia="lv-LV"/>
              </w:rPr>
              <w:t>ētāmo zāļu un papildzāļu ražošanai, ievešanai un marķēšanai</w:t>
            </w:r>
          </w:p>
        </w:tc>
      </w:tr>
      <w:tr w:rsidR="00752F5F" w:rsidRPr="00DF122F" w14:paraId="55374DA6"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6F082C27" w14:textId="2B269EB4" w:rsidR="00752F5F" w:rsidRPr="007D0F8A" w:rsidRDefault="00752F5F"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E0618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369" w:type="pct"/>
            <w:tcBorders>
              <w:top w:val="outset" w:sz="6" w:space="0" w:color="414142"/>
              <w:left w:val="outset" w:sz="6" w:space="0" w:color="414142"/>
              <w:bottom w:val="outset" w:sz="6" w:space="0" w:color="414142"/>
              <w:right w:val="outset" w:sz="6" w:space="0" w:color="414142"/>
            </w:tcBorders>
          </w:tcPr>
          <w:p w14:paraId="2792D1F9" w14:textId="364B3F15" w:rsidR="00752F5F" w:rsidRPr="0059019E" w:rsidRDefault="00752F5F" w:rsidP="00752F5F">
            <w:pPr>
              <w:spacing w:after="0" w:line="240" w:lineRule="auto"/>
              <w:rPr>
                <w:rFonts w:ascii="Times New Roman" w:hAnsi="Times New Roman" w:cs="Times New Roman"/>
                <w:sz w:val="24"/>
                <w:szCs w:val="24"/>
              </w:rPr>
            </w:pPr>
            <w:r w:rsidRPr="0059019E">
              <w:rPr>
                <w:rFonts w:ascii="Times New Roman" w:hAnsi="Times New Roman" w:cs="Times New Roman"/>
                <w:sz w:val="24"/>
                <w:szCs w:val="24"/>
              </w:rPr>
              <w:t>Klīnisko pētījumu organizācija</w:t>
            </w:r>
          </w:p>
        </w:tc>
        <w:tc>
          <w:tcPr>
            <w:tcW w:w="1076" w:type="pct"/>
            <w:tcBorders>
              <w:top w:val="outset" w:sz="6" w:space="0" w:color="414142"/>
              <w:left w:val="outset" w:sz="6" w:space="0" w:color="414142"/>
              <w:bottom w:val="outset" w:sz="6" w:space="0" w:color="414142"/>
              <w:right w:val="outset" w:sz="6" w:space="0" w:color="414142"/>
            </w:tcBorders>
          </w:tcPr>
          <w:p w14:paraId="468E1666" w14:textId="036B12A2" w:rsidR="00752F5F" w:rsidRPr="00740CAE" w:rsidRDefault="00752F5F" w:rsidP="00752F5F">
            <w:pPr>
              <w:jc w:val="both"/>
              <w:rPr>
                <w:rFonts w:ascii="Times New Roman" w:hAnsi="Times New Roman" w:cs="Times New Roman"/>
                <w:sz w:val="24"/>
                <w:szCs w:val="24"/>
              </w:rPr>
            </w:pPr>
            <w:r w:rsidRPr="00740CAE">
              <w:rPr>
                <w:rFonts w:ascii="Times New Roman" w:hAnsi="Times New Roman" w:cs="Times New Roman"/>
                <w:sz w:val="24"/>
                <w:szCs w:val="24"/>
              </w:rPr>
              <w:t xml:space="preserve">Lūgums izmantot vienotu terminoloģija dokumentā, skat zemāk piemērus. Lai labāk varētu saprast, varbūt dot definīciju tulkojumu terminiem: </w:t>
            </w:r>
            <w:r w:rsidRPr="00740CAE">
              <w:rPr>
                <w:rFonts w:ascii="Times New Roman" w:hAnsi="Times New Roman" w:cs="Times New Roman"/>
                <w:i/>
                <w:iCs/>
                <w:sz w:val="24"/>
                <w:szCs w:val="24"/>
              </w:rPr>
              <w:t>Clinical study, clinical trial, “Low-interventional clinical trial”, “Non-interventional study</w:t>
            </w:r>
            <w:r w:rsidRPr="00740CAE">
              <w:rPr>
                <w:rFonts w:ascii="Times New Roman" w:hAnsi="Times New Roman" w:cs="Times New Roman"/>
                <w:sz w:val="24"/>
                <w:szCs w:val="24"/>
              </w:rPr>
              <w:t>”</w:t>
            </w:r>
          </w:p>
        </w:tc>
        <w:tc>
          <w:tcPr>
            <w:tcW w:w="735" w:type="pct"/>
            <w:tcBorders>
              <w:top w:val="outset" w:sz="6" w:space="0" w:color="414142"/>
              <w:left w:val="outset" w:sz="6" w:space="0" w:color="414142"/>
              <w:bottom w:val="outset" w:sz="6" w:space="0" w:color="414142"/>
              <w:right w:val="outset" w:sz="6" w:space="0" w:color="414142"/>
            </w:tcBorders>
          </w:tcPr>
          <w:p w14:paraId="53FE11D5" w14:textId="4BC274C8" w:rsidR="00752F5F" w:rsidRPr="001B7393" w:rsidRDefault="00C52001" w:rsidP="00752F5F">
            <w:pPr>
              <w:spacing w:after="0" w:line="240" w:lineRule="auto"/>
              <w:jc w:val="center"/>
              <w:rPr>
                <w:rFonts w:ascii="Times New Roman" w:eastAsia="Times New Roman" w:hAnsi="Times New Roman" w:cs="Times New Roman"/>
                <w:sz w:val="24"/>
                <w:szCs w:val="24"/>
                <w:highlight w:val="yellow"/>
                <w:lang w:eastAsia="lv-LV"/>
              </w:rPr>
            </w:pPr>
            <w:r w:rsidRPr="00C52001">
              <w:rPr>
                <w:rFonts w:ascii="Times New Roman" w:eastAsia="Times New Roman" w:hAnsi="Times New Roman" w:cs="Times New Roman"/>
                <w:sz w:val="24"/>
                <w:szCs w:val="24"/>
                <w:lang w:eastAsia="lv-LV"/>
              </w:rPr>
              <w:t>Netiek ņemts vērā</w:t>
            </w:r>
          </w:p>
        </w:tc>
        <w:tc>
          <w:tcPr>
            <w:tcW w:w="1622" w:type="pct"/>
            <w:tcBorders>
              <w:top w:val="outset" w:sz="6" w:space="0" w:color="414142"/>
              <w:left w:val="outset" w:sz="6" w:space="0" w:color="414142"/>
              <w:bottom w:val="outset" w:sz="6" w:space="0" w:color="414142"/>
              <w:right w:val="outset" w:sz="6" w:space="0" w:color="414142"/>
            </w:tcBorders>
          </w:tcPr>
          <w:p w14:paraId="54FEFCDB" w14:textId="31E41954" w:rsidR="00E97576" w:rsidRPr="00DF122F" w:rsidRDefault="00E97576" w:rsidP="00752F5F">
            <w:pPr>
              <w:spacing w:after="0" w:line="240" w:lineRule="auto"/>
              <w:ind w:left="130"/>
              <w:jc w:val="both"/>
              <w:rPr>
                <w:rFonts w:ascii="Times New Roman" w:hAnsi="Times New Roman" w:cs="Times New Roman"/>
                <w:color w:val="FF0000"/>
                <w:sz w:val="24"/>
                <w:szCs w:val="24"/>
              </w:rPr>
            </w:pPr>
            <w:r w:rsidRPr="007B4B58">
              <w:rPr>
                <w:rFonts w:ascii="Times New Roman" w:hAnsi="Times New Roman" w:cs="Times New Roman"/>
                <w:sz w:val="24"/>
                <w:szCs w:val="24"/>
              </w:rPr>
              <w:t>Norādīto definīciju tulkojumi norādīti regulā Nr.536/2014</w:t>
            </w:r>
            <w:r w:rsidR="007B4B58" w:rsidRPr="007B4B58">
              <w:rPr>
                <w:rFonts w:ascii="Times New Roman" w:hAnsi="Times New Roman" w:cs="Times New Roman"/>
                <w:sz w:val="24"/>
                <w:szCs w:val="24"/>
              </w:rPr>
              <w:t>.</w:t>
            </w:r>
          </w:p>
        </w:tc>
      </w:tr>
      <w:tr w:rsidR="00C52001" w:rsidRPr="00DF122F" w14:paraId="5CC0B3E7" w14:textId="77777777" w:rsidTr="00967A9B">
        <w:trPr>
          <w:trHeight w:val="60"/>
        </w:trPr>
        <w:tc>
          <w:tcPr>
            <w:tcW w:w="198" w:type="pct"/>
            <w:tcBorders>
              <w:top w:val="outset" w:sz="6" w:space="0" w:color="414142"/>
              <w:left w:val="outset" w:sz="6" w:space="0" w:color="414142"/>
              <w:bottom w:val="outset" w:sz="6" w:space="0" w:color="414142"/>
              <w:right w:val="outset" w:sz="6" w:space="0" w:color="414142"/>
            </w:tcBorders>
          </w:tcPr>
          <w:p w14:paraId="64142289" w14:textId="5B214B36" w:rsidR="00C52001" w:rsidRDefault="00E06186"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p>
        </w:tc>
        <w:tc>
          <w:tcPr>
            <w:tcW w:w="1369" w:type="pct"/>
            <w:tcBorders>
              <w:top w:val="outset" w:sz="6" w:space="0" w:color="414142"/>
              <w:left w:val="outset" w:sz="6" w:space="0" w:color="414142"/>
              <w:bottom w:val="outset" w:sz="6" w:space="0" w:color="414142"/>
              <w:right w:val="outset" w:sz="6" w:space="0" w:color="414142"/>
            </w:tcBorders>
          </w:tcPr>
          <w:p w14:paraId="737DCA37" w14:textId="5F16293A" w:rsidR="00C52001" w:rsidRPr="0059019E" w:rsidRDefault="00C52001" w:rsidP="00752F5F">
            <w:pPr>
              <w:spacing w:after="0" w:line="240" w:lineRule="auto"/>
              <w:rPr>
                <w:rFonts w:ascii="Times New Roman" w:hAnsi="Times New Roman" w:cs="Times New Roman"/>
                <w:sz w:val="24"/>
                <w:szCs w:val="24"/>
              </w:rPr>
            </w:pPr>
            <w:r>
              <w:rPr>
                <w:rFonts w:ascii="Times New Roman" w:hAnsi="Times New Roman" w:cs="Times New Roman"/>
                <w:sz w:val="24"/>
                <w:szCs w:val="24"/>
              </w:rPr>
              <w:t>Biofarmaceitisko zāļu ražotāju asociācija Latvijā</w:t>
            </w:r>
          </w:p>
        </w:tc>
        <w:tc>
          <w:tcPr>
            <w:tcW w:w="1076" w:type="pct"/>
            <w:tcBorders>
              <w:top w:val="outset" w:sz="6" w:space="0" w:color="414142"/>
              <w:left w:val="outset" w:sz="6" w:space="0" w:color="414142"/>
              <w:bottom w:val="outset" w:sz="6" w:space="0" w:color="414142"/>
              <w:right w:val="outset" w:sz="6" w:space="0" w:color="414142"/>
            </w:tcBorders>
          </w:tcPr>
          <w:p w14:paraId="40D3A7B0" w14:textId="77777777" w:rsidR="00C52001" w:rsidRPr="00C52001" w:rsidRDefault="00C52001" w:rsidP="00C52001">
            <w:pPr>
              <w:spacing w:after="0" w:line="240" w:lineRule="auto"/>
              <w:jc w:val="both"/>
              <w:textAlignment w:val="baseline"/>
              <w:rPr>
                <w:rFonts w:ascii="Times New Roman" w:eastAsia="Times New Roman" w:hAnsi="Times New Roman" w:cs="Times New Roman"/>
                <w:color w:val="000000"/>
                <w:sz w:val="24"/>
                <w:szCs w:val="24"/>
              </w:rPr>
            </w:pPr>
            <w:r w:rsidRPr="00C52001">
              <w:rPr>
                <w:rFonts w:ascii="Times New Roman" w:eastAsia="Times New Roman" w:hAnsi="Times New Roman" w:cs="Times New Roman"/>
                <w:color w:val="000000"/>
                <w:sz w:val="24"/>
                <w:szCs w:val="24"/>
              </w:rPr>
              <w:t>Atbilstoši Anotācijai vēršam uzmanību, ka Regulas 10. panta 7.punkts  atbilst projekta 56. punktam un Regulas 10. panta 8. punkts atbilst Projekta 57. punktam. Regulā neeksitē minētie 10.panta punkti</w:t>
            </w:r>
          </w:p>
          <w:p w14:paraId="3BC3A820" w14:textId="77777777" w:rsidR="00C52001" w:rsidRPr="00740CAE" w:rsidRDefault="00C52001" w:rsidP="00752F5F">
            <w:pPr>
              <w:jc w:val="both"/>
              <w:rPr>
                <w:rFonts w:ascii="Times New Roman"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tcPr>
          <w:p w14:paraId="5C15AF1C" w14:textId="39C9BD9B" w:rsidR="00C52001" w:rsidRPr="00C52001" w:rsidRDefault="00A07374" w:rsidP="00752F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Netiek ņ</w:t>
            </w:r>
            <w:r w:rsidR="00217BC4">
              <w:rPr>
                <w:rFonts w:ascii="Times New Roman" w:eastAsia="Times New Roman" w:hAnsi="Times New Roman" w:cs="Times New Roman"/>
                <w:sz w:val="24"/>
                <w:szCs w:val="24"/>
                <w:lang w:eastAsia="lv-LV"/>
              </w:rPr>
              <w:t>emts vērā</w:t>
            </w:r>
          </w:p>
        </w:tc>
        <w:tc>
          <w:tcPr>
            <w:tcW w:w="1622" w:type="pct"/>
            <w:tcBorders>
              <w:top w:val="outset" w:sz="6" w:space="0" w:color="414142"/>
              <w:left w:val="outset" w:sz="6" w:space="0" w:color="414142"/>
              <w:bottom w:val="outset" w:sz="6" w:space="0" w:color="414142"/>
              <w:right w:val="outset" w:sz="6" w:space="0" w:color="414142"/>
            </w:tcBorders>
          </w:tcPr>
          <w:p w14:paraId="46EBBD0F" w14:textId="498FD72C" w:rsidR="00C52001" w:rsidRDefault="00A07374" w:rsidP="00752F5F">
            <w:pPr>
              <w:spacing w:after="0" w:line="240" w:lineRule="auto"/>
              <w:ind w:left="130"/>
              <w:jc w:val="both"/>
              <w:rPr>
                <w:rFonts w:ascii="Times New Roman" w:hAnsi="Times New Roman" w:cs="Times New Roman"/>
                <w:color w:val="FF0000"/>
                <w:sz w:val="24"/>
                <w:szCs w:val="24"/>
              </w:rPr>
            </w:pPr>
            <w:r w:rsidRPr="00A07374">
              <w:rPr>
                <w:rFonts w:ascii="Times New Roman" w:hAnsi="Times New Roman" w:cs="Times New Roman"/>
                <w:sz w:val="24"/>
                <w:szCs w:val="24"/>
              </w:rPr>
              <w:t>Anotācijas V.sadaļas 1.tabulā (</w:t>
            </w:r>
            <w:r w:rsidRPr="00A07374">
              <w:rPr>
                <w:rFonts w:ascii="Times New Roman" w:eastAsia="Times New Roman" w:hAnsi="Times New Roman"/>
                <w:sz w:val="24"/>
                <w:szCs w:val="24"/>
                <w:lang w:eastAsia="lv-LV"/>
              </w:rPr>
              <w:t>Tiesību akta projekta atbilstība ES tiesību aktiem</w:t>
            </w:r>
            <w:r>
              <w:rPr>
                <w:rFonts w:ascii="Times New Roman" w:eastAsia="Times New Roman" w:hAnsi="Times New Roman"/>
                <w:sz w:val="24"/>
                <w:szCs w:val="24"/>
                <w:lang w:eastAsia="lv-LV"/>
              </w:rPr>
              <w:t xml:space="preserve">) vērtēta </w:t>
            </w:r>
            <w:r w:rsidRPr="00A07374">
              <w:rPr>
                <w:rFonts w:ascii="Times New Roman" w:hAnsi="Times New Roman" w:cs="Times New Roman"/>
                <w:bCs/>
                <w:sz w:val="24"/>
                <w:szCs w:val="24"/>
              </w:rPr>
              <w:t>Komisijas 2017. gada 24. marta īstenošanas regula Nr. 2017/556 par detalizētu labas klīniskās prakses inspekcijas procedūru kārtību saskaņā ar Eiropas Parlamenta un Padomes regulu Nr. 536/2014</w:t>
            </w:r>
            <w:r>
              <w:rPr>
                <w:rFonts w:ascii="Times New Roman" w:hAnsi="Times New Roman" w:cs="Times New Roman"/>
                <w:bCs/>
                <w:sz w:val="24"/>
                <w:szCs w:val="24"/>
              </w:rPr>
              <w:t xml:space="preserve"> 10.panta 7. un 8. punkts atbilstība Noteikumu projekta 56. un 57. punktam.</w:t>
            </w:r>
          </w:p>
        </w:tc>
      </w:tr>
    </w:tbl>
    <w:p w14:paraId="2A532A6D" w14:textId="11B3C293" w:rsidR="00FB50D3" w:rsidRPr="00504148" w:rsidRDefault="00FB50D3" w:rsidP="00FE4738">
      <w:pPr>
        <w:shd w:val="clear" w:color="auto" w:fill="FFFFFF"/>
        <w:spacing w:before="100" w:beforeAutospacing="1" w:after="100" w:afterAutospacing="1" w:line="293" w:lineRule="atLeast"/>
        <w:jc w:val="both"/>
        <w:rPr>
          <w:rFonts w:ascii="Arial" w:eastAsia="Times New Roman" w:hAnsi="Arial" w:cs="Arial"/>
          <w:sz w:val="24"/>
          <w:szCs w:val="24"/>
          <w:lang w:eastAsia="lv-LV"/>
        </w:rPr>
      </w:pPr>
    </w:p>
    <w:tbl>
      <w:tblPr>
        <w:tblW w:w="5179" w:type="pct"/>
        <w:tblCellMar>
          <w:top w:w="15" w:type="dxa"/>
          <w:left w:w="15" w:type="dxa"/>
          <w:bottom w:w="15" w:type="dxa"/>
          <w:right w:w="15" w:type="dxa"/>
        </w:tblCellMar>
        <w:tblLook w:val="04A0" w:firstRow="1" w:lastRow="0" w:firstColumn="1" w:lastColumn="0" w:noHBand="0" w:noVBand="1"/>
      </w:tblPr>
      <w:tblGrid>
        <w:gridCol w:w="2513"/>
        <w:gridCol w:w="139"/>
        <w:gridCol w:w="11306"/>
        <w:gridCol w:w="500"/>
      </w:tblGrid>
      <w:tr w:rsidR="00504148" w:rsidRPr="00504148" w14:paraId="05C794DA" w14:textId="77777777" w:rsidTr="00C3649E">
        <w:trPr>
          <w:trHeight w:val="60"/>
        </w:trPr>
        <w:tc>
          <w:tcPr>
            <w:tcW w:w="869" w:type="pct"/>
            <w:tcBorders>
              <w:top w:val="nil"/>
              <w:left w:val="nil"/>
              <w:bottom w:val="nil"/>
              <w:right w:val="nil"/>
            </w:tcBorders>
            <w:hideMark/>
          </w:tcPr>
          <w:p w14:paraId="538F6047" w14:textId="77777777" w:rsidR="00FB50D3" w:rsidRPr="00504148" w:rsidRDefault="00FB50D3" w:rsidP="00FB50D3">
            <w:pPr>
              <w:spacing w:before="100" w:beforeAutospacing="1" w:after="100" w:afterAutospacing="1" w:line="293" w:lineRule="atLeast"/>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Datums*</w:t>
            </w:r>
          </w:p>
        </w:tc>
        <w:tc>
          <w:tcPr>
            <w:tcW w:w="4131" w:type="pct"/>
            <w:gridSpan w:val="3"/>
            <w:tcBorders>
              <w:top w:val="nil"/>
              <w:left w:val="nil"/>
              <w:bottom w:val="nil"/>
              <w:right w:val="nil"/>
            </w:tcBorders>
            <w:hideMark/>
          </w:tcPr>
          <w:p w14:paraId="3E6D64FA" w14:textId="458996D4" w:rsidR="00FB50D3" w:rsidRPr="00504148" w:rsidRDefault="00FB50D3" w:rsidP="00FB50D3">
            <w:pPr>
              <w:spacing w:after="0" w:line="240" w:lineRule="auto"/>
              <w:jc w:val="center"/>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__________________</w:t>
            </w:r>
            <w:r w:rsidR="00860B54" w:rsidRPr="00860B54">
              <w:rPr>
                <w:rFonts w:ascii="Times New Roman" w:eastAsia="Times New Roman" w:hAnsi="Times New Roman" w:cs="Times New Roman"/>
                <w:sz w:val="24"/>
                <w:szCs w:val="24"/>
                <w:u w:val="single"/>
                <w:lang w:eastAsia="lv-LV"/>
              </w:rPr>
              <w:t>0</w:t>
            </w:r>
            <w:r w:rsidR="00147788">
              <w:rPr>
                <w:rFonts w:ascii="Times New Roman" w:eastAsia="Times New Roman" w:hAnsi="Times New Roman" w:cs="Times New Roman"/>
                <w:sz w:val="24"/>
                <w:szCs w:val="24"/>
                <w:u w:val="single"/>
                <w:lang w:eastAsia="lv-LV"/>
              </w:rPr>
              <w:t>1</w:t>
            </w:r>
            <w:r w:rsidR="00860B54" w:rsidRPr="00860B54">
              <w:rPr>
                <w:rFonts w:ascii="Times New Roman" w:eastAsia="Times New Roman" w:hAnsi="Times New Roman" w:cs="Times New Roman"/>
                <w:sz w:val="24"/>
                <w:szCs w:val="24"/>
                <w:u w:val="single"/>
                <w:lang w:eastAsia="lv-LV"/>
              </w:rPr>
              <w:t>.02</w:t>
            </w:r>
            <w:r w:rsidR="00D30C15" w:rsidRPr="00860B54">
              <w:rPr>
                <w:rFonts w:ascii="Times New Roman" w:eastAsia="Times New Roman" w:hAnsi="Times New Roman" w:cs="Times New Roman"/>
                <w:sz w:val="24"/>
                <w:szCs w:val="24"/>
                <w:u w:val="single"/>
                <w:lang w:eastAsia="lv-LV"/>
              </w:rPr>
              <w:t>.202</w:t>
            </w:r>
            <w:r w:rsidR="008A1D09" w:rsidRPr="00860B54">
              <w:rPr>
                <w:rFonts w:ascii="Times New Roman" w:eastAsia="Times New Roman" w:hAnsi="Times New Roman" w:cs="Times New Roman"/>
                <w:sz w:val="24"/>
                <w:szCs w:val="24"/>
                <w:u w:val="single"/>
                <w:lang w:eastAsia="lv-LV"/>
              </w:rPr>
              <w:t>2</w:t>
            </w:r>
            <w:r w:rsidRPr="00504148">
              <w:rPr>
                <w:rFonts w:ascii="Times New Roman" w:eastAsia="Times New Roman" w:hAnsi="Times New Roman" w:cs="Times New Roman"/>
                <w:sz w:val="24"/>
                <w:szCs w:val="24"/>
                <w:lang w:eastAsia="lv-LV"/>
              </w:rPr>
              <w:t>_____________________</w:t>
            </w:r>
          </w:p>
        </w:tc>
      </w:tr>
      <w:tr w:rsidR="00504148" w:rsidRPr="00504148" w14:paraId="571C601E" w14:textId="77777777" w:rsidTr="00C3649E">
        <w:trPr>
          <w:trHeight w:val="60"/>
        </w:trPr>
        <w:tc>
          <w:tcPr>
            <w:tcW w:w="869" w:type="pct"/>
            <w:tcBorders>
              <w:top w:val="nil"/>
              <w:left w:val="nil"/>
              <w:bottom w:val="nil"/>
              <w:right w:val="nil"/>
            </w:tcBorders>
            <w:hideMark/>
          </w:tcPr>
          <w:p w14:paraId="54A6345A" w14:textId="77777777" w:rsidR="00FB50D3" w:rsidRPr="00504148" w:rsidRDefault="00FB50D3" w:rsidP="00FB50D3">
            <w:pPr>
              <w:spacing w:after="0" w:line="240" w:lineRule="auto"/>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 </w:t>
            </w:r>
          </w:p>
        </w:tc>
        <w:tc>
          <w:tcPr>
            <w:tcW w:w="4131" w:type="pct"/>
            <w:gridSpan w:val="3"/>
            <w:tcBorders>
              <w:top w:val="nil"/>
              <w:left w:val="nil"/>
              <w:bottom w:val="nil"/>
              <w:right w:val="nil"/>
            </w:tcBorders>
            <w:hideMark/>
          </w:tcPr>
          <w:p w14:paraId="073353A4" w14:textId="77777777" w:rsidR="00FB50D3" w:rsidRPr="00504148" w:rsidRDefault="00FB50D3" w:rsidP="00FB50D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(dd/mm/gggg)</w:t>
            </w:r>
          </w:p>
        </w:tc>
      </w:tr>
      <w:tr w:rsidR="00504148" w:rsidRPr="00504148" w14:paraId="76B82F70" w14:textId="77777777" w:rsidTr="00C3649E">
        <w:trPr>
          <w:gridAfter w:val="1"/>
          <w:wAfter w:w="173" w:type="pct"/>
          <w:trHeight w:val="60"/>
        </w:trPr>
        <w:tc>
          <w:tcPr>
            <w:tcW w:w="917" w:type="pct"/>
            <w:gridSpan w:val="2"/>
            <w:tcBorders>
              <w:top w:val="nil"/>
              <w:left w:val="nil"/>
              <w:bottom w:val="nil"/>
              <w:right w:val="nil"/>
            </w:tcBorders>
            <w:hideMark/>
          </w:tcPr>
          <w:p w14:paraId="7BB05C33" w14:textId="77777777" w:rsidR="00FB50D3" w:rsidRPr="00504148" w:rsidRDefault="00FB50D3" w:rsidP="00FB50D3">
            <w:pPr>
              <w:spacing w:before="100" w:beforeAutospacing="1" w:after="100" w:afterAutospacing="1" w:line="293" w:lineRule="atLeast"/>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Atbildīgā amatpersona</w:t>
            </w:r>
          </w:p>
        </w:tc>
        <w:tc>
          <w:tcPr>
            <w:tcW w:w="3910" w:type="pct"/>
            <w:tcBorders>
              <w:top w:val="nil"/>
              <w:left w:val="nil"/>
              <w:bottom w:val="nil"/>
              <w:right w:val="nil"/>
            </w:tcBorders>
            <w:hideMark/>
          </w:tcPr>
          <w:p w14:paraId="37CE0C3C" w14:textId="6BF956F9" w:rsidR="00FB50D3" w:rsidRPr="00504148" w:rsidRDefault="00FB50D3" w:rsidP="00FB50D3">
            <w:pPr>
              <w:spacing w:after="0" w:line="240" w:lineRule="auto"/>
              <w:jc w:val="center"/>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bdr w:val="none" w:sz="0" w:space="0" w:color="auto" w:frame="1"/>
                <w:lang w:eastAsia="lv-LV"/>
              </w:rPr>
              <w:t>________</w:t>
            </w:r>
            <w:r w:rsidR="00D30C15" w:rsidRPr="00504148">
              <w:rPr>
                <w:rFonts w:ascii="Times New Roman" w:eastAsia="Times New Roman" w:hAnsi="Times New Roman" w:cs="Times New Roman"/>
                <w:sz w:val="24"/>
                <w:szCs w:val="24"/>
                <w:u w:val="single"/>
                <w:bdr w:val="none" w:sz="0" w:space="0" w:color="auto" w:frame="1"/>
                <w:lang w:eastAsia="lv-LV"/>
              </w:rPr>
              <w:t>Kristīne Kalniņa</w:t>
            </w:r>
            <w:r w:rsidRPr="00504148">
              <w:rPr>
                <w:rFonts w:ascii="Times New Roman" w:eastAsia="Times New Roman" w:hAnsi="Times New Roman" w:cs="Times New Roman"/>
                <w:sz w:val="24"/>
                <w:szCs w:val="24"/>
                <w:bdr w:val="none" w:sz="0" w:space="0" w:color="auto" w:frame="1"/>
                <w:lang w:eastAsia="lv-LV"/>
              </w:rPr>
              <w:t>_____________________________</w:t>
            </w:r>
          </w:p>
        </w:tc>
      </w:tr>
      <w:tr w:rsidR="00504148" w:rsidRPr="00504148" w14:paraId="0ACACA2C" w14:textId="77777777" w:rsidTr="00C3649E">
        <w:trPr>
          <w:gridAfter w:val="1"/>
          <w:wAfter w:w="173" w:type="pct"/>
          <w:trHeight w:val="60"/>
        </w:trPr>
        <w:tc>
          <w:tcPr>
            <w:tcW w:w="917" w:type="pct"/>
            <w:gridSpan w:val="2"/>
            <w:tcBorders>
              <w:top w:val="nil"/>
              <w:left w:val="nil"/>
              <w:bottom w:val="nil"/>
              <w:right w:val="nil"/>
            </w:tcBorders>
            <w:hideMark/>
          </w:tcPr>
          <w:p w14:paraId="1300CD22" w14:textId="4B1F8E58" w:rsidR="00FB50D3" w:rsidRPr="00504148" w:rsidRDefault="00FB50D3" w:rsidP="00FB50D3">
            <w:pPr>
              <w:spacing w:after="0" w:line="240" w:lineRule="auto"/>
              <w:rPr>
                <w:rFonts w:ascii="Times New Roman" w:eastAsia="Times New Roman" w:hAnsi="Times New Roman" w:cs="Times New Roman"/>
                <w:sz w:val="24"/>
                <w:szCs w:val="24"/>
                <w:lang w:eastAsia="lv-LV"/>
              </w:rPr>
            </w:pPr>
          </w:p>
        </w:tc>
        <w:tc>
          <w:tcPr>
            <w:tcW w:w="3910" w:type="pct"/>
            <w:tcBorders>
              <w:top w:val="nil"/>
              <w:left w:val="nil"/>
              <w:bottom w:val="nil"/>
              <w:right w:val="nil"/>
            </w:tcBorders>
            <w:hideMark/>
          </w:tcPr>
          <w:p w14:paraId="20CA4521" w14:textId="77777777" w:rsidR="00FB50D3" w:rsidRPr="00504148" w:rsidRDefault="00FB50D3" w:rsidP="00FB50D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4148">
              <w:rPr>
                <w:rFonts w:ascii="Times New Roman" w:eastAsia="Times New Roman" w:hAnsi="Times New Roman" w:cs="Times New Roman"/>
                <w:sz w:val="24"/>
                <w:szCs w:val="24"/>
                <w:lang w:eastAsia="lv-LV"/>
              </w:rPr>
              <w:t>(vārds, uzvārds, paraksts*)</w:t>
            </w:r>
          </w:p>
        </w:tc>
      </w:tr>
    </w:tbl>
    <w:p w14:paraId="082DD07B" w14:textId="77777777" w:rsidR="000F33E6" w:rsidRPr="00504148" w:rsidRDefault="000F33E6"/>
    <w:sectPr w:rsidR="000F33E6" w:rsidRPr="00504148" w:rsidSect="002F2E88">
      <w:headerReference w:type="default" r:id="rId8"/>
      <w:pgSz w:w="16838" w:h="11906" w:orient="landscape"/>
      <w:pgMar w:top="108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EAD9" w14:textId="77777777" w:rsidR="004F283F" w:rsidRDefault="004F283F" w:rsidP="004F283F">
      <w:pPr>
        <w:spacing w:after="0" w:line="240" w:lineRule="auto"/>
      </w:pPr>
      <w:r>
        <w:separator/>
      </w:r>
    </w:p>
  </w:endnote>
  <w:endnote w:type="continuationSeparator" w:id="0">
    <w:p w14:paraId="1102C61D" w14:textId="77777777" w:rsidR="004F283F" w:rsidRDefault="004F283F" w:rsidP="004F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377F" w14:textId="77777777" w:rsidR="004F283F" w:rsidRDefault="004F283F" w:rsidP="004F283F">
      <w:pPr>
        <w:spacing w:after="0" w:line="240" w:lineRule="auto"/>
      </w:pPr>
      <w:r>
        <w:separator/>
      </w:r>
    </w:p>
  </w:footnote>
  <w:footnote w:type="continuationSeparator" w:id="0">
    <w:p w14:paraId="6E74FC2B" w14:textId="77777777" w:rsidR="004F283F" w:rsidRDefault="004F283F" w:rsidP="004F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41460"/>
      <w:docPartObj>
        <w:docPartGallery w:val="Page Numbers (Top of Page)"/>
        <w:docPartUnique/>
      </w:docPartObj>
    </w:sdtPr>
    <w:sdtEndPr>
      <w:rPr>
        <w:noProof/>
      </w:rPr>
    </w:sdtEndPr>
    <w:sdtContent>
      <w:p w14:paraId="6F7C55EC" w14:textId="680D0DA4" w:rsidR="004F283F" w:rsidRDefault="004F28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C29959" w14:textId="77777777" w:rsidR="004F283F" w:rsidRDefault="004F2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00"/>
    <w:multiLevelType w:val="hybridMultilevel"/>
    <w:tmpl w:val="C3262EF2"/>
    <w:lvl w:ilvl="0" w:tplc="0426000F">
      <w:start w:val="1"/>
      <w:numFmt w:val="decimal"/>
      <w:lvlText w:val="%1."/>
      <w:lvlJc w:val="left"/>
      <w:pPr>
        <w:ind w:left="90" w:hanging="360"/>
      </w:pPr>
      <w:rPr>
        <w:rFonts w:hint="default"/>
      </w:rPr>
    </w:lvl>
    <w:lvl w:ilvl="1" w:tplc="04260019" w:tentative="1">
      <w:start w:val="1"/>
      <w:numFmt w:val="lowerLetter"/>
      <w:lvlText w:val="%2."/>
      <w:lvlJc w:val="left"/>
      <w:pPr>
        <w:ind w:left="810" w:hanging="360"/>
      </w:pPr>
    </w:lvl>
    <w:lvl w:ilvl="2" w:tplc="0426001B" w:tentative="1">
      <w:start w:val="1"/>
      <w:numFmt w:val="lowerRoman"/>
      <w:lvlText w:val="%3."/>
      <w:lvlJc w:val="right"/>
      <w:pPr>
        <w:ind w:left="1530" w:hanging="180"/>
      </w:pPr>
    </w:lvl>
    <w:lvl w:ilvl="3" w:tplc="0426000F" w:tentative="1">
      <w:start w:val="1"/>
      <w:numFmt w:val="decimal"/>
      <w:lvlText w:val="%4."/>
      <w:lvlJc w:val="left"/>
      <w:pPr>
        <w:ind w:left="2250" w:hanging="360"/>
      </w:pPr>
    </w:lvl>
    <w:lvl w:ilvl="4" w:tplc="04260019" w:tentative="1">
      <w:start w:val="1"/>
      <w:numFmt w:val="lowerLetter"/>
      <w:lvlText w:val="%5."/>
      <w:lvlJc w:val="left"/>
      <w:pPr>
        <w:ind w:left="2970" w:hanging="360"/>
      </w:pPr>
    </w:lvl>
    <w:lvl w:ilvl="5" w:tplc="0426001B" w:tentative="1">
      <w:start w:val="1"/>
      <w:numFmt w:val="lowerRoman"/>
      <w:lvlText w:val="%6."/>
      <w:lvlJc w:val="right"/>
      <w:pPr>
        <w:ind w:left="3690" w:hanging="180"/>
      </w:pPr>
    </w:lvl>
    <w:lvl w:ilvl="6" w:tplc="0426000F" w:tentative="1">
      <w:start w:val="1"/>
      <w:numFmt w:val="decimal"/>
      <w:lvlText w:val="%7."/>
      <w:lvlJc w:val="left"/>
      <w:pPr>
        <w:ind w:left="4410" w:hanging="360"/>
      </w:pPr>
    </w:lvl>
    <w:lvl w:ilvl="7" w:tplc="04260019" w:tentative="1">
      <w:start w:val="1"/>
      <w:numFmt w:val="lowerLetter"/>
      <w:lvlText w:val="%8."/>
      <w:lvlJc w:val="left"/>
      <w:pPr>
        <w:ind w:left="5130" w:hanging="360"/>
      </w:pPr>
    </w:lvl>
    <w:lvl w:ilvl="8" w:tplc="0426001B" w:tentative="1">
      <w:start w:val="1"/>
      <w:numFmt w:val="lowerRoman"/>
      <w:lvlText w:val="%9."/>
      <w:lvlJc w:val="right"/>
      <w:pPr>
        <w:ind w:left="5850" w:hanging="180"/>
      </w:pPr>
    </w:lvl>
  </w:abstractNum>
  <w:abstractNum w:abstractNumId="1" w15:restartNumberingAfterBreak="0">
    <w:nsid w:val="06DA06D8"/>
    <w:multiLevelType w:val="multilevel"/>
    <w:tmpl w:val="8D4409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8137685"/>
    <w:multiLevelType w:val="hybridMultilevel"/>
    <w:tmpl w:val="A1FE0956"/>
    <w:lvl w:ilvl="0" w:tplc="21680AB8">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8298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167F7"/>
    <w:multiLevelType w:val="hybridMultilevel"/>
    <w:tmpl w:val="8D380C9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46E1D"/>
    <w:multiLevelType w:val="hybridMultilevel"/>
    <w:tmpl w:val="51FEFC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CC1529"/>
    <w:multiLevelType w:val="hybridMultilevel"/>
    <w:tmpl w:val="FCB665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7D3B4F"/>
    <w:multiLevelType w:val="hybridMultilevel"/>
    <w:tmpl w:val="263073F8"/>
    <w:lvl w:ilvl="0" w:tplc="881E868C">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E65271"/>
    <w:multiLevelType w:val="multilevel"/>
    <w:tmpl w:val="DB4A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C32A84"/>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A402FE"/>
    <w:multiLevelType w:val="hybridMultilevel"/>
    <w:tmpl w:val="5A1447AC"/>
    <w:lvl w:ilvl="0" w:tplc="04260011">
      <w:start w:val="1"/>
      <w:numFmt w:val="decimal"/>
      <w:lvlText w:val="%1)"/>
      <w:lvlJc w:val="left"/>
      <w:pPr>
        <w:ind w:left="2010" w:hanging="360"/>
      </w:pPr>
      <w:rPr>
        <w:rFonts w:hint="default"/>
      </w:rPr>
    </w:lvl>
    <w:lvl w:ilvl="1" w:tplc="04260019" w:tentative="1">
      <w:start w:val="1"/>
      <w:numFmt w:val="lowerLetter"/>
      <w:lvlText w:val="%2."/>
      <w:lvlJc w:val="left"/>
      <w:pPr>
        <w:ind w:left="2730" w:hanging="360"/>
      </w:pPr>
    </w:lvl>
    <w:lvl w:ilvl="2" w:tplc="0426001B" w:tentative="1">
      <w:start w:val="1"/>
      <w:numFmt w:val="lowerRoman"/>
      <w:lvlText w:val="%3."/>
      <w:lvlJc w:val="right"/>
      <w:pPr>
        <w:ind w:left="3450" w:hanging="180"/>
      </w:pPr>
    </w:lvl>
    <w:lvl w:ilvl="3" w:tplc="0426000F" w:tentative="1">
      <w:start w:val="1"/>
      <w:numFmt w:val="decimal"/>
      <w:lvlText w:val="%4."/>
      <w:lvlJc w:val="left"/>
      <w:pPr>
        <w:ind w:left="4170" w:hanging="360"/>
      </w:pPr>
    </w:lvl>
    <w:lvl w:ilvl="4" w:tplc="04260019" w:tentative="1">
      <w:start w:val="1"/>
      <w:numFmt w:val="lowerLetter"/>
      <w:lvlText w:val="%5."/>
      <w:lvlJc w:val="left"/>
      <w:pPr>
        <w:ind w:left="4890" w:hanging="360"/>
      </w:pPr>
    </w:lvl>
    <w:lvl w:ilvl="5" w:tplc="0426001B" w:tentative="1">
      <w:start w:val="1"/>
      <w:numFmt w:val="lowerRoman"/>
      <w:lvlText w:val="%6."/>
      <w:lvlJc w:val="right"/>
      <w:pPr>
        <w:ind w:left="5610" w:hanging="180"/>
      </w:pPr>
    </w:lvl>
    <w:lvl w:ilvl="6" w:tplc="0426000F" w:tentative="1">
      <w:start w:val="1"/>
      <w:numFmt w:val="decimal"/>
      <w:lvlText w:val="%7."/>
      <w:lvlJc w:val="left"/>
      <w:pPr>
        <w:ind w:left="6330" w:hanging="360"/>
      </w:pPr>
    </w:lvl>
    <w:lvl w:ilvl="7" w:tplc="04260019" w:tentative="1">
      <w:start w:val="1"/>
      <w:numFmt w:val="lowerLetter"/>
      <w:lvlText w:val="%8."/>
      <w:lvlJc w:val="left"/>
      <w:pPr>
        <w:ind w:left="7050" w:hanging="360"/>
      </w:pPr>
    </w:lvl>
    <w:lvl w:ilvl="8" w:tplc="0426001B" w:tentative="1">
      <w:start w:val="1"/>
      <w:numFmt w:val="lowerRoman"/>
      <w:lvlText w:val="%9."/>
      <w:lvlJc w:val="right"/>
      <w:pPr>
        <w:ind w:left="7770" w:hanging="180"/>
      </w:pPr>
    </w:lvl>
  </w:abstractNum>
  <w:abstractNum w:abstractNumId="11" w15:restartNumberingAfterBreak="0">
    <w:nsid w:val="2B81237B"/>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C95EE5"/>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5958F1"/>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92C51"/>
    <w:multiLevelType w:val="hybridMultilevel"/>
    <w:tmpl w:val="81E489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606886"/>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84E52"/>
    <w:multiLevelType w:val="hybridMultilevel"/>
    <w:tmpl w:val="E2A0A3AE"/>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FA4121"/>
    <w:multiLevelType w:val="hybridMultilevel"/>
    <w:tmpl w:val="152454EC"/>
    <w:lvl w:ilvl="0" w:tplc="9424B8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BB12B36"/>
    <w:multiLevelType w:val="hybridMultilevel"/>
    <w:tmpl w:val="BE14B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6264FE"/>
    <w:multiLevelType w:val="hybridMultilevel"/>
    <w:tmpl w:val="143CB8DE"/>
    <w:lvl w:ilvl="0" w:tplc="0D16621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4D0188"/>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411158"/>
    <w:multiLevelType w:val="hybridMultilevel"/>
    <w:tmpl w:val="274265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D10879"/>
    <w:multiLevelType w:val="hybridMultilevel"/>
    <w:tmpl w:val="77B8287E"/>
    <w:lvl w:ilvl="0" w:tplc="C29A05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8B03A24"/>
    <w:multiLevelType w:val="hybridMultilevel"/>
    <w:tmpl w:val="227C5040"/>
    <w:lvl w:ilvl="0" w:tplc="8E4A58AC">
      <w:start w:val="1"/>
      <w:numFmt w:val="decimal"/>
      <w:lvlText w:val="%1)"/>
      <w:lvlJc w:val="left"/>
      <w:pPr>
        <w:ind w:left="780" w:hanging="42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733AD2"/>
    <w:multiLevelType w:val="hybridMultilevel"/>
    <w:tmpl w:val="7D1290F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497C91"/>
    <w:multiLevelType w:val="hybridMultilevel"/>
    <w:tmpl w:val="F8C8CD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B25BEB"/>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176A4C"/>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267BFD"/>
    <w:multiLevelType w:val="hybridMultilevel"/>
    <w:tmpl w:val="1F9C0974"/>
    <w:lvl w:ilvl="0" w:tplc="A5AEAAC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62080953"/>
    <w:multiLevelType w:val="hybridMultilevel"/>
    <w:tmpl w:val="DC02F742"/>
    <w:lvl w:ilvl="0" w:tplc="0409000F">
      <w:start w:val="1"/>
      <w:numFmt w:val="decimal"/>
      <w:lvlText w:val="%1."/>
      <w:lvlJc w:val="left"/>
      <w:pPr>
        <w:ind w:left="720" w:hanging="360"/>
      </w:pPr>
    </w:lvl>
    <w:lvl w:ilvl="1" w:tplc="6652C0DA">
      <w:start w:val="1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22DAC"/>
    <w:multiLevelType w:val="hybridMultilevel"/>
    <w:tmpl w:val="2468FF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FE5F58"/>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D346BF"/>
    <w:multiLevelType w:val="hybridMultilevel"/>
    <w:tmpl w:val="E2A0A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4F1486"/>
    <w:multiLevelType w:val="hybridMultilevel"/>
    <w:tmpl w:val="AA8A09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6A6F5B"/>
    <w:multiLevelType w:val="hybridMultilevel"/>
    <w:tmpl w:val="8F24C746"/>
    <w:lvl w:ilvl="0" w:tplc="84C8542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94A5A2D"/>
    <w:multiLevelType w:val="hybridMultilevel"/>
    <w:tmpl w:val="E79AB066"/>
    <w:lvl w:ilvl="0" w:tplc="DB8054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9917F1"/>
    <w:multiLevelType w:val="hybridMultilevel"/>
    <w:tmpl w:val="E1CCD84C"/>
    <w:lvl w:ilvl="0" w:tplc="BE3CA0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EDE593C"/>
    <w:multiLevelType w:val="hybridMultilevel"/>
    <w:tmpl w:val="0D280A4E"/>
    <w:lvl w:ilvl="0" w:tplc="D6B69A0A">
      <w:start w:val="1"/>
      <w:numFmt w:val="decimal"/>
      <w:lvlText w:val="%1)"/>
      <w:lvlJc w:val="left"/>
      <w:pPr>
        <w:ind w:left="470" w:hanging="410"/>
      </w:pPr>
      <w:rPr>
        <w:rFonts w:eastAsia="Times New Roman"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33"/>
  </w:num>
  <w:num w:numId="2">
    <w:abstractNumId w:val="21"/>
  </w:num>
  <w:num w:numId="3">
    <w:abstractNumId w:val="10"/>
  </w:num>
  <w:num w:numId="4">
    <w:abstractNumId w:val="30"/>
  </w:num>
  <w:num w:numId="5">
    <w:abstractNumId w:val="14"/>
  </w:num>
  <w:num w:numId="6">
    <w:abstractNumId w:val="37"/>
  </w:num>
  <w:num w:numId="7">
    <w:abstractNumId w:val="23"/>
  </w:num>
  <w:num w:numId="8">
    <w:abstractNumId w:val="16"/>
  </w:num>
  <w:num w:numId="9">
    <w:abstractNumId w:val="12"/>
  </w:num>
  <w:num w:numId="10">
    <w:abstractNumId w:val="6"/>
  </w:num>
  <w:num w:numId="11">
    <w:abstractNumId w:val="20"/>
  </w:num>
  <w:num w:numId="12">
    <w:abstractNumId w:val="31"/>
  </w:num>
  <w:num w:numId="13">
    <w:abstractNumId w:val="15"/>
  </w:num>
  <w:num w:numId="14">
    <w:abstractNumId w:val="27"/>
  </w:num>
  <w:num w:numId="15">
    <w:abstractNumId w:val="13"/>
  </w:num>
  <w:num w:numId="16">
    <w:abstractNumId w:val="9"/>
  </w:num>
  <w:num w:numId="17">
    <w:abstractNumId w:val="11"/>
  </w:num>
  <w:num w:numId="18">
    <w:abstractNumId w:val="32"/>
  </w:num>
  <w:num w:numId="19">
    <w:abstractNumId w:val="34"/>
  </w:num>
  <w:num w:numId="20">
    <w:abstractNumId w:val="26"/>
  </w:num>
  <w:num w:numId="21">
    <w:abstractNumId w:val="4"/>
  </w:num>
  <w:num w:numId="22">
    <w:abstractNumId w:val="0"/>
  </w:num>
  <w:num w:numId="23">
    <w:abstractNumId w:val="24"/>
  </w:num>
  <w:num w:numId="24">
    <w:abstractNumId w:val="1"/>
  </w:num>
  <w:num w:numId="25">
    <w:abstractNumId w:val="25"/>
  </w:num>
  <w:num w:numId="26">
    <w:abstractNumId w:val="29"/>
  </w:num>
  <w:num w:numId="27">
    <w:abstractNumId w:val="8"/>
  </w:num>
  <w:num w:numId="28">
    <w:abstractNumId w:val="22"/>
  </w:num>
  <w:num w:numId="29">
    <w:abstractNumId w:val="36"/>
  </w:num>
  <w:num w:numId="30">
    <w:abstractNumId w:val="17"/>
  </w:num>
  <w:num w:numId="31">
    <w:abstractNumId w:val="3"/>
  </w:num>
  <w:num w:numId="32">
    <w:abstractNumId w:val="7"/>
  </w:num>
  <w:num w:numId="33">
    <w:abstractNumId w:val="19"/>
  </w:num>
  <w:num w:numId="34">
    <w:abstractNumId w:val="5"/>
  </w:num>
  <w:num w:numId="35">
    <w:abstractNumId w:val="18"/>
  </w:num>
  <w:num w:numId="36">
    <w:abstractNumId w:val="2"/>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D3"/>
    <w:rsid w:val="00000B75"/>
    <w:rsid w:val="0000726E"/>
    <w:rsid w:val="0001574D"/>
    <w:rsid w:val="0002735B"/>
    <w:rsid w:val="0003107F"/>
    <w:rsid w:val="000367E9"/>
    <w:rsid w:val="00054CEF"/>
    <w:rsid w:val="00055C27"/>
    <w:rsid w:val="00066F05"/>
    <w:rsid w:val="00070C71"/>
    <w:rsid w:val="000726DF"/>
    <w:rsid w:val="0008334B"/>
    <w:rsid w:val="000875DE"/>
    <w:rsid w:val="000A3CDF"/>
    <w:rsid w:val="000A573E"/>
    <w:rsid w:val="000B0BF3"/>
    <w:rsid w:val="000B0FD3"/>
    <w:rsid w:val="000E3DE9"/>
    <w:rsid w:val="000E5B5D"/>
    <w:rsid w:val="000F0DC9"/>
    <w:rsid w:val="000F33E6"/>
    <w:rsid w:val="000F3836"/>
    <w:rsid w:val="000F3914"/>
    <w:rsid w:val="0011267A"/>
    <w:rsid w:val="00122127"/>
    <w:rsid w:val="001349BD"/>
    <w:rsid w:val="00136966"/>
    <w:rsid w:val="0014625A"/>
    <w:rsid w:val="00147788"/>
    <w:rsid w:val="00153A22"/>
    <w:rsid w:val="00166835"/>
    <w:rsid w:val="00167C01"/>
    <w:rsid w:val="00172726"/>
    <w:rsid w:val="00172C75"/>
    <w:rsid w:val="00175FB8"/>
    <w:rsid w:val="00195B9F"/>
    <w:rsid w:val="001A44B4"/>
    <w:rsid w:val="001B2ED9"/>
    <w:rsid w:val="001B6D9F"/>
    <w:rsid w:val="001B7393"/>
    <w:rsid w:val="001C0EC9"/>
    <w:rsid w:val="001C353F"/>
    <w:rsid w:val="001C7417"/>
    <w:rsid w:val="001D60AF"/>
    <w:rsid w:val="001E115A"/>
    <w:rsid w:val="0020485D"/>
    <w:rsid w:val="002109E2"/>
    <w:rsid w:val="00211104"/>
    <w:rsid w:val="00213DD2"/>
    <w:rsid w:val="002172AC"/>
    <w:rsid w:val="00217BC4"/>
    <w:rsid w:val="002305AE"/>
    <w:rsid w:val="002326F5"/>
    <w:rsid w:val="00235F54"/>
    <w:rsid w:val="00246866"/>
    <w:rsid w:val="00261549"/>
    <w:rsid w:val="00265140"/>
    <w:rsid w:val="00276152"/>
    <w:rsid w:val="002816FA"/>
    <w:rsid w:val="00287E56"/>
    <w:rsid w:val="00291116"/>
    <w:rsid w:val="0029680B"/>
    <w:rsid w:val="002A0DB4"/>
    <w:rsid w:val="002B0E7A"/>
    <w:rsid w:val="002C6F6E"/>
    <w:rsid w:val="002D145C"/>
    <w:rsid w:val="002D1851"/>
    <w:rsid w:val="002D50D1"/>
    <w:rsid w:val="002E1534"/>
    <w:rsid w:val="002E774B"/>
    <w:rsid w:val="002E7E4B"/>
    <w:rsid w:val="002E7FCD"/>
    <w:rsid w:val="002F2E88"/>
    <w:rsid w:val="002F30B3"/>
    <w:rsid w:val="003012D3"/>
    <w:rsid w:val="00314A31"/>
    <w:rsid w:val="003278F0"/>
    <w:rsid w:val="0033127B"/>
    <w:rsid w:val="0034375E"/>
    <w:rsid w:val="00346114"/>
    <w:rsid w:val="00347A42"/>
    <w:rsid w:val="003611E2"/>
    <w:rsid w:val="00363431"/>
    <w:rsid w:val="0036445E"/>
    <w:rsid w:val="00386129"/>
    <w:rsid w:val="0038632B"/>
    <w:rsid w:val="003901D5"/>
    <w:rsid w:val="00390BBF"/>
    <w:rsid w:val="00395A18"/>
    <w:rsid w:val="00396507"/>
    <w:rsid w:val="003976E8"/>
    <w:rsid w:val="003D7637"/>
    <w:rsid w:val="003E7390"/>
    <w:rsid w:val="003F5428"/>
    <w:rsid w:val="003F7853"/>
    <w:rsid w:val="00401A46"/>
    <w:rsid w:val="004033CF"/>
    <w:rsid w:val="00403592"/>
    <w:rsid w:val="00412BC6"/>
    <w:rsid w:val="00422472"/>
    <w:rsid w:val="00423D4B"/>
    <w:rsid w:val="00427FFD"/>
    <w:rsid w:val="004328FB"/>
    <w:rsid w:val="0044472E"/>
    <w:rsid w:val="00445C72"/>
    <w:rsid w:val="00457B20"/>
    <w:rsid w:val="00460FB5"/>
    <w:rsid w:val="00463042"/>
    <w:rsid w:val="00492461"/>
    <w:rsid w:val="004A2B42"/>
    <w:rsid w:val="004B25A7"/>
    <w:rsid w:val="004B48CB"/>
    <w:rsid w:val="004D19B2"/>
    <w:rsid w:val="004D20E5"/>
    <w:rsid w:val="004F283F"/>
    <w:rsid w:val="004F3DB3"/>
    <w:rsid w:val="004F5F19"/>
    <w:rsid w:val="0050021A"/>
    <w:rsid w:val="00500432"/>
    <w:rsid w:val="00504148"/>
    <w:rsid w:val="005105CA"/>
    <w:rsid w:val="00511B81"/>
    <w:rsid w:val="005236B0"/>
    <w:rsid w:val="0053058E"/>
    <w:rsid w:val="00547D01"/>
    <w:rsid w:val="00551E2B"/>
    <w:rsid w:val="00555361"/>
    <w:rsid w:val="0055637D"/>
    <w:rsid w:val="00576F8D"/>
    <w:rsid w:val="005825D0"/>
    <w:rsid w:val="005830E5"/>
    <w:rsid w:val="00583451"/>
    <w:rsid w:val="005869AD"/>
    <w:rsid w:val="0059019E"/>
    <w:rsid w:val="005A41EC"/>
    <w:rsid w:val="005A6ADA"/>
    <w:rsid w:val="005B558A"/>
    <w:rsid w:val="005B585E"/>
    <w:rsid w:val="005B5E1C"/>
    <w:rsid w:val="005B7BD3"/>
    <w:rsid w:val="005D0005"/>
    <w:rsid w:val="005E1764"/>
    <w:rsid w:val="005E1939"/>
    <w:rsid w:val="005E6B52"/>
    <w:rsid w:val="005F0569"/>
    <w:rsid w:val="005F66B0"/>
    <w:rsid w:val="005F76F8"/>
    <w:rsid w:val="006033B5"/>
    <w:rsid w:val="0061075F"/>
    <w:rsid w:val="006148F6"/>
    <w:rsid w:val="006150C3"/>
    <w:rsid w:val="00637903"/>
    <w:rsid w:val="00653A40"/>
    <w:rsid w:val="0066512E"/>
    <w:rsid w:val="00680EC5"/>
    <w:rsid w:val="00693215"/>
    <w:rsid w:val="006A04A7"/>
    <w:rsid w:val="006A62C9"/>
    <w:rsid w:val="006B10EC"/>
    <w:rsid w:val="006D5829"/>
    <w:rsid w:val="006D5B47"/>
    <w:rsid w:val="007030B9"/>
    <w:rsid w:val="00713C97"/>
    <w:rsid w:val="007158A0"/>
    <w:rsid w:val="00720B1E"/>
    <w:rsid w:val="00724BD4"/>
    <w:rsid w:val="00733C07"/>
    <w:rsid w:val="00736DCF"/>
    <w:rsid w:val="00740CAE"/>
    <w:rsid w:val="00743D8A"/>
    <w:rsid w:val="00746F57"/>
    <w:rsid w:val="00752F5F"/>
    <w:rsid w:val="00754107"/>
    <w:rsid w:val="00767EB5"/>
    <w:rsid w:val="00772779"/>
    <w:rsid w:val="00784E43"/>
    <w:rsid w:val="00797917"/>
    <w:rsid w:val="007A1B92"/>
    <w:rsid w:val="007B2C70"/>
    <w:rsid w:val="007B389E"/>
    <w:rsid w:val="007B4B58"/>
    <w:rsid w:val="007C1852"/>
    <w:rsid w:val="007D0F8A"/>
    <w:rsid w:val="007D7DD1"/>
    <w:rsid w:val="007E38C9"/>
    <w:rsid w:val="007E4249"/>
    <w:rsid w:val="007E6BAC"/>
    <w:rsid w:val="007F62FD"/>
    <w:rsid w:val="008106F6"/>
    <w:rsid w:val="00812E86"/>
    <w:rsid w:val="00821C3D"/>
    <w:rsid w:val="00834B3C"/>
    <w:rsid w:val="00843F6B"/>
    <w:rsid w:val="00860B54"/>
    <w:rsid w:val="0086383E"/>
    <w:rsid w:val="00877260"/>
    <w:rsid w:val="00886A96"/>
    <w:rsid w:val="00886C64"/>
    <w:rsid w:val="008A0134"/>
    <w:rsid w:val="008A1D09"/>
    <w:rsid w:val="008B0C6D"/>
    <w:rsid w:val="008B4DC3"/>
    <w:rsid w:val="008D27BE"/>
    <w:rsid w:val="008E7B90"/>
    <w:rsid w:val="008F4876"/>
    <w:rsid w:val="009219B1"/>
    <w:rsid w:val="00923A5A"/>
    <w:rsid w:val="009251B1"/>
    <w:rsid w:val="00926B61"/>
    <w:rsid w:val="009337E0"/>
    <w:rsid w:val="00947E54"/>
    <w:rsid w:val="009620BE"/>
    <w:rsid w:val="00967A9B"/>
    <w:rsid w:val="009724E6"/>
    <w:rsid w:val="00975FF0"/>
    <w:rsid w:val="009810E3"/>
    <w:rsid w:val="00987F40"/>
    <w:rsid w:val="0099144D"/>
    <w:rsid w:val="00994884"/>
    <w:rsid w:val="009A647F"/>
    <w:rsid w:val="009C544C"/>
    <w:rsid w:val="009C75CC"/>
    <w:rsid w:val="009E68BD"/>
    <w:rsid w:val="009F5D54"/>
    <w:rsid w:val="009F7339"/>
    <w:rsid w:val="009F7E47"/>
    <w:rsid w:val="00A03899"/>
    <w:rsid w:val="00A0439C"/>
    <w:rsid w:val="00A07374"/>
    <w:rsid w:val="00A12286"/>
    <w:rsid w:val="00A14DDD"/>
    <w:rsid w:val="00A1534C"/>
    <w:rsid w:val="00A34EF4"/>
    <w:rsid w:val="00A42742"/>
    <w:rsid w:val="00A43A0C"/>
    <w:rsid w:val="00A46CD9"/>
    <w:rsid w:val="00A52AB6"/>
    <w:rsid w:val="00A56C16"/>
    <w:rsid w:val="00A83A6E"/>
    <w:rsid w:val="00A979D7"/>
    <w:rsid w:val="00AB5AA0"/>
    <w:rsid w:val="00AB6891"/>
    <w:rsid w:val="00AD74F5"/>
    <w:rsid w:val="00B22669"/>
    <w:rsid w:val="00B226EF"/>
    <w:rsid w:val="00B27BD2"/>
    <w:rsid w:val="00B41AB9"/>
    <w:rsid w:val="00B52882"/>
    <w:rsid w:val="00B54CA4"/>
    <w:rsid w:val="00BA308A"/>
    <w:rsid w:val="00BB481D"/>
    <w:rsid w:val="00BB6040"/>
    <w:rsid w:val="00BD11FD"/>
    <w:rsid w:val="00BD3C1B"/>
    <w:rsid w:val="00BD3F18"/>
    <w:rsid w:val="00BF39A7"/>
    <w:rsid w:val="00BF74FA"/>
    <w:rsid w:val="00C01993"/>
    <w:rsid w:val="00C0714F"/>
    <w:rsid w:val="00C10307"/>
    <w:rsid w:val="00C10E5B"/>
    <w:rsid w:val="00C11BBA"/>
    <w:rsid w:val="00C15070"/>
    <w:rsid w:val="00C22BED"/>
    <w:rsid w:val="00C33213"/>
    <w:rsid w:val="00C33553"/>
    <w:rsid w:val="00C33B14"/>
    <w:rsid w:val="00C3649E"/>
    <w:rsid w:val="00C43D3B"/>
    <w:rsid w:val="00C50F93"/>
    <w:rsid w:val="00C52001"/>
    <w:rsid w:val="00C5424F"/>
    <w:rsid w:val="00C55128"/>
    <w:rsid w:val="00C61908"/>
    <w:rsid w:val="00C658EC"/>
    <w:rsid w:val="00C871CC"/>
    <w:rsid w:val="00C91511"/>
    <w:rsid w:val="00C944C9"/>
    <w:rsid w:val="00CA1A53"/>
    <w:rsid w:val="00CA7D56"/>
    <w:rsid w:val="00CB24CB"/>
    <w:rsid w:val="00CC0690"/>
    <w:rsid w:val="00CD4C83"/>
    <w:rsid w:val="00CF0AF2"/>
    <w:rsid w:val="00CF5345"/>
    <w:rsid w:val="00D23B24"/>
    <w:rsid w:val="00D30C15"/>
    <w:rsid w:val="00D57B30"/>
    <w:rsid w:val="00D63E17"/>
    <w:rsid w:val="00D67B02"/>
    <w:rsid w:val="00D95474"/>
    <w:rsid w:val="00DA18DD"/>
    <w:rsid w:val="00DB2596"/>
    <w:rsid w:val="00DC020E"/>
    <w:rsid w:val="00DC2D6A"/>
    <w:rsid w:val="00DD05EA"/>
    <w:rsid w:val="00DD5FA3"/>
    <w:rsid w:val="00DE1886"/>
    <w:rsid w:val="00DE4197"/>
    <w:rsid w:val="00DE4B4F"/>
    <w:rsid w:val="00DF122F"/>
    <w:rsid w:val="00E06186"/>
    <w:rsid w:val="00E106CC"/>
    <w:rsid w:val="00E2677F"/>
    <w:rsid w:val="00E35033"/>
    <w:rsid w:val="00E630A0"/>
    <w:rsid w:val="00E649F3"/>
    <w:rsid w:val="00E65AE9"/>
    <w:rsid w:val="00E97576"/>
    <w:rsid w:val="00E97C78"/>
    <w:rsid w:val="00EA33F8"/>
    <w:rsid w:val="00EA5E85"/>
    <w:rsid w:val="00EA612E"/>
    <w:rsid w:val="00EA635D"/>
    <w:rsid w:val="00EB43DE"/>
    <w:rsid w:val="00ED0281"/>
    <w:rsid w:val="00ED6109"/>
    <w:rsid w:val="00ED7F00"/>
    <w:rsid w:val="00EF3FE5"/>
    <w:rsid w:val="00EF6843"/>
    <w:rsid w:val="00EF6B4A"/>
    <w:rsid w:val="00F3509C"/>
    <w:rsid w:val="00F3597F"/>
    <w:rsid w:val="00F37B33"/>
    <w:rsid w:val="00F40627"/>
    <w:rsid w:val="00F42146"/>
    <w:rsid w:val="00F43629"/>
    <w:rsid w:val="00F6102A"/>
    <w:rsid w:val="00F73BE5"/>
    <w:rsid w:val="00F74369"/>
    <w:rsid w:val="00F77BE3"/>
    <w:rsid w:val="00F821E4"/>
    <w:rsid w:val="00F87A40"/>
    <w:rsid w:val="00F905DC"/>
    <w:rsid w:val="00F96014"/>
    <w:rsid w:val="00FB0472"/>
    <w:rsid w:val="00FB35F5"/>
    <w:rsid w:val="00FB50D3"/>
    <w:rsid w:val="00FC1B86"/>
    <w:rsid w:val="00FD0EE3"/>
    <w:rsid w:val="00FD77C0"/>
    <w:rsid w:val="00FE1BF5"/>
    <w:rsid w:val="00FE4738"/>
    <w:rsid w:val="00FF3EE0"/>
    <w:rsid w:val="00FF5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A00D6E"/>
  <w15:chartTrackingRefBased/>
  <w15:docId w15:val="{8F7A9377-31AB-4EE6-84F1-C36ACF87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53"/>
    <w:rPr>
      <w:rFonts w:ascii="Segoe UI" w:hAnsi="Segoe UI" w:cs="Segoe UI"/>
      <w:sz w:val="18"/>
      <w:szCs w:val="18"/>
    </w:rPr>
  </w:style>
  <w:style w:type="paragraph" w:styleId="ListParagraph">
    <w:name w:val="List Paragraph"/>
    <w:basedOn w:val="Normal"/>
    <w:uiPriority w:val="34"/>
    <w:qFormat/>
    <w:rsid w:val="00C0714F"/>
    <w:pPr>
      <w:ind w:left="720"/>
      <w:contextualSpacing/>
    </w:pPr>
  </w:style>
  <w:style w:type="character" w:styleId="CommentReference">
    <w:name w:val="annotation reference"/>
    <w:uiPriority w:val="99"/>
    <w:semiHidden/>
    <w:rsid w:val="00F40627"/>
    <w:rPr>
      <w:sz w:val="16"/>
      <w:szCs w:val="16"/>
    </w:rPr>
  </w:style>
  <w:style w:type="paragraph" w:styleId="CommentText">
    <w:name w:val="annotation text"/>
    <w:basedOn w:val="Normal"/>
    <w:link w:val="CommentTextChar"/>
    <w:uiPriority w:val="99"/>
    <w:rsid w:val="00F4062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F40627"/>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F2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F"/>
  </w:style>
  <w:style w:type="paragraph" w:styleId="Footer">
    <w:name w:val="footer"/>
    <w:basedOn w:val="Normal"/>
    <w:link w:val="FooterChar"/>
    <w:uiPriority w:val="99"/>
    <w:unhideWhenUsed/>
    <w:rsid w:val="004F2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F"/>
  </w:style>
  <w:style w:type="character" w:customStyle="1" w:styleId="scayt-misspell-word">
    <w:name w:val="scayt-misspell-word"/>
    <w:basedOn w:val="DefaultParagraphFont"/>
    <w:rsid w:val="005A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18245">
      <w:bodyDiv w:val="1"/>
      <w:marLeft w:val="0"/>
      <w:marRight w:val="0"/>
      <w:marTop w:val="0"/>
      <w:marBottom w:val="0"/>
      <w:divBdr>
        <w:top w:val="none" w:sz="0" w:space="0" w:color="auto"/>
        <w:left w:val="none" w:sz="0" w:space="0" w:color="auto"/>
        <w:bottom w:val="none" w:sz="0" w:space="0" w:color="auto"/>
        <w:right w:val="none" w:sz="0" w:space="0" w:color="auto"/>
      </w:divBdr>
      <w:divsChild>
        <w:div w:id="1658998060">
          <w:marLeft w:val="150"/>
          <w:marRight w:val="150"/>
          <w:marTop w:val="480"/>
          <w:marBottom w:val="0"/>
          <w:divBdr>
            <w:top w:val="none" w:sz="0" w:space="0" w:color="auto"/>
            <w:left w:val="none" w:sz="0" w:space="0" w:color="auto"/>
            <w:bottom w:val="none" w:sz="0" w:space="0" w:color="auto"/>
            <w:right w:val="none" w:sz="0" w:space="0" w:color="auto"/>
          </w:divBdr>
        </w:div>
        <w:div w:id="570118806">
          <w:marLeft w:val="0"/>
          <w:marRight w:val="0"/>
          <w:marTop w:val="240"/>
          <w:marBottom w:val="0"/>
          <w:divBdr>
            <w:top w:val="none" w:sz="0" w:space="0" w:color="auto"/>
            <w:left w:val="none" w:sz="0" w:space="0" w:color="auto"/>
            <w:bottom w:val="none" w:sz="0" w:space="0" w:color="auto"/>
            <w:right w:val="none" w:sz="0" w:space="0" w:color="auto"/>
          </w:divBdr>
        </w:div>
      </w:divsChild>
    </w:div>
    <w:div w:id="18970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41161-2D7D-45BE-BA7E-13E557E6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10901</TotalTime>
  <Pages>32</Pages>
  <Words>29932</Words>
  <Characters>17062</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Kalniņa</dc:creator>
  <cp:keywords/>
  <dc:description/>
  <cp:lastModifiedBy>Kristīne Kalniņa</cp:lastModifiedBy>
  <cp:revision>201</cp:revision>
  <dcterms:created xsi:type="dcterms:W3CDTF">2021-02-10T07:47:00Z</dcterms:created>
  <dcterms:modified xsi:type="dcterms:W3CDTF">2022-02-10T08:08:00Z</dcterms:modified>
</cp:coreProperties>
</file>