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kontekstā ar anotācijas 1.3.sadaļas apakšsadaļas "Risinājuma apraksts" 2.punktā "Produktivitātes pieauguma un eksporta apjoma rādītāju uzkrāšana"  ietverto produktivitātes definīciju pamatot un skaidrot, dažādu produktivitātes definīciju piemērošanu šajā un citos uzņēmējdarbības atbalsta pasākumos. Piemēram 1.2.1.2. pasākumā (produktivitātes aizdevumi) minēta šāda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 – gala labuma guvēja saražotais preču un pakalpojumu daudzums pret gala labuma guvēja projektā nodarbināto (komercializētā produkta/pakalpojuma ražošanā/nodrošināšanā iesaistīto) algām". Lūdzam vienu un to pašu rādītāju mērīšanai izmantot vienotu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programmas specifikai, tiek noteikta definīcija (apraksts anotācijā), kā var vērtēt komersanta produktivitāti, t.i., minētā  pasākuma ietvaros uzskatīts kā finansējuma saņēmēju darba algu pieaugums gadā pirms lēmuma par atbalsta piešķiršanu un 5 gadu laikā pēc finansējuma saņēmēja akciju vai parāda vērtspapīru iekļaušanas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 pieeja ir arī apstiprinātajos grozījumos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iestāde pēc finansējuma saņēmēja akciju vai parāda vērtspapīru iekļaušanas tirdzniecības vietā un piecus gadus pēc tam pārbauda finansējuma saņēmēja eksporta apjoma un produktivitātes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izteiktais iebildums: "Iebilstam pret šāda pienākuma uzlikšanu CFLA. Nacionālā līmeņa plānošanas dokumentu mērķu sasniegšanas analīze nav CFLA kompetence. ES fondu vadības likums paredz, ka atbildīgajai iestādei ir pienākums nodrošināt specifiskā atbalsta mērķa rezultātu sasniegšanu, tostarp iznākuma un rezultātu rādītāju sasniegšanas uzraudzību. Lūdzam EM paredzēt savas darbības datu analītikai, lai EM varētu atskaitīties par Nacionālās industriālās politikas pamatnostādnēs 2021.-2027. gadam noteiktajiem mērķiem. Piemēram, ja projektu iesniedzēji (finansējuma saņēmēji) jau sākotnēji norāda darba samaksu un eksporta apjomu, informācija tādējādi kļūst pieejama arī EM, savukārt ja darba samaksas un eksporta dati ir jāpieprasa VID, to var darīt 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konstatējam, ka no šo noteikumu grozījumu anotācijas izriet, ka produktivitātes rādītājs MK noteikumu projekta ietvaros tiek vienkārši uzskatīts kā finansējuma saņēmēju darba algu pieaugums gadā pirms lēmuma par atbalsta piešķiršanu un 5 gadu laikā pēc finansējuma saņēmēja akciju vai parāda vērtspapīru iekļaušanas tirdzniecības vietā. Algu pieaugums nav pēc noklusējuma uzskatāms par produktivitātes pieauguma indikatoru."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minēto uzraudzību veic Atbildīgā iestāde, vienlaikus Sadarbības iestāde nodrošina, ka līgumā starp finansējumu saņēmēju tiek atrunāts, ka finansējuma saņēmējs sniedz nepieciešamo informāciju Atbildīgajai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Atbildīgā iestāde pēc finansējuma saņēmēja akciju vai parāda vērtspapīru iekļaušanas tirdzniecības vietā un piecus gadus pēc tam pārbauda finansējuma saņēmēja eksporta apjoma un produktivitātes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Sadarbības iestāde pēc finansējuma saņēmēja akciju vai parāda vērtspapīru iekļaušanas tirdzniecības vietā un piecus gadus pēc tam pārbauda finansējuma saņēmēja eksporta apjoma un produktivitātes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 pienākuma uzlikšanu CFLA - mūsu pienākums ir uzraudzīt līdzekļu apguvi un attiecināmību un ES fondu vadības likums paredz, ka atbildīgajai iestādei ir pienākums nodrošināt specifiskā atbalsta mērķa rezultātu sasniegšanu, tostarp iznākuma un rezultātu rādītāju sasniegšanas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līmeņa plānošanas dokumentu mērķu sasniegšanas analīze nav CFLA kompetence, piedāvātais pants paredz, ka CFLA nodrošinās pēc 5 gadiem EM vajadzībām datus analītikai, lai EM varētu atskaitīties par Nacionālās industriālās politikas pamatnostādnēs 2021.-2027. gadam noteiktajiem mērķiem.Ja projektu iesniedzēji (finansējuma saņēmēji) jau sākotnēji norāda darba samaksu un eksporta apjomu, informācija tādējādi kļūst pieejama arī EM, savukārt ja darba samaksas un eksporta dati ir jāpieprasa VID (ko var darīt arī EM), kādēļ CFLA ir šis jāuzskaita un jāinformē 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- 1.2.1.2. pasākuma MK noteikumu projektā norādīts, ka produktivitāte – gala labuma guvēja saražotais preču un pakalpojumu daudzums pret gala labuma guvēja projektā nodarbināto (komercializētā produkta/pakalpojuma ražošanā/nodrošināšanā iesaistīto) algām. Bet no šo noteikumu grozījumu anotācijas izriet, ka produktivitātes rādītājs MK noteikumu projekta ietvaros tiek vienkārši uzskatīts kā finansējuma saņēmēju darba algu pieaugums gadā pirms lēmuma par atbalsta piešķiršanu un 5 gadu laikā pēc finansējuma saņēmēja akciju vai parāda vērtspapīru iekļaušanas tirdzniecības vietā. Algu pieaugums nav pēc noklusējuma uzskatāms par produktivitātes pieauguma indikatoru.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minēto uzraudzību veic atbildīgā iestāde, vienlaikus Sadarbības iestāde nodrošina, ka līgumā starp finansējumu saņēmēju tiek atrunāts, ka finansējuma saņēmējs sniedz nepieciešamo informāciju Atbildīgajai iestādei. Tāpat lūdzu skatīt skaidrojumu pie izziņas 1.punkta.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Atbildīgā iestāde pēc finansējuma saņēmēja akciju vai parāda vērtspapīru iekļaušanas tirdzniecības vietā un piecus gadus pēc tam pārbauda finansējuma saņēmēja eksporta apjoma un produktivitātes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pirms </w:t>
            </w:r>
            <w:r w:rsidR="00000000" w:rsidRPr="00000000" w:rsidDel="00000000">
              <w:rPr>
                <w:i w:val="1"/>
                <w:rtl w:val="0"/>
              </w:rPr>
              <w:t xml:space="preserve">de minimis </w:t>
            </w:r>
            <w:r w:rsidR="00000000" w:rsidRPr="00000000" w:rsidDel="00000000">
              <w:rPr>
                <w:rtl w:val="0"/>
              </w:rPr>
              <w:t xml:space="preserve">atbalsta piešķiršanas pārbauda, vai atbalsta apmērs kopā ar attiecīgajā fiskālajā gadā un iepriekšējos divos fiskālajos gados komersantam piešķirto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w:t>
            </w:r>
            <w:r w:rsidR="00000000" w:rsidRPr="00000000" w:rsidDel="00000000">
              <w:rPr>
                <w:rtl w:val="0"/>
              </w:rPr>
              <w:t xml:space="preserve">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 un </w:t>
            </w:r>
            <w:r w:rsidR="00000000" w:rsidRPr="00000000" w:rsidDel="00000000">
              <w:rPr>
                <w:i w:val="1"/>
                <w:rtl w:val="0"/>
              </w:rPr>
              <w:t xml:space="preserve">de minimis</w:t>
            </w:r>
            <w:r w:rsidR="00000000" w:rsidRPr="00000000" w:rsidDel="00000000">
              <w:rPr>
                <w:rtl w:val="0"/>
              </w:rPr>
              <w:t xml:space="preserve"> atbalstu nepiešķir, ja maksimālais </w:t>
            </w:r>
            <w:r w:rsidR="00000000" w:rsidRPr="00000000" w:rsidDel="00000000">
              <w:rPr>
                <w:i w:val="1"/>
                <w:rtl w:val="0"/>
              </w:rPr>
              <w:t xml:space="preserve">de minimis</w:t>
            </w:r>
            <w:r w:rsidR="00000000" w:rsidRPr="00000000" w:rsidDel="00000000">
              <w:rPr>
                <w:rtl w:val="0"/>
              </w:rPr>
              <w:t xml:space="preserve"> atbalsta apmērs tiktu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Nr.2023/2831 3.panta 2.punktā ir mainīts de minimis atbalsta robežvērtības aprēķināšanas periods, nosakot, ka de minimis atbalsta kopsumma, kas piešķirta ar šo regulu, viena vienota uzņēmuma līmenī pēdējo trīs gadu periodā nepārsniedz 300 000 EUR. Attiecīgi pēdējo trīs gadu laika posms, piešķirot de minimis atbalstu ar Komisijas regulu Nr.2023/2831, nosakāms kā trīs gadu laika periods no konkrēta datuma, kad piešķirts pēdējais atbalsts līdz konkrētam datumam, kas ir jaunā piešķiramā atbalsta datums, piemēram, ja jaunā atbalsta piešķiršanas datums ir 2024.gada 18.jūnijs, trīs gadu periods būs skaitāms no 2021.gada 18.jūnija. Piedāvājam noteikumu projekta 35.punktu izteikt, piemēram, šādā redakcijā: “</w:t>
            </w:r>
            <w:r w:rsidR="00000000" w:rsidRPr="00000000" w:rsidDel="00000000">
              <w:rPr>
                <w:i w:val="1"/>
                <w:rtl w:val="0"/>
              </w:rPr>
              <w:t xml:space="preserve">Piešķirot atbalstu ar Komisijas regulu Nr.2023/2831, pirms atbalsta piešķiršanas atbalsta sniedzējs pārbauda, vai pretendentam plānotais de minimis atbalsts kopā ar iepriekšējos trīs gados piešķirto atbalstu nepārsniedz Komisijas Regulas Nr.2023/2831 3.panta 2.punktā noteikto maksimālo apmēru viena vienota uzņēmuma līmenī.</w:t>
            </w:r>
            <w:r w:rsidR="00000000" w:rsidRPr="00000000" w:rsidDel="00000000">
              <w:rPr>
                <w:rtl w:val="0"/>
              </w:rPr>
              <w:t xml:space="preserve">" Vienlaikus lūdzam ar atbilstošu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Piešķirot atbalstu ar Komisijas regulu Nr.2023/2831, pirms atbalsta piešķiršanas atbalsta sniedzējs pārbauda, vai pretendentam plānotais </w:t>
            </w:r>
            <w:r w:rsidR="00000000" w:rsidRPr="00000000" w:rsidDel="00000000">
              <w:rPr>
                <w:i w:val="1"/>
                <w:rtl w:val="0"/>
              </w:rPr>
              <w:t xml:space="preserve">de minimis</w:t>
            </w:r>
            <w:r w:rsidR="00000000" w:rsidRPr="00000000" w:rsidDel="00000000">
              <w:rPr>
                <w:rtl w:val="0"/>
              </w:rPr>
              <w:t xml:space="preserve"> atbalsts kopā ar iepriekšējos trīs gados piešķirto atbalstu nepārsniedz Komisijas Regulas Nr.2023/2831 3.panta 2.punktā noteikto maksimālo apmēru viena vienota uzņēmuma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pārkāptas šajos noteikumos noteiktās komercdarbības atbalsta kontroles normas, tostarp nosacījumi, kas izriet no Komisijas regulas Nr. </w:t>
            </w:r>
            <w:r w:rsidR="00000000" w:rsidRPr="00000000" w:rsidDel="00000000">
              <w:rPr>
                <w:rtl w:val="0"/>
              </w:rPr>
              <w:t xml:space="preserve">​</w:t>
            </w:r>
            <w:r w:rsidR="00000000" w:rsidRPr="00000000" w:rsidDel="00000000">
              <w:rPr>
                <w:rtl w:val="0"/>
              </w:rPr>
              <w:t xml:space="preserve">2023/2831, komercdarbības gala labuma guvējam ir pienākums atmaksāt atbalsta sniedzējam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atbalsta programmas ietvaros atbalstu tiek plānots sniegt saskaņā ar Komisijas regulu Nr.2023/2831, skaidrojam, ka gadījumā, kad tiktu konstatēts komercdarbības atbalsta regulējuma pārkāpums, būs jāveic tikai tāda komercdarbības atbalsta atgūšana, kas tiks uzskatīta par nelikumīgu. Attiecīgi lūdzam precizēt noteikumu 37.punktu, izsakot to, piemēram, šādā redakcijā: </w:t>
            </w:r>
            <w:r w:rsidR="00000000" w:rsidRPr="00000000" w:rsidDel="00000000">
              <w:rPr>
                <w:i w:val="1"/>
                <w:rtl w:val="0"/>
              </w:rPr>
              <w:t xml:space="preserve">“Ja tiek pārkāpti Komisijas regulas Nr.2023/2831 nosacījumi, finansējuma saņēmējam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pārkāpti Komisijas regulas Nr.2023/2831 nosacījumi, finansējuma saņēmējam ir pienākums atmaksāt Sadarbības iestādei projekta ietvaros saņemto nelikumīgo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anotācijā atsauci uz to, ka MK noteikumos tiek veikti redakcionāli precizējumi, jo pēc būtības jaunu prasību iestrādāšana MK noteikumos nav uzskatāma par redakcionāliem MK noteikumu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īsteno atklātas projektu iesniegumu atlases veidā un noteikumu projekts paredz izmaiņas atlases nosacījumos, lūdzam papildināt anotācijas 1.3.sadaļu ar skaidrojumu par noteikumu projekta ietekmi uz finansējuma saņēmējiem, vai tie tiks informēti par izmaiņām, un vai tiks veikti grozījumi līgumos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atlase vēl netika sākta, jo nevarēja sludināt pirms nav vienkāršoto izmaksu metodikas, attiecīgi finansējuma saņēmēji netiek ietekmēti.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skaidrojumu par produktivitātes kritērija vērtēšanu. Nav skaidrs, kā tiks novērtēta nacionālā produktivitātes rādītāja kopaina, apkopojot visu pasākumu datus, kurās izmantotas dažādas produktivitātes definīcijas (vienā gadījumā to mērot ar saražotā preču un pakalpojumu daudzumu pret nodarbināto skaitu, citos- vērtējot pēc darba algu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produktivitātes definīciju, produktivitāte raksturo attiecību starp saražoto produktu, tai skaitā sniegto pakalpojumu vērtību, un resursiem, kuri šim mērķim izmantoti, vērtību. To aprēķina kā kopprodukcijas izlaides summu uz patērēto resursu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 minētā izriet, ka darba algas pieaugums samazina produktivitāti, nevis to palielina.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1.2.1. SAM ietvaros (visiem pasākumiem) produktivitātes rādītājs tiek noteikts darba algas pieaugums, līdz ar to, lai ievērotu vienotu pieeju, </w:t>
            </w:r>
            <w:r w:rsidR="00000000" w:rsidRPr="00000000" w:rsidDel="00000000">
              <w:rPr>
                <w:rtl w:val="0"/>
              </w:rPr>
              <w:t xml:space="preserve">anotācijā iekļautais skaidrojums ir saglabāts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ES fondu 2021.-2027.gada plānošanas perioda uzraudzības komitejai precizētos 1.2.1.3.pasākuma projektu vērtēšanas kritērijus un metodiku, papildinot tos ar attiecīgiem eksporta un produktivitātes vērtēšanas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prasība ietverta MK Noteikumos, lai tiktu uzraudzīts, vai eksporta apjoms un produktivitātes pieaugums sasniedz vismaz 10 % atbalstītajos komersantos 5 gadu laikā no finansējuma saņēmēja akciju vai parāda vērtspapīru iekļaušanas tirdzniecības vietā. t.i., tas nav obligāts kritērijs un neietekmē vērtēšanas kritērijus un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vai eksporta un produktivitātes pieaugums vismaz 10% apmērā ir jānodrošina sākot no pirmā gada un ik gadu 5 gadu laikā pēc atbalsta saņemšanas. Tāpat lūdzam skaidrot kādas sankcijas tiks piemērotas finansējuma saņēmējiem, kas šos rādītājus neizpildīs vai neizpildīs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skaidrojam, ka netiek paredzētas sankcijas, ja rādītājs netiek izpildīts pilnībā, taču ar MK Noteikumu projektu tiek paredzēts, ka finansējuma saņēmējs līdz ar projekta pieteikuma iesniegšanu apliecina, ka saņemtais atbalsts tiks vērsts uz eksporta apjoma un produktivitātes kāpināšanu finansējuma saņēmēja līmenī piecu gadu laikā pēc finansējuma saņēmēja akciju vai parāda vērtspapīru iekļaušanas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anotācijas 1.3.sadaļas apakšsadaļas "Problēmas apraksts" pirmo teikumu, aizstājot vārdu "likuma" ar "regulas" un norādot, ka "kļuvušas neaktuālas", jo 2023.gada 31.decembris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Nr.597) ir iekļautas normas, kas izriet no jaunās Komisijas regulas Nr.2023/2831, līdz ar to tiek veikti grozījumi MK noteikumos Nr.597. Vienlaikus Komisijas Regula Nr. 2023/2831 sniedz vēl lielāku elastību izstrādāt un īstenot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pilnam informācijas izklāstam anotācijas 1.3.sadaļas apakšsadaļas "Risinājuma apraksts" 1. punktā (De minimis regulas nosacījumu pārņemšana) iekļaut informāciju par to, ka mainās de minimis atbalsta kopsumma, ko viena dalībvalsts var piešķirt vienam vienotam uzņēmumam, nevienā trīs gadu periodā nepārsniedzot 300 000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V sadaļu ar noteikumu projekta punktu izvērtējumu atbilstoši Komisijas 2023. gada 13. decembra Regulai (ES) Nr. 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ir tieši piemērojama un atbilstoši ES tiesību ieviešanas rokasgrāmatai,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 Līdz ar to, anotācijas V sadaļu nav nepieciešams aizpildīt.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 pa RIS3 jomu veidiem šādus RIS3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pasākuma ietvaros pieprasīt informāciju pirms projekta pabeigšanas nav lietderīgi, jo projekta rezultāti vēl netiks sasniegti, kā arī vēršam uzmanību, ka radītājus, par kuriem finansējuma saņēmējam ir jāatskaitās pēc 2029.gada 31.decembra un pēc noslēguma maksājuma pieprasījuma, nevarēs iesniegt Kohēzijas politikas fondu vadības informācijas sistēmā, jo RIS3 radītāju uzkrāšana paredzēta maksājumu pieprasījumu sadaļā, līdz ar to lūdzam papildināt noteikumu projektu ar 14.</w:t>
            </w:r>
            <w:r w:rsidR="00000000" w:rsidRPr="00000000" w:rsidDel="00000000">
              <w:rPr>
                <w:vertAlign w:val="superscript"/>
                <w:rtl w:val="0"/>
              </w:rPr>
              <w:t xml:space="preserve">1</w:t>
            </w:r>
            <w:r w:rsidR="00000000" w:rsidRPr="00000000" w:rsidDel="00000000">
              <w:rPr>
                <w:rtl w:val="0"/>
              </w:rPr>
              <w:t xml:space="preserve"> 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14. punktā minēto informāciju papildus norādot gala labuma guvēja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iesniedz kopā ar noslēguma maksājuma pieprasījumu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noslēguma maksājuma pieprasījuma iesniegšanas, iesniedz atbildīgai iestādei 10 darbdienu laikā pēc atbildīgās iestādes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augstākminēto, aicinām izvērtēt nepieciešamību papildināt arī anotāciju ar informāciju, ka Finansējuma saņēmējs pēc noslēguma maksājuma pieprasījuma iesniegšanas un apstiprināšanas vai pēc atbildīgas iestādes pieprasījuma nodrošina Viedās specializācijas stratēģijas (RIS3) datu uzkrāšanu un iesniegšanu atbildīgajai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vienotu pieeju RIS3 rādītāju uzkrāšanai aicinām precizēt noteikumu projekta 14.punkta ievaddaļu, papildinot to ar informāciju, ka RIS3 radītāji uzkrājami sadalījumā par gala labuma guvēju viediem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Vienlaikus arī precizēta anotācija un sniegts skaidrojums, ka šo noteikumu ietvaros gala labuma guvējs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nodrošina Viedās specializācijas stratēģijas (RIS3) datu uzkrāšanu un ievadi Kohēzijas politikas fondu vadības informācijas sistēmā pa RIS3 jomu veidiem šādus RIS3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ir attiecināmās netiešās projekta īstenošanas izmaksas šo noteikumu 19. punktā minēto darbību īstenošanai. Netiešās attiecināmās izmaksas  finansējuma saņēmējs plāno kā vienu izmaksu pozīciju, piemērojot netiešo izmaksu vienoto likmi 7 procentu apmērā no šo noteikumu 20. punktā norādītajām tiešajām attiecināmajām izmaksām saskaņā ar regulas Nr. 2021/1060 54. panta pirmās daļas “a”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17. oktobra noteikumu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noteikumi Nr. 597) 24. punkta plānoto redakciju. Vēršam uzmanību, ka noteikumu Nr. 597 24.punkts šobrīd spēkā esošajā redakcijā nosaka arī izmaksu attiecināmības termiņa sākumu, un nebūtu jāsvītro šis nosacījums.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netiešo attiecināmo izmaksu iekļaušanu noteikumu projektā paredzēt kā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19. punktā minēto atbalstāmo darbību ietvaros radušās izmaksas ir attiecināmas no brīža, kad projekta iesniegums iesniegts sadarbības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pēc atbildīgās iestādes pieprasījuma 10 darbdienu laikā informācijas iesniegšanu Atbildīgai iestādei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kā uzņēmējdarbības atbalsta nozares veidotājus skaidrot, kas būs tā nozares institūcija, kas apkopos un analizēs sadarbības iestādes sniegtos datus, ņemot vērā to, ka MK 2023. gada 7.novembra sēdes protokola Nr. 56 32.paragrāfa 7.punkta uzdevums par eksporta apjoma un produktivitātes pieaugumu 10 % apmērā ir attiecināms ne tikai uz 1.2.1.3. pasākumu, bet gan uz visiem KPP 2021-2027.gada 1.2.1. specifiska atbalsta mērķa pasākumu ietvaros atbalstītajiem uzņēmumiem. Tāpat MK noteikumu 28.1.apakšpunkts nosaka, ka komersantam eksporta apjoma un produktivitātes pieaugums ir jāsasniedz piecu gadu laikā pēc finansējuma saņēmēja finansējuma saņēmēja akciju vai parāda vērtspapīru iekļaušanas tirdzniecības vietā, vēršam uzmanību, ka šis termiņš visticamāk pārsniegs ES fondu 2021.-2027.gada plānošanas perioda ietvaru. Aicinām izvērtēt nepieciešamību noteikt vienotu kārtību produktivitātes un eksporta rādītāju ziņošanai 1.2.1.SAM ietvaros un to skaidri aprakstīt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1.2.1. pasākumi ir Ekonomikas ministrijas pārraudzībā esošās atbalsta programmas, līdz ar to Ekonomikas ministrija apkopos un analizēs saņemtos datus. EM vērtējot nodrošinās vienādu pieeju, vienlaikus ņemot vērā atbalsta programmas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Atbildīgā iestāde pēc finansējuma saņēmēja akciju vai parāda vērtspapīru iekļaušanas tirdzniecības vietā un piecus gadus pēc tam pārbauda finansējuma saņēmēja eksporta apjoma un produktivitātes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un 7.punktu. Vēršam uzmanību, ka noteikumu projekta 6.punts paredz papildināt Ministru kabineta 2023. gada 17. oktobra noteikumus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(turpmāk - MK noteikumi Nr.597) ar 33.punktu, bet noteikumu projekta 7.punkts - izteikt MK noteikumu Nr.597 33.punktu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TAP portāls ģenerējis šādā veidā, tehniska kļūda. Tiks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Atbildīgā iestāde pēc finansējuma saņēmēja akciju vai parāda vērtspapīru iekļaušanas tirdzniecības vietā un piecus gadus pēc tam pārbauda finansējuma saņēmēja eksporta apjoma un produktivitātes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pamatojoties uz Komisijas regulu Nr. </w:t>
            </w:r>
            <w:r w:rsidR="00000000" w:rsidRPr="00000000" w:rsidDel="00000000">
              <w:rPr>
                <w:rtl w:val="0"/>
              </w:rPr>
              <w:t xml:space="preserve">​</w:t>
            </w:r>
            <w:r w:rsidR="00000000" w:rsidRPr="00000000" w:rsidDel="00000000">
              <w:rPr>
                <w:rtl w:val="0"/>
              </w:rPr>
              <w:t xml:space="preserve">2023/2831, projekta iesniedzējam piešķir, ja ir ievērotas minētās regulas prasības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1.jūlijā stājušies spēkā grozījumi Ministru kabineta 2018. gada 21. novembra noteikumos Nr. 715 un mainīts arī to nosaukums uz "De minimis atbalsta uzskaites un piešķiršanas kārtība", lūdzam no noteikumu 34.punkta svītrot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pamatojoties uz Komisijas regulu Nr. </w:t>
            </w:r>
            <w:r w:rsidR="00000000" w:rsidRPr="00000000" w:rsidDel="00000000">
              <w:rPr>
                <w:rtl w:val="0"/>
              </w:rPr>
              <w:t xml:space="preserve">​</w:t>
            </w:r>
            <w:r w:rsidR="00000000" w:rsidRPr="00000000" w:rsidDel="00000000">
              <w:rPr>
                <w:rtl w:val="0"/>
              </w:rPr>
              <w:t xml:space="preserve">2023/2831, projekta iesniedzējam piešķir, ja ir ievērotas minētās regulas prasības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w:t>
    </w:r>
    <w:r>
      <w:br/>
    </w:r>
    <w:r w:rsidR="00000000" w:rsidRPr="00000000" w:rsidDel="00000000">
      <w:rPr>
        <w:rtl w:val="0"/>
      </w:rPr>
      <w:t xml:space="preserve">14.08.2024. 15.47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24-TA-137</w:t>
    </w:r>
    <w:r>
      <w:br/>
    </w:r>
    <w:r w:rsidR="00000000" w:rsidRPr="00000000" w:rsidDel="00000000">
      <w:rPr>
        <w:rtl w:val="0"/>
      </w:rPr>
      <w:t xml:space="preserve">14.08.2024. 15.47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Izziņa_24-TA-137.docx</dc:title>
</cp:coreProperties>
</file>

<file path=docProps/custom.xml><?xml version="1.0" encoding="utf-8"?>
<Properties xmlns="http://schemas.openxmlformats.org/officeDocument/2006/custom-properties" xmlns:vt="http://schemas.openxmlformats.org/officeDocument/2006/docPropsVTypes"/>
</file>