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26-TA-966: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Stratēģiskas nozīmes preču aprites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07.05.2026. 16:50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"5) nav administratīvi sodīti par alkohola, narkotisko, psihotropo, toksisko vai citu apreibinošo vielu ietekmē izdarītiem pārkāpumiem, par atteikšanos no medicīniskās pārbaudes alkohola koncentrācijas noteikšanai, no narkotisko vai citu apreibinošo vielu ietekmes pārbaudes, kamēr nav pagājis gads pēc administratīvā soda izpildes vai, ja sods nav izpildīts, kamēr nav pagājis gads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gan likumdevējs var paredzēt ar sodāmību saistītus ierobežojumus, tipiski tiem būtu jābūt saistītiem ar sodāmības laiku un tās radītajām tiesiskajām sekām.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administratīvās atbildības skatpunkta ir pieļaujami ierobežojumi, kādi ir paredzēti likumprojektā "Grozījumi Stratēģiskas nozīmes preču aprites likumā" (turpmāk - projekts) saistībā ar administratīvo atbildību un sodāmību, tomēr nebūtu nosakāmi termiņi. Administratīvās sodāmības ilgumu noteic Administratīvās atbildības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ierobežojums būtu izsakāms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administratīvi sodīti par alkohola, narkotisko, psihotropo, toksisko vai citu apreibinošo vielu ietekmē izdarītiem pārkāpumiem, par atteikšanos no medicīniskās pārbaudes alkohola koncentrācijas noteikšanai, no narkotisko vai citu apreibinošo vielu ietekmes pārbaudes.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izteikts redakcijā: "5) nav administratīvi sodīti par alkohola, narkotisko, psihotropo, toksisko vai citu apreibinošo vielu ietekmē izdarītiem pārkāpumiem, par atteikšanos no medicīniskās pārbaudes alkohola koncentrācijas noteikšanai, no narkotisko vai citu apreibinošo vielu ietekmes pārbaudes," jo Administratīvās atbildības likumā jau ir noteikts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nav administratīvi sodīti par alkohola, narkotisko, psihotropo, toksisko vai citu apreibinošo vielu ietekmē izdarītiem pārkāpumiem, par atteikšanos no medicīniskās pārbaudes alkohola koncentrācijas noteikšanai, no narkotisko vai citu apreibinošo vielu ietekmes pārbaudes, kamēr nav pagājis gads pēc administratīvā soda izpildes vai, ja sods nav izpildīts, kamēr nav pagājis gads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valsts drošības iestāžu rīcībā nav ziņu, ka persona neatbilst nacionālās drošības interesēm, var radīt draudus valsts drošībai, saistīta ar organizēto noziedzību vai kriminālsodāmām darbībām, vai nav ziņu, kas apliecinātu piederību pie aizliegtiem militarizētiem vai bruņotiem grupējumiem, sabiedriskām organizācijām (partijām) vai to apvienībām vai reliģiskām organizācijām, kuru darbība apdraud nacionālās drošības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Stratēģiskas nozīmes preču likuma (turpmāk - Likums) 5. panta ceturtās daļas 7. punkts paredz ierobežojumus par konkrētiem noziedzīgiem nodarījumiem. Toties projekta 2. panta ceturtajā daļā ietvertais Likuma 5. panta ceturtās daļas 6. punkta formulējums "kriminālsodāmas darbības" aptver visā Krimināllikumā minētos noziedzīgos nodarījumus. Tādējādi projekta 2. panta ceturtajā daļā ietvertais Likuma 5. panta ceturtās daļas 6. punkts ir pretrunā ar Likuma 5. panta ceturtās daļas 7. punktā izceltajiem noziedzīgajiem nodarījumiem. Tādējādi norādām, ka nepieciešams atteikties no vārdiem "kriminālsodāmām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formulējums "persona saistīta ar organizēto noziedzību" neatbilst krimināltiesiskajam regulējumam. Ja projekta 2. panta ceturtajā daļā ietvertā Likuma 5. panta ceturtās daļas 6. punkta mērķis ir noteikt ierobežojumu personām, kas izdarījušas noziedzīgu nodarījumu būdamas organizētā grupā, projekta 2. panta ceturtajā daļā ietvertais Likuma 5. panta ceturtās daļas 6. punkts papildināms ar vārdiem "persona, kura ir organizētās grupas dalībnieks". Tādējādi norādām, ka nepieciešams formulējumu "persona ir saistīta ar organizētā noziedzība" aizstāt ar vārdiem "persona ir organizētas grupas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redakcija Likumā iekļauta ar mērķi personas pārbaudes kritērijos iekļaut arī valsts drošības iestāžu kompetencē esošo informāciju, t.sk., ziņas par personu iesaisti tādos kriminālprocesos, kas varētu tikt vērtēti kā būtisks risks stratēģiskas nozīmes preču apritei un darbam ar stratēģiskas nozīmes precēm, atbilstoši Likuma 2.pantā noteiktajam mērķim. Minētais komentārs attiecināms arī uz Likuma 5.panta sestās daļas 10.punktu.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valsts drošības iestāžu rīcībā nav ziņu, ka persona neatbilst nacionālās drošības interesēm, var radīt draudus valsts drošībai, saistīta ar organizēto noziedzību vai kriminālsodāmām darbībām, vai nav ziņu, kas apliecinātu piederību pie aizliegtiem militarizētiem vai bruņotiem grupējumiem, sabiedriskām organizācijām (partijām) vai to apvienībām vai reliģiskām organizācijām, kuru darbība apdraud nacionālās drošības intereses;"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 nav sodīti, pat ja sodāmība dzēsta vai noņemta, par Krimināllikuma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panta trešajā daļā, 234. panta trešajā daļā, 236. panta otrajā daļā un 237. panta otrajā daļā minētajiem noziedzīgajiem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Stratēģiskas nozīmes preču aprites likuma 5. panta ceturtās daļas 7. punkts paredz, ka atļauja (licence) netiek izsniegta, ja persona sodīta par Krimināllikuma 233., 234., 236. un 237. pantā minētajiem noziedzīgajiem nodarījumiem. Savukārt likumprojekts paredz, ka atļauja (licence) netiek izsniegta, ja persona sodīta par Krimināllikuma 233. panta trešajā daļā, 234. panta trešajā daļā, 236. panta otrajā daļā un 237. panta otrajā daļā minētajiem noziedzīgajiem nodarījumiem. Attiecīgi secināms, ka atļauja (licence) būs izsniedzama gadījumā, ja persona sodīta par Krimināllikuma 233. panta pirmajā daļā (</w:t>
            </w:r>
            <w:r w:rsidR="00000000" w:rsidRPr="00000000" w:rsidDel="00000000">
              <w:rPr>
                <w:i w:val="1"/>
                <w:rtl w:val="0"/>
              </w:rPr>
              <w:t xml:space="preserve">šaujamieroča, šaujamieroča būtisko sastāvdaļu, šaujamieroča munīcijas, lielas enerģijas pneimatiskā ieroča, sprāgstvielas vai spridzināšanas ietaises realizēšana personai, kurai nav attiecīgas atļaujas vai speciālas atļaujas (licences), ja to izdarījusi persona, kurai ir attiecīga realizēšanas atļauja vai speciāla atļauja (licence)</w:t>
            </w:r>
            <w:r w:rsidR="00000000" w:rsidRPr="00000000" w:rsidDel="00000000">
              <w:rPr>
                <w:rtl w:val="0"/>
              </w:rPr>
              <w:t xml:space="preserve">), otrajā daļā (</w:t>
            </w:r>
            <w:r w:rsidR="00000000" w:rsidRPr="00000000" w:rsidDel="00000000">
              <w:rPr>
                <w:i w:val="1"/>
                <w:rtl w:val="0"/>
              </w:rPr>
              <w:t xml:space="preserve">šaujamieroča, šaujamieroča būtisko sastāvdaļu, šaujamieroča munīcijas, lielas enerģijas pneimatiskā ieroča, sprāgstvielas vai spridzināšanas ietaises izgatavošana, remontēšana, iegādāšanās, glabāšana, nēsāšana, pārvadāšana, pārsūtīšana vai realizēšana bez attiecīgas atļaujas</w:t>
            </w:r>
            <w:r w:rsidR="00000000" w:rsidRPr="00000000" w:rsidDel="00000000">
              <w:rPr>
                <w:rtl w:val="0"/>
              </w:rPr>
              <w:t xml:space="preserve">), 234. panta pirmajā daļā (</w:t>
            </w:r>
            <w:r w:rsidR="00000000" w:rsidRPr="00000000" w:rsidDel="00000000">
              <w:rPr>
                <w:i w:val="1"/>
                <w:rtl w:val="0"/>
              </w:rPr>
              <w:t xml:space="preserve">gāzes pistoles (revolvera) vai tai paredzētas ar kairinošas vai paralizējošas iedarbības vielām pildītas munīcijas izgatavošana bez attiecīgas atļaujas</w:t>
            </w:r>
            <w:r w:rsidR="00000000" w:rsidRPr="00000000" w:rsidDel="00000000">
              <w:rPr>
                <w:rtl w:val="0"/>
              </w:rPr>
              <w:t xml:space="preserve">), otrajā daļā (</w:t>
            </w:r>
            <w:r w:rsidR="00000000" w:rsidRPr="00000000" w:rsidDel="00000000">
              <w:rPr>
                <w:i w:val="1"/>
                <w:rtl w:val="0"/>
              </w:rPr>
              <w:t xml:space="preserve">gāzes pistoles (revolvera) pielietošanas vai izmantošanas nosacījumu vai kārtības pārkāpšana, ja ar to radīts būtisks kaitējums</w:t>
            </w:r>
            <w:r w:rsidR="00000000" w:rsidRPr="00000000" w:rsidDel="00000000">
              <w:rPr>
                <w:rtl w:val="0"/>
              </w:rPr>
              <w:t xml:space="preserve">), 236. panta pirmajā daļā (</w:t>
            </w:r>
            <w:r w:rsidR="00000000" w:rsidRPr="00000000" w:rsidDel="00000000">
              <w:rPr>
                <w:i w:val="1"/>
                <w:rtl w:val="0"/>
              </w:rPr>
              <w:t xml:space="preserve">šaujamieroča, šaujamieroča būtisko sastāvdaļu, šaujamieroča munīcijas, lielas enerģijas pneimatiskā ieroča, sprāgstvielas vai spridzināšanas ietaises glabāšana, nēsāšana, pārvadāšana vai pārsūtīšana, pārkāpjot normatīvos aktus, ja tā rezultātā kāds no minētajiem priekšmetiem nozaudēts vai to ieguvusi cita persona</w:t>
            </w:r>
            <w:r w:rsidR="00000000" w:rsidRPr="00000000" w:rsidDel="00000000">
              <w:rPr>
                <w:rtl w:val="0"/>
              </w:rPr>
              <w:t xml:space="preserve">), kā arī 237. panta pirmajā daļā (</w:t>
            </w:r>
            <w:r w:rsidR="00000000" w:rsidRPr="00000000" w:rsidDel="00000000">
              <w:rPr>
                <w:i w:val="1"/>
                <w:rtl w:val="0"/>
              </w:rPr>
              <w:t xml:space="preserve">šaujamieroča vai lielas enerģijas pneimatiskā ieroča pielietošanas vai izmantošanas nosacījumu vai kārtības pārkāpšana vai sprāgstvielu un spridzināšanas ietaišu izmantošanas kārtības pārkāpšana, ja to izdarījusi persona, kurai atļauts iegādāties, glabāt vai nēsāt šaujamieroci vai lielas enerģijas pneimatisko ieroci vai kurai ir tiesības izmantot sprāgstvielas un spridzināšanas ietaises, un ja ar to radīts būtisks kaitējums</w:t>
            </w:r>
            <w:r w:rsidR="00000000" w:rsidRPr="00000000" w:rsidDel="00000000">
              <w:rPr>
                <w:rtl w:val="0"/>
              </w:rPr>
              <w:t xml:space="preserve">)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likumprojekta sākotnējās ietekmes novērtējuma ziņojumu (anotāciju), sniedzot detalizētāku informāciju par nepieciešamību mīkstināt spēkā esošajā tiesiskajā regulējumā paredzētos ierobežojumus saistībā ar personas iepriekš izdarītajiem noziedzīgajiem nodarījumiem.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anotāciju, norādot, ka nav proporcionāli un samērīgi piemērot tik stingrus ierobežojumus personām, kuras neplāno darboties ar saraksta sadaļās ML1, ML2, ML3, ML4 un ML8 minētajām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nav sodīti, pat ja sodāmība dzēsta vai noņemta, par Krimināllikuma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panta trešajā daļā, 234. panta trešajā daļā, 236. panta otrajā daļā un 237. panta otrajā daļā minētajiem noziedzīgajiem nodarījumiem, izņemot gadījumus, kad aizliegums ir atcelts, veicot individuālu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 nav sodīti, pat ja sodāmība dzēsta vai noņemta, par Krimināllikuma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panta trešajā daļā, 234. panta trešajā daļā, 236. panta otrajā daļā un 237. panta otrajā daļā minētajiem noziedzīgajiem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projekta sākotnējās ietekmes novērtējuma ziņojums (turpmāk - anotācija) nesniedz skaidrojumu, kādēļ tieši par projekta 2. panta piektajā un sestajā daļā ietvertajā Likuma 5. panta ceturtās daļas 7. un 7.</w:t>
            </w:r>
            <w:r w:rsidR="00000000" w:rsidRPr="00000000" w:rsidDel="00000000">
              <w:rPr>
                <w:vertAlign w:val="superscript"/>
                <w:rtl w:val="0"/>
              </w:rPr>
              <w:t xml:space="preserve">1</w:t>
            </w:r>
            <w:r w:rsidR="00000000" w:rsidRPr="00000000" w:rsidDel="00000000">
              <w:rPr>
                <w:rtl w:val="0"/>
              </w:rPr>
              <w:t xml:space="preserve"> punktā uzskaitītajiem noziedzīgajiem nodarījumiem komersants nevar pretendēt uz speciālās atļaujas saņemšanu. Šajā sakarā vēlamies vērst uzmanību, ka nepieciešams anotācijā ietvert skaidrojumu, kādēļ tieši par attiecīgajiem noziedzīgajiem nodarījumiem būtu jānoteic ierobežojums speciālās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projekta 2. panta piektajā un sestajā daļā ietvertais Likuma 5. panta ceturtās daļas 7. un 7.</w:t>
            </w:r>
            <w:r w:rsidR="00000000" w:rsidRPr="00000000" w:rsidDel="00000000">
              <w:rPr>
                <w:vertAlign w:val="superscript"/>
                <w:rtl w:val="0"/>
              </w:rPr>
              <w:t xml:space="preserve">1</w:t>
            </w:r>
            <w:r w:rsidR="00000000" w:rsidRPr="00000000" w:rsidDel="00000000">
              <w:rPr>
                <w:rtl w:val="0"/>
              </w:rPr>
              <w:t xml:space="preserve"> punkts paredz absolūtu ierobežojumu personai (neatkarīgi no personas sodāmības dzēšanas vai noņemšanas). Šajā sakarā norādām, ka anotācija nesniedz pamatotu argumentāciju, kādēļ komersantam jānoteic absolūts ierobežojums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pēdējo piecu gadu laikā Satversmes tiesa arvien vairāk ierosina lietas par normatīvajos aktos noteiktajiem ierobežojumiem un lielākoties noteiktos ierobežojumus arī atzīst kā nesamērīgus un tādējādi Satversmei neatbilstošus. Tādējādi Tieslietu ministrija norāda, ka būtu svarīgi atteikties no absolūtiem tiesību ierobežojumiem tiesību normās, kā arī sašaurināt noziedzīgo nodarījumu loku, uz kuriem tiesību ierobežojumi ir attiecināmi, attiecinot ierobežojumu uz īpaši bīstamiem noziedzīgiem nodarījumiem un tādiem noziedzīgiem nodarījumiem, kas saistīti tieši ar konkrēto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norādām, ka anotācijā nepieciešams ietvert izvērtējumu atbilstoši zemāk minētajiem kritērijiem, kas pamatotu, kādēļ šādas atļaujas saņemšanai komersants var tikt pakļauts absolūtam tiesību ierobežojumam.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panta piektajā un sestajā daļā ietvertais Likuma 5. panta ceturtās daļas 7. un 7.</w:t>
            </w:r>
            <w:r w:rsidR="00000000" w:rsidRPr="00000000" w:rsidDel="00000000">
              <w:rPr>
                <w:vertAlign w:val="superscript"/>
                <w:rtl w:val="0"/>
              </w:rPr>
              <w:t xml:space="preserve">1</w:t>
            </w:r>
            <w:r w:rsidR="00000000" w:rsidRPr="00000000" w:rsidDel="00000000">
              <w:rPr>
                <w:rtl w:val="0"/>
              </w:rPr>
              <w:t xml:space="preserve"> punkts tieši neparedz personas nodarbošanās ierobežojumus, tomēr tas paredz ierobežojumu, kas liedz komersantam saņemt speciālo atļauju komercdarbībai ar Eiropas Savienības Kopējā militāro preču sarakstā minētajām precēm. Norādām, ka arī šāda ierobežojuma noteikšanai analogi nodarbinātības ierobežojumiem, jāveic ierobežojuma samērīguma izvērtējums pēc turpmāk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Saeimas Aizsardzības, iekšlietu un korupcijas novēršanas komisija ir aicinājusi Ministru kabinetu aktualizēt Ministru kabineta 2020. gada 3. marta sēdes protokollēmuma (prot. Nr. 9 40. §) 3. punktā noteikto uzdevumu un jaunās judikatūras kontekstā pārvērtēt normatīvajos aktos noteiktos aizliegumus personai izvēlēties nodarbošanos saistībā ar iepriekš izdarītu noziedzīgu nodarījumu un pārvērtēt esošo ierobežojumu nepieciešamību un samērīgumu. 2020. gada 3. marta Ministru kabineta sēdes protokollēmuma (prot. Nr. 9 40. §) 3. punkts ietver šādus kritērijus, pēc kuriem vērtēt ierobežojuma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vai aizliegums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vai aizliegumu ir iespējams attiecināt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vai aizliegumu ir iespējams attiecināt tikai uz atsevišķiem noziedzīgiem nodarījumiem (piemēram, autortiesību un blakustiesību pārkāpšana saskaņā ar Krimināllikuma 148.pantu, izvairīšanās no nodokļu un tiem pielīdzināto maksājumu nomaksas saskaņā ar Krimināllikuma 218.pantu un būvniecības noteikumu pārkāpšana saskaņā ar Krimināllikuma 239.pantu);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vai aizliegumu ir iespējams attiecināt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vai atbilstoši, proti, no kaitīgākā uz mazāk kaitīgu, aizliegumu ir iespējams attiecināt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vai aizliegumu ir iespējams neattiecināt uz personām, kuras noziedzīgu nodarījumu izdarījušas būdamas nepilngadīgas;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vai absolūtu aizliegumu ir iespējams aizstāt ar terminētu aizliegumu, proti, tādu, kas beidzas līdz ar sodāmības dzēšanu vai noņemšanu;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vai absolūtu aizliegumu ir iespējams atcelt, veicot individuālu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par konkrētajiem uzskaitītajiem noziedzīgiem nodarījumiem jau iepriekš bijis absolūts aizliegums, kā arī noradīts, ka Likumprojekta 2.panta piektajā un sestajā daļā ietvertajā Likuma 5.panta ceturtās daļas 7. un 7.</w:t>
            </w:r>
            <w:r w:rsidR="00000000" w:rsidRPr="00000000" w:rsidDel="00000000">
              <w:rPr>
                <w:vertAlign w:val="superscript"/>
                <w:rtl w:val="0"/>
              </w:rPr>
              <w:t xml:space="preserve">1</w:t>
            </w:r>
            <w:r w:rsidR="00000000" w:rsidRPr="00000000" w:rsidDel="00000000">
              <w:rPr>
                <w:rtl w:val="0"/>
              </w:rPr>
              <w:t xml:space="preserve"> punktā uzskaitīto noziedzīgo nodarījumu mērķis ir aizliegt veikt darbu ar stratēģiskas nozīmes precēm tām personām, kuras notiesātas par tādu tīšu noziedzīgu nodarījumu izdarīšanu, kas ir bijuši īpaši kaitīgi sabiedriskajai drošībai vai saistīti ar stratēģiskas nozīmes preču izmantošanu. Uzskaitītie noziedzīgie nodarījumi ir smagi vai sevišķi smagi noziegumi, kā arī vērsti pret cilvēci un mieru, kara noziegumi, genocīds, noziegumi, kas saistīti ar terorismu vai vērsti pret valsti, neatkarīgi no noziedzīgu nodarījumu klasifikācijas. Stratēģiskas nozīmes preču pieejamība šādām personām var radīt būtisku sabiedriskās drošības apdraudējumu, un šāds ierobežojums samazina iespējamību, ka persona atkārtoti var izdarīt līdzīga rakstura noziedzīgus nodarījumus. Nav pieļaujama tādu personu, kas izdarījušas Krimināllikuma IX, IX</w:t>
            </w:r>
            <w:r w:rsidR="00000000" w:rsidRPr="00000000" w:rsidDel="00000000">
              <w:rPr>
                <w:vertAlign w:val="superscript"/>
                <w:rtl w:val="0"/>
              </w:rPr>
              <w:t xml:space="preserve">1</w:t>
            </w:r>
            <w:r w:rsidR="00000000" w:rsidRPr="00000000" w:rsidDel="00000000">
              <w:rPr>
                <w:rtl w:val="0"/>
              </w:rPr>
              <w:t xml:space="preserve"> vai X nodaļā paredzētos minētos noziedzīgos nodarījumus, iesaiste darbā ar stratēģiskas nozīmes precēm, jo tādējādi var tikt radīti draudi Latvijas Republikas nacionālajām un starptautiskajām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nav sodīti, pat ja sodāmība dzēsta vai noņemta, par Krimināllikuma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panta trešajā daļā, 234. panta trešajā daļā, 236. panta otrajā daļā un 237. panta otrajā daļā minētajiem noziedzīgajiem nodarījumiem, izņemot gadījumus, kad aizliegums ir atcelts, veicot individuālu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IX1, X nodaļā minētajiem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veikt labojumus projekta 2. panta sestajā daļā ietvertajā Likuma 5. panta ceturtās daļas 7.</w:t>
            </w:r>
            <w:r w:rsidR="00000000" w:rsidRPr="00000000" w:rsidDel="00000000">
              <w:rPr>
                <w:vertAlign w:val="superscript"/>
                <w:rtl w:val="0"/>
              </w:rPr>
              <w:t xml:space="preserve">1</w:t>
            </w:r>
            <w:r w:rsidR="00000000" w:rsidRPr="00000000" w:rsidDel="00000000">
              <w:rPr>
                <w:rtl w:val="0"/>
              </w:rPr>
              <w:t xml:space="preserve"> punkta formulējumā. Persona nevar tikt sodīta par Krimināllikuma nodaļā esošajiem "pantiem". Tādējādi nepieciešams norādīt, ka persona nav sodīta par Krimināllikuma IX, IX</w:t>
            </w:r>
            <w:r w:rsidR="00000000" w:rsidRPr="00000000" w:rsidDel="00000000">
              <w:rPr>
                <w:vertAlign w:val="superscript"/>
                <w:rtl w:val="0"/>
              </w:rPr>
              <w:t xml:space="preserve">1</w:t>
            </w:r>
            <w:r w:rsidR="00000000" w:rsidRPr="00000000" w:rsidDel="00000000">
              <w:rPr>
                <w:rtl w:val="0"/>
              </w:rPr>
              <w:t xml:space="preserve">, X nodaļā minētajiem noziedzīgajiem nodarījumiem.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persona nav sodīta par Krimināllikuma IX, IX</w:t>
            </w:r>
            <w:r w:rsidR="00000000" w:rsidRPr="00000000" w:rsidDel="00000000">
              <w:rPr>
                <w:vertAlign w:val="superscript"/>
                <w:rtl w:val="0"/>
              </w:rPr>
              <w:t xml:space="preserve">1</w:t>
            </w:r>
            <w:r w:rsidR="00000000" w:rsidRPr="00000000" w:rsidDel="00000000">
              <w:rPr>
                <w:rtl w:val="0"/>
              </w:rPr>
              <w:t xml:space="preserve">, X nodaļā minētajiem noziedzīgajiem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w:t>
            </w:r>
            <w:r w:rsidR="00000000" w:rsidRPr="00000000" w:rsidDel="00000000">
              <w:rPr>
                <w:vertAlign w:val="superscript"/>
                <w:rtl w:val="0"/>
              </w:rPr>
              <w:t xml:space="preserve">1</w:t>
            </w:r>
            <w:r w:rsidR="00000000" w:rsidRPr="00000000" w:rsidDel="00000000">
              <w:rPr>
                <w:rtl w:val="0"/>
              </w:rPr>
              <w:t xml:space="preserve">, X nodaļā minētajiem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"12) nav ierobežotas (atņemtas uz laiku vai anulētas) ieroču un munīcijas, to sastāvdaļu un speciālo līdzekļu  iegādāšanās, glabāšanas, nēsāšanas, pārvadāšanas, pārsūtīšanas tiesības vai tiesības nodarboties ar komercdarbību ieroču aprites jomā  - kamēr nav pagājis gads pēc soda izpildes vai tiesību anulēšanas."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Stratēģiskas nozīmes preču aprites likuma 5. panta ceturtās daļas 5. punkts paredz, ka speciālo atļauju (licenci) komercdarbībai ar Eiropas Savienības Kopējā militāro preču sarakstā minētajām precēm ir tiesīgi saņemt Latvijas Republikā reģistrēti individuālie komersanti vai komercsabiedrības, ja to dalībnieki (fiziskās personas), izņemot akcionārus, kuru līdzdalība sabiedrības pamatkapitālā ir mazāka par 10 procentiem no sabiedrības pamatkapitāla, patiesie labuma guvēji, prokūristi, vadītāji un personas, kas ieņem amatus pārvaldes institūcijās, kā arī darbinieki, kas tieši saistīti ar Eiropas Savienības Kopējā militāro preču sarakstā minēto preču ražošanu, remontu, realizēšanu, glabāšanu, transportēšanu, ar tiem saistīto pakalpojumu sniegšanu vai apsardzi, ja tie nav administratīvi sodīti par ieroču un munīcijas, to sastāvdaļu un speciālo līdzekļu iegādāšanās, glabāšanas, nēsāšanas, pārvadāšanas, pārsūtīšanas un realizēšanas noteikumu pārkāpumiem — kamēr nav pagājis gads pēc administratīvā soda izpildes vai, ja sods nav izpildīts, kamēr nav pagājis gads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spēkā esošais likums paredz, ka attiecīgo atļauju (licenci) neizsniedz, ja ir izdarīts jebkurš administratīvais pārkāpums par ieroču un munīcijas, to sastāvdaļu un speciālo līdzekļu iegādāšanās, glabāšanas, nēsāšanas, pārvadāšanas, pārsūtīšanas un realizēšanas noteikumu pārkāpumiem, neatkarīgi no tā, vai par šo pārkāpumu personai ir vai nav piemērots sods, kas saistīts ar tiesību atņemšanu vai ierobežošanu ieroču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likumprojekta izriet, ka speciālo atļauju (licenci) neizsniedz, ja Stratēģiskas nozīmes preču aprites likuma 5. panta ceturtās daļas ievaddaļā minētajām personām ir ierobežotas (atņemtas uz laiku vai anulētas) ieroču un munīcijas, to sastāvdaļu un speciālo līdzekļu  iegādāšanās, glabāšanas, nēsāšanas, pārvadāšanas, pārsūtīšanas tiesības vai tiesības nodarboties ar komercdarbību ieroču aprites jomā  - kamēr nav pagājis gads pēc soda izpildes vai tiesību anulēšanas.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piemēram, ja persona tiks saukta pie administratīvās atbildības par Ieroču aprites likumā paredzētajiem administratīvajiem pārkāpumiem ieroču, munīcijas, to sastāvdaļu un speciālo līdzekļu aprites jomā, nepiemērojot ieroču un munīcijas, to sastāvdaļu un speciālo līdzekļu  iegādāšanās, glabāšanas, nēsāšanas, pārvadāšanas, pārsūtīšanas tiesību vai tiesību nodarboties ar komercdarbību ieroču aprites jomā ierobežošanu, attiecīgā atļauja (licence) tiks izsniegta.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likumprojektā ietvertais regulējums ir plašāks un nav saistāms tikai ar likumprojekta sākotnējās ietekmes novērtējuma ziņojumā (anotācijā) norādīto nepieciešamību "</w:t>
            </w:r>
            <w:r w:rsidR="00000000" w:rsidRPr="00000000" w:rsidDel="00000000">
              <w:rPr>
                <w:i w:val="1"/>
                <w:rtl w:val="0"/>
              </w:rPr>
              <w:t xml:space="preserve">sadalīt likuma 5. panta ceturtās daļas 5. punkta regulējumu atbilstoši pārkāpumu veidiem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papildināt likumprojekta sākotnējās ietekmes novērtējuma ziņojumu (anotāciju) ar attiecīgu skaidrojumu par Stratēģiskas nozīmes preču aprites likumā ietverto prasību pārskatīšanu, pamatojot nepieciešamību mīkstināt tajā ietvertos ierobežojumus attiecībā uz personām, kuras administratīvi sodītas par ieroču un munīcijas, to sastāvdaļu un speciālo līdzekļu iegādāšanās, glabāšanas, nēsāšanas, pārvadāšanas, pārsūtīšanas un realizēšanas noteikumu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norādot anotācijā, ka nevis "sadalīt likuma 5. panta ceturtās daļas 5. punkta regulējumu atbilstoši pārkāpumu veidiem", bet "Nepieciešams pārskatīt likuma 5. panta ceturtās daļas 5. punkta ietverto prasību nepieciešamību, mīkstināt tajā ietvertos ierobežojumus attiecībā uz personām, kuras administratīvi sodītas par ieroču un munīcijas, to sastāvdaļu un speciālo līdzekļu iegādāšanās, glabāšanas, nēsāšanas, pārvadāšanas, pārsūtīšanas un realizēšanas noteikumu pārkāpumiem, bet kuras netiek plānots iesaistīt darbā ar tajās saraksta sadaļās minētajām precēm, kuras nav saistītas ar ieročiem, munīciju un sprāgstvielām."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nav ierobežotas (atņemtas uz laiku vai anulētas) ieroču un munīcijas, to sastāvdaļu un speciālo līdzekļu  iegādāšanās, glabāšanas, nēsāšanas, pārvadāšanas, pārsūtīšanas tiesības vai tiesības nodarboties ar komercdarbību ieroču aprites jomā  - kamēr nav pagājis gads pēc soda izpildes vai tiesību anulēšanas."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izteikt sestās daļas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un argumentēti pamatot projekta 2.</w:t>
            </w:r>
            <w:r w:rsidR="00000000" w:rsidRPr="00000000" w:rsidDel="00000000">
              <w:rPr>
                <w:b w:val="1"/>
                <w:rtl w:val="0"/>
              </w:rPr>
              <w:t xml:space="preserve"> pantā paredzētā</w:t>
            </w:r>
            <w:r w:rsidR="00000000" w:rsidRPr="00000000" w:rsidDel="00000000">
              <w:rPr>
                <w:b w:val="1"/>
                <w:rtl w:val="0"/>
              </w:rPr>
              <w:t xml:space="preserve"> likuma</w:t>
            </w:r>
            <w:r w:rsidR="00000000" w:rsidRPr="00000000" w:rsidDel="00000000">
              <w:rPr>
                <w:b w:val="1"/>
                <w:rtl w:val="0"/>
              </w:rPr>
              <w:t xml:space="preserve"> 5. panta sestās daļas 3. punktā paredzēto ierobežojumu nepieciešamību, pieļaujamību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nav ietverts argumentēts pamatojums projekta 2. panta 11. daļā ietvertajā likuma 5. panta sestās daļas 3. punkta grozījumu nepieciešamībai, kā arī minētajā punktā noteiktajiem ierobežojumiem attiecībā uz Aizsardzības ministrijas izsniegto speciālo atļauju (licenci) komercdarbībai.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ierobežojuma attaisnojamības izvērtējumu kopsakarā ar katru pārkāpumu.  Turklāt jābūt argumentēti pamatotam, kāpēc ir izraudzīti tieši tādi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esošajā likuma redakcijā jau ir noteikti sekojošie ierobežojumi: komersants ar tiesas spriedumu atzīts par vainīgu līdzdalībā noziedzīgā organizācijā, krāpnieciskās darbībās finanšu jomā vai noziedzīgi iegūtu līdzekļu legalizācijā, komersants ar tiesas spriedumu pasludināts par maksātnespējīgu, tā saimnieciskā darbība apturēta vai pārtraukta vai ir uzsākta tiesvedība par komersanta bankrotu, pamatojoties uz spēkā stājušos tiesas spriedumu vai citas kompetentas institūcijas sniegtu atzinumu par būtisku attiecīgo nozari regulējošo normatīvo aktu pārkāpumu, kā arī vides aizsardzības, konkurences un darba tiesību būtisku pārkāpumu, ir konstatēti komersanta profesionālās darbības pārkāpumi pēdējo triju gadu laikā līdz attiecīgā Aizsardzības ministrijas lēmuma izskatīšanai. Līdz ar to netiek uzliktas jaunas prasības. Normatīvais regulējums tiek precizēts, mīkstinot prasības komersantiem, jo no kritērijiem tiek izslēgtas tās jomas un pārkāpumu kategorijas, kas konkrētās atļaujas izsniegšanas kontekstā nav aktuālas vai nav saistītas tiešā veidā ar attiecīgo darbības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komersantu pēdējo trīs gadu laikā piemērots piespiedu ietekmēšanas līdzeklis, vai komersants ar kompetentas institūcijas lēmumu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tiesības uz nodarbinātību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"3) komersants pēdējo trīs gadu laikā ar kompetentas institūcijas lēmumu, tiesas spriedumu vai prokurora priekšrakstu par sodu, kas stājies spēkā un kļuvis neapstrīdams un nepārsūdzams, ir atzīts par vainīgu un sodīts par pārkāpumu, kurš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darba atļaujas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Imigrācijas likuma 9. pantu ārzemniekam tiek piešķirtas tiesības uz nodarbinātību, bet ne darba atļauja. Tāpat saskaņā ar Imigrācijas likuma 68.</w:t>
            </w:r>
            <w:r w:rsidR="00000000" w:rsidRPr="00000000" w:rsidDel="00000000">
              <w:rPr>
                <w:vertAlign w:val="superscript"/>
                <w:rtl w:val="0"/>
              </w:rPr>
              <w:t xml:space="preserve">5 </w:t>
            </w:r>
            <w:r w:rsidR="00000000" w:rsidRPr="00000000" w:rsidDel="00000000">
              <w:rPr>
                <w:rtl w:val="0"/>
              </w:rPr>
              <w:t xml:space="preserve">pantu administratīvā atbildība ir paredzēta par personu nodarbināšanu, ja tām nav piešķirtas tiesības uz nodarbinātību un to nepieciešamību nosaka Imigrācijas likums. Ievērojot minēto, precizēt likumprojektā lietoto terminu "darba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pēdējo trīs gadu laikā ar kompetentas institūcijas lēmumu, tiesas spriedumu, kas stājies spēkā un kļuvis neapstrīdams un nepārsūdzams, ir atzīts par vainīgu un sodīts par pārkāpumu, kurš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tiesības uz nodarbinātību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pret komersantu pēdējo trīs gadu laikā piemērots piespiedu ietekmēšanas līdzeklis, vai komersants ar kompetentas institūcijas lēmumu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tiesības uz nodarbinātību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"3) komersants pēdējo trīs gadu laikā ar kompetentas institūcijas lēmumu, tiesas spriedumu vai prokurora priekšrakstu par sodu, kas stājies spēkā un kļuvis neapstrīdams un nepārsūdzams, ir atzīts par vainīgu un sodīts par pārkāpumu, kurš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darba atļaujas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Krimināllikuma 70.</w:t>
            </w:r>
            <w:r w:rsidR="00000000" w:rsidRPr="00000000" w:rsidDel="00000000">
              <w:rPr>
                <w:vertAlign w:val="superscript"/>
                <w:rtl w:val="0"/>
              </w:rPr>
              <w:t xml:space="preserve">1</w:t>
            </w:r>
            <w:r w:rsidR="00000000" w:rsidRPr="00000000" w:rsidDel="00000000">
              <w:rPr>
                <w:rtl w:val="0"/>
              </w:rPr>
              <w:t xml:space="preserve"> pantu, juridiskai personai par noziedzīgu nodarījumu piemēro piespiedu ietekmēšanas līdzekli, tādējādi tā nevar tikt atzīta par vainīgu vai sodīta.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projekta 2. panta 11. daļā ietvertajā 5. panta sestās daļas 3. punktā saskatāmi gan kriminālatbildības, gan administratīvās atbildības jautājumi, tādējādi tiek piedāvāts nodalīt kriminālatbildības jautājumus (a) apakšpunktu), pievienojot to 7. punkta uzskaitījumam. Minētās darbības ir sodāmas saskaņā ar Krimināllikuma 280.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2. panta 11. daļā ietvertajā 5. panta sestās daļas 3. punktā nepieciešams izslēgt vārdus "prokurora priekšraksts par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pēdējo trīs gadu laikā ar kompetentas institūcijas lēmumu, tiesas spriedumu, kas stājies spēkā un kļuvis neapstrīdams un nepārsūdzams, ir atzīts par vainīgu un sodīts par pārkāpumu, kurš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tiesības uz nodarbinātību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pret komersantu pēdējo trīs gadu laikā piemērots piespiedu ietekmēšanas līdzeklis, vai komersants ar kompetentas institūcijas lēmumu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nepieciešamās tiesības uz nodarbinātību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Aizsardzības ministrija speciālo atļauju (licenci) izsniedz 8 mēnešu laikā no iesnieguma saņemšanas dienas. Ja objektīvu iemeslu dēļ minēto termiņu nav iespējams ievērot, Aizsardzības ministrija pārbaudes termiņu var pagarināt."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2. panta 17. daļā ietvertajā Likuma 5. panta 6.</w:t>
            </w:r>
            <w:r w:rsidR="00000000" w:rsidRPr="00000000" w:rsidDel="00000000">
              <w:rPr>
                <w:vertAlign w:val="superscript"/>
                <w:rtl w:val="0"/>
              </w:rPr>
              <w:t xml:space="preserve">1</w:t>
            </w:r>
            <w:r w:rsidR="00000000" w:rsidRPr="00000000" w:rsidDel="00000000">
              <w:rPr>
                <w:rtl w:val="0"/>
              </w:rPr>
              <w:t xml:space="preserve"> daļas pirmajā teikumā paredzētā astoņu mēnešu termiņa speciālās atļaujas (licences) izsniegšanai noteikšanas nepieciešamību, ņemot vērā to, ka šobrīd Likumā no Administratīvā procesa likuma 64. panta pirmajā daļā paredzētā viena mēneša termiņa atšķirīgs termiņš nav noteikts. Vēršam uzmanību uz to, ka projektā ir paredzēts būtiski pagarināt speciālās atļaujas (licences) izsniegšanas termiņu. Vienlaikus lūdzam normas otrajā teikumā paredzēt, uz kādu termiņu Aizsardzības ministrija varēs pagarināt paredzēto astoņu mēnešu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objektīva nepieciešamība paredzēt iespēju pagarināt pārbaudes termiņu, jo īsākā laikā nav iespējams pieņemt lēmumu pēc būtības. Pilnvērtīgu pārbaudi nav iespējams veikt, kamēr nav saņemts pilns dokumentu un informācijas apjoms, tostarp informācija no ārvalstu iestādēm, kuru sniegšanas termiņi nav Latvijas iestāžu kontrolē. Pēc šīs informācijas saņemšanas ir nepieciešams papildu laiks tās izvērtēšanai, lai nodrošinātu pamatotu un valsts drošības interesēm atbilstošu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Aizsardzības ministrija speciālo atļauju (licenci) izsniedz 8 mēnešu laikā no iesnieguma saņemšanas dienas. Ja objektīvu iemeslu dēļ minēto termiņu nav iespējams ievērot, Aizsardzības ministrija pārbaudes termiņu var pagarināt."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2</w:t>
            </w:r>
            <w:r w:rsidR="00000000" w:rsidRPr="00000000" w:rsidDel="00000000">
              <w:rPr>
                <w:rtl w:val="0"/>
              </w:rPr>
              <w:t xml:space="preserve">) šā likuma 5. panta ceturtās daļas 6.punktā un sestās daļas 10.punktā noteiktās valsts drošības iestādes pārbaudes termiņa skaitījums sākas pēc visu pārbaudes veikšanai nepieciešamo dokumentu saņemšanas. Valsts drošības iestāde pārbaudi veic trīs mēnešu laikā. Ja objektīvu iemeslu dēļ pārbaudi nav iespējams veikt norādītajā termiņā, valsts drošības iestāde pārbaudes termiņu var pagarināt par trim mēnešiem, par to rakstveidā informējot Aizsardzības ministriju. Ja pārbaudes laikā nepieciešams saņemt papildu informāciju no ārvalstīm, valsts drošības iestāde pārbaudes veikšanas termiņa skaitījumu aptur līdz informācijas saņemšanas dienai, par to nosūtot paziņojumu Aizsardzības ministrijai. Aizsardzības ministrija pēc informācijas saņemšanas par pārbaudes veikšanas termiņa skaitījuma apturēšanu, par to informē komersantu un aptur speciālās atļaujas (licences) izsniegšanas termiņa 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2. panta 18. daļā ietvertajā Likuma 5. panta 6.</w:t>
            </w:r>
            <w:r w:rsidR="00000000" w:rsidRPr="00000000" w:rsidDel="00000000">
              <w:rPr>
                <w:vertAlign w:val="superscript"/>
                <w:rtl w:val="0"/>
              </w:rPr>
              <w:t xml:space="preserve">2</w:t>
            </w:r>
            <w:r w:rsidR="00000000" w:rsidRPr="00000000" w:rsidDel="00000000">
              <w:rPr>
                <w:rtl w:val="0"/>
              </w:rPr>
              <w:t xml:space="preserve"> daļā paredzētā regulējuma nepieciešamību, jo īpaši pamatojot: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kāpēc valsts drošības iestādes pārbaudes termiņa skaitījums sākas tikai pēc visu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pārbaudes veikšanai ir nepieciešams trīs mēnešu termiņš, paredzot iespēju šo termiņu pagarināt vēl uz trīs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kāpēc ir nepieciešams paredzēt regulējumu par termiņa apturēšanu, ņemot vērā to, ka Administratīvā procesa likums šādu regulējumu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nelietderīgu valsts drošības iestāžu resursu izmantošanu, valsts drošības iestāde pārbaudi uzsāk tikai tad, kad tiks saņemts apstiprinājums, ka persona (juridiska vai fiziska) atbilst Likumā noteiktajiem kritērijiem (izņemot 5.panta ceturtās daļas 6.punktu un sestās daļas 10.punktu) un tā ir iesniegusi visus nepieciešamos dokumentus. Ņemot vērā līdzšinējo praksi, kā arī paredzamo pārbaužu veikšanas laiku, kas nepieciešams informācijas ieguvei no komersantiem (t.sk., ārvalstīs reģistrētām un dzīvojošām personām), par pamatu termiņa noteikšanai tika ņemti Ministru kabineta 2018.gada 14.jūlija noteikumi Nr.417 “Industriālās drošības sertifikātu noteikumi.” Likums noteic kritērijus kādiem juridiskai un fiziskai personai jāatbilst, lai veiktu darbu ar stratēģiskas nozīmes precēm, savukārt, Ministru kabineta noteikumi Nr.331 “Kārtība, kādā izsniedz speciālās atļaujas (licences) komercdarbībai ar Eiropas Savienības Kopējā militāro preču sarakstā minētajām precēm” noteic, kādus dokumentus komersantam jāiesniedz speciālās atļaujas (licences) saņemšanai un kāda informācija pārbaudes ietvaros ir jāiegūst Aizsardzības ministrijas licencēšanas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arī komentāru pie izziņas 10. punkta.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šā likuma 5. panta ceturtās daļas 6.punktā un sestās daļas 10.punktā noteiktās valsts drošības iestādes pārbaudes termiņa skaitījums sākas pēc visu pārbaudes veikšanai nepieciešamo dokumentu saņemšanas. Valsts drošības iestāde pārbaudi veic trīs mēnešu laikā. Ja objektīvu iemeslu dēļ pārbaudi nav iespējams veikt norādītajā termiņā, valsts drošības iestāde pārbaudes termiņu var pagarināt par trim mēnešiem, par to rakstveidā informējot Aizsardzības ministriju. Ja pārbaudes laikā nepieciešams saņemt papildu informāciju no ārvalstīm, valsts drošības iestāde pārbaudes veikšanas termiņa skaitījumu aptur līdz informācijas saņemšanas dienai, par to nosūtot paziņojumu Aizsardzības ministrijai. Aizsardzības ministrija pēc informācijas saņemšanas par pārbaudes veikšanas termiņa skaitījuma apturēšanu, par to informē komersantu un aptur speciālās atļaujas (licences) izsniegšanas termiņa skaitījumu."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4</w:t>
            </w:r>
            <w:r w:rsidR="00000000" w:rsidRPr="00000000" w:rsidDel="00000000">
              <w:rPr>
                <w:rtl w:val="0"/>
              </w:rPr>
              <w:t xml:space="preserve">) lēmumu par speciālās atļaujas (licences) izsniegšanu vai atteikumu to izsniegt Aizsardzības ministrija pieņem mēneša laikā pēc visu nepieciešamo dokumentu un atzinumu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 panta 17. daļā ietverto regulējumu, ka speciālo atļauju (licenci) izsniedz astoņu mēnešu laikā no iesnieguma saņemšanas dienas, lūdzam izslēgt projekta 2. panta 20. daļu, kas paredz papildināt Likuma 5. pantu ar 6.</w:t>
            </w:r>
            <w:r w:rsidR="00000000" w:rsidRPr="00000000" w:rsidDel="00000000">
              <w:rPr>
                <w:vertAlign w:val="superscript"/>
                <w:rtl w:val="0"/>
              </w:rPr>
              <w:t xml:space="preserve">4</w:t>
            </w:r>
            <w:r w:rsidR="00000000" w:rsidRPr="00000000" w:rsidDel="00000000">
              <w:rPr>
                <w:rtl w:val="0"/>
              </w:rPr>
              <w:t xml:space="preserve"> daļu, nosakot, ka lēmumu par speciālās atļaujas (licences) izsniegšanu vai atteikumu to izsniegt Aizsardzības ministrija pieņem mēneša laikā pēc visu nepieciešamo dokumentu un atzinumu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izziņas 10.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lēmumu par speciālās atļaujas (licences) izsniegšanu vai atteikumu to izsniegt Aizsardzības ministrija pieņem mēneša laikā pēc visu nepieciešamo dokumentu un atzinumu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4</w:t>
            </w:r>
            <w:r w:rsidR="00000000" w:rsidRPr="00000000" w:rsidDel="00000000">
              <w:rPr>
                <w:rtl w:val="0"/>
              </w:rPr>
              <w:t xml:space="preserve">) lēmumu par speciālās atļaujas (licences) izsniegšanu vai atteikumu to izsniegt Aizsardzības ministrija pieņem mēneša laikā pēc visu nepieciešamo dokumentu un atzinumu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nepieciešamību papildināt Stratēģiskas nozīmes preču aprites likuma 5. pantu ar (6</w:t>
            </w:r>
            <w:r w:rsidR="00000000" w:rsidRPr="00000000" w:rsidDel="00000000">
              <w:rPr>
                <w:vertAlign w:val="superscript"/>
                <w:rtl w:val="0"/>
              </w:rPr>
              <w:t xml:space="preserve">4</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izziņas 10.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lēmumu par speciālās atļaujas (licences) izsniegšanu vai atteikumu to izsniegt Aizsardzības ministrija pieņem mēneša laikā pēc visu nepieciešamo dokumentu un atzinumu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pausto iebildumu un norāda, ka likumprojekta anotācijā ir nepieciešams ietvert tiesību akta administratīvo un atbilstības izmaksu monetāru novērtējumu, ņemot vērā, ka ar likumprojektu ir paredzēts mazināt administratīvo slogu komersantiem attiecībā uz speciālās atļaujas (licences) saņemšanas kārtību komercdarbībai ar Eiropas Savienības Kopējā militāro preču sarakstā minētajām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noteikumu Nr. 617 “Tiesību akta projekta sākotnējās ietekmes izvērtēšanas kārtība” 15. punktam tiesību aktu projektos ir nepieciešams veikt administratīvo izmaksu monetāru novērtējumu, ja tas paredz vai maina pienākumus, kuru izpildei nepieciešama iesniegumu, pārskatu, deklarāciju, lūgumu, paziņojumu un pieteikumu iesniegšana, datu ievade vai aktualizēšana informācijas sistēmās, dokumentu glabāšana un uzrādīšana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un 7. sadaļu, tostarp veicot atbilstošus administratīvo izmaksu aprēķinus. Skaidrojam, ka novērtējums par fiziskām personām vai privāto tiesību juridiskām personām ir aizpildāms anotācijas 2. sadaļā, savukārt valsts un pašvaldību iestādēm – anotācijas 7.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veikts un iesniegts pēcnovērtējums, kurā pēc gada perioda kopš grozījumu stāšanās spēkā tiks izvērtēti faktiskie ieguvumi un administratīvā sloga izmaiņas komersantiem. Šajā posmā būs iespējams objektīvi noteikt, kā regulējuma mīkstināšana un procedūru vienkāršošana ir ietekmējusi administratīvās izmaksas, un attiecīgi veikt monetāru novērtējumu, balstoties uz komersantu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"Risinājuma apraksts" norādīts: "Likumprojekts paredz papildināt likuma 5. pantu ar </w:t>
            </w:r>
            <w:r w:rsidR="00000000" w:rsidRPr="00000000" w:rsidDel="00000000">
              <w:rPr>
                <w:u w:val="single"/>
                <w:rtl w:val="0"/>
              </w:rPr>
              <w:t xml:space="preserve">4.</w:t>
            </w:r>
            <w:r w:rsidR="00000000" w:rsidRPr="00000000" w:rsidDel="00000000">
              <w:rPr>
                <w:u w:val="single"/>
                <w:vertAlign w:val="superscript"/>
                <w:rtl w:val="0"/>
              </w:rPr>
              <w:t xml:space="preserve">2</w:t>
            </w:r>
            <w:r w:rsidR="00000000" w:rsidRPr="00000000" w:rsidDel="00000000">
              <w:rPr>
                <w:u w:val="single"/>
                <w:rtl w:val="0"/>
              </w:rPr>
              <w:t xml:space="preserve"> </w:t>
            </w:r>
            <w:r w:rsidR="00000000" w:rsidRPr="00000000" w:rsidDel="00000000">
              <w:rPr>
                <w:rtl w:val="0"/>
              </w:rPr>
              <w:t xml:space="preserve">un 4.</w:t>
            </w:r>
            <w:r w:rsidR="00000000" w:rsidRPr="00000000" w:rsidDel="00000000">
              <w:rPr>
                <w:vertAlign w:val="superscript"/>
                <w:rtl w:val="0"/>
              </w:rPr>
              <w:t xml:space="preserve">3</w:t>
            </w:r>
            <w:r w:rsidR="00000000" w:rsidRPr="00000000" w:rsidDel="00000000">
              <w:rPr>
                <w:rtl w:val="0"/>
              </w:rPr>
              <w:t xml:space="preserve"> daļu, nosakot, ka šā panta ceturtās daļas 7., </w:t>
            </w:r>
            <w:r w:rsidR="00000000" w:rsidRPr="00000000" w:rsidDel="00000000">
              <w:rPr>
                <w:u w:val="single"/>
                <w:rtl w:val="0"/>
              </w:rPr>
              <w:t xml:space="preserve">7</w:t>
            </w:r>
            <w:r w:rsidR="00000000" w:rsidRPr="00000000" w:rsidDel="00000000">
              <w:rPr>
                <w:u w:val="single"/>
                <w:vertAlign w:val="superscript"/>
                <w:rtl w:val="0"/>
              </w:rPr>
              <w:t xml:space="preserve">1</w:t>
            </w:r>
            <w:r w:rsidR="00000000" w:rsidRPr="00000000" w:rsidDel="00000000">
              <w:rPr>
                <w:rtl w:val="0"/>
              </w:rPr>
              <w:t xml:space="preserve"> un 12. punktā noteiktās prasības nav attiecināmas uz komersantiem, kuri plāno saņemt vai ir saņēmuši Aizsardzības ministrijas izsniegto speciālo atļauju (licenci) komercdarbībai ar Eiropas Savienības Kopējā militāro preču saraksta sadaļās ML5 - ML7 un ML9 - ML22 minētajām precēm, un to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divi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ir tiesības pieprasīt informāciju par Latvijas Republikā reģistrētu individuālo komersantu vai komercsabiedrību dalībniekiem, kuru pamatkapitāla daļu skaits ir mazāks par 10 procentiem, un akcionārus, kuru līdzdalība sabiedrības pamatkapitālā ir mazāka par 10 procentiem no sabiedrības pamatkapitāla, lai novērstu valsts nacionālās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trīs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ceturtās daļas </w:t>
            </w:r>
            <w:r w:rsidR="00000000" w:rsidRPr="00000000" w:rsidDel="00000000">
              <w:rPr>
                <w:u w:val="single"/>
                <w:rtl w:val="0"/>
              </w:rPr>
              <w:t xml:space="preserve">7. un 12. punktā</w:t>
            </w:r>
            <w:r w:rsidR="00000000" w:rsidRPr="00000000" w:rsidDel="00000000">
              <w:rPr>
                <w:rtl w:val="0"/>
              </w:rPr>
              <w:t xml:space="preserve"> noteiktās prasībās nav attiecināmas uz tiem komersantiem, kas plāno saņemt vai ir saņēmuši Aizsardzības ministrijas izsniegto speciālo atļauju (licenci) komercdarbībai ar Eiropas Savienības Kopējā militāro preču saraksta sadaļās  ML5 – ML7, ML9 – ML22 minētajām precēm, un to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minētais neatbilst likumprojektā norādītajam, lūdzam precizēt anotāciju attiecībā par atsauci uz 4.</w:t>
            </w:r>
            <w:r w:rsidR="00000000" w:rsidRPr="00000000" w:rsidDel="00000000">
              <w:rPr>
                <w:vertAlign w:val="superscript"/>
                <w:rtl w:val="0"/>
              </w:rPr>
              <w:t xml:space="preserve">2</w:t>
            </w:r>
            <w:r w:rsidR="00000000" w:rsidRPr="00000000" w:rsidDel="00000000">
              <w:rPr>
                <w:rtl w:val="0"/>
              </w:rPr>
              <w:t xml:space="preserve"> daļu un 7.</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"Risinājuma apraksts" minēts: "Likumprojekta 2. pantā paredzēts papildināt likuma 5. pantu ar</w:t>
            </w:r>
            <w:r w:rsidR="00000000" w:rsidRPr="00000000" w:rsidDel="00000000">
              <w:rPr>
                <w:u w:val="single"/>
                <w:rtl w:val="0"/>
              </w:rPr>
              <w:t xml:space="preserve"> 6.</w:t>
            </w:r>
            <w:r w:rsidR="00000000" w:rsidRPr="00000000" w:rsidDel="00000000">
              <w:rPr>
                <w:u w:val="single"/>
                <w:vertAlign w:val="superscript"/>
                <w:rtl w:val="0"/>
              </w:rPr>
              <w:t xml:space="preserve">1</w:t>
            </w:r>
            <w:r w:rsidR="00000000" w:rsidRPr="00000000" w:rsidDel="00000000">
              <w:rPr>
                <w:u w:val="single"/>
                <w:rtl w:val="0"/>
              </w:rPr>
              <w:t xml:space="preserve"> daļu </w:t>
            </w:r>
            <w:r w:rsidR="00000000" w:rsidRPr="00000000" w:rsidDel="00000000">
              <w:rPr>
                <w:rtl w:val="0"/>
              </w:rPr>
              <w:t xml:space="preserve">šādā redakcijā, </w:t>
            </w:r>
            <w:r w:rsidR="00000000" w:rsidRPr="00000000" w:rsidDel="00000000">
              <w:rPr>
                <w:u w:val="single"/>
                <w:rtl w:val="0"/>
              </w:rPr>
              <w:t xml:space="preserve">nosakot, ka</w:t>
            </w:r>
            <w:r w:rsidR="00000000" w:rsidRPr="00000000" w:rsidDel="00000000">
              <w:rPr>
                <w:rtl w:val="0"/>
              </w:rPr>
              <w:t xml:space="preserve"> šā panta sestās daļas 3. un 9. punktā noteiktās prasībās nav attiecināmas uz komersantiem, kuri plāno saņemt vai ir saņēmuši Aizsardzības ministrijas izsniegto speciālo atļauju (licenci) komercdarbībai ar Eiropas Savienības Kopējā militāro preču saraksta sadaļās  ML5 - ML7 un ML9 - ML22 minētajām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papildināt likuma 5. pantu ar </w:t>
            </w:r>
            <w:r w:rsidR="00000000" w:rsidRPr="00000000" w:rsidDel="00000000">
              <w:rPr>
                <w:u w:val="single"/>
                <w:rtl w:val="0"/>
              </w:rPr>
              <w:t xml:space="preserve">6.</w:t>
            </w:r>
            <w:r w:rsidR="00000000" w:rsidRPr="00000000" w:rsidDel="00000000">
              <w:rPr>
                <w:u w:val="single"/>
                <w:vertAlign w:val="superscript"/>
                <w:rtl w:val="0"/>
              </w:rPr>
              <w:t xml:space="preserve">1</w:t>
            </w:r>
            <w:r w:rsidR="00000000" w:rsidRPr="00000000" w:rsidDel="00000000">
              <w:rPr>
                <w:u w:val="single"/>
                <w:rtl w:val="0"/>
              </w:rPr>
              <w:t xml:space="preserve"> daļu šādā redakcijā</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Aizsardzības ministrija speciālo atļauju (licenci) izsniedz 8 mēnešu laikā no iesnieguma saņemšanas dienas. Ja objektīvu iemeslu dēļ minēto termiņu nav iespējams ievērot, Aizsardzības ministrija pārbaudes termiņu var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sadaļā "Risinājuma apraksts" norādītā atsauce uz 6.</w:t>
            </w:r>
            <w:r w:rsidR="00000000" w:rsidRPr="00000000" w:rsidDel="00000000">
              <w:rPr>
                <w:vertAlign w:val="superscript"/>
                <w:rtl w:val="0"/>
              </w:rPr>
              <w:t xml:space="preserve">1</w:t>
            </w:r>
            <w:r w:rsidR="00000000" w:rsidRPr="00000000" w:rsidDel="00000000">
              <w:rPr>
                <w:rtl w:val="0"/>
              </w:rPr>
              <w:t xml:space="preserve"> daļu neatbilst likumprojektā 6.</w:t>
            </w:r>
            <w:r w:rsidR="00000000" w:rsidRPr="00000000" w:rsidDel="00000000">
              <w:rPr>
                <w:vertAlign w:val="superscript"/>
                <w:rtl w:val="0"/>
              </w:rPr>
              <w:t xml:space="preserve">1</w:t>
            </w:r>
            <w:r w:rsidR="00000000" w:rsidRPr="00000000" w:rsidDel="00000000">
              <w:rPr>
                <w:rtl w:val="0"/>
              </w:rPr>
              <w:t xml:space="preserve"> daļā paredzētajam, lūdzam precizēt attiecīgo risinājuma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īstenotas Līguma par Eiropas Savienības darbību 346. panta pirmās daļas "b" apakšpunktā paredzētās Eiropas Savienības dalībvalsts tiesības, lūdzam aizpildīt anotācijas 5. sadaļu, ailītē "Cita informācija" skaidrojot projektā ietvertā regulējuma atbilstību minētajā daļā ietvertajam regulējumam. Kā arī, ņemot vērā, ka anotācijā ietvertas atsauces uz </w:t>
            </w:r>
            <w:r w:rsidR="00000000" w:rsidRPr="00000000" w:rsidDel="00000000">
              <w:rPr>
                <w:i w:val="1"/>
                <w:rtl w:val="0"/>
              </w:rPr>
              <w:t xml:space="preserve">Eiropas Parlamenta un Padomes 2021. gada 24. marta Direktīvas (ES) 2021/555 par ieroču iegādes un glabāšanas kontroli</w:t>
            </w:r>
            <w:r w:rsidR="00000000" w:rsidRPr="00000000" w:rsidDel="00000000">
              <w:rPr>
                <w:rtl w:val="0"/>
              </w:rPr>
              <w:t xml:space="preserve"> prasībām, tostarp attiecībā uz komersantu profesionālās darbības kontroli, lūdzam izvērtēt un, ja ar projektu (sk., piem., 2. pantā ietvertā Likuma 5. panta ceturto daļu, sestās daļas 3. punktu, 3.</w:t>
            </w:r>
            <w:r w:rsidR="00000000" w:rsidRPr="00000000" w:rsidDel="00000000">
              <w:rPr>
                <w:vertAlign w:val="superscript"/>
                <w:rtl w:val="0"/>
              </w:rPr>
              <w:t xml:space="preserve">1</w:t>
            </w:r>
            <w:r w:rsidR="00000000" w:rsidRPr="00000000" w:rsidDel="00000000">
              <w:rPr>
                <w:rtl w:val="0"/>
              </w:rPr>
              <w:t xml:space="preserve"> punktu) tiek pārņemtas minētās prasības, lūdzam aizpildīt minēto anotācijas sadaļu, jo īpaši 5.4. apakšsadaļas 1. tabulu, un papildināt projektu ar informatīvo atsauci uz minēto direktīvu, vai anotācijas 5. sadaļas ailītē "Cita informāciju" skaidrot projekta atbilstību minētās direktīvas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likumprjekta atbilstība Eiropas Parlamenta un Padomes 2021. gada 24. marta Direktīvas (ES) 2021/555 par ieroču iegādes un glabāšanas kontroli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papildināt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komponentes un rezerves daļas) nav nepieciešama stratēģiskas nozīmes preču aprites subjektiem, kas neatbilst šā likuma 5. panta ceturtajā daļā minētajam individuālā komersanta vai komercsabiedrības statusam un kas importē, pārvieto no Eiropas Savienības dalībvalstīm, glabā vai lieto Eiropas Savienības Kopējā militāro preču sarakstā minētās preces (izņemot šaujamieročus, munīciju, pirotehniku un sprāgstvielas un to komponentes un rezerves daļas), kuras nepieciešamas normatīvajos aktos noteikto pienākumu izpildei saistībā ar valsts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Šā panta 1.</w:t>
            </w:r>
            <w:r w:rsidR="00000000" w:rsidRPr="00000000" w:rsidDel="00000000">
              <w:rPr>
                <w:vertAlign w:val="superscript"/>
                <w:rtl w:val="0"/>
              </w:rPr>
              <w:t xml:space="preserve">3</w:t>
            </w:r>
            <w:r w:rsidR="00000000" w:rsidRPr="00000000" w:rsidDel="00000000">
              <w:rPr>
                <w:rtl w:val="0"/>
              </w:rPr>
              <w:t xml:space="preserve"> daļā minētais izņēmums ir piemērojams, ja stratēģiskas nozīmes preču aprites subjekts ir iesniedzis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apstiprinājumu no Aizsardzības ministrijas, ka konkrētas Eiropas Savienības Kopējā militāro preču sarakstā minētās preces (izņemot šaujamieročus, munīciju, pirotehniku un sprāgstvielas un to komponentes un rezerves daļas) tam ir nepieciešamas normatīvajos aktos noteikto pienākumu izpildei saistībā ar valsts aizsardzību. Aizsardzības ministrijas apstiprinājums satur informāciju par stratēģiskas nozīmes preču aprites subjektu, konkrētu militāro preču grupu no Eiropas Savienības Kopējā militāro preču sarakstā minētajām precēm (izņemot šaujamieročus, munīciju, pirotehniku un sprāgstvielas un to komponentes un rezerves daļas), atsauci uz normatīvajiem aktiem, preču glabāšanas vietu un norādi, vai preces ir izmantojamas ikdienā vai arī tikai izņēmuma stāvokļa gadījumā atbilstoši likumam "Par ārkārtējo situāciju un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Iekšējās kārtības noteikumus par attiecīgo Eiropas Savienības Kopējā militāro preču sarakstā minēto preču (izņemot šaujamieročus, munīciju, pirotehniku un sprāgstvielas un to komponentes un rezerves daļas) lietošanu un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komponentes un rezerves daļas) nav nepieciešama stratēģiskas nozīmes preču aprites subjektiem, kas eksportē vai pārvieto uz Eiropas Savienības dalībvalstīm Eiropas Savienības Kopējā militāro preču sarakstā minētās preces (izņemot šaujamieročus, munīciju, pirotehniku un sprāgstvielas un to komponentes un rezerves daļas) remonta, apkopes, preču atgriešanas vai maiņas vajadzībām un kas iepriekš ir importējuši vai pārvietojuši no Eiropas Savienības dalībvalstīm Eiropas Savienības Kopējā militāro preču sarakstā minētās preces (izņemot šaujamieročus, munīciju, pirotehniku un sprāgstvielas un to komponentes un rezerves daļas) atbilstoši šā panta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w:t>
            </w:r>
            <w:r w:rsidR="00000000" w:rsidRPr="00000000" w:rsidDel="00000000">
              <w:rPr>
                <w:vertAlign w:val="superscript"/>
                <w:rtl w:val="0"/>
              </w:rPr>
              <w:t xml:space="preserve">3</w:t>
            </w:r>
            <w:r w:rsidR="00000000" w:rsidRPr="00000000" w:rsidDel="00000000">
              <w:rPr>
                <w:rtl w:val="0"/>
              </w:rPr>
              <w:t xml:space="preserve"> daļu ar skaidrāku atsauci uz to, ka likumprojektā “Grozījumi Stratēģiskas nozīmes preču aprites likumā” paredzētais izņēmums attieksies uz kritisko infrastruktūru. Kultūras ministrijas ieskatā formulējums “nepieciešamas normatīvajos aktos noteikto pienākumu izpildei saistībā ar valsts aizsardzību" ir ļoti vispārīgs. Ņemot vērā esošo apdraudējumu, tostarp bezpilota gaisa kuģu uzbrukumus, būtu nepieciešams attiecināt pielietojumu ne tikai uz valsts aizsardzību, bet arī uz nacionālās drošība situācijām ikdienā.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komponentes un rezerves daļas) nav nepieciešama stratēģiskas nozīmes preču aprites subjektiem, kas neatbilst šā likuma 5. panta ceturtajā daļā minētajam individuālā komersanta vai komercsabiedrības statusam un kas importē, pārvieto no Eiropas Savienības dalībvalstīm, glabā vai lieto Eiropas Savienības Kopējā militāro preču sarakstā minētās preces (izņemot šaujamieročus, munīciju, pirotehniku un sprāgstvielas un to komponentes un rezerves daļas), kuras nepieciešamas normatīvajos aktos noteikto pienākumu izpildei saistībā ar valsts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Šā panta 1.</w:t>
            </w:r>
            <w:r w:rsidR="00000000" w:rsidRPr="00000000" w:rsidDel="00000000">
              <w:rPr>
                <w:vertAlign w:val="superscript"/>
                <w:rtl w:val="0"/>
              </w:rPr>
              <w:t xml:space="preserve">3</w:t>
            </w:r>
            <w:r w:rsidR="00000000" w:rsidRPr="00000000" w:rsidDel="00000000">
              <w:rPr>
                <w:rtl w:val="0"/>
              </w:rPr>
              <w:t xml:space="preserve"> daļā minētais izņēmums ir piemērojams, ja stratēģiskas nozīmes preču aprites subjekts ir iesniedzis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apstiprinājumu no Aizsardzības ministrijas, ka konkrētas Eiropas Savienības Kopējā militāro preču sarakstā minētās preces (izņemot šaujamieročus, munīciju, pirotehniku un sprāgstvielas un to komponentes un rezerves daļas) tam ir nepieciešamas normatīvajos aktos noteikto pienākumu izpildei saistībā ar valsts aizsardzību. Aizsardzības ministrijas apstiprinājums satur informāciju par stratēģiskas nozīmes preču aprites subjektu, konkrētu militāro preču grupu no Eiropas Savienības Kopējā militāro preču sarakstā minētajām precēm (izņemot šaujamieročus, munīciju, pirotehniku un sprāgstvielas un to komponentes un rezerves daļas), atsauci uz normatīvajiem aktiem, preču glabāšanas vietu un norādi, vai preces ir izmantojamas ikdienā vai arī tikai izņēmuma stāvokļa gadījumā atbilstoši likumam "Par ārkārtējo situāciju un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Iekšējās kārtības noteikumus par attiecīgo Eiropas Savienības Kopējā militāro preču sarakstā minēto preču (izņemot šaujamieročus, munīciju, pirotehniku un sprāgstvielas un to komponentes un rezerves daļas) lietošanu un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komponentes un rezerves daļas) nav nepieciešama stratēģiskas nozīmes preču aprites subjektiem, kas eksportē vai pārvieto uz Eiropas Savienības dalībvalstīm Eiropas Savienības Kopējā militāro preču sarakstā minētās preces (izņemot šaujamieročus, munīciju, pirotehniku un sprāgstvielas un to komponentes un rezerves daļas) remonta, apkopes, preču atgriešanas vai maiņas vajadzībām un kas iepriekš ir importējuši vai pārvietojuši no Eiropas Savienības dalībvalstīm Eiropas Savienības Kopējā militāro preču sarakstā minētās preces (izņemot šaujamieročus, munīciju, pirotehniku un sprāgstvielas un to komponentes un rezerves daļas) atbilstoši šā panta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4</w:t>
            </w:r>
            <w:r w:rsidR="00000000" w:rsidRPr="00000000" w:rsidDel="00000000">
              <w:rPr>
                <w:rtl w:val="0"/>
              </w:rPr>
              <w:t xml:space="preserve">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"(4) Aizsardzības ministrijas izsniegto speciālo atļauju (licenci) komercdarbībai ar Eiropas Savienības Kopējā militāro preču sarakstā minētajām precēm ir tiesīgi saņemt Latvijas Republikā reģistrēti individuālie komersanti vai komercsabiedrības, ja to dalībnieki (fiziskās personas), izņemot dalībniekus, kuru pamatkapitāla daļu skaits ir mazāks par 10 procentiem, un akcionārus, kuru līdzdalība sabiedrības pamatkapitālā ir mazāka par 10 procentiem no sabiedrības pamatkapitāla, patiesie labuma guvēji, prokūristi, personas, kas ieņem amatus pārvaldes institūcijās vai piekļūst ar komercsabiedrības pārvaldi saistītai informācijai, kā arī darbinieki, kas tieši saistīti ar Eiropas Savienības Kopējā militāro preču sarakstā minēto preču ražošanu, remontu, realizēšanu, glabāšanu, transportēšanu, ar tiem saistīto pakalpojumu sniegšanu vai apsardzi,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ievērojot to, ka ar likumprojektu paredzēts izteikt jaunā redakcijā Stratēģiskas nozīmes preču aprites likuma 5. panta ceturtās daļas ievaddaļu, bet ne visu 5.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"izteikt ceturtās daļas ievaddaļu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Aizsardzības ministrijas izsniegto speciālo atļauju (licenci) komercdarbībai ar Eiropas Savienības Kopējā militāro preču sarakstā minētajām precēm ir tiesīgi saņemt Latvijas Republikā reģistrēti individuālie komersanti vai komercsabiedrības, ja to dalībnieki (fiziskās personas), izņemot dalībniekus, kuru pamatkapitāla daļu skaits ir mazāks par 10 procentiem, un akcionārus, kuru līdzdalība sabiedrības pamatkapitālā ir mazāka par 10 procentiem no sabiedrības pamatkapitāla, patiesie labuma guvēji, prokūristi, personas, kas ieņem amatus pārvaldes institūcijās vai piekļūst ar komercsabiedrības pārvaldi saistītai informācijai, kā arī darbinieki, kas tieši saistīti ar Eiropas Savienības Kopējā militāro preču sarakstā minēto preču ražošanu, remontu, realizēšanu, glabāšanu, transportēšanu, ar tiem saistīto pakalpojumu sniegšanu vai apsardzi,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IX1, X nodaļā minētajiem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Krimināllikuma 1. panta pirmo daļu pie kriminālatbildības saucama un sodāma tikai tāda persona, kura ir vainīga noziedzīga nodarījuma izdarīšanā, tas ir, kura ar nodomu (tīši) vai aiz neuzmanības izdarījusi šajā likumā paredzētu nodarījumu, kam ir visas noziedzīga nodarījuma sastāva pazīmes. Ievērojot minēto, aizstāt likumprojekta 2. pantā piedāvātajā Stratēģiskas nozīmes preču aprites likuma 5. panta ceturtās daļas 7.</w:t>
            </w:r>
            <w:r w:rsidR="00000000" w:rsidRPr="00000000" w:rsidDel="00000000">
              <w:rPr>
                <w:vertAlign w:val="superscript"/>
                <w:rtl w:val="0"/>
              </w:rPr>
              <w:t xml:space="preserve">1</w:t>
            </w:r>
            <w:r w:rsidR="00000000" w:rsidRPr="00000000" w:rsidDel="00000000">
              <w:rPr>
                <w:rtl w:val="0"/>
              </w:rPr>
              <w:t xml:space="preserve"> punktā vārdu "pantiem" ar vārdiem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to, ka minētie noziedzīgie nodarījumi jau šobrīd ir paredzēti Stratēģiskas nozīmes preču aprites likuma 5. panta ceturtās daļas 7. punktā, sniegt likumprojekta sākotnējās ietekmes novērtējuma ziņojumā (anotācijā) papildu informāciju par nepieciešamību norādi par attiecīgo noziedzīgo nodarījumu izdarīšanu iekļaut atsevišķā Stratēģiskas nozīmes preču aprites likuma 5. panta ceturtās daļas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aizstājot vārdu "pantiem" ar "noziedzīgiem nodarījumiem".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w:t>
            </w:r>
            <w:r w:rsidR="00000000" w:rsidRPr="00000000" w:rsidDel="00000000">
              <w:rPr>
                <w:vertAlign w:val="superscript"/>
                <w:rtl w:val="0"/>
              </w:rPr>
              <w:t xml:space="preserve">1</w:t>
            </w:r>
            <w:r w:rsidR="00000000" w:rsidRPr="00000000" w:rsidDel="00000000">
              <w:rPr>
                <w:rtl w:val="0"/>
              </w:rPr>
              <w:t xml:space="preserve">, X nodaļā minētajiem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IX1, X nodaļā minētajiem pantiem;"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panta redakcijā minēto Krimināllikuma nodaļu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w:t>
            </w:r>
            <w:r w:rsidR="00000000" w:rsidRPr="00000000" w:rsidDel="00000000">
              <w:rPr>
                <w:vertAlign w:val="superscript"/>
                <w:rtl w:val="0"/>
              </w:rPr>
              <w:t xml:space="preserve">1</w:t>
            </w:r>
            <w:r w:rsidR="00000000" w:rsidRPr="00000000" w:rsidDel="00000000">
              <w:rPr>
                <w:rtl w:val="0"/>
              </w:rPr>
              <w:t xml:space="preserve">, X nodaļā minētajiem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w:t>
            </w:r>
            <w:r w:rsidR="00000000" w:rsidRPr="00000000" w:rsidDel="00000000">
              <w:rPr>
                <w:vertAlign w:val="superscript"/>
                <w:rtl w:val="0"/>
              </w:rPr>
              <w:t xml:space="preserve">1</w:t>
            </w:r>
            <w:r w:rsidR="00000000" w:rsidRPr="00000000" w:rsidDel="00000000">
              <w:rPr>
                <w:rtl w:val="0"/>
              </w:rPr>
              <w:t xml:space="preserve">, X nodaļā minētajiem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"(4</w:t>
            </w:r>
            <w:r w:rsidR="00000000" w:rsidRPr="00000000" w:rsidDel="00000000">
              <w:rPr>
                <w:vertAlign w:val="superscript"/>
                <w:rtl w:val="0"/>
              </w:rPr>
              <w:t xml:space="preserve">1</w:t>
            </w:r>
            <w:r w:rsidR="00000000" w:rsidRPr="00000000" w:rsidDel="00000000">
              <w:rPr>
                <w:rtl w:val="0"/>
              </w:rPr>
              <w:t xml:space="preserve">) Aizsardzības ministrija, izsniedzot speciālo atļauju (licenci) komercdarbībai ar Eiropas Savienības Kopējā militāro preču sarakstā minētajām precēm, norāda, ar kurām Eiropas Savienības Kopējā militāro preču sarakstā minētajām precēm individuālajam komersantam vai komercsabiedrībai ir tiesības veikt komercdarbību."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2. panta astoto daļu, kas paredz papildināt Likuma 5. pantu ar 4.</w:t>
            </w:r>
            <w:r w:rsidR="00000000" w:rsidRPr="00000000" w:rsidDel="00000000">
              <w:rPr>
                <w:vertAlign w:val="superscript"/>
                <w:rtl w:val="0"/>
              </w:rPr>
              <w:t xml:space="preserve">1</w:t>
            </w:r>
            <w:r w:rsidR="00000000" w:rsidRPr="00000000" w:rsidDel="00000000">
              <w:rPr>
                <w:rtl w:val="0"/>
              </w:rPr>
              <w:t xml:space="preserve"> daļu, ņemot vērā to, ka Likuma spēkā esošajā redakcijā jau ir šāda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astotā 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"12) pamatkapitāls ir mazāks par 2800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"eiro" ar vārdu "</w:t>
            </w:r>
            <w:r w:rsidR="00000000" w:rsidRPr="00000000" w:rsidDel="00000000">
              <w:rPr>
                <w:i w:val="1"/>
                <w:rtl w:val="0"/>
              </w:rPr>
              <w:t xml:space="preserve">euro</w:t>
            </w:r>
            <w:r w:rsidR="00000000" w:rsidRPr="00000000" w:rsidDel="00000000">
              <w:rPr>
                <w:rtl w:val="0"/>
              </w:rPr>
              <w:t xml:space="preserve">" slīprakstā, kā to noteicis Valsts valodas centrs attiecībā uz Eiropas vienotās valūtas nosaukuma </w:t>
            </w:r>
            <w:r w:rsidR="00000000" w:rsidRPr="00000000" w:rsidDel="00000000">
              <w:rPr>
                <w:i w:val="1"/>
                <w:rtl w:val="0"/>
              </w:rPr>
              <w:t xml:space="preserve">euro </w:t>
            </w:r>
            <w:r w:rsidR="00000000" w:rsidRPr="00000000" w:rsidDel="00000000">
              <w:rPr>
                <w:rtl w:val="0"/>
              </w:rPr>
              <w:t xml:space="preserve">lietojumu tiesību aktu projektu nosaukumos un to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ar vārdu "</w:t>
            </w:r>
            <w:r w:rsidR="00000000" w:rsidRPr="00000000" w:rsidDel="00000000">
              <w:rPr>
                <w:i w:val="1"/>
                <w:rtl w:val="0"/>
              </w:rPr>
              <w:t xml:space="preserve">euro" </w:t>
            </w:r>
            <w:r w:rsidR="00000000" w:rsidRPr="00000000" w:rsidDel="00000000">
              <w:rPr>
                <w:rtl w:val="0"/>
              </w:rPr>
              <w:t xml:space="preserve">slīprakstā.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pamatkapitāls ir mazāks par 2800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1</w:t>
            </w:r>
            <w:r w:rsidR="00000000" w:rsidRPr="00000000" w:rsidDel="00000000">
              <w:rPr>
                <w:rtl w:val="0"/>
              </w:rPr>
              <w:t xml:space="preserve">) Aizsardzības ministrija speciālo atļauju (licenci) izsniedz 8 mēnešu laikā no iesnieguma saņemšanas dienas. Ja objektīvu iemeslu dēļ minēto termiņu nav iespējams ievērot, Aizsardzības ministrija pārbaudes termiņu var pagarināt."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termiņu noteikšanu, taču vienlaikus norādām, ka astoņu mēnešu termiņš licences izsniegšanai no uzņēmējdarbības konkurētspējas viedokļa joprojām ir samērā ilgs, īpaši nozarēs, kur investīciju lēmumi un piegādes ķēdes ir laika jūtīgas.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izziņas 10.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Aizsardzības ministrija speciālo atļauju (licenci) izsniedz 8 mēnešu laikā no iesnieguma saņemšanas dienas. Ja objektīvu iemeslu dēļ minēto termiņu nav iespējams ievērot, Aizsardzības ministrija pārbaudes termiņu var pagarināt."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w:t>
            </w:r>
            <w:r w:rsidR="00000000" w:rsidRPr="00000000" w:rsidDel="00000000">
              <w:rPr>
                <w:vertAlign w:val="superscript"/>
                <w:rtl w:val="0"/>
              </w:rPr>
              <w:t xml:space="preserve">3</w:t>
            </w:r>
            <w:r w:rsidR="00000000" w:rsidRPr="00000000" w:rsidDel="00000000">
              <w:rPr>
                <w:rtl w:val="0"/>
              </w:rPr>
              <w:t xml:space="preserve">) šā likuma 5.panta ceturtās daļas 6.punktā un sestās daļas 10. punktā noteiktās valsts drošības iestādes pārbaudes termiņa skaitījums sākas pēc visu pārbaudes veikšanai nepieciešamo dokumentu saņemšanas. Valsts drošības iestāde pārbaudi veic trīs mēnešu laikā. Ja objektīvu iemeslu dēļ pārbaudi nav iespējams veikt norādītajā termiņā, valsts drošības iestāde pārbaudes termiņu var pagarināt par trim mēnešiem, par to rakstveidā informējot Aizsardzības ministriju. Ja pārbaudes laikā nepieciešams saņemt papildu informāciju no ārvalstīm, valsts drošības iestāde pārbaudes veikšanas termiņa skaitījumu aptur līdz informācijas saņemšanas dienai, par to nosūtot paziņojumu Aizsardzības ministrijai. Aizsardzības ministrija pēc informācijas saņemšanas par pārbaudes veikšanas termiņa skaitījuma apturēšanu, par to informē komersantu un aptur speciālās atļaujas (licences) izsniegšanas termiņa 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projekta 2. panta 19. daļu, kas paredz papildināt Likuma 5. pantu ar 6.</w:t>
            </w:r>
            <w:r w:rsidR="00000000" w:rsidRPr="00000000" w:rsidDel="00000000">
              <w:rPr>
                <w:vertAlign w:val="superscript"/>
                <w:rtl w:val="0"/>
              </w:rPr>
              <w:t xml:space="preserve">3</w:t>
            </w:r>
            <w:r w:rsidR="00000000" w:rsidRPr="00000000" w:rsidDel="00000000">
              <w:rPr>
                <w:rtl w:val="0"/>
              </w:rPr>
              <w:t xml:space="preserve"> daļu, ņemot vērā to, ka tajā ir ietverts tāds pats regulējums, kāds ietverts projekta 2. panta 18. daļā, kas paredz papildināt Likuma 5. pantu ar 6.</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izziņas 10.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nav paredzēts spēkā stāšanās noteikums, aicinām precizēt anotācijas 1.2. apakšsadaļu "Spēkā stāšanās termiņš" vai papildināt projektu ar spēkā stāšanās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spēkā stāšanās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uzskata, ka žurnālistu aizsardzība ir jānodrošina ne tikai militārā apdraudējuma gadījumā, bet arī tagad, miera laikā, piemēram, nodrošinot kritiski nepieciešamo sabiedrības informēšanas funkciju, gatavojot operatīvus sižetus par nokritušiem bezpilota gaisa kuģiem, kuru filmēšanas laikā tiek apdraudēta žurnālistu dzīvība. Tādēļ, lūdzam anotācijā atspoguļot, ka Likumprojekta norma attiektos uz mediju kritisko infrastruktūru, to ikdienas funkciju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26-TA-966</w:t>
    </w:r>
    <w:r>
      <w:br/>
    </w:r>
    <w:r w:rsidR="00000000" w:rsidRPr="00000000" w:rsidDel="00000000">
      <w:rPr>
        <w:rtl w:val="0"/>
      </w:rPr>
      <w:t xml:space="preserve">05.06.2026. 10.33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26-TA-966</w:t>
    </w:r>
    <w:r>
      <w:br/>
    </w:r>
    <w:r w:rsidR="00000000" w:rsidRPr="00000000" w:rsidDel="00000000">
      <w:rPr>
        <w:rtl w:val="0"/>
      </w:rPr>
      <w:t xml:space="preserve">05.06.2026. 10.33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Izziņa_26-TA-966.docx</dc:title>
</cp:coreProperties>
</file>

<file path=docProps/custom.xml><?xml version="1.0" encoding="utf-8"?>
<Properties xmlns="http://schemas.openxmlformats.org/officeDocument/2006/custom-properties" xmlns:vt="http://schemas.openxmlformats.org/officeDocument/2006/docPropsVTypes"/>
</file>