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Bērnu tiesību aizsardzības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citām valsts un pašvaldību iestādēm, kuras nodrošina pakalpojumus vai nodokļu un nodevu atlaides personām no daudzbērnu ģimenēm un ģimenēm, kuru aprūpē ir bērns ar invaliditāti vai pilngadīga persona, kas nav sasniegusi 24 gadu vecumu, ja tai noteikta I vai II invaliditātes grupa, kuras izmanto valstī īstenotās programmas "Latvijas Goda ģimenes apliecības programma"  ietvaros piešķirto goda ģimenes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2016/679 par fizisku personu aizsardzību attiecībā uz personas datu apstrādi un šādu datu brīvu apriti un ar ko atceļ Direktīvu 95/46/EK (Vispārīgā datu aizsardzības regula) (turpmāk – Datu regula) 6. panta 1. punktā noteikts, ka personas datu apstrāde ir likumīga tikai tādā apmērā un tikai tad, ja ir piemērojams vismaz viens no turpmāk minētajiem pamatojumiem publiskai personai: “c” apstrāde ir vajadzīga, lai izpildītu uz pārzini attiecināmu juridisku pienākumu vai  “e” apstrāde ir vajadzīga, lai izpildītu uzdevumu, ko veic sabiedrības interesēs vai īstenojot pārzinim likumīgi piešķirtās oficiālās pilnvaras. Savukārt Datu regulas 6. panta 3. punkta “b” apakšpunktā noteikts, ka šā panta 1. punkta “c” un “e” apakšpunktā minēto apstrādes pamatu un nolūku nosaka ar dalībvalsts tiesību aktiem, kas piemērojami pārzinim. Minētajā juridiskajā pamatā var būt ietverti konkrēti noteikumi, lai pielāgotu Datu regulas noteikumu piemērošanu, cita starpā vispārēji nosacījumi, kas reglamentē pārziņa īstenotu apstrādes likumību; apstrādājamo datu veidi; attiecīgie datu subjekti; vienības, kurām personas dati var tikt izpausti, un mērķi, kādiem tie var tikt izpausti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Bērnu tiesību aizsardzības likuma 26.</w:t>
            </w:r>
            <w:r w:rsidR="00000000" w:rsidRPr="00000000" w:rsidDel="00000000">
              <w:rPr>
                <w:vertAlign w:val="superscript"/>
                <w:rtl w:val="0"/>
              </w:rPr>
              <w:t xml:space="preserve">1</w:t>
            </w:r>
            <w:r w:rsidR="00000000" w:rsidRPr="00000000" w:rsidDel="00000000">
              <w:rPr>
                <w:rtl w:val="0"/>
              </w:rPr>
              <w:t xml:space="preserve">panta trešā daļa paredz tiesības apstrādāt informācijas sistēmā iekļauto informāciju par goda ģimenes apliecībām, tostarp personas datus, noteiktām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aktā ietvertie uzdevumi nedrīkst būt tik vispārīgi, ka neļauj izdarīt pašsaprotamu pieņēmumu, ka šādu uzdevumu izpildei ir nepieciešama personas datu apstrāde, proti, formāla atsaukšanās uz likumā noteiktu publiskas iestādes funkciju nebūtu pieļaujama. Tāpat arī likumprojekta anotācijā nav norādīts, kādu noteiktu funkciju vai deleģēto uzdevumu izpildei nepieciešams apstrādāt informācijas sistēmā esošos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projektu kopumā, skaidri norādot, kādu funkciju vai deleģēto uzdevumu izpildei nepieciešama konkrētā personas datu apstrāde. Tāpat lūgums paskaidrot, ka minētās funkcijas un uzdevumus nav iespējams izpildīt bez personu datu apstrādes, norādot arī, kā tiek ievēroti personas datu apstrādes principi, piemēram, datu minimizēšanas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informācijas sistēmas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 valsts noteiktā braukšanas maksas atvieglojuma administrēšanai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 transportlīdzekļa ekspluatācijas nodokļa atvieglojumu piemērošanai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Rajona (pilsētas) tiesai-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citām valsts un pašvaldību iestādēm, kuras nodrošina pakalpojumus vai nodokļu un nodevu atlaides personām no daudzbērnu ģimenēm un ģimenēm, kuru aprūpē ir bērns ar invaliditāti vai pilngadīga persona, kas nav sasniegusi 24 gadu vecumu, ja tai noteikta I vai II invaliditātes grupa, kuras izmanto valstī īstenotās programmas "Latvijas Goda ģimenes apliecības programma"  ietvaros piešķirto goda ģimenes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(3) daļu ar 6) apakšpunktu, kas nosaka tiesības apstrādāt informācijas sistēmā iekļauto informāciju par apliecībām "Goda ģimene" komersantiem, kuri ar Sabiedrības integrācijas fondu ir noslēguši vienošanos par atlaižu piešķiršanu. Šādiem komersantiem ir tiesības, izmantojot Sabiedrības integrācijas fonda nodrošinātus informācijas servisus, tiešsaistē pārbaudīt datus par uzrādītās apliecības "Goda ģimene" derīgumu uzrādīšanas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komersantiem, kuri ar Sabiedrības integrācijas fondu ir noslēguši vienošanos par atlaižu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informācijas sistēmas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 valsts noteiktā braukšanas maksas atvieglojuma administrēšanai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 transportlīdzekļa ekspluatācijas nodokļa atvieglojumu piemērošanai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Rajona (pilsētas) tiesai-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citām valsts un pašvaldību iestādēm, kuras nodrošina pakalpojumus vai nodokļu un nodevu atlaides personām no daudzbērnu ģimenēm un ģimenēm, kuru aprūpē ir bērns ar invaliditāti vai pilngadīga persona, kas nav sasniegusi 24 gadu vecumu, ja tai noteikta I vai II invaliditātes grupa, kuras izmanto valstī īstenotās programmas "Latvijas Goda ģimenes apliecības programma"  ietvaros piešķirto goda ģimenes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plānoto regulējumu par valsts informācijas sistēmu un institūciju uzskaitījumu, kurām būs tiesības apstrādāt informācijas sistēmā  iekļauto informāciju (tātad lietot šo sistēmu), vēršam uzmanību, ka anotācijas izklāstā  nav atrunāts un paredzēts, ka noteikts  finansējums iepriekšminētā mērķa sasniegšanai būs nepieciešams arī  iesaistīto pušu, tai skaitā pašvaldību,  informācijas sistēmām. Anotācija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informācijas sistēmas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 valsts noteiktā braukšanas maksas atvieglojuma administrēšanai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 transportlīdzekļa ekspluatācijas nodokļa atvieglojumu piemērošanai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Rajona (pilsētas) tiesai-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Bērnu tiesību aizsardzības likuma 52. panta pirmajā daļā vārdu “rehabilitācija” (attiecīgā locījumā) aizstāt ar vārdiem “medicīniskā rehabilitācija” (attiecīgā locījumā). Labklājības ministrijas sagatavoto priekšlikumu pamatojumā norādīts, ka minētajā tiesību normā lietotais termins “rehabilitācija” rada atšķirīgu interpretāciju, kāda veida rehabilitācija tiek domāta, jo rehabilitācijas veidi ir dažādi (medicīniskā, sociālā u.c.). Tiesiskās noteiktības un skaidrības labad minētā panta pirmajā daļā nepieciešams aizstāt vārdu “rehabilitācija” ar vārdiem “medicīniskā rehabilitācija” attiecīgajā locījumā, ņemot vērā to, ka Bērnu tiesību aizsardzības likuma 52. panta pirmajā daļā tiek regulēts jautājums par bērnam nodrošināmo medicīnisko rehabilitāciju. Saskaņā ar Ārstniecības likuma 1. panta 14. punktu tiek lietots termins “medicīniskā rehabilitācija”. Savukārt termins “rehabilitācija” Ārstniecības likumā vairs netiek lietots.Labklājības ministrijas ieskatā Bērnu tiesību aizsardzības likuma 52. panta pirmās daļas iekļaušanas pamatojuma diskusijas laikā 1998. gadā Saeimā viennozīmīgi tika apspriests jautājums par no prettiesiskām darbībām cietušu bērnu ārstniecības procesu un tai sekojošu medicīnisko rehabilitāciju, kas atbilst Ārstniecības likuma, kas stājās spēkā 1997. gada 1. oktobrī, 1. panta 14.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 iebilst Labklājības ministrijas izstrādātajiem grozījumus Bērnu tiesību aizsardzības likuma 52.panta pirmajā daļā un turpmāk minēto apsvērumu dēļ uzskata, ka</w:t>
            </w:r>
            <w:r w:rsidR="00000000" w:rsidRPr="00000000" w:rsidDel="00000000">
              <w:rPr>
                <w:b w:val="1"/>
                <w:rtl w:val="0"/>
              </w:rPr>
              <w:t xml:space="preserve"> ar terminu “rehabilitācija” minētajā normā saprotama gan medicīniskā, gan sociālā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  1998. gada 13. maija Saeimas sēdes, uz ko atsaucas Labklājības ministrija, stenogrammas saturs neļauj viennozīmīgi secināt, ka Bērnu tiesību aizsardzības likuma 52.panta pirmajā daļā ar terminu “rehabilitācija” jāsaprot tikai medicīniskā rehabilitācija. Bērnu tiesību aizsardzības likuma 52. panta pirmās daļas redakcijas apspriešana attiecībā uz normā paredzēto bērnu ārstēšanu un rehabilitāciju ir bijusi formāla, bez vispusīgas analīzes, termins “rehabilitācija” lietots, to nekonkretizējot. No sēdes stenogrammas izriet, ka saistībā ar 52.pantu apspriešanas pamatjautājums ir bijis par to, ka izdevumi par bērnu, kas cietuši no vardarbības vai nolaidības, ārstēšanu un rehabilitāciju vēlāk regresa kārtībā ir piedzenami no vainīgajām personām. Ģenerālprokuratūra nesaskata iemeslus tam, kādēļ likumdevējs būtu noteicis regresa kārtībā no vainīgajām personām piedzīt tikai izdevumus par medicīnisko, bet ne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    Bērnu tiesību aizsardzības likuma 52. panta pirmajā daļā noteikts, ka vardarbības vai nolaidības rezultātā cietušo bērnu ārstēšanai un rehabilitācijai izveidojamas īpašas iestādes vai nodaļas vispārējās ārstniecības iestādēs un valsts budžetā atvēlami speciāli līdzekļi. Izdevumus par bērna ārstēšanu un rehabilitāciju sedz valsts un pēc tam regresa kārtībā piedzen no vainīgajām personām. Vardarbības vai nolaidības rezultātā cietušu bērnu ārstēšanai un medicīniskai rehabilitācijai valsts budžetā netiek atvēlēti speciāli līdzekļi. Savukārt vardarbības vai nolaidības rezultātā cietušo bērnu  sociālajai rehabilitācijai ik gadu valsts budžetā tiek atvēlēti speciāli līdzekļi. Ievērojot minēto, nav pamata uzskatīt, ka Bērnu tiesību aizsardzības likuma 52. panta pirmajā daļā ar terminu “rehabilitācija” jāsaprot tikai “medicīniskā rehabilitācija”.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    Bērnu tiesību aizsardzības likuma 52. pants (Bērns - vardarbības vai citas prettiesiskas darbības upuris) ir skatāms kopsakarā ar minētā likuma 51. pantu (Bērna aizsardzība no prettiesiskām darbībām), minētās normas ir savstarpēji saistītas. Bērnu tiesību aizsardzības likuma 51. panta otrā daļa noteic - bērnam, kurš ir noziedzīga nodarījuma, ekspluatācijas, seksuālas 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 Šādai ārstēšanai un reintegrēšanai jānotiek bērna veselībai, pašcieņai un godam labvēlīgā vidē, rūpīgi sargājot bērna intīmo noslēpumu. 1999. gada 8. jūnijā saskaņā ar Bērnu tiesību aizsardzības likuma 51. panta otro daļu tika izdoti Ministru kabineta noteikumi Nr.208 “Kārtība, kādā bērnam, kurš cietis no prettiesiskām darbībām, sniedzama nepieciešamā palīdzība”. Noteikumi noteica kārtību, kādā bērnam, kurš ir prettiesisku darbību - noziedzīga nodarījuma, ekspluatācijas, seksuālas izmantošanas, vardarbības vai jebkādas citas nelikumīgas, cietsirdīgas vai cieņu aizskarošas darbības  -  upuris, par valsts budžeta līdzekļiem sniedzama nepieciešamā palīdzība, lai viņš atgūtu fizisko un psihisko veselību un integrētos sabiedrībā. Minētajos noteikumos lietoti jēdzieni - “ārstēšana”, “rehabilitācija”, “medicīniskā rehabilitācija” un “sociālā rehabilitācija”. Vēlāk saskaņā ar Bērnu tiesību aizsardzības likuma 51. panta otro daļu izdotajos noteikumos – 2008. gada 8. septembra Ministru kabineta noteikumi Nr.719 “Kārtība, kādā bērnam, kurš cietis no prettiesiskām darbībām, sniedz nepieciešamo palīdzību” un 2009. gada 22. decembra Ministru kabineta noteikumi Nr.1613 “Kārtība, kādā nepieciešamo palīdzību sniedz bērnam, kurš cietis no prettiesiskām darbībām” - lietoti jēdzieni – “ārstēšana”, “medicīniskā rehabilitācija” un “sociālā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noteikumos lietotos atšķirīgos jēdzienus (”rehabilitācija”, “medicīniskā rehabilitācija” un “sociālā rehabilitācija”), nav pamata uzskatīt, ka Bērnu tiesību aizsardzības likuma 52.panta pirmajā daļā, lai apzīmētu medicīnisko rehabilitāciju, likumdevējs lietojis nekonkretizētu jēdzienu “rehabilitācija”. Ģenerālprokuratūras ieskatā - ja Bērnu tiesību aizsardzības likuma 52.panta pirmajā daļā ir lietots nekonkretizēts termins “rehabilitācija”, tad ar to ir saprotama gan medicīniskā, gan sociālā rehabilitācija.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Labklājības ministrijas 2022.gada 22.jūlija atbildes vēstuli Latvijas Republikas prokuratūrai, kurā ministrija uztur atšķirīgu viedokli no Ģenerālprokuratūras viedokļa, ka Ministru kabineta noteikumos[1], kas izdoti saskaņā ar BTAL 51. panta otro daļu, lietotie termini “ārstēšana”, “medicīniskā rehabilitācija” un “sociālā rehabilitācija” automātiski nozīmē, ka BTAL 52. panta jēdzienā “rehabilitācija” ietverts arī jēdziens “sociālā rehabilitācija”. 1998. gadā, kad tika pieņemts BTAL, sociālās rehabilitācijas pakalpojumi netika sniegti, kā to savā 2022. gada 10. jūnijā vēstulē atzinusi arī Ģenerālprokuratūra. Minētais arī izskaidro Ģenerālprokuratūras norādīto neskaidrību, kādēļ likumdevējs noteicis regresa kārtībā no vainīgajām personām piedzīt izdevumus par rehabilitāciju, nekonkretizējot rehabilitācijas veidu. Proti, likumdevējs nevarēja iekļaut jēdzienā “rehabilitācija” konkrētu rehabilitācijas pakalpojumu (medicīniskā, sociālā), jo uz likuma pieņemšanas brīdi sociālās rehabilitācijas pakalpojuma vienkārši vēl nebija un nošķīrumu veidot nebija nepieciešamības. Vienlaikus Ministrija uzskata, ka tieši šobrīd spēkā esošie Ministru kabineta 2009. gada 22. decembra noteikumi Nr. 1613 “Kārtība, kādā nepieciešamo palīdzību sniedz bērnam, kurš cietis no prettiesiskām darbībām” skaidri noteic, ka sociālā rehabilitācija ir atšķirīgs pakalpojums no BTAL 52. panta pirmajā daļā noteiktās rehabilitācijas.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1999. gada 8. jūnija noteikumos, Nr. 208 “Kārtība, kādā bērnam, kurš cietis no prettiesiskām darbībām, sniedzama nepieciešamā palīdzība”, Ministru kabineta 2008. gada 8. septembra noteikumos Nr. 719 “Kārtība, kādā bērnam, kurš cietis no prettiesiskām darbībām, sniedz nepieciešamo palīdzību” un Ministru kabineta 2009. gada 22. decembra noteikumos Nr. 1613 “Kārtība, kādā nepieciešamo palīdzību sniedz bērnam, kurš cietis no prettiesiskām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52.panta pirmajā daļā vārdu “rehabilitācija”, jo vardarbībā cietušajiem bērniem nepieciešama gan medicīniskā, gan sociālā  rehabilitācija.  Papildus, vēršam uzmanību, ja iestādē tiek sniegti ārstniecības pakalpojumi, iestādei ir jābūt reģistrētai ārstniecības iestāžu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panākta vienošanās.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priekšlikuma nolūks nav atcelt valsts garantētos sociālās rehabilitācijas pakalpojumus no prettiesiskām darbībām cietušajiem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šo grozījumi tiek veikts terminoloģisks precizējums, lai novērstu atšķirīgu interpretāciju, kāda veikta rehabilitācija tiek domāta 52.panta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 bērnam nodrošināmo sociālo rehabilitāciju ir noteikts Bērnu tiesību aizsardzības likuma 51.panta otrajā daļā, kā arī Sociālo pakalpojumu un sociālās palīdzības likuma 13.panta 1.2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51.panta otro daļu bērnam, kurš ir noziedzīga nodarījuma, ekspluatācijas, seksuālas 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13.panta 1.2 daļā noteikts, ka valsts nodrošina vardarbības rezultātā cietušo bērnu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Bērnu lietu sadarbības padomes Bērnu tiesību aizsardzības likuma pastāvīgā apakšgrupa 2022.gada 7.jūnija sēdē (protokols nr.1/2022, 2.darba kārtības punkts “Aktuālie un plānotie grozījumi Bērnu tiesību aizsardzības likumā”, 6.priekšlikums) atbalstīja priekšlikumu “52.panta pirmajā daļā aizstāt vārdu “rehabilitācija” ar vārdiem “medicīniskā rehabilitācija” attiecīgajā locījumā” bez iebildumiem/priekšlikumiem.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lietu sadarbības padomes 2022.gada 22.jūnija sēdē [protokols nr.2, 1.paragrāfs (1. jautājums)] tika nolemts “apstiprināt Bērnu tiesību aizsardzības likuma pastāvīgās darba grupas saskaņotās redakcijas grozījumiem Bērnu tiesību aizsardzības likuma (…) 52.panta pirmajā daļā (…)” (https://www.lm.gov.lv/lv/bernu-lietu-sadabibas-padome).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pamatojums, kādēļ termins "rehabilitācija" tiek aizstāts ar "medicīniskā rehabilitācija",  to pamatojot kā terminoloģisku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atsauces uz 1998.gadu, kad notikušas  52.panta pirmās daļas iekļaušanas pamatojuma diskusijas, izvirzās jautājums, kā tad norma tika interpretēta visu šo garo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papildināt anotāciju gan izklāstot par normas interpretāciju kopš tās tapšanas, gan galvenais pamatojot vai un ka  likumdevēja sākotnēja griba netiek sašaurināta.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- 20.09.2022.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uztur spēkā 2022.gada 27.jūnijā iesniegtos iebildumus par BTAL 52.panta precizēšanu, gan pamatojoties uz iepriekš izteiktajiem argumentiem, gan tādēļ, ka šāds precizējums sašaurina iespējas piedzīt izdevumus regresa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52.panta pirmajā daļā vārdu “rehabilitācija” (attiecīgā locījumā) ar vārdiem “medicīniskā rehabilitācija”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 panta 3. punkta “b” apakšpunktā noteikts, ka šā panta 1. punkta “c” un “e” apakšpunktā minēto apstrādes pamatu un nolūku nosaka ar dalībvalsts tiesību aktiem, kas piemērojami pārzinim. Tāpat tādu personas datu apstrāde, kas attiecas uz veselību, Datu regulas izpratnē uzskatāma par īpašu kategoriju personas datu apstrādi. Atbilstoši Datu regulas 9. panta 1. punktam veselības datu apstrāde ir aizliegta. Veselības datu apstrāde ir pieļaujama, ja pastāv kāds no Datu regulas 9. panta 2. punktā minētajiem pamatojumiem. Vēršam uzmanību, ka personas datiem, kas pēc savas būtības ir īpaši sensitīvi saistībā ar pamattiesībām, pienākas īpaša aizsardzība, jo to apstrādes konteksts varētu radīt nopietnu risku datu subjekta tiesībām un tiesiskajām interesēm. Līdz ar to šādu datu apstrādei jo īpaši jāparedz atbilstošas garantijas personas datu un citu pamattiesību aizsardzībai. Tāpat, lai noteiktu, vai un kādā mērā pārziņi var apstrādāt sensitīvus datus, ir jānodrošina precīzs līdzsvars starp tiesībām uz privātumu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5.panta ir noprotams, ka Bērna māja, lai sasniegtu un realizētu tās darbībai izvirzītos mērķus, apstrādās personas datus, tajā skaitā bērnu datus, kā arī tādas personas datu kategorijas kā veselības dati (īpašu kategoriju dati). Tāpat likumprojekta 5.pants paredz, ka Bērna mājas mērķis cita starp arī ir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un tā anotācija nesatur informāciju par projektā paredzēto personas datu apstrādes tiesisko pamatu atbilstoši Datu regulas 9. pantam. Tāpat likumprojektā nav norādīts, kādam nolūkam tiks veikta Bērna mājas saņemtās informācijas uzkrāšana un statistikas analīzes veidošana. Ņemot vērā minēto, lūdzam atbilstoši precizēt projektu kopumā, paredzot arī atbilstošas garantijas personas datu un citu tiesību un tiesisko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personas datu apstrādes tiesiskais pamats, atbilstoši Datu regulas 9. pantam, ir Bērnu tiesību aizsardzības likuma 51.pants, saskaņā ar kuru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vardarbību vai nolaidību pret bērnu, par bērna pamudināšanu vai piespiešanu piedalīties seksuālās darbībās, par bērna izmantošanu vai iesaistīšanu prostitūcijā vainīgās personas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kurš ir noziedzīga nodarījuma, ekspluatācijas, seksuālas izmantošanas, vardarbības, nolaidības vai jebkādas citas nelikumīgas, cietsirdīgas vai cieņu aizskarošas darbības upuris, Ministru kabineta noteiktajā kārtībā bez maksas sniedzama nepieciešamā palīdzība, lai viņš atgūtu fizisko un psihisko veselību un integrētos sabiedrībā. Šādai ārstēšanai un reintegrēšanai jānotiek bērna veselībai, pašcieņai un godam labvēlīgā vidē, rūpīgi sargājot bērna intīmo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personai ir pienākums ziņot policijai vai citai kompetentai iestādei par vardarbību vai citu pret bērnu vērstu noziedzīgu nodarījumu. Par neziņošanu vainīgās personas saucamas pie likumā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bērnu tiesību aizsardzības inspekcijai ir pienākums: uzraudzīt un kontrolēt Bērnu tiesību aizsardzības likuma un citu bērnu tiesību aizsardzību regulējošo normatīvo aktu ievērošanu; analizēt situāciju bērnu tiesību aizsardzības jomā; analizēt situāciju bērnu tiesību aizsardzības jomā; sadarboties ar valsts un pašvaldību iestāžu amatpersonām, kā arī nevalstiskajām organizācijām bērnu tiesību aizsardzības jomā (Ministru kabineta 2021.gada 7.septembra noteikumu nr.611 “Valsts bērnu tiesību aizsardzības inspekcijas nolikums” 2.1., 2.3., 2.5., 2.6.apakšpunkts).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67.1 pantā noteikts, ka Iekšlietu ministrija, Izglītības un zinātnes ministrija, Labklājības ministrija, Vides aizsardzības un reģionālās attīstības ministrija, Tieslietu ministrija, Veselības ministrija, Valsts bērnu tiesību aizsardzības inspekcija un pašvaldības atbilstoši savai kompetencei sniedz statistisko informāciju par bērna tiesību aizsardzību valstī, par vecākiem, kuriem pārtrauktas vai atņemtas aizgādības tiesības, un par ģimenēm, kuras kopā ar bērniem izliktas no dzīvokļa, par bērnu adopciju, bērnu nodošanu ārpusģimenes aprūpē, audzinoša un medicīniska rakstura piespiedu līdzekļu piemērošanu bērniem, bērnu saukšanu pie kriminālatbildības, par obligāto izglītības vecumu sasniegušajiem bērniem, kuri neapmeklē izglītības iestādes, un par bērniem, kuri kļuvuši par nolaidības un vardarbības upuriem, un ielas bērniem, kā arī iesniedz attiecīgu kopsavilkumu Centrālajai statistikas pārvaldei. Centrālā statistikas pārvalde reizi gadā apkopo minēto informāciju un iesniedz to Labklājības ministrijai un Tiesībsarga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jāņem vērā, ka bērna māja atrodas ārstniecības iestādes – VSIA “Bērnu klīniskā universitātes slimnīca” teritorijā un tai ir saistoši Pacientu tiesību likuma 10.pantā noteiktie priekšraksti.  Informācija, kas attiecas uz identificētu vai identificējamu pacientu, ir aizsargājama saskaņā ar fizisko personu datu aizsardzību regulējošiem normatīvajiem aktiem. Informāciju par pacientu drīkst izpaust tikai ar viņa rakstveida piekrišanu vai gadījumos, kas noteikti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Bērnu tiesību komiteja (CRC) 2006. gada 28. jūnija rekomendācijās CRC/C/LVA/CO/2, kas gatavotas, izvērtējot 2006. gada 16. maijā Latvijas ziņojumu, izteica bažas, ka vardarbība pret bērniem ir plaši izplatīta problēma un ka vardarbība ģimenē bieži vien tiek uztverta kā privāta problēma. Rekomendācijās  Komiteja pauda bažas par to, ka joprojām nav dezagregēti sistematizēti un visaptveroši dati, lai būtu iespējams analizēt faktorus, kas jo īpaši nosaka neaizsargāto bērnu grupu situāciju un Komiteja ieteica dalībvalstij veikt pasākumus tādu sistematizētu un visaptverošu datu vākšanai un grupēšanai, kā arī apsvērt iespēju veikt padziļinātus analītiskus pētījumus par bērniem, kas ir īpaši neaizsargāti: par bērniem, kuri cietuši no vardarbības, nevērības vai sliktas izturēšanās, par ielu bērniem, par bērniem ar invaliditāti un bērniem ar īpašām vajadzībām, par bērniem, kas ilgstoši atrodas iestāžu aprūpē vai dzīvo internātskolās.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Komiteja arī pauda bažas par to, ka trūkst sistemātiski vāktu datu, kas atspoguļotu vardarbības pret bērniem apjomu, un ka trūkst atbilstošu pasākumu un mehānismu šīs problēmas risināšanai un Komiteja mudināja dalībvalsti pilnveidot spēkā esošos tiesību aktus attiecībā uz bērnu aizsardzību pret visu veidu vardarbību un nodrošināt sistemātisku datu vākšanu par vardarbību pret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mājā saņemtās informācijas uzkrāšana ir nepieciešama, lai bērna māja spētu nodrošināt tai uzticēto uzdevumu veikšanu, proti, vadīt vardarbībā cietušā bērna gadījumu, nodrošināt un koordinēt vardarbībā cietušajam bērnam nepieciešamo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statistikas analīzes veidošana bērna mājai ir būtiski, lai tā varētu plānot atbilstošus finanšu resursus un personālu savu funkciju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Kriminālprocesa likuma 200. panta pirmajai daļai tiesu eksperts veic tiesu psiholoģisko izpēti, pamatojoties uz procesa virzītāja pieņemto lēmumu par tiesu psiholoģiskās ekspertīzes noteikšanu. Savukārt atbilstoši Bērnu tiesību aizsardzības likuma 5.</w:t>
            </w:r>
            <w:r w:rsidR="00000000" w:rsidRPr="00000000" w:rsidDel="00000000">
              <w:rPr>
                <w:vertAlign w:val="superscript"/>
                <w:rtl w:val="0"/>
              </w:rPr>
              <w:t xml:space="preserve">2</w:t>
            </w:r>
            <w:r w:rsidR="00000000" w:rsidRPr="00000000" w:rsidDel="00000000">
              <w:rPr>
                <w:rtl w:val="0"/>
              </w:rPr>
              <w:t xml:space="preserve"> pantam psihologs sastāda atzinumu par psiholoģiskās izpētes rezultātiem, t.i. veic psiholoģisko izpēti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piedāvātā likumprojekta “Grozījumi Bērnu tiesību aizsardzības likumā” 5.pantā ir paredzēts papildināt Bērnu tiesību aizsardzības likumu ar 52.</w:t>
            </w:r>
            <w:r w:rsidR="00000000" w:rsidRPr="00000000" w:rsidDel="00000000">
              <w:rPr>
                <w:vertAlign w:val="superscript"/>
                <w:rtl w:val="0"/>
              </w:rPr>
              <w:t xml:space="preserve">1</w:t>
            </w:r>
            <w:r w:rsidR="00000000" w:rsidRPr="00000000" w:rsidDel="00000000">
              <w:rPr>
                <w:rtl w:val="0"/>
              </w:rPr>
              <w:t xml:space="preserve"> pantu “Bērna māja” ar otrās daļas 1.punktu šādā redakcijā: “[..]nodrošināt vardarbībā cietušā bērna labākajām interesēm atbilstošus intervences pasākumus, tajā skaitā</w:t>
            </w:r>
            <w:r w:rsidR="00000000" w:rsidRPr="00000000" w:rsidDel="00000000">
              <w:rPr>
                <w:b w:val="1"/>
                <w:rtl w:val="0"/>
              </w:rPr>
              <w:t xml:space="preserve"> izpētes intervijas</w:t>
            </w:r>
            <w:r w:rsidR="00000000" w:rsidRPr="00000000" w:rsidDel="00000000">
              <w:rPr>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šajā likumprojektā būtu juridiski precīzi jāatklāj, kas ir saprotams ar jēdzienu “izpētes intervija”, tai skaitā ir skaidri jānosaka, kas ir tiesīgs veikt šādu interviju, kādam mērķim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vārdi “izpētes intervija”.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mājas darba grupas 07.07.2022.: izslēgti vārdi “izpētes intervija”.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ka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noteikts, kā Bērna māja kā "centrs" iekļaujas bērna tiesību aizsardzības sistēmā kopumā, kāda ir tā funkcionālā pakļautība. Terminam “centrs” Bērna mājas modeļa kontekstā nav sniegts skaidrojums Likumprojektā vai tā anotācijā. Piemēram,  nav skaidrs, kuras institūcijas vai amatpersonas kompetencē būs izskatīt un izvērtēt personas iesniegumus par Bērna mājas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Ministru kabineta 2020. gada 6. oktobra sēdes protokola Nr. 59 22.paragrāfā "Informatīvais ziņojums “Par Eiropas Ekonomikas zonas finanšu instrumenta līdzfinansētās programmas “Starptautiskā policijas sadarbība un noziedzības apkarošana” ietvaros iepriekš noteiktā projekta “Atbalsts Barnahus ieviešanai Latvijā” ieviešanas modeli un ilgtspēju”” atbalstīti šādi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projektā iekļaut jaunu projekta partneri – Valsts bērnu tiesību aizsardzības inspekciju, kuras uzdevums ir gādāt par Bērnu mājas personālsastāvu un integrēt Bērnu mājas modeli inspekcijas institucionālajā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norādīto par Bērna mājas modeļa ilgtspēju un tā integrēšanu  Valsts bērnu tiesību aizsardzības inspekcijas struktūrā, tiesībsargs sniedz priekšlikumu papildināt tiesisko regulējumu, nosakot, ka Bērna māja ir Valsts bērnu tiesību aizsardzības inspekcijas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ar 52.1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(izskatīts un atbalstīts bērna mājas darba grupas 07.07.2022.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vardarbības cietuši bērni vispirms nonāk tieši BKUS, lai saņemtu pirmo neatliekamo medicīnisko palīdzību, kā arī Bērna mājas telpas atradīsies Bērnu klīniskās universitātes slimnīcas teritorijā, uzskatām, ka noteikumos jāparedz BKUS funkcijas un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(izskatīts un atbalstīts bērna mājas darba grupas 07.07.2022.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saprotams termins "izpētes intervijas". Lūdzam precizēt anotācijā, kādam mērķim un kurš veiks šīs intervijas.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netiek, jo termins “izpētes intervija” precizētajā likumprojektā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“izpētes intervija “ tiek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(BKUS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5.pantu (52.1pants) papildināt ar BKUS kompetenci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“Bērnu klīniskā universitātes slimnīca” funkcija Bērnu mājā ir organizēt metodisko vadību, lai saglabātu, uzlabotu un atjaunotu no vardarbības cietušā bērnu veselību, nodrošinot veselības aprūpes un rehabilitācijas pakalpojumus, vienlaikus sniedzot rekomendācijas koriģējošajiem pasākumiem, tajā skaitā izpētes intervijās.”,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BKUS ir reģistrēta ārstniecības iestāde un tikai reģistrētas ārstniecības iestādes telpās var tikt sniegti reģistrētu ārstniecības personu veselības aprūpes pakalpojumi, kuri būs nepieciešami bērnam, t.sk., atrodoties Bērna mājas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mājas viens no mērķiem ir nepārtraukti - no pirmā mirkļa, kad atklāta vardarbība – no vardarbības cietušam bērnam sniegt nepārtrauktu psiholoģisko un rehabilitējošo, fizisko un mentālo profesionālu ārstniecisko palīdzību, kas saglabā, uzlabo un atjauno bērna veselību. BKUS nevarēs nodrošināt kvalitatīvus, efektīvus un pieejamus plaša spektra veselības aprūpes pakalpojumus no vardarbības cietošajiem bērniem, ja visā Bērna mājas darbības procesā BKUS nepiedalīsies procesu pārraudzībā un nebūs piešķirtas tiesības koriģēt pasākumu kompleksu, kas attiecas uz Bērna vislabāko interešu aizsardzību. Veselības aprūpes nepārtraukta organizēšana bērnu var notikt tikai gadījumā, ja BKUS ir tiešs dalībnieks Bērnu mājā un tajā notiekošajiem procesiem un to izpildē var nepārtraukti piedalīties arī ārstniecības personas, kas visefektīvāk var ieteikt un koriģēt pasākumus bērna izpētes intervijās.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“Bērnu klīniskā universitātes slimnīca” funkcija Bērnu mājā ir organizēt metodisko vadību, lai saglabātu, uzlabotu un atjaunotu no vardarbības cietušā bērnu veselību, nodrošinot veselības aprūpes un rehabilitācijas pakalpojumus, vienlaikus sniedzot rekomendācijas koriģējošajiem pasākumiem, tajā skaitā izpētes intervijās.".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izskatīts un atbalstīts bērna mājas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w:t>
            </w:r>
            <w:r w:rsidR="00000000" w:rsidRPr="00000000" w:rsidDel="00000000">
              <w:rPr>
                <w:b w:val="1"/>
                <w:rtl w:val="0"/>
              </w:rPr>
              <w:t xml:space="preserve"> pants. Bērnu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starpdisciplinārs un starpinstitucionāls centrs,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(BKUS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(52.1panta otrās daļas 2.punkts) nepamatoti sašaurina Bērna mājas kompetenci. Bērnu māja savu darbību uzsāks sākotnēji palīdzot bērniem, kas cietuši no vardarbības par nodarījumiem pret dzimumneaizskaramību un tikumību, tomēr lai perspektīvā Bērnu mājā izpētes intervijas notiks no jebkuras vardarbības cietušam bērnam, t.sk., emocionālas un fiziskas vardarbības. Likumu jāraksta pēc iespējas paredzot visu Bērnu mājas uzdevumu un funkciju spektru nākotnē, tādējādi negrozot likumu bieži.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Saskaņošanā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bērna mājas darba grupas 07.07.2022. sanāksmē, kurā tika izlemts, ka patlaban bērna mājas mērķa grupas tvērums netiks paplašināts lielāks par to, kādu praktiski bērna māja spētu aptvert ar tik darbiniekiem, cik bērna mājai ir pieejami. Savukārt jautājums par bērna mājas mērķa grupas paplašināšanu tiks aktualizēts tajā brīdi, kad tam būs atrasti nepieciešamie resursi. Patlaban projekta ietvaros veidotā bērna māja spēs aptvert tikai ierobežotu bērnu loku, tādēļ jautājums par mērķa grupas paplašināšanu ir izskatāms pēc projetka noslēguma 2024.gada 30.aprīlī.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grozījumiem, kas skar Bērnu mājas izveidi, vēršam uzmanību, ka likumprojekta anotācijā nav skaidri norādīts, vai Bērna mājas pakalpojumi būs attiecināmi arī uz tādām nepilngadīgām personām, kas atrodas ieslodzījumā (notiesātajiem un apcietinātajiem), kuras arī var būt attiecīga noziedzīga nodarījuma upuri. Līdz ar to lūdzam precizēt likumprojekta anotāciju, ietverot skaidru norādi par to, vai nepilngadīgie ieslodzītie ietilps Bērnu mājas mērķa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projekta ieviešanas posmā (laikā no 2023.gada februāra līdz 2024.gada aprīlim) bērna mājas pakalpojumus nav paredzēts attiecināt arī uz tādām nepilngadīgām personām, kas atrodas ieslodzījumā (notiesātajiem un apcietinātajiem). Paredzēts, ka bērns, kurš ir cietis no vardarbības, ierodas bērna mājā, kurā sastopas ar dažāda veida speciālistiem. Bērniem, kuri atrodas ieslodzījuma vietā, nebūs iespējams ierasties bērna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aprakstu ar informāciju, kas nosaka tiesības apstrādāt informācijas sistēmā iekļauto informāciju par goda ģimenes apliecībām ir arī komersantiem, kuri ar Sabiedrības integrācijas fondu ir noslēguši vienošanos par atlaižu piešķiršanu. Šādiem komersantiem ir tiesības, izmantojot Sabiedrības integrācijas fonda nodrošinātus informācijas servisus, tiešsaistē pārbaudīt datus par uzrādītās goda ģimenes apliecības derīgumu uzrādīšanas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apstrādāt informācijas sistēmā iekļauto informāciju par apliecībām "Goda ģimene" ir arī komersantiem, kuri ar Sabiedrības integrācijas fondu ir noslēguši vienošanos par atlaižu piešķiršanu. Šādiem komersantiem ir tiesības, izmantojot Sabiedrības integrācijas fonda nodrošinātus informācijas servisus, tiešsaistē pārbaudīt datus par uzrādītās apliecības "Goda ģimene" derīgumu uzrādīšanas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anotācijas nav skaidri ilgtermiņa risinājumi, t.sk., finansēšana. Lūdzam papildināt anotāciju ar  Bērna mājas ieviešanas darba grupas secinājumiem un ieteikumiem.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5.pantu, kas paredz papildināt likumu ar 52.</w:t>
            </w:r>
            <w:r w:rsidR="00000000" w:rsidRPr="00000000" w:rsidDel="00000000">
              <w:rPr>
                <w:vertAlign w:val="superscript"/>
                <w:rtl w:val="0"/>
              </w:rPr>
              <w:t xml:space="preserve">1</w:t>
            </w:r>
            <w:r w:rsidR="00000000" w:rsidRPr="00000000" w:rsidDel="00000000">
              <w:rPr>
                <w:rtl w:val="0"/>
              </w:rPr>
              <w:t xml:space="preserve"> un 52.</w:t>
            </w:r>
            <w:r w:rsidR="00000000" w:rsidRPr="00000000" w:rsidDel="00000000">
              <w:rPr>
                <w:vertAlign w:val="superscript"/>
                <w:rtl w:val="0"/>
              </w:rPr>
              <w:t xml:space="preserve">2</w:t>
            </w:r>
            <w:r w:rsidR="00000000" w:rsidRPr="00000000" w:rsidDel="00000000">
              <w:rPr>
                <w:rtl w:val="0"/>
              </w:rPr>
              <w:t xml:space="preserve"> pantu par bērnu māju un tās darbības principiem, anotācijas 3.sadaļā norādīts, ka ar 2025.gadu nepieciešams papildu valsts budžeta finansējums projekta rezultātu ilgtspējas nodrošināšanai 276 457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norādot, ka jautājums par papildu valsts budžeta finansējuma piešķiršanu bērna mājas darbības turpināšanai 2025.gadam un turpmāk ik gadu izskatāms Ministru kabinetā gadskārtējā valsts budžeta likumprojekta un vidēja termiņa budžeta likumprojekta sagatavošanas un izskatīšanas procesā kopā ar visu ministriju un centrālo valsts iestāžu iesniegtajiem prioritāro pasākumu pieteikumiem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nepieciešams sniegt skaidrojumu, kā Labklājības ministrija nodrošinās likumprojekta 5.pantā paredzēto pasākumu īstenošanu sākot ar 2025.gadu Labklājības ministrijai piešķirto valsts budžeta līdzekļu ietvaros gadījumā, ja papildu valsts budžeta finansējums 2025.gadam un turpmāk ik gadu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iekļaujamas tikai tādas normas, kuru īstenošanu ministrijas var nodrošināt tām piešķirto valsts budžeta līdzekļu ietvaros, savukārt, ja likumprojektā paredzēto pasākumu īstenošanai ir nepieciešams papildu valsts budžeta finansējums minētā norma virzāma kā grozījums attiecīgajā likumā tikai pēc tam, kad Ministru kabinets, izskatot visu ministriju un citu centrālo valsts iestāžu pieteikumus prioritārajiem pasākumiem, ir atbalstījis papildu valsts budžeta līdzekļu piešķiršanu tās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2., 4. un 6.ailes 1., 2. un 3.apakšpunktu, norādot projektam “Atbalsts Barnahus ieviešanai Latvijā” Labklājības ministrijas pamatbudžetā plānoto finansējumu atbilstoši likumam “Par valsts budžetu 2022.gadam” un likumam “Par vidēja termiņa budžeta ietvaru 2022., 2023. un 2024.gadam”, vienlaikus anotācijas 3.sadaļas 6.punktā norādot Labklājības ministrijas apakšprogrammu, kuras ietvaros tiks īstenots minētais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norādītās Bērnu mājas personāla izmaksas, ņemot vērā, ka, matemātiski saskaitot norādīto aprēķinu personām pa kategorijām, tās veidojas 220 657 euro apmērā nevis 235 657 euro apmērā, vienlaikus nepieciešamības gadījumā precizējot anotācijas 3.sadaļas 8.ailes 2., 3. 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Bērna mājas mērķis ir vienuviet nodrošināt vardarbībā cietušā bērna labākajām interesēm atbilstošus intervences pasākumus, tajā skaitā izpētes intervijas, bērna vajadzību un risku izvērtēšanu, medicīnisko, psiholoģisko un sociālo atbalstu bērnam un tā nevardarbīgajam tuviniekam;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u.c.,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par iespēju nodrošināt Bērna mājas piedāvātos pakalpojumus, mērķus un saudzīgāko berna labākajās interesēs balstīto pieeju visiem cietušajiem bērniem, ņemot vērā, ka likuma grozījumi šādas tiesības paredzēs ikvienam bērnam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(BKUS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III sadaļa paredzētais finansējums neatspoguļo visas pozīcijas, kas saistītas ar Bērna mājas uzturēšanu un cilvēkresursu piesaistīšanu. Piemēram, nav iekļautas pozīcijas, kas neietilpst nomas maksā – piemēram, Bērnu mājas tehniskā apkalpošana, gan informācijas un komunikācijas tehnoloģiju, gan drošības, jo interviju ieraksta sistēmas ir ne tikai jāuztur, bet arī jābūt patstāvīgā autorizētā uzraudzībā, jo saturēs kriminālprocesam izšķirīgas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(BKUS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III sadaļa nesatur ziņas (nav paskaidrots), kā tiek aprēķināti un kas ietilpst terminā “divi medicīnas darbinieki”. Bez tam, nav iekļautas izmaksas, kas saistās ar to, ka BKUS ārstniecības personas ir pamatdarbā BKUS un nav aprakstīta kārtība, kādā BKUS ārstniecības personas piedalīsies Bērnu mājas darbā. Ārstniecības personas vienlaicīgi nevar atrasties BKUS pamatdarbā un ierasties uz intervijām, jo tam ir jābūt organizētam pēc iespējas bērnu netraumējošā veidā un līdz ar to šīm ārstniecības personām jābūt patstāvīgai klātbūtnē un attiecīgi jāmaksā atlīdzība par darbu Bērnu mājā. Lai neizveidotos dubultā apmaksa no valsts budžeta līdzekļiem, tad pakalpojumus, ko sniedz ārsts, var reģistrēt caur taloniem (jau ierastajā veselības aprūpes sniegt maksas pakalpojumu apmaksu), kurus tālāk apmaksā Nacionālais veselības dienests nevis slēgt atsevišķus līgumus ar ārstiem.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27.06.2022. izteikto 2.iebildumu, ka nepieciešams aizpildīt anotācijas 3.sadaļas 2., 4. un 6.ailes 1., 2. un 3.apakšpunktu, norādot projektam “Atbalsts Barnahus ieviešanai Latvijā” Labklājības ministrijas pamatbudžetā plānoto finansējumu atbilstoši likumam “Par valsts budžetu 2022.gadam” un likumam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6.2.apakšpunktā norādīto aprēķinu nepieciešamajam papildu finansējumam sistēmanalītiķim 2025.gadam un turpmāk ik gadu, jo matemātiski tas veidojas 5 369 </w:t>
            </w:r>
            <w:r w:rsidR="00000000" w:rsidRPr="00000000" w:rsidDel="00000000">
              <w:rPr>
                <w:i w:val="1"/>
                <w:rtl w:val="0"/>
              </w:rPr>
              <w:t xml:space="preserve">euro</w:t>
            </w:r>
            <w:r w:rsidR="00000000" w:rsidRPr="00000000" w:rsidDel="00000000">
              <w:rPr>
                <w:rtl w:val="0"/>
              </w:rPr>
              <w:t xml:space="preserve"> nevis 8 055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informācijas sistēmas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 valsts noteiktā braukšanas maksas atvieglojuma administrēšanai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 transportlīdzekļa ekspluatācijas nodokļa atvieglojumu piemērošanai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Rajona (pilsētas) tiesai-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saistītajos dokumentos izmantot vārdu Goda ar lielo burtu.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Goda ģimenes apliecība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26.panta sestajā daļā lietots termins "goda ģimenes apliecība" ar mazo burtu. Nepieciešams nodrošināt vienveidīgu termina "goda ģimenes apliecība" lietošanu likumā. Papildus vēršam uzmanību uz to, ka 2021.gada 16.novembrī minētā tiesību norma jau tika grozīta (stājās spēkā 2022.gada 1.janvārī), aizstājot vārdus "daudzbērnu ģimenes apliecības" ar vārdiem "goda ģimenes apliecības", lietotojot mazo burtu apliecības nosaikumā.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Latvijas Goda ģimenes apliecības informācijas uzkrāšanas un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(turpmāk – informācijas sistēma) ir valsts informācijas sistēma, kurā iekļauj datus par šā likuma 26.panta sestajā daļā minētajām goda ģimenes apliecībām, tostarp personas datus. Informācijas sistēmas pārzinis  ir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(3)Tiesības apstrādāt informācijas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informācijas sistēmas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sabiedrībai ar ierobežotu atbildību "Autotransporta direkcija"- valsts noteiktā braukšanas maksas atvieglojuma administrēšanai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akciju sabiedrībai "Ceļu satiksmes drošības direkcija"- transportlīdzekļa ekspluatācijas nodokļa atvieglojumu piemērošanai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birojam-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Rajona (pilsētas) tiesai-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informācijas sistēmā iekļaujamos datus, to apjomu, datu apstrādes noteikumus un kārtību, kā arī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45.</w:t>
            </w:r>
            <w:r w:rsidR="00000000" w:rsidRPr="00000000" w:rsidDel="00000000">
              <w:rPr>
                <w:vertAlign w:val="superscript"/>
                <w:rtl w:val="0"/>
              </w:rPr>
              <w:t xml:space="preserve">3</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sodīta par tīšu noziedzīgu nodarījumu, kas saistīts ar vardarbību vai vardarbības piedraudējumu, līdz dienai, kad sodāmība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piedāvāto  45.</w:t>
            </w:r>
            <w:r w:rsidR="00000000" w:rsidRPr="00000000" w:rsidDel="00000000">
              <w:rPr>
                <w:vertAlign w:val="superscript"/>
                <w:rtl w:val="0"/>
              </w:rPr>
              <w:t xml:space="preserve">3</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1.punkta redakciju un izteikt to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sodīta par tīšu noziedzīgu nodarījumu, kas saistīts ar vardarbību vai vardarbības piedraudējumu, līdz sodāmība nav dzēsta vai noņemta;"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esošā redakcija ir veiksmīgāka. Turklāt šāds izteiksmes veids jau ir ticis lietots 2022.gada 2.jūnijā pieņemtajos Civillikuma grozījums "personas, kuras sodītas par (...), - līdz dienai, kad sodāmība dzēsta vai noņemta". Uzskatām, ka nepieciešams pieturēties pie vienāda stila, kā tiek formlēts šāda veida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45.</w:t>
            </w:r>
            <w:r w:rsidR="00000000" w:rsidRPr="00000000" w:rsidDel="00000000">
              <w:rPr>
                <w:vertAlign w:val="superscript"/>
                <w:rtl w:val="0"/>
              </w:rPr>
              <w:t xml:space="preserve">3</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 sodīta par tīšu noziedzīgu nodarījumu, kas saistīts ar vardarbību vai vardarbības piedraudējumu, līdz dienai, kad sodāmība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mājas darbības ietvaros valsts sabiedrība ar ierobežotu atbildību “Bērnu klīniskā universitātes slimnīca” nodrošina veselības aprūpes un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sabiedrība ar ierobežotu atbildību “Bērnu klīniskā universitātes slimnīca” un nodibinājuma “Centrs Dardedze”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Bērnu tiesību aizsardzības likuma 52.</w:t>
            </w:r>
            <w:r w:rsidR="00000000" w:rsidRPr="00000000" w:rsidDel="00000000">
              <w:rPr>
                <w:vertAlign w:val="superscript"/>
                <w:rtl w:val="0"/>
              </w:rPr>
              <w:t xml:space="preserve">3</w:t>
            </w:r>
            <w:r w:rsidR="00000000" w:rsidRPr="00000000" w:rsidDel="00000000">
              <w:rPr>
                <w:rtl w:val="0"/>
              </w:rPr>
              <w:t xml:space="preserve"> panta ceturtā daļa paredz, ka Bērna mājas uzraudzības padomes sastāvā ir Labklājības ministrijas, Tieslietu ministrijas, Iekšlietu ministrijas, Veselības ministrijas, Valsts bērnu tiesību aizsardzības inspekcijas, valsts sabiedrība ar ierobežotu atbildību “Bērnu klīniskā universitātes slimnīca” un nodibinājuma “Centrs Dardedze”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skaidrs, kāpēc Bērna mājas uzraudzības padomes sastāvā ir iekļauta viena konkrēta nevalstiskā organizācija - nodibinājums “Centrs Dardedze”, ņemot vērā, ka palīdzību nepilngadīgajiem cietušajiem sniedz arī citas nevalstiskās organizācijas, piemēram, Latvijas bērnu fonds un resursu centrs sievietēm "Marta". Ierosinām precizēt minēto normu, izslēdzot vārdus "un nodibinājuma “Centrs Dardedze”" un papildināt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Bērnu mājas uzraudzības padomes locekļu iniciatīvas padomē var pieaicināt pārstāvjus no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ņemot vērā bērna mājas darba grupas 2022.gada 31.augusta sanāksmē pārrunātos precizējumus padomes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mājas darbības ietvaros valsts sabiedrība ar ierobežotu atbildību “Bērnu klīniskā universitātes slimnīca” nodrošina veselības aprūpes un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sabiedrība ar ierobežotu atbildību “Bērnu klīniskā universitātes slimnīca” un nodibinājuma “Centrs Dardedze”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kādus rehabilitācijas pakalpojumus sniegs valsts sabiedrība ar ierobežotu atbildību “Bērnu klīniskā universitātes slimnīca” - sociālās rehabilitācijas vai veselības rehabilitācijas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Bērnu mājas darbības ietvaros valsts sabiedrība ar ierobežotu atbildību “Bērnu klīniskā universitātes slimnīca” nodrošina veselības aprūpes  un medicīniskās un sociālās rehabilitācijas pakalpojumus, lai saglabātu, uzlabotu un atjaunotu no vardarbības cietušā bērnu veselību, un sniedz rekomendācijas koriģējošajiem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pants.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tajā skaitā bērna vajadzību un risku izvērtēšanu, medicīnisko, psiholoģisko un sociālo atbalstu bērnam un tā nevardarbīgajam tuviniekam;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Krimināllikuma 125.panta otrās daļas 9.punktā, 126.panta otrās daļas 7.punktā, 130.panta trešās daļas 6.punktā un 174.pantā paredzētajiem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koordinēt, lai kompetentās institūcijas savu pilnvaru īstenošanas nolūkā apmainās ar informāciju, kas nepieciešama vardarbības pret bērnu gadījuma vadīšanā, neveicot atkārtotu vienas un tās pašas informācijas iegūšanu no bērna, piemēram, neveicot atkārtotu bērna iztaujāšanu, kā arī nodrošināt saņemtās informācijas uzkrāšanu un veidot statistikas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cietušā bērnu veselību, un sniedz rekomendācijas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 </w:t>
            </w:r>
            <w:r w:rsidR="00000000" w:rsidRPr="00000000" w:rsidDel="00000000">
              <w:rPr>
                <w:rtl w:val="0"/>
              </w:rPr>
              <w:t xml:space="preserve">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un apmainoties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vardarbībā cietušā bērna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speciālo zināšanu par vardarbības pret bērnu gadījumu izpratni, tostarp par šādu gadījumu vadību un starpdisciplināro un starpinstitucionālo sadarbību, pilnveides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sniegtie pakalpojumi un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kuri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ar padomes apstiprinātu nolikumu.”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2021.gada 7.septembra noteikumu Nr.617 "Tiesību akta projekta sākotnējās ietekmes izvērtēšanas kārtība" 9.25. apakšpunktā noteikto aizpildīt likumprojekta anotācijas 8.daļas "Horizontālās ietekmes" 8.1.16.punktu atbilstoši  Bērnu tiesību aizsardzības likuma 6.pantā noteiktajam bērna labāko interešu ievērošanas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Labklājības ministrijas īstenotā EEZ finanšu instrumenta 2014.- 2021. gada programmas “Starptautiskā policijas sadarbība un noziedzības apkarošana” projekta “Atbalsts Barnahus ieviešanai Latvijā” līguma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Nr. EEZ/LM/2020/5.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Latvijas Goda ģimenes apliecības informācijas uzkrāšanas un analīzes sistēmas attīstības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Ministru kabineta 2021. gada 31. augusta noteikumu Nr. 597 "Valsts informācijas sistēmu attīstības projektu uzraudzības kārtība" 5. punktā ietverto prasību saskaņot sistēmas attīstības aktivitātes ar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sākotnējās ietekmes novērtējuma ziņojuma 5.sadaļu, ietverot tajā atsauces uz Eiropas Cilvēka tiesību un pamatbrīvību aizsardzības konvenciju (turpmāk – ECK) un Apvienoto Nāciju Organizācijas Konvenciju par bērna tiesībām (turpmāk – ANO Konvencija par bērna tiesībām). Projektā paredzētie grozījumi Bērnu tiesību aizsardzības likumā efektīvi pilnveido Latvijas Republikas normatīvo regulējumu atbilstoši starptautiskajām saistībām cilvēktiesību un bērnu tiesību aizsardzības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paredzētie grozījumi attiecībā uz ārvalstu adopcijas tiesisko regulējumu ietilpst ECK 8.panta (tiesības uz privātās un ģimenes dzīves neaizskaramību) un ANO Konvencijas par bērna tiesībām 21.panta (dalībvalsts, kas atzīst un/vai atļauj adopciju, pienākums nodrošināt, lai bērna intereses būtu pats svarīgākais apsvērums) tvērumā. Proti, nolūkā nodrošināt bērna labākās intereses (ģimenes saišu, identitātes saglabāšanu) minētie grozījumi paredz, ka izņēmuma gadījumā bērnu var adoptēt uz ārvalsti, kurai nav saistoša 1993.gada 29.maija Hāgas konvencija par bērnu aizsardzību un sadarbību starpvalstu adopcijas jautājumos un ANO Konvencija par bērna tiesībām, un ar kuru Latvija nav noslēgusi divpusēju līgumu, nosakot abpusēju tiesiskās sadarbības specifiku ārvalstu adopcijas jomā, ja bērnu adoptē viņa radinieks vai tiek adoptēts otra laulātā bērns. Atbilstoši Eiropas Cilvēktiesību tiesas judikatūrai ECK 8.pantā garantētajās tiesībās uz ģimenes dzīves neaizskaramību ietilpst arī ģimenes saites ar radiniekiem, kuri nav bērna vecāki, piemēram ar vecvecākiem, vecāku brāļiem un māsām u.c. (skatīt, piemēram, </w:t>
            </w:r>
            <w:r w:rsidR="00000000" w:rsidRPr="00000000" w:rsidDel="00000000">
              <w:rPr>
                <w:i w:val="1"/>
                <w:rtl w:val="0"/>
              </w:rPr>
              <w:t xml:space="preserve">Boyle pret Lielbritāniju</w:t>
            </w:r>
            <w:r w:rsidR="00000000" w:rsidRPr="00000000" w:rsidDel="00000000">
              <w:rPr>
                <w:rtl w:val="0"/>
              </w:rPr>
              <w:t xml:space="preserve"> (iesniegums Nr.16580/90), 1993.gada 9.februāra ziņojums, 41.-47.rindkopas; </w:t>
            </w:r>
            <w:r w:rsidR="00000000" w:rsidRPr="00000000" w:rsidDel="00000000">
              <w:rPr>
                <w:i w:val="1"/>
                <w:rtl w:val="0"/>
              </w:rPr>
              <w:t xml:space="preserve">Marckx pret Beļģiju</w:t>
            </w:r>
            <w:r w:rsidR="00000000" w:rsidRPr="00000000" w:rsidDel="00000000">
              <w:rPr>
                <w:rtl w:val="0"/>
              </w:rPr>
              <w:t xml:space="preserve"> (iesniegums Nr.6833/74), 1979.gada 13.jūnija spriedums, 45.rindkopa; </w:t>
            </w:r>
            <w:r w:rsidR="00000000" w:rsidRPr="00000000" w:rsidDel="00000000">
              <w:rPr>
                <w:i w:val="1"/>
                <w:rtl w:val="0"/>
              </w:rPr>
              <w:t xml:space="preserve">Bronda pret Itāliju</w:t>
            </w:r>
            <w:r w:rsidR="00000000" w:rsidRPr="00000000" w:rsidDel="00000000">
              <w:rPr>
                <w:rtl w:val="0"/>
              </w:rPr>
              <w:t xml:space="preserve"> (iesniegums Nr.22430/93), 1998.gada 9.jūnija spriedums, 51.rindkopa).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ECK 8.panta tvērumā ietilpst projektā paredzētie grozījumi, kas, ievērojot Satversmes tiesas secinājumus 2021.gada 4.novembra spriedumā lietā Nr.2021-05-01, aizstāj iepriekš noteikto absolūto aizliegumu personai, kura sodīta par tīšu noziedzīgu nodarījumu, kas saistīts ar vardarbību vai vardarbības piedraudējumu, kļūt par viesģimeni, nosakot, ka persona, kura sodīta par šādu noziedzīgu nodarījumu, nedrīkst būt par viesģimeni līdz dienai, kad sodāmība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projektā paredzētajiem grozījumiem, kas nostiprina Bērnu tiesību aizsardzības likumā Bērnu mājas institūtu un regulē ar tā darbību saistītos jautājumus, aicinām norādīt, ka šie grozījumi atspoguļo vienu no pasākumiem, kas vērsts uz ANO Konvencijas par bērna tiesībām 39.pantā (dalībvalsts pienākums veikt pasākumus, lai veicinātu to bērnu fizisko un psihisko atlabšanu un sociālo reintegrāciju, kuri ir kļuvuši par upuri jebkādām necieņas, ekspluatācijas vai vardarbības izpausmēm, spīdzināšanai vai citām nežēlīgas, necilvēcīgas vai pazemojošas izturēšanās vai soda formām) garantēto tiesību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lietot vienotu, atbilstošu terminoloģiju. Tekstā pašlaik tiek lietoti termini  “upuris” un “cietušais”.  Ņemot vērā, Kriminālprocesa likuma 95. pantā noteikto, lūdzam tekstā lietot vienu terminu “cietušais”.  Tāpat lūdzam atbilstoši likumprojektā lietotajam tekstam, visā anotācijā attiecībā par modeļa ieviešanu Latvijā lietot vienotu terminu -  “Bērna māja” (pašlaik tiek lietots arī termins – “Barnahus”). Vienlaikus, lai tekstu padarītu skaidrāku, lūdzam lietot arī vienotu terminu "institūcija", nevis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“uzlabot prokuratūras un tiesu sistēmas izmantoto pierādījumu kvalitāti, tostarp apmācot speciālistus”, proti, aprakstot kā tieši tiks uzlabota izmantoto pierādījumu kvalitāte. Tāpat norādāms, ka prokuratūra ir tiesu varas institūcija, kā arī pierādījumus lēmumu pieņemšanai izmanto izmeklēšanas iestādes. Līdz ar to atbilstoši plānotajam aprakstītā mērķim, tekstu nepieciešams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“medicīniski izmeklēti kriminālprocesuālos nolūkos”, proti, aprakstot, kādi tieši medicīniski izmeklējumi ir ietverti. Norādāms, ka ekspertīzes veikšana ir kriminālprocesuāla izmeklēšanas darbība. Savukārt bērna medicīniskā  izmeklēšana un vispārēja veselības stāvokļa apskate nav kriminālprocesuālās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norādās, ka anotācijā aprakstot Bērna mājas mērķus un darbības likts uzsvars uz kriminālprocesuālo darbību sadaļu, kas ir tikai viena no Bērna mājā plānotajām aktivitātēm. Līdz ar to lūdzam aprakstīt arī citus plānotos bērna atbalsta sniegšanas pakalpojumus  Bērna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Labklājības ministrijas īstenotā EEZ finanšu instrumenta 2014.- 2021. gada programmas “Starptautiskā policijas sadarbība un noziedzības apkarošana” projekta “Atbalsts Barnahus ieviešanai Latvijā” līguma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Nr. EEZ/LM/2020/5.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sākotnējās ietekmes novērtējuma ziņojumā (turpmāk - anotācija) tiek lietoti pēc satura līdzīgi termini - "nopratināšana", un "izpētes intervija". Precizēt anotācijas tekstu, ievērojot konsekvenci minēto terminu lietojumā, vai sniegt to detalizētu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saglabāti abi termini "nopratināšana" un "izpētes intervija", jo saskaņā ar Barnahus modeļa kvalitātes standartiem tiek lietoti abi divi termini. Uz kriminālprocesālo sadaļu attiecināms termins "bērna nopratināšana". Uzskatām, ka ir svarīgi anotācijā pieturēties pie Barnahus modeļa kvalitātes standartos lietotās terminoloģijas, lai nodrošinātu vispusīgu informāciju par plānotajiem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6.2.apakšpunktā norādīto Bērna mājas modeļa personāla izmaksu apmēru 2024.gadam, t.i. 231 921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(BKUS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Bērna mājas telpu nomas maksas apjomu atbilstoši faktiskajai telpu nomas kvadratūrai (kopējā iznomājamo telpu kvadratūra tiks precizēta pēc projekta realizācijas beigām), attiecīgi koriģējot arī provizoriski paredzēto kopējo izdevumu pozīciju. T.sk., nomas maksas izcenojumā paredzot komunālo pakalpojumu izdevumu pozīcijas pieaugumu,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nomās pakalpojumā jāierēķina atbilstoši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Komunālie maksajumi: siltums, elektrība, ūdens, internets, atkritumu izvešana;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uzkopšana - apkopējas darbs un izdevumi par uzkopšanas materiāliem, uzkopšanas inventārs, tualetes papīrs, roku dvieļi, ziepes;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apsardzes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kontroles un autorizācijas pakalpojumi - čipu piekļuve telpām, to nodrošināšana, uzraudzība, pielāgošana darbības vajadzībām, piekļuves čipu izgatavošana;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iegādātās biroja tehnikas ( datori, stacionārie telefoni, printeri) regulārās apkopes;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 stāvvietu uzturēšana darbiniekiem un apmeklētājiem;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pieguļošās teritorijas uzkopšana;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lifta uzturēšanas un apkopes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pašreizējā redakcijā ir paredzētas izmaiņas likumprojekta 2.pantā, aicinām veikt attiecīgas izmaiņas arī sākotnējās ietekmes novērtējuma ziņojuma 5.3.sadaļā, kur šis likumprojekta pants ir aprakstīts, izsakot šīs sadaļas otrās rindkopas otro teikumu tādā redakcijā, lai tā atbilstu aktuālajai likumprojekta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22-TA-697</w:t>
    </w:r>
    <w:r>
      <w:br/>
    </w:r>
    <w:r w:rsidR="00000000" w:rsidRPr="00000000" w:rsidDel="00000000">
      <w:rPr>
        <w:rtl w:val="0"/>
      </w:rPr>
      <w:t xml:space="preserve">03.01.2023. 09.48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22-TA-697</w:t>
    </w:r>
    <w:r>
      <w:br/>
    </w:r>
    <w:r w:rsidR="00000000" w:rsidRPr="00000000" w:rsidDel="00000000">
      <w:rPr>
        <w:rtl w:val="0"/>
      </w:rPr>
      <w:t xml:space="preserve">03.01.2023. 09.48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Izziņa_22-TA-697.docx</dc:title>
</cp:coreProperties>
</file>

<file path=docProps/custom.xml><?xml version="1.0" encoding="utf-8"?>
<Properties xmlns="http://schemas.openxmlformats.org/officeDocument/2006/custom-properties" xmlns:vt="http://schemas.openxmlformats.org/officeDocument/2006/docPropsVTypes"/>
</file>