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68F59" w14:textId="77777777" w:rsidR="004618DC" w:rsidRDefault="004618DC" w:rsidP="004618DC">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Dancīte &lt;inguna.dancite@fm.gov.lv&gt; </w:t>
      </w:r>
      <w:r>
        <w:rPr>
          <w:rFonts w:ascii="Calibri" w:eastAsia="Times New Roman" w:hAnsi="Calibri" w:cs="Calibri"/>
          <w:b/>
          <w:bCs/>
          <w:sz w:val="22"/>
          <w:szCs w:val="22"/>
          <w:lang w:val="en-US"/>
        </w:rPr>
        <w:t xml:space="preserve">On Behalf Of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Tuesday, August 24, 2021 5:20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Pasts &lt;Pasts@em.gov.lv&gt;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Inese Karpoviča &lt;Inese.Karpovica@em.gov.lv&gt;; Elīna Kobzeva &lt;elina.kobzeva@fm.gov.lv&gt;; Mārtiņš Trautmanis &lt;martins.trautmanis@fm.gov.lv&gt;; Gunita Galauska &lt;gunita.galauska@fm.gov.lv&gt;; Juris Lukss &lt;juris.lukss@fm.gov.lv&gt;; Elīna Pentjuša &lt;elina.pentjusa@fm.gov.lv&gt;; Viktorija Jureviča &lt;viktorija.jurevica@fm.gov.lv&gt;; Ilvija.Peimane@vni.lv; Oskars.Kupics@ast.lv; Edite.Kukoja@altum.lv; Inga.Gertnere@vid.gov.lv; Inga.Rudzite@vid.gov.lv</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atzinums par precizēto TAP, VSS-307</w:t>
      </w:r>
    </w:p>
    <w:p w14:paraId="0DA60A99" w14:textId="77777777" w:rsidR="004618DC" w:rsidRDefault="004618DC" w:rsidP="004618DC"/>
    <w:p w14:paraId="35F14B13" w14:textId="77777777" w:rsidR="004618DC" w:rsidRDefault="004618DC" w:rsidP="004618D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4D9FA4A" w14:textId="77777777" w:rsidR="004618DC" w:rsidRDefault="004618DC" w:rsidP="004618DC">
      <w:pPr>
        <w:rPr>
          <w:rFonts w:ascii="Calibri" w:hAnsi="Calibri" w:cs="Calibri"/>
          <w:color w:val="1F497D"/>
          <w:sz w:val="22"/>
          <w:szCs w:val="22"/>
        </w:rPr>
      </w:pPr>
      <w:r>
        <w:rPr>
          <w:rFonts w:ascii="Calibri" w:hAnsi="Calibri" w:cs="Calibri"/>
          <w:sz w:val="22"/>
          <w:szCs w:val="22"/>
        </w:rPr>
        <w:t>24.08.2021.  Nr. 10.1-6/7-1/1018</w:t>
      </w:r>
    </w:p>
    <w:p w14:paraId="396388F4" w14:textId="77777777" w:rsidR="004618DC" w:rsidRDefault="004618DC" w:rsidP="004618DC"/>
    <w:p w14:paraId="3A89C897" w14:textId="77777777" w:rsidR="004618DC" w:rsidRDefault="004618DC" w:rsidP="004618DC">
      <w:r>
        <w:t>Labdien!</w:t>
      </w:r>
    </w:p>
    <w:p w14:paraId="52E11B6D" w14:textId="77777777" w:rsidR="004618DC" w:rsidRDefault="004618DC" w:rsidP="004618DC"/>
    <w:p w14:paraId="20E604E2" w14:textId="77777777" w:rsidR="004618DC" w:rsidRDefault="004618DC" w:rsidP="004618DC">
      <w:r>
        <w:t>Finanšu ministrija atbilstoši kompetencei ir izskatījusi Ekonomikas ministrijas precizēto likumprojektu "Grozījumi Enerģētikas likumā" (VSS-307) (turpmāk – likumprojekts), tā sākotnējās ietekmes novērtējuma ziņojumu (anotāciju) un izziņu par atzinumos sniegtajiem iebildumiem, un izsaka tālāk minētos iebildumus un priekšlikumu.</w:t>
      </w:r>
    </w:p>
    <w:p w14:paraId="3356153D" w14:textId="77777777" w:rsidR="004618DC" w:rsidRDefault="004618DC" w:rsidP="004618DC"/>
    <w:p w14:paraId="08799569" w14:textId="77777777" w:rsidR="004618DC" w:rsidRDefault="004618DC" w:rsidP="004618DC">
      <w:r>
        <w:rPr>
          <w:b/>
          <w:bCs/>
        </w:rPr>
        <w:t>Iebildumi</w:t>
      </w:r>
      <w:r>
        <w:t>.</w:t>
      </w:r>
    </w:p>
    <w:p w14:paraId="3B65A53A" w14:textId="37BF317C" w:rsidR="004618DC" w:rsidRDefault="004618DC" w:rsidP="004618DC">
      <w:pPr>
        <w:numPr>
          <w:ilvl w:val="0"/>
          <w:numId w:val="1"/>
        </w:numPr>
        <w:rPr>
          <w:rFonts w:eastAsia="Times New Roman"/>
          <w:lang w:eastAsia="en-US"/>
        </w:rPr>
      </w:pPr>
      <w:r>
        <w:rPr>
          <w:rFonts w:eastAsia="Times New Roman"/>
          <w:lang w:eastAsia="en-US"/>
        </w:rPr>
        <w:t>Likumprojekta 1.pants paredz papildināt Enerģētikas likuma 1.pantu ar 24.</w:t>
      </w:r>
      <w:r>
        <w:rPr>
          <w:rFonts w:eastAsia="Times New Roman"/>
          <w:sz w:val="26"/>
          <w:szCs w:val="26"/>
          <w:vertAlign w:val="superscript"/>
        </w:rPr>
        <w:t>1</w:t>
      </w:r>
      <w:r>
        <w:rPr>
          <w:rFonts w:eastAsia="Times New Roman"/>
          <w:lang w:eastAsia="en-US"/>
        </w:rPr>
        <w:t xml:space="preserve"> punktu, nosakot, ka kurināmā piegādātājs – komersants, kas:</w:t>
      </w:r>
    </w:p>
    <w:p w14:paraId="458071DE" w14:textId="77777777" w:rsidR="004618DC" w:rsidRDefault="004618DC" w:rsidP="004618DC">
      <w:pPr>
        <w:ind w:left="720"/>
        <w:rPr>
          <w:lang w:eastAsia="en-US"/>
        </w:rPr>
      </w:pPr>
      <w:r>
        <w:rPr>
          <w:lang w:eastAsia="en-US"/>
        </w:rPr>
        <w:t>a) realizē kurināmo patēriņam,</w:t>
      </w:r>
    </w:p>
    <w:p w14:paraId="6B9D3CA5" w14:textId="77777777" w:rsidR="004618DC" w:rsidRDefault="004618DC" w:rsidP="004618DC">
      <w:pPr>
        <w:ind w:left="720"/>
        <w:rPr>
          <w:lang w:eastAsia="en-US"/>
        </w:rPr>
      </w:pPr>
      <w:r>
        <w:rPr>
          <w:lang w:eastAsia="en-US"/>
        </w:rPr>
        <w:t>b) likumā “Par akcīzes nodokli” noteiktajos gadījumos maksā akcīzes nodokli par kurināmo, tai skaitā kurināmā mazumtirgotājs, kas realizē importēto vai no Eiropas Savienības dalībvalsts ievesto kurināmo, izņemot marķēto dīzeļdegvielu, kas tiek izmantota kā kurināmais, vai kurināmā vairumtirgotājs, kas realizē kurināmo un kuram ir speciāla atļauja (licence),</w:t>
      </w:r>
    </w:p>
    <w:p w14:paraId="0A2C6E78" w14:textId="77777777" w:rsidR="004618DC" w:rsidRDefault="004618DC" w:rsidP="004618DC">
      <w:pPr>
        <w:ind w:left="720"/>
        <w:rPr>
          <w:lang w:eastAsia="en-US"/>
        </w:rPr>
      </w:pPr>
      <w:r>
        <w:rPr>
          <w:lang w:eastAsia="en-US"/>
        </w:rPr>
        <w:t>c) realizē patēriņam tādu biomasas kurināmo, par kuru nav pienākums maksāt akcīzes nodokli.</w:t>
      </w:r>
    </w:p>
    <w:p w14:paraId="6596B40E" w14:textId="77777777" w:rsidR="004618DC" w:rsidRDefault="004618DC" w:rsidP="004618DC">
      <w:pPr>
        <w:ind w:left="720"/>
        <w:rPr>
          <w:lang w:eastAsia="en-US"/>
        </w:rPr>
      </w:pPr>
      <w:r>
        <w:rPr>
          <w:lang w:eastAsia="en-US"/>
        </w:rPr>
        <w:t>Ņemot vērā, ka par kurināmo pārsvarā izmanto marķēto dīzeļdegvielu, kuru nevar realizēt komersanti, kas saņēmuši speciālo atļauju (licenci) naftas produktu vairumtirdzniecībai vai naftas produktu mazumtirdzniecībai, ierosinām precizēt likumprojekta 1.pantā ietverto 1.panta 24.</w:t>
      </w:r>
      <w:r>
        <w:rPr>
          <w:sz w:val="26"/>
          <w:szCs w:val="26"/>
          <w:vertAlign w:val="superscript"/>
        </w:rPr>
        <w:t>1</w:t>
      </w:r>
      <w:r>
        <w:rPr>
          <w:lang w:eastAsia="en-US"/>
        </w:rPr>
        <w:t xml:space="preserve"> punkta “b” apakšpunktu šādā redakcijā:</w:t>
      </w:r>
    </w:p>
    <w:p w14:paraId="61865B58" w14:textId="77777777" w:rsidR="004618DC" w:rsidRDefault="004618DC" w:rsidP="004618DC">
      <w:pPr>
        <w:ind w:left="720"/>
        <w:rPr>
          <w:lang w:eastAsia="en-US"/>
        </w:rPr>
      </w:pPr>
      <w:r>
        <w:rPr>
          <w:lang w:eastAsia="en-US"/>
        </w:rPr>
        <w:t xml:space="preserve">“b) likumā “Par akcīzes nodokli” noteiktajos gadījumos maksā akcīzes nodokli par kurināmo;”. </w:t>
      </w:r>
    </w:p>
    <w:p w14:paraId="7A6B2C23" w14:textId="77777777" w:rsidR="004618DC" w:rsidRDefault="004618DC" w:rsidP="004618DC">
      <w:pPr>
        <w:ind w:left="720"/>
        <w:rPr>
          <w:lang w:eastAsia="en-US"/>
        </w:rPr>
      </w:pPr>
    </w:p>
    <w:p w14:paraId="7C892D80" w14:textId="77777777" w:rsidR="004618DC" w:rsidRDefault="004618DC" w:rsidP="004618DC">
      <w:pPr>
        <w:numPr>
          <w:ilvl w:val="0"/>
          <w:numId w:val="1"/>
        </w:numPr>
        <w:rPr>
          <w:rFonts w:eastAsia="Times New Roman"/>
          <w:lang w:eastAsia="en-US"/>
        </w:rPr>
      </w:pPr>
      <w:r>
        <w:rPr>
          <w:rFonts w:eastAsia="Times New Roman"/>
          <w:lang w:eastAsia="en-US"/>
        </w:rPr>
        <w:t xml:space="preserve">Finanšu ministrija uztur jau iepriekš izteiktos iebildumus par likumprojekta 1.pantā ietvertā Enerģētikas likuma 1.panta 46) un 47) punkta terminos ietverto dzesēšanas vai siltumapgādes lietotāju kopumu”. Lūdzam minētos punktus izteikt šādā redakcijā: </w:t>
      </w:r>
    </w:p>
    <w:p w14:paraId="35A39231" w14:textId="77777777" w:rsidR="004618DC" w:rsidRDefault="004618DC" w:rsidP="004618DC">
      <w:pPr>
        <w:ind w:left="720"/>
        <w:rPr>
          <w:lang w:eastAsia="en-US"/>
        </w:rPr>
      </w:pPr>
      <w:r>
        <w:rPr>
          <w:lang w:eastAsia="en-US"/>
        </w:rPr>
        <w:t>46) centralizētā dzesēšanas sistēma – vienotā sistēmā savstarpēji savienotu dzesēšanas avotu, pārvades un sadales dzesēšanas tīklu un iekārtu kopums, kas saskaņoti ražo, pārveido, pārvada un sadala lietotāju telpu un sistēmu dzesēšanai nepieciešamo enerģiju;</w:t>
      </w:r>
    </w:p>
    <w:p w14:paraId="5F2C4408" w14:textId="77777777" w:rsidR="004618DC" w:rsidRDefault="004618DC" w:rsidP="004618DC">
      <w:pPr>
        <w:ind w:left="720"/>
        <w:rPr>
          <w:lang w:eastAsia="en-US"/>
        </w:rPr>
      </w:pPr>
      <w:r>
        <w:rPr>
          <w:lang w:eastAsia="en-US"/>
        </w:rPr>
        <w:t xml:space="preserve">47) centralizētā siltumapgādes sistēma – vienotā sistēmā savstarpēji savienotu siltumavotu, pārvades un sadales siltumtīklu un iekārtu kopums, kas saskaņoti ražo, pārveido, pārvada un sadala siltumenerģiju tvaika vai karstā ūdens veidā no centrālās ražotnes vai vienotā sistēmā savstarpēji savienotām decentralizētajām ražotnēm pa tīklu uz lietotāju ēkām vai vietām, telpu vai procesu siltumapgādei;” </w:t>
      </w:r>
    </w:p>
    <w:p w14:paraId="403AC5C4" w14:textId="77777777" w:rsidR="004618DC" w:rsidRDefault="004618DC" w:rsidP="004618DC">
      <w:pPr>
        <w:ind w:left="720"/>
        <w:rPr>
          <w:lang w:eastAsia="en-US"/>
        </w:rPr>
      </w:pPr>
    </w:p>
    <w:p w14:paraId="29C1C865" w14:textId="77777777" w:rsidR="004618DC" w:rsidRDefault="004618DC" w:rsidP="004618DC">
      <w:pPr>
        <w:pStyle w:val="ListParagraph"/>
        <w:numPr>
          <w:ilvl w:val="0"/>
          <w:numId w:val="1"/>
        </w:numPr>
        <w:rPr>
          <w:rFonts w:ascii="Times New Roman" w:hAnsi="Times New Roman" w:cs="Times New Roman"/>
          <w:sz w:val="24"/>
          <w:szCs w:val="24"/>
          <w:lang w:eastAsia="lv-LV"/>
        </w:rPr>
      </w:pPr>
      <w:r>
        <w:rPr>
          <w:rFonts w:ascii="Times New Roman" w:hAnsi="Times New Roman" w:cs="Times New Roman"/>
          <w:sz w:val="24"/>
          <w:szCs w:val="24"/>
        </w:rPr>
        <w:lastRenderedPageBreak/>
        <w:t xml:space="preserve">Finanšu ministrija uztur iepriekš pausto iebildumu </w:t>
      </w:r>
      <w:r>
        <w:rPr>
          <w:rFonts w:ascii="Times New Roman" w:hAnsi="Times New Roman" w:cs="Times New Roman"/>
          <w:color w:val="000000"/>
          <w:sz w:val="24"/>
          <w:szCs w:val="24"/>
          <w:shd w:val="clear" w:color="auto" w:fill="FFFFFF"/>
        </w:rPr>
        <w:t>attiecībā uz likumprojekta 27.pantā iekļauto likuma 58.</w:t>
      </w:r>
      <w:r>
        <w:rPr>
          <w:rFonts w:ascii="Times New Roman" w:hAnsi="Times New Roman" w:cs="Times New Roman"/>
          <w:color w:val="000000"/>
          <w:sz w:val="24"/>
          <w:szCs w:val="24"/>
          <w:shd w:val="clear" w:color="auto" w:fill="FFFFFF"/>
          <w:vertAlign w:val="superscript"/>
        </w:rPr>
        <w:t>6</w:t>
      </w:r>
      <w:r>
        <w:rPr>
          <w:rFonts w:ascii="Times New Roman" w:hAnsi="Times New Roman" w:cs="Times New Roman"/>
          <w:color w:val="000000"/>
          <w:sz w:val="24"/>
          <w:szCs w:val="24"/>
          <w:shd w:val="clear" w:color="auto" w:fill="FFFFFF"/>
        </w:rPr>
        <w:t xml:space="preserve"> panta otrās daļas 6.punktu</w:t>
      </w:r>
      <w:r>
        <w:rPr>
          <w:rFonts w:ascii="Times New Roman" w:hAnsi="Times New Roman" w:cs="Times New Roman"/>
          <w:sz w:val="24"/>
          <w:szCs w:val="24"/>
        </w:rPr>
        <w:t>.</w:t>
      </w:r>
    </w:p>
    <w:p w14:paraId="0A319C84" w14:textId="77777777" w:rsidR="004618DC" w:rsidRDefault="004618DC" w:rsidP="004618DC">
      <w:pPr>
        <w:pStyle w:val="ListParagraph"/>
        <w:rPr>
          <w:rFonts w:ascii="Times New Roman" w:hAnsi="Times New Roman" w:cs="Times New Roman"/>
          <w:sz w:val="24"/>
          <w:szCs w:val="24"/>
        </w:rPr>
      </w:pPr>
      <w:r>
        <w:rPr>
          <w:rFonts w:ascii="Times New Roman" w:hAnsi="Times New Roman" w:cs="Times New Roman"/>
          <w:sz w:val="24"/>
          <w:szCs w:val="24"/>
        </w:rPr>
        <w:t>Vēršam uzmanību, ka izziņas 261.lpp. pie Finanšu ministrijas iebilduma attiecībā uz likumprojekta 27.pantā izteikto likuma 58.</w:t>
      </w:r>
      <w:r>
        <w:rPr>
          <w:rFonts w:ascii="Times New Roman" w:hAnsi="Times New Roman" w:cs="Times New Roman"/>
          <w:sz w:val="24"/>
          <w:szCs w:val="24"/>
          <w:vertAlign w:val="superscript"/>
        </w:rPr>
        <w:t>6</w:t>
      </w:r>
      <w:r>
        <w:rPr>
          <w:rFonts w:ascii="Times New Roman" w:hAnsi="Times New Roman" w:cs="Times New Roman"/>
          <w:sz w:val="24"/>
          <w:szCs w:val="24"/>
        </w:rPr>
        <w:t xml:space="preserve">panta otrās daļas 6.punktu par minētās valsts nodevas nosaukuma precizēšanu atbilstoši Ministru kabineta 2015.gada 22.decembra noteikumiem Nr.805 “Noteikumi par ogļūdeņražu meklēšanu, izpēti un ieguvi” (turpmāk - MK noteikumu Nr.805) ir norādīts, ka iebildums ir ņemts vērā. Tomēr vēršam uzmanību, ka likumprojektā iekļautā redakcija attiecībā uz valsts nodevas nosaukumu nav mainīta. Līdz ar to atkārtoti lūdzam  </w:t>
      </w:r>
      <w:r>
        <w:rPr>
          <w:rFonts w:ascii="Times New Roman" w:hAnsi="Times New Roman" w:cs="Times New Roman"/>
          <w:color w:val="000000"/>
          <w:sz w:val="24"/>
          <w:szCs w:val="24"/>
          <w:shd w:val="clear" w:color="auto" w:fill="FFFFFF"/>
        </w:rPr>
        <w:t>precizēt likumprojekta 27.pantā iekļauto likuma 58.</w:t>
      </w:r>
      <w:r>
        <w:rPr>
          <w:rFonts w:ascii="Times New Roman" w:hAnsi="Times New Roman" w:cs="Times New Roman"/>
          <w:color w:val="000000"/>
          <w:sz w:val="24"/>
          <w:szCs w:val="24"/>
          <w:shd w:val="clear" w:color="auto" w:fill="FFFFFF"/>
          <w:vertAlign w:val="superscript"/>
        </w:rPr>
        <w:t>6</w:t>
      </w:r>
      <w:r>
        <w:rPr>
          <w:rFonts w:ascii="Times New Roman" w:hAnsi="Times New Roman" w:cs="Times New Roman"/>
          <w:color w:val="000000"/>
          <w:sz w:val="24"/>
          <w:szCs w:val="24"/>
          <w:shd w:val="clear" w:color="auto" w:fill="FFFFFF"/>
        </w:rPr>
        <w:t xml:space="preserve"> panta otrās daļas 6.punktu, precizējot minētās valsts nodevas nosaukumu atbilstoši </w:t>
      </w:r>
      <w:r>
        <w:rPr>
          <w:rFonts w:ascii="Times New Roman" w:hAnsi="Times New Roman" w:cs="Times New Roman"/>
          <w:sz w:val="24"/>
          <w:szCs w:val="24"/>
        </w:rPr>
        <w:t xml:space="preserve">MK noteikumiem Nr.805, </w:t>
      </w:r>
      <w:r>
        <w:rPr>
          <w:rFonts w:ascii="Times New Roman" w:hAnsi="Times New Roman" w:cs="Times New Roman"/>
          <w:color w:val="000000"/>
          <w:sz w:val="24"/>
          <w:szCs w:val="24"/>
          <w:shd w:val="clear" w:color="auto" w:fill="FFFFFF"/>
        </w:rPr>
        <w:t xml:space="preserve">lai būtu nepārprotami skaidrs, kuras nodevas ieņēmumi tiks izmantoti Atjaunojamās enerģijas un energoefektivitātes fonda finansēšanai. </w:t>
      </w:r>
    </w:p>
    <w:p w14:paraId="2C4E34EB" w14:textId="77777777" w:rsidR="004618DC" w:rsidRDefault="004618DC" w:rsidP="004618DC">
      <w:pPr>
        <w:pStyle w:val="ListParagraph"/>
        <w:autoSpaceDN w:val="0"/>
        <w:rPr>
          <w:rFonts w:ascii="Times New Roman" w:eastAsia="Times New Roman" w:hAnsi="Times New Roman" w:cs="Times New Roman"/>
          <w:sz w:val="24"/>
          <w:szCs w:val="24"/>
          <w:lang w:eastAsia="lv-LV"/>
        </w:rPr>
      </w:pPr>
      <w:r>
        <w:rPr>
          <w:rFonts w:ascii="Times New Roman" w:hAnsi="Times New Roman" w:cs="Times New Roman"/>
          <w:color w:val="000000"/>
          <w:sz w:val="24"/>
          <w:szCs w:val="24"/>
          <w:shd w:val="clear" w:color="auto" w:fill="FFFFFF"/>
        </w:rPr>
        <w:t>Papildus informējam, ka iepriekš minētajos noteikumos ir noteikts regulējums attiecībā uz četriem valsts nodevu veidiem. Ievērojot, ka izziņā ir minēts, ka “…</w:t>
      </w:r>
      <w:r>
        <w:rPr>
          <w:rFonts w:ascii="Times New Roman" w:hAnsi="Times New Roman" w:cs="Times New Roman"/>
          <w:sz w:val="24"/>
          <w:szCs w:val="24"/>
        </w:rPr>
        <w:t xml:space="preserve">šajā punktā ir iekļauta atsauce uz visām MK noteikumu Nr.805 130.-133.punktā minētajām valsts nodevām”, lūdzam likumprojekta redakciju izstrādāt tā, lai no redakcijas būtu skaidrs, jo šobrīd no likumprojekta tas neizriet. </w:t>
      </w:r>
    </w:p>
    <w:p w14:paraId="4F50E15A" w14:textId="77777777" w:rsidR="004618DC" w:rsidRDefault="004618DC" w:rsidP="004618DC">
      <w:pPr>
        <w:pStyle w:val="ListParagraph"/>
        <w:autoSpaceDN w:val="0"/>
        <w:rPr>
          <w:rFonts w:ascii="Times New Roman" w:hAnsi="Times New Roman" w:cs="Times New Roman"/>
          <w:sz w:val="24"/>
          <w:szCs w:val="24"/>
        </w:rPr>
      </w:pPr>
    </w:p>
    <w:p w14:paraId="6CE22C8F" w14:textId="77777777" w:rsidR="004618DC" w:rsidRDefault="004618DC" w:rsidP="004618DC">
      <w:pPr>
        <w:numPr>
          <w:ilvl w:val="0"/>
          <w:numId w:val="1"/>
        </w:numPr>
        <w:rPr>
          <w:rFonts w:eastAsia="Times New Roman"/>
          <w:lang w:eastAsia="en-US"/>
        </w:rPr>
      </w:pPr>
      <w:r>
        <w:rPr>
          <w:rFonts w:eastAsia="Times New Roman"/>
          <w:lang w:eastAsia="en-US"/>
        </w:rPr>
        <w:t>Likumprojekta 27.pantā ietvertā likuma X</w:t>
      </w:r>
      <w:r>
        <w:rPr>
          <w:rFonts w:eastAsia="Times New Roman"/>
          <w:vertAlign w:val="superscript"/>
          <w:lang w:eastAsia="en-US"/>
        </w:rPr>
        <w:t>1</w:t>
      </w:r>
      <w:r>
        <w:rPr>
          <w:rFonts w:eastAsia="Times New Roman"/>
          <w:lang w:eastAsia="en-US"/>
        </w:rPr>
        <w:t xml:space="preserve"> nodaļas 58.</w:t>
      </w:r>
      <w:r>
        <w:rPr>
          <w:rFonts w:eastAsia="Times New Roman"/>
          <w:vertAlign w:val="superscript"/>
          <w:lang w:eastAsia="en-US"/>
        </w:rPr>
        <w:t>6</w:t>
      </w:r>
      <w:r>
        <w:rPr>
          <w:rFonts w:eastAsia="Times New Roman"/>
          <w:lang w:eastAsia="en-US"/>
        </w:rPr>
        <w:t xml:space="preserve"> panta astotā daļa, kas noteica, </w:t>
      </w:r>
      <w:r>
        <w:rPr>
          <w:rFonts w:eastAsia="Times New Roman"/>
          <w:i/>
          <w:iCs/>
          <w:lang w:eastAsia="en-US"/>
        </w:rPr>
        <w:t>ka atjaunojamās enerģijas un energoefektivitātes fonda darbībā ir jāievēro komercdarbības atbalsta kontroles regulējums</w:t>
      </w:r>
      <w:r>
        <w:rPr>
          <w:rFonts w:eastAsia="Times New Roman"/>
          <w:lang w:eastAsia="en-US"/>
        </w:rPr>
        <w:t>, bez pamatojuma izziņā ir izslēgta no likumprojekta. Ņemot vērā, ka no likumprojekta 27.pantā ietvertā likuma X</w:t>
      </w:r>
      <w:r>
        <w:rPr>
          <w:rFonts w:eastAsia="Times New Roman"/>
          <w:vertAlign w:val="superscript"/>
          <w:lang w:eastAsia="en-US"/>
        </w:rPr>
        <w:t>1</w:t>
      </w:r>
      <w:r>
        <w:rPr>
          <w:rFonts w:eastAsia="Times New Roman"/>
          <w:lang w:eastAsia="en-US"/>
        </w:rPr>
        <w:t xml:space="preserve"> nodaļas 58.</w:t>
      </w:r>
      <w:r>
        <w:rPr>
          <w:rFonts w:eastAsia="Times New Roman"/>
          <w:vertAlign w:val="superscript"/>
          <w:lang w:eastAsia="en-US"/>
        </w:rPr>
        <w:t>6</w:t>
      </w:r>
      <w:r>
        <w:rPr>
          <w:rFonts w:eastAsia="Times New Roman"/>
          <w:lang w:eastAsia="en-US"/>
        </w:rPr>
        <w:t xml:space="preserve"> panta pirmās daļas izriet, ka tiek plānots izveidot atjaunojamās enerģijas veicināšanas un energoefektivitātes uzlabošanas fondu, kura ietvaros ir paredzēts sniegt atbalstu energoefektivitātes uzlabošanas pasākumiem, atjaunojamo energoresursu izmantošanas veicināšanas un atjaunojamās enerģijas ražošanas pasākumiem u.c. pasākumiem no publiskajiem resursiem, šo pasākumu ieviešanā un īstenošanā ir nepieciešams ievērot komercdarbības atbalsta kontroles regulējumu. Lūdzam, lai nodrošinātu, ka atjaunojamās enerģijas un energoefektivitātes fonda ietvaros, īstenojot atbalsta programmas, tiktu ievērots komercdarbības atbalsta regulējums, papildināt likumprojekta 24.pantā ietvertās likuma X</w:t>
      </w:r>
      <w:r>
        <w:rPr>
          <w:rFonts w:eastAsia="Times New Roman"/>
          <w:vertAlign w:val="superscript"/>
          <w:lang w:eastAsia="en-US"/>
        </w:rPr>
        <w:t>1</w:t>
      </w:r>
      <w:r>
        <w:rPr>
          <w:rFonts w:eastAsia="Times New Roman"/>
          <w:lang w:eastAsia="en-US"/>
        </w:rPr>
        <w:t xml:space="preserve"> nodaļas 58.</w:t>
      </w:r>
      <w:r>
        <w:rPr>
          <w:rFonts w:eastAsia="Times New Roman"/>
          <w:vertAlign w:val="superscript"/>
          <w:lang w:eastAsia="en-US"/>
        </w:rPr>
        <w:t>6</w:t>
      </w:r>
      <w:r>
        <w:rPr>
          <w:rFonts w:eastAsia="Times New Roman"/>
          <w:lang w:eastAsia="en-US"/>
        </w:rPr>
        <w:t xml:space="preserve"> panta piektās daļas 2.punktu šādi: “ievērojot komercdarbības atbalsta nosacījumus”.</w:t>
      </w:r>
    </w:p>
    <w:p w14:paraId="3BD4553F" w14:textId="77777777" w:rsidR="004618DC" w:rsidRDefault="004618DC" w:rsidP="004618DC">
      <w:pPr>
        <w:ind w:left="720"/>
        <w:rPr>
          <w:lang w:eastAsia="en-US"/>
        </w:rPr>
      </w:pPr>
    </w:p>
    <w:p w14:paraId="5BD72FEC" w14:textId="77777777" w:rsidR="004618DC" w:rsidRDefault="004618DC" w:rsidP="004618DC">
      <w:pPr>
        <w:numPr>
          <w:ilvl w:val="0"/>
          <w:numId w:val="1"/>
        </w:numPr>
        <w:rPr>
          <w:rFonts w:eastAsia="Times New Roman"/>
          <w:lang w:eastAsia="en-US"/>
        </w:rPr>
      </w:pPr>
      <w:r>
        <w:rPr>
          <w:rFonts w:eastAsia="Times New Roman"/>
          <w:lang w:eastAsia="en-US"/>
        </w:rPr>
        <w:t>Ņemot vērā, ka komercdarbības atbalsts var tik sniegts ne tikai shēmas veidā, bet arī individuāli, aicinām likumprojekta 27.pantā ietvertās likuma X</w:t>
      </w:r>
      <w:r>
        <w:rPr>
          <w:rFonts w:eastAsia="Times New Roman"/>
          <w:vertAlign w:val="superscript"/>
          <w:lang w:eastAsia="en-US"/>
        </w:rPr>
        <w:t>1</w:t>
      </w:r>
      <w:r>
        <w:rPr>
          <w:rFonts w:eastAsia="Times New Roman"/>
          <w:lang w:eastAsia="en-US"/>
        </w:rPr>
        <w:t xml:space="preserve"> nodaļas 58.</w:t>
      </w:r>
      <w:r>
        <w:rPr>
          <w:rFonts w:eastAsia="Times New Roman"/>
          <w:vertAlign w:val="superscript"/>
          <w:lang w:eastAsia="en-US"/>
        </w:rPr>
        <w:t>8</w:t>
      </w:r>
      <w:r>
        <w:rPr>
          <w:rFonts w:eastAsia="Times New Roman"/>
          <w:lang w:eastAsia="en-US"/>
        </w:rPr>
        <w:t xml:space="preserve"> panta sestās daļas 4.punktā aizstāt vārdus “cits komercdarbības atbalsts no valsts komercdarbības atbalsta shēmas,” ar vārdiem “komercdarbības atbalsts” un likumprojekta 27.pantā ietvertās likuma X</w:t>
      </w:r>
      <w:r>
        <w:rPr>
          <w:rFonts w:eastAsia="Times New Roman"/>
          <w:vertAlign w:val="superscript"/>
          <w:lang w:eastAsia="en-US"/>
        </w:rPr>
        <w:t>1</w:t>
      </w:r>
      <w:r>
        <w:rPr>
          <w:rFonts w:eastAsia="Times New Roman"/>
          <w:lang w:eastAsia="en-US"/>
        </w:rPr>
        <w:t xml:space="preserve"> nodaļas 58.</w:t>
      </w:r>
      <w:r>
        <w:rPr>
          <w:rFonts w:eastAsia="Times New Roman"/>
          <w:vertAlign w:val="superscript"/>
          <w:lang w:eastAsia="en-US"/>
        </w:rPr>
        <w:t>8</w:t>
      </w:r>
      <w:r>
        <w:rPr>
          <w:rFonts w:eastAsia="Times New Roman"/>
          <w:lang w:eastAsia="en-US"/>
        </w:rPr>
        <w:t xml:space="preserve"> panta sestās daļas 10.punktā vārdus “valsts komercdarbības atbalsta shēmas” ar vārdiem “komercdarbības atbalsta”. </w:t>
      </w:r>
    </w:p>
    <w:p w14:paraId="695648FF" w14:textId="77777777" w:rsidR="004618DC" w:rsidRDefault="004618DC" w:rsidP="004618DC">
      <w:pPr>
        <w:rPr>
          <w:lang w:eastAsia="en-US"/>
        </w:rPr>
      </w:pPr>
    </w:p>
    <w:p w14:paraId="2E3B5DCB" w14:textId="77777777" w:rsidR="004618DC" w:rsidRPr="00DE088F" w:rsidRDefault="004618DC" w:rsidP="004618DC">
      <w:pPr>
        <w:pStyle w:val="ListParagraph"/>
        <w:numPr>
          <w:ilvl w:val="0"/>
          <w:numId w:val="1"/>
        </w:numPr>
        <w:rPr>
          <w:rFonts w:ascii="Times New Roman" w:hAnsi="Times New Roman" w:cs="Times New Roman"/>
          <w:sz w:val="24"/>
          <w:szCs w:val="24"/>
          <w:highlight w:val="yellow"/>
          <w:lang w:eastAsia="lv-LV"/>
        </w:rPr>
      </w:pPr>
      <w:r w:rsidRPr="00DE088F">
        <w:rPr>
          <w:rFonts w:ascii="Times New Roman" w:hAnsi="Times New Roman" w:cs="Times New Roman"/>
          <w:sz w:val="24"/>
          <w:szCs w:val="24"/>
          <w:highlight w:val="yellow"/>
        </w:rPr>
        <w:t>Izziņā norādīts, ka Finanšu ministrijas iebildums par nepieciešamiem grozījumiem Enerģētikas likuma 19.pantā papildinot to ar septīto daļu un iesakot to piemērot ar atpakaļejošu spēku un attiecināt to uz visiem elektroenerģijas pārvadei nepieciešamajiem energoapgādes komersanta objektiem, par kuru izbūvi līdz Enerģētikas likuma 19.panta grozījumu spēkā stāšanās dienai noslēgti apbūves tiesību līgumi, ir daļēji ņemts vērā, tomēr nedz likumprojektā, nedz izziņā vai anotācijā nav atrodama informācija par to, kā tas ir ņemts vērā. Ņemot vērā minēto, uzturam iepriekš izteikto iebildumu.</w:t>
      </w:r>
    </w:p>
    <w:p w14:paraId="3689F197" w14:textId="77777777" w:rsidR="004618DC" w:rsidRDefault="004618DC" w:rsidP="004618DC"/>
    <w:p w14:paraId="6505F436" w14:textId="77777777" w:rsidR="004618DC" w:rsidRDefault="004618DC" w:rsidP="004618D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Likumprojekta 45.pants paredz papildināt Enerģētikas likumu ar 124.pantu par vienotu kontaktpunktu enerģijas ražošanas iekārtu ieviešanai. Papildus izziņā norādītajiem iepriekš izteiktajiem iebildumiem norādām, ka šāda vienotā kontaktpunkta izveide radītu </w:t>
      </w:r>
      <w:r>
        <w:rPr>
          <w:rFonts w:ascii="Times New Roman" w:hAnsi="Times New Roman" w:cs="Times New Roman"/>
          <w:sz w:val="24"/>
          <w:szCs w:val="24"/>
        </w:rPr>
        <w:lastRenderedPageBreak/>
        <w:t xml:space="preserve">lieku administratīvo slogu. Ņemot minēto, Enerģētikas likuma 124.pants nebūtu neattiecināms uz pieslēgumu pie pārvades sistēmas ierīkošanu. </w:t>
      </w:r>
    </w:p>
    <w:p w14:paraId="3076AAF6" w14:textId="77777777" w:rsidR="004618DC" w:rsidRDefault="004618DC" w:rsidP="004618DC">
      <w:pPr>
        <w:rPr>
          <w:lang w:eastAsia="en-US"/>
        </w:rPr>
      </w:pPr>
    </w:p>
    <w:p w14:paraId="5389760F" w14:textId="77777777" w:rsidR="004618DC" w:rsidRDefault="004618DC" w:rsidP="004618DC">
      <w:pPr>
        <w:numPr>
          <w:ilvl w:val="0"/>
          <w:numId w:val="1"/>
        </w:numPr>
        <w:rPr>
          <w:rFonts w:eastAsia="Times New Roman"/>
          <w:lang w:eastAsia="en-US"/>
        </w:rPr>
      </w:pPr>
      <w:r>
        <w:rPr>
          <w:rFonts w:eastAsia="Times New Roman"/>
        </w:rPr>
        <w:t>Turpinām uzturēt iepriekš izteikto iebildumu attiecībā uz likumprojekta 58.</w:t>
      </w:r>
      <w:r>
        <w:rPr>
          <w:rFonts w:eastAsia="Times New Roman"/>
          <w:vertAlign w:val="superscript"/>
        </w:rPr>
        <w:t>6</w:t>
      </w:r>
      <w:r>
        <w:rPr>
          <w:rFonts w:eastAsia="Times New Roman"/>
        </w:rPr>
        <w:t xml:space="preserve"> panta otrajā daļā noteiktajiem atjaunojamās enerģijas veicināšanas un energoefektivitātes uzlabošanas fonda finansēšanas avotiem. Norādām, ka valsts budžeta ieņēmumu iezīmēšana konkrētiem mērķiem nav atbalstāma finanšu vadības praksē, </w:t>
      </w:r>
      <w:r>
        <w:rPr>
          <w:rFonts w:eastAsia="Times New Roman"/>
          <w:u w:val="single"/>
        </w:rPr>
        <w:t xml:space="preserve">turklāt minētais priekšlikums paredz ieņēmumu pārdali </w:t>
      </w:r>
      <w:r>
        <w:rPr>
          <w:rFonts w:eastAsia="Times New Roman"/>
        </w:rPr>
        <w:t xml:space="preserve">(piemēram, saskaņā ar likuma “Par autoceļiem” 12.pantu </w:t>
      </w:r>
      <w:r>
        <w:rPr>
          <w:rFonts w:eastAsia="Times New Roman"/>
          <w:color w:val="000000"/>
          <w:shd w:val="clear" w:color="auto" w:fill="FFFFFF"/>
        </w:rPr>
        <w:t>valsts budžeta finansējumu programmai "Valsts autoceļu fonds" veido arī 80 procenti no prognozētajiem valsts budžeta ieņēmumiem no akcīzes nodokļa par naftas produktiem)</w:t>
      </w:r>
      <w:r>
        <w:rPr>
          <w:rFonts w:eastAsia="Times New Roman"/>
          <w:u w:val="single"/>
        </w:rPr>
        <w:t>, kas nozīmētu attiecīgi izdevumu samazināšanu citiem mērķiem</w:t>
      </w:r>
      <w:r>
        <w:rPr>
          <w:rFonts w:eastAsia="Times New Roman"/>
        </w:rPr>
        <w:t xml:space="preserve">. Līdz ar to, ja fondam atbilstoši anotācijas 7.lpp sniegtajai informācijai nepieciešams valsts budžeta finansējums 9,56 milj. </w:t>
      </w:r>
      <w:r>
        <w:rPr>
          <w:rFonts w:eastAsia="Times New Roman"/>
          <w:i/>
          <w:iCs/>
        </w:rPr>
        <w:t>euro</w:t>
      </w:r>
      <w:r>
        <w:rPr>
          <w:rFonts w:eastAsia="Times New Roman"/>
        </w:rPr>
        <w:t xml:space="preserve"> apmērā, attiecīgi jautājums par tā piešķiršanu jāskata Ministru kabinetā gadskārtējā valsts budžeta likumprojekta un vidēja termiņa ietvara likumprojekta sagatavošanas procesā, Ekonomikas ministrijai iesniedzot attiecīgu prioritārā pasākuma pieteikumu. </w:t>
      </w:r>
      <w:r>
        <w:rPr>
          <w:rFonts w:eastAsia="Times New Roman"/>
          <w:u w:val="single"/>
        </w:rPr>
        <w:t>Ņemot vērā minēto, grozījumi par fonda izveidi virzāmi tālāk tikai gadījumā, ja gadskārtējā valsts budžeta likumā tam ir paredzēts finansējums.</w:t>
      </w:r>
    </w:p>
    <w:p w14:paraId="5B82FD5B" w14:textId="77777777" w:rsidR="004618DC" w:rsidRDefault="004618DC" w:rsidP="004618DC">
      <w:pPr>
        <w:ind w:left="720"/>
        <w:rPr>
          <w:lang w:eastAsia="en-US"/>
        </w:rPr>
      </w:pPr>
    </w:p>
    <w:p w14:paraId="4B3E7914" w14:textId="77777777" w:rsidR="004618DC" w:rsidRDefault="004618DC" w:rsidP="004618DC">
      <w:pPr>
        <w:numPr>
          <w:ilvl w:val="0"/>
          <w:numId w:val="1"/>
        </w:numPr>
        <w:rPr>
          <w:rFonts w:eastAsia="Times New Roman"/>
        </w:rPr>
      </w:pPr>
      <w:r>
        <w:rPr>
          <w:rFonts w:eastAsia="Times New Roman"/>
        </w:rPr>
        <w:t xml:space="preserve">Norādām, ka likumprojekts var tikt virzīts izskatīšanai Ministru kabinetā tikai pēc tam, kad 2022.gada valsts budžeta sagatavošanas procesā Ministru kabinetā tiktu atbalstīta papildu finansējuma piešķiršana Ekonomikas ministrijas iesniegtajam prioritārajam pasākumam 2022.-2024.gadam 12_07_P “Enerģētikas politikas īstenošanas monitorings un ziņošanas sistēmas īstenošana, IKT risinājumu izstrāde”, kas tajā skaitā paredzēts likumprojektā paredzēto pasākumu īstenošanai. </w:t>
      </w:r>
    </w:p>
    <w:p w14:paraId="36B7D91F" w14:textId="77777777" w:rsidR="004618DC" w:rsidRDefault="004618DC" w:rsidP="004618DC"/>
    <w:p w14:paraId="46114078" w14:textId="77777777" w:rsidR="004618DC" w:rsidRDefault="004618DC" w:rsidP="004618DC">
      <w:pPr>
        <w:numPr>
          <w:ilvl w:val="0"/>
          <w:numId w:val="1"/>
        </w:numPr>
        <w:rPr>
          <w:rFonts w:eastAsia="Times New Roman"/>
        </w:rPr>
      </w:pPr>
      <w:r>
        <w:rPr>
          <w:rFonts w:eastAsia="Times New Roman"/>
        </w:rPr>
        <w:t xml:space="preserve">Atkārtoti lūdzam anotācijas III sadaļas 6.punktā sniegt aprēķinu norādītajām informācijas sistēmu izveides un uzturēšanas izmaksām 70 000 </w:t>
      </w:r>
      <w:r>
        <w:rPr>
          <w:rFonts w:eastAsia="Times New Roman"/>
          <w:i/>
          <w:iCs/>
        </w:rPr>
        <w:t>euro</w:t>
      </w:r>
      <w:r>
        <w:rPr>
          <w:rFonts w:eastAsia="Times New Roman"/>
        </w:rPr>
        <w:t xml:space="preserve"> apmērā 2022. un 2023.gadā, kā arī jāsniedz informācija par minētajam mērķim paredzētā finansējuma apmēru 2024.gadam.</w:t>
      </w:r>
    </w:p>
    <w:p w14:paraId="1EE31D01" w14:textId="77777777" w:rsidR="004618DC" w:rsidRDefault="004618DC" w:rsidP="004618DC"/>
    <w:p w14:paraId="09DC67F0" w14:textId="77777777" w:rsidR="004618DC" w:rsidRDefault="004618DC" w:rsidP="004618DC">
      <w:pPr>
        <w:numPr>
          <w:ilvl w:val="0"/>
          <w:numId w:val="1"/>
        </w:numPr>
        <w:rPr>
          <w:rFonts w:eastAsia="Times New Roman"/>
        </w:rPr>
      </w:pPr>
      <w:r>
        <w:rPr>
          <w:rFonts w:eastAsia="Times New Roman"/>
        </w:rPr>
        <w:t xml:space="preserve">Anotācijas III sadaļas 6.punktā norādīts, ka </w:t>
      </w:r>
      <w:r>
        <w:rPr>
          <w:rFonts w:eastAsia="Times New Roman"/>
          <w:u w:val="single"/>
        </w:rPr>
        <w:t>likumprojekta izpildē iesaistītajām iestādēm ir nepieciešams paredzēt papildu finanšu līdzekļus</w:t>
      </w:r>
      <w:r>
        <w:rPr>
          <w:rFonts w:eastAsia="Times New Roman"/>
        </w:rPr>
        <w:t xml:space="preserve"> (ja nepieciešams, plānojot prioritāros pasākumus), lai nodrošinātu finansējumu šo pienākumu izpildei. Norādām, ka likumprojekta anotācijā ir jābūt atspoguļotai pilnīgai informācijai par </w:t>
      </w:r>
      <w:r>
        <w:rPr>
          <w:rFonts w:eastAsia="Times New Roman"/>
          <w:u w:val="single"/>
        </w:rPr>
        <w:t>visu likumprojektā paredzēto pasākumu</w:t>
      </w:r>
      <w:r>
        <w:rPr>
          <w:rFonts w:eastAsia="Times New Roman"/>
        </w:rPr>
        <w:t xml:space="preserve"> īstenošanai papildu nepieciešamo finansējumu, tādējādi, ja kādai no iesaistītajām iestādēm ir nepieciešams papildu finansējums, tad attiecīgi anotācijas III sadaļa jāpapildina ar informāciju par tā apmēru un aprēķinu. </w:t>
      </w:r>
    </w:p>
    <w:p w14:paraId="678C1AFB" w14:textId="77777777" w:rsidR="004618DC" w:rsidRDefault="004618DC" w:rsidP="004618DC"/>
    <w:p w14:paraId="04F40340" w14:textId="77777777" w:rsidR="004618DC" w:rsidRDefault="004618DC" w:rsidP="004618DC">
      <w:pPr>
        <w:numPr>
          <w:ilvl w:val="0"/>
          <w:numId w:val="1"/>
        </w:numPr>
        <w:rPr>
          <w:rFonts w:eastAsia="Times New Roman"/>
        </w:rPr>
      </w:pPr>
      <w:r>
        <w:rPr>
          <w:rFonts w:eastAsia="Times New Roman"/>
        </w:rPr>
        <w:t>Lūdzam svītrot Finanšu ministriju kā līdzatbildīgo institūciju no likumprojekta 58. un 122.panta, saskaņā ar kuru Ekonomikas ministrija sadarbībā Finanšu ministrija izstrādā politiku atjaunojamo energoresursu izmantošanas un atjaunojamās enerģijas ražošanas veicināšanai izstrādē, kā arī Nacionālā enerģētikas un klimata plānu un nacionālā enerģētikas un klimata progresa ziņojumu, ņemot vērā, ka minētie jautājumi nav Finanšu ministrijas tiešā kompetencē.</w:t>
      </w:r>
    </w:p>
    <w:p w14:paraId="202D6F97" w14:textId="77777777" w:rsidR="004618DC" w:rsidRDefault="004618DC" w:rsidP="004618DC">
      <w:pPr>
        <w:rPr>
          <w:lang w:eastAsia="en-US"/>
        </w:rPr>
      </w:pPr>
    </w:p>
    <w:p w14:paraId="0A1EB652" w14:textId="77777777" w:rsidR="004618DC" w:rsidRDefault="004618DC" w:rsidP="004618DC">
      <w:pPr>
        <w:rPr>
          <w:u w:val="single"/>
          <w:lang w:eastAsia="en-US"/>
        </w:rPr>
      </w:pPr>
      <w:r>
        <w:rPr>
          <w:u w:val="single"/>
          <w:lang w:eastAsia="en-US"/>
        </w:rPr>
        <w:t>Priekšlikums:</w:t>
      </w:r>
    </w:p>
    <w:p w14:paraId="57451FAF" w14:textId="77777777" w:rsidR="004618DC" w:rsidRDefault="004618DC" w:rsidP="004618DC">
      <w:pPr>
        <w:ind w:left="720"/>
        <w:rPr>
          <w:lang w:eastAsia="en-US"/>
        </w:rPr>
      </w:pPr>
      <w:r>
        <w:rPr>
          <w:lang w:eastAsia="en-US"/>
        </w:rPr>
        <w:t xml:space="preserve">Ņemot vērā, ka likumprojektā tiek izmantots termins “komercdarbības atbalsts”, taču anotācijā atsevišķās vietās tiek lietots termins “komercatbalsts”, lūdzam precizēt anotācijā lietoto terminoloģiju, lai nodrošinātu likuma lietotājam vienādu izpratni, ka runa ir par atbalstu, kas kvalificējas kā komercdarbības atbalsts. </w:t>
      </w:r>
    </w:p>
    <w:p w14:paraId="11DD69BF" w14:textId="77777777" w:rsidR="004618DC" w:rsidRDefault="004618DC" w:rsidP="004618DC">
      <w:pPr>
        <w:rPr>
          <w:lang w:eastAsia="en-US"/>
        </w:rPr>
      </w:pPr>
    </w:p>
    <w:p w14:paraId="762E90D0" w14:textId="77777777" w:rsidR="004618DC" w:rsidRDefault="004618DC" w:rsidP="004618DC"/>
    <w:p w14:paraId="73765FE4" w14:textId="77777777" w:rsidR="004618DC" w:rsidRDefault="004618DC" w:rsidP="004618DC">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lastRenderedPageBreak/>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Ilga Jermacāne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7" w:history="1">
        <w:r>
          <w:rPr>
            <w:rStyle w:val="Hyperlink"/>
            <w:rFonts w:ascii="Franklin Gothic Book" w:hAnsi="Franklin Gothic Book"/>
            <w:sz w:val="16"/>
            <w:szCs w:val="16"/>
            <w:lang w:eastAsia="en-US"/>
          </w:rPr>
          <w:t>ilga.jermacane@fm.gov.lv</w:t>
        </w:r>
      </w:hyperlink>
    </w:p>
    <w:p w14:paraId="1F499010" w14:textId="77777777" w:rsidR="004618DC" w:rsidRDefault="004618DC" w:rsidP="004618DC">
      <w:pPr>
        <w:spacing w:after="240"/>
        <w:rPr>
          <w:rFonts w:ascii="Franklin Gothic Book" w:hAnsi="Franklin Gothic Book"/>
          <w:color w:val="767573"/>
          <w:sz w:val="16"/>
          <w:szCs w:val="16"/>
          <w:lang w:eastAsia="en-US"/>
        </w:rPr>
      </w:pPr>
      <w:r>
        <w:rPr>
          <w:rFonts w:ascii="Franklin Gothic Medium" w:hAnsi="Franklin Gothic Medium"/>
          <w:b/>
          <w:bCs/>
          <w:color w:val="1F497D"/>
          <w:sz w:val="20"/>
          <w:szCs w:val="20"/>
        </w:rPr>
        <w:t>Elīna Kobzeva</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Varas, valdības dienestu un tautsaimniecības finansēšanas nodaļas vadītāja</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elina.kobzeva@fm.gov.lv</w:t>
        </w:r>
      </w:hyperlink>
      <w:r>
        <w:rPr>
          <w:rFonts w:ascii="Franklin Gothic Book" w:hAnsi="Franklin Gothic Book"/>
          <w:color w:val="1F497D"/>
          <w:sz w:val="16"/>
          <w:szCs w:val="16"/>
        </w:rPr>
        <w:br/>
      </w:r>
      <w:r>
        <w:rPr>
          <w:rFonts w:ascii="Franklin Gothic Book" w:hAnsi="Franklin Gothic Book"/>
          <w:color w:val="767573"/>
          <w:sz w:val="16"/>
          <w:szCs w:val="16"/>
        </w:rPr>
        <w:t>Tālr.: 67083885</w:t>
      </w:r>
    </w:p>
    <w:p w14:paraId="64286E62" w14:textId="77777777" w:rsidR="004618DC" w:rsidRDefault="004618DC" w:rsidP="004618DC">
      <w:pPr>
        <w:spacing w:after="240"/>
        <w:rPr>
          <w:rFonts w:ascii="Franklin Gothic Book" w:hAnsi="Franklin Gothic Book"/>
          <w:color w:val="767573"/>
          <w:sz w:val="16"/>
          <w:szCs w:val="16"/>
          <w:lang w:eastAsia="en-US"/>
        </w:rPr>
      </w:pPr>
      <w:r>
        <w:rPr>
          <w:rFonts w:ascii="Franklin Gothic Medium" w:hAnsi="Franklin Gothic Medium"/>
          <w:b/>
          <w:bCs/>
          <w:color w:val="1F497D"/>
          <w:sz w:val="20"/>
          <w:szCs w:val="20"/>
          <w:lang w:eastAsia="en-US"/>
        </w:rPr>
        <w:t>Gunita Galauska</w:t>
      </w:r>
      <w:r>
        <w:rPr>
          <w:rFonts w:ascii="Franklin Gothic Book" w:hAnsi="Franklin Gothic Book"/>
          <w:color w:val="767573"/>
          <w:sz w:val="16"/>
          <w:szCs w:val="16"/>
          <w:lang w:eastAsia="en-US"/>
        </w:rPr>
        <w:br/>
        <w:t>Komercdarbības atbalsta kontroles departamenta vecākā eksperte</w:t>
      </w:r>
      <w:r>
        <w:rPr>
          <w:rFonts w:ascii="Franklin Gothic Book" w:hAnsi="Franklin Gothic Book"/>
          <w:color w:val="767573"/>
          <w:sz w:val="16"/>
          <w:szCs w:val="16"/>
          <w:lang w:eastAsia="en-US"/>
        </w:rPr>
        <w:br/>
        <w:t xml:space="preserve">E-pasts: </w:t>
      </w:r>
      <w:hyperlink r:id="rId9" w:history="1">
        <w:r>
          <w:rPr>
            <w:rStyle w:val="Hyperlink"/>
            <w:rFonts w:ascii="Franklin Gothic Book" w:hAnsi="Franklin Gothic Book"/>
            <w:color w:val="1F497D"/>
            <w:sz w:val="16"/>
            <w:szCs w:val="16"/>
            <w:lang w:eastAsia="en-US"/>
          </w:rPr>
          <w:t>gunita.galauska@fm.gov.lv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67083854</w:t>
      </w:r>
    </w:p>
    <w:p w14:paraId="7E1F84C2" w14:textId="77777777" w:rsidR="004618DC" w:rsidRDefault="004618DC" w:rsidP="004618DC">
      <w:pPr>
        <w:spacing w:after="240"/>
        <w:rPr>
          <w:rFonts w:ascii="Franklin Gothic Book" w:hAnsi="Franklin Gothic Book"/>
          <w:color w:val="767573"/>
          <w:sz w:val="16"/>
          <w:szCs w:val="16"/>
          <w:lang w:eastAsia="en-US"/>
        </w:rPr>
      </w:pPr>
      <w:r>
        <w:rPr>
          <w:rFonts w:ascii="Franklin Gothic Medium" w:hAnsi="Franklin Gothic Medium"/>
          <w:b/>
          <w:bCs/>
          <w:color w:val="1F497D"/>
          <w:sz w:val="20"/>
          <w:szCs w:val="20"/>
          <w:lang w:eastAsia="en-US"/>
        </w:rPr>
        <w:t>Inese Vanaga</w:t>
      </w:r>
      <w:r>
        <w:rPr>
          <w:rFonts w:ascii="Franklin Gothic Book" w:hAnsi="Franklin Gothic Book"/>
          <w:color w:val="767573"/>
          <w:sz w:val="16"/>
          <w:szCs w:val="16"/>
          <w:lang w:eastAsia="en-US"/>
        </w:rPr>
        <w:br/>
        <w:t xml:space="preserve">Nodokļu administrēšanas un sabiedrības interešu politiku departamenta </w:t>
      </w:r>
      <w:r>
        <w:rPr>
          <w:rFonts w:ascii="Franklin Gothic Book" w:hAnsi="Franklin Gothic Book"/>
          <w:color w:val="767573"/>
          <w:sz w:val="16"/>
          <w:szCs w:val="16"/>
          <w:lang w:eastAsia="en-US"/>
        </w:rPr>
        <w:br/>
        <w:t>Nodokļu administrēšanas un starptautiskās administratīvās sadarbības politikas nodaļas vecākā referente</w:t>
      </w:r>
      <w:r>
        <w:rPr>
          <w:rFonts w:ascii="Franklin Gothic Book" w:hAnsi="Franklin Gothic Book"/>
          <w:color w:val="767573"/>
          <w:sz w:val="16"/>
          <w:szCs w:val="16"/>
          <w:lang w:eastAsia="en-US"/>
        </w:rPr>
        <w:br/>
        <w:t xml:space="preserve">E-pasts: </w:t>
      </w:r>
      <w:hyperlink r:id="rId10" w:history="1">
        <w:r>
          <w:rPr>
            <w:rStyle w:val="Hyperlink"/>
            <w:rFonts w:ascii="Franklin Gothic Book" w:hAnsi="Franklin Gothic Book"/>
            <w:color w:val="1F497D"/>
            <w:sz w:val="16"/>
            <w:szCs w:val="16"/>
            <w:lang w:eastAsia="en-US"/>
          </w:rPr>
          <w:t>inese.vanaga@fm.gov.lv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Tālr.: 67083901</w:t>
      </w:r>
    </w:p>
    <w:p w14:paraId="1A34FA8B" w14:textId="076A8B9F" w:rsidR="004618DC" w:rsidRDefault="004618DC" w:rsidP="004618DC">
      <w:pPr>
        <w:rPr>
          <w:rFonts w:ascii="Franklin Gothic Book" w:hAnsi="Franklin Gothic Book"/>
          <w:color w:val="1F497D"/>
          <w:sz w:val="16"/>
          <w:szCs w:val="16"/>
          <w:lang w:eastAsia="en-US"/>
        </w:rPr>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r:id="rId11"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12"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14:anchorId="00A137DB" wp14:editId="7466DC1E">
            <wp:extent cx="717550" cy="724535"/>
            <wp:effectExtent l="0" t="0" r="6350" b="0"/>
            <wp:docPr id="7" name="Picture 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7550" cy="724535"/>
                    </a:xfrm>
                    <a:prstGeom prst="rect">
                      <a:avLst/>
                    </a:prstGeom>
                    <a:noFill/>
                    <a:ln>
                      <a:noFill/>
                    </a:ln>
                  </pic:spPr>
                </pic:pic>
              </a:graphicData>
            </a:graphic>
          </wp:inline>
        </w:drawing>
      </w:r>
      <w:r>
        <w:rPr>
          <w:rFonts w:ascii="Franklin Gothic Book" w:hAnsi="Franklin Gothic Book"/>
          <w:color w:val="1F497D"/>
          <w:sz w:val="16"/>
          <w:szCs w:val="16"/>
          <w:lang w:eastAsia="en-US"/>
        </w:rPr>
        <w:t xml:space="preserve">  </w:t>
      </w:r>
    </w:p>
    <w:p w14:paraId="7D7C67E8" w14:textId="77777777" w:rsidR="004618DC" w:rsidRDefault="004618DC" w:rsidP="004618DC">
      <w:pPr>
        <w:rPr>
          <w:rFonts w:ascii="Calibri" w:hAnsi="Calibri" w:cs="Calibri"/>
          <w:sz w:val="22"/>
          <w:szCs w:val="22"/>
          <w:lang w:eastAsia="en-US"/>
        </w:rPr>
      </w:pPr>
    </w:p>
    <w:tbl>
      <w:tblPr>
        <w:tblW w:w="9411" w:type="dxa"/>
        <w:tblCellMar>
          <w:left w:w="0" w:type="dxa"/>
          <w:right w:w="0" w:type="dxa"/>
        </w:tblCellMar>
        <w:tblLook w:val="04A0" w:firstRow="1" w:lastRow="0" w:firstColumn="1" w:lastColumn="0" w:noHBand="0" w:noVBand="1"/>
      </w:tblPr>
      <w:tblGrid>
        <w:gridCol w:w="2260"/>
        <w:gridCol w:w="7151"/>
      </w:tblGrid>
      <w:tr w:rsidR="004618DC" w14:paraId="43E5BE3E" w14:textId="77777777" w:rsidTr="004618DC">
        <w:trPr>
          <w:trHeight w:val="2178"/>
        </w:trPr>
        <w:tc>
          <w:tcPr>
            <w:tcW w:w="2260" w:type="dxa"/>
            <w:tcMar>
              <w:top w:w="0" w:type="dxa"/>
              <w:left w:w="108" w:type="dxa"/>
              <w:bottom w:w="0" w:type="dxa"/>
              <w:right w:w="108" w:type="dxa"/>
            </w:tcMar>
            <w:hideMark/>
          </w:tcPr>
          <w:p w14:paraId="28AB1F13" w14:textId="7B9AF93A" w:rsidR="004618DC" w:rsidRDefault="004618DC">
            <w:pPr>
              <w:spacing w:before="100" w:beforeAutospacing="1" w:after="160" w:line="252" w:lineRule="auto"/>
              <w:rPr>
                <w:rFonts w:ascii="Calibri" w:hAnsi="Calibri" w:cs="Calibri"/>
              </w:rPr>
            </w:pPr>
            <w:r>
              <w:rPr>
                <w:rFonts w:ascii="Calibri" w:hAnsi="Calibri" w:cs="Calibri"/>
                <w:noProof/>
              </w:rPr>
              <w:drawing>
                <wp:inline distT="0" distB="0" distL="0" distR="0" wp14:anchorId="43E87F6F" wp14:editId="52E02291">
                  <wp:extent cx="1083310" cy="74549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3310" cy="745490"/>
                          </a:xfrm>
                          <a:prstGeom prst="rect">
                            <a:avLst/>
                          </a:prstGeom>
                          <a:noFill/>
                          <a:ln>
                            <a:noFill/>
                          </a:ln>
                        </pic:spPr>
                      </pic:pic>
                    </a:graphicData>
                  </a:graphic>
                </wp:inline>
              </w:drawing>
            </w:r>
          </w:p>
        </w:tc>
        <w:tc>
          <w:tcPr>
            <w:tcW w:w="7151" w:type="dxa"/>
            <w:tcMar>
              <w:top w:w="0" w:type="dxa"/>
              <w:left w:w="108" w:type="dxa"/>
              <w:bottom w:w="0" w:type="dxa"/>
              <w:right w:w="108" w:type="dxa"/>
            </w:tcMar>
          </w:tcPr>
          <w:p w14:paraId="47D3F60A" w14:textId="77777777" w:rsidR="004618DC" w:rsidRDefault="004618DC">
            <w:pPr>
              <w:rPr>
                <w:rFonts w:ascii="Calibri" w:hAnsi="Calibri" w:cs="Calibri"/>
              </w:rPr>
            </w:pPr>
            <w:r>
              <w:rPr>
                <w:rFonts w:ascii="Calibri" w:hAnsi="Calibri" w:cs="Calibri"/>
                <w:color w:val="7F7F7F"/>
              </w:rPr>
              <w:t>Ar cieņu</w:t>
            </w:r>
          </w:p>
          <w:p w14:paraId="2992CB2E" w14:textId="77777777" w:rsidR="004618DC" w:rsidRDefault="004618DC">
            <w:pPr>
              <w:rPr>
                <w:rFonts w:ascii="Calibri" w:hAnsi="Calibri" w:cs="Calibri"/>
                <w:b/>
                <w:bCs/>
                <w:color w:val="808080"/>
              </w:rPr>
            </w:pPr>
            <w:r>
              <w:rPr>
                <w:rFonts w:ascii="Calibri" w:hAnsi="Calibri" w:cs="Calibri"/>
                <w:b/>
                <w:bCs/>
                <w:color w:val="808080"/>
              </w:rPr>
              <w:t>Ilvija Peimane</w:t>
            </w:r>
          </w:p>
          <w:p w14:paraId="7F896C9D" w14:textId="77777777" w:rsidR="004618DC" w:rsidRDefault="004618DC">
            <w:pPr>
              <w:rPr>
                <w:rFonts w:ascii="Calibri" w:hAnsi="Calibri" w:cs="Calibri"/>
              </w:rPr>
            </w:pPr>
            <w:r>
              <w:rPr>
                <w:rFonts w:ascii="Calibri" w:hAnsi="Calibri" w:cs="Calibri"/>
                <w:b/>
                <w:bCs/>
                <w:color w:val="7F7F7F"/>
              </w:rPr>
              <w:t>VAS «Valsts nekustamie īpašumi»</w:t>
            </w:r>
          </w:p>
          <w:p w14:paraId="5618B91F" w14:textId="77777777" w:rsidR="004618DC" w:rsidRDefault="004618DC">
            <w:pPr>
              <w:rPr>
                <w:rFonts w:ascii="Calibri" w:hAnsi="Calibri" w:cs="Calibri"/>
                <w:b/>
                <w:bCs/>
                <w:color w:val="808080"/>
              </w:rPr>
            </w:pPr>
            <w:r>
              <w:rPr>
                <w:rFonts w:ascii="Calibri" w:hAnsi="Calibri" w:cs="Calibri"/>
                <w:b/>
                <w:bCs/>
                <w:color w:val="808080"/>
              </w:rPr>
              <w:t>Tiesību aktu speciālists</w:t>
            </w:r>
          </w:p>
          <w:p w14:paraId="0D82BE4B" w14:textId="77777777" w:rsidR="004618DC" w:rsidRDefault="004618DC">
            <w:pPr>
              <w:rPr>
                <w:rFonts w:ascii="Calibri" w:hAnsi="Calibri" w:cs="Calibri"/>
              </w:rPr>
            </w:pPr>
          </w:p>
          <w:p w14:paraId="6BCB0987" w14:textId="77777777" w:rsidR="004618DC" w:rsidRDefault="004618DC">
            <w:pPr>
              <w:rPr>
                <w:rFonts w:ascii="Calibri" w:hAnsi="Calibri" w:cs="Calibri"/>
              </w:rPr>
            </w:pPr>
            <w:r>
              <w:rPr>
                <w:rFonts w:ascii="Calibri" w:hAnsi="Calibri" w:cs="Calibri"/>
                <w:color w:val="7F7F7F"/>
              </w:rPr>
              <w:t>Talejas iela 1, Rīga, LV-1026</w:t>
            </w:r>
          </w:p>
          <w:p w14:paraId="6739686B" w14:textId="77777777" w:rsidR="004618DC" w:rsidRDefault="004618DC">
            <w:pPr>
              <w:rPr>
                <w:rFonts w:ascii="Calibri" w:hAnsi="Calibri" w:cs="Calibri"/>
                <w:color w:val="7F7F7F"/>
              </w:rPr>
            </w:pPr>
            <w:r>
              <w:rPr>
                <w:rFonts w:ascii="Calibri" w:hAnsi="Calibri" w:cs="Calibri"/>
                <w:color w:val="7F7F7F"/>
              </w:rPr>
              <w:t xml:space="preserve">E-pasts: </w:t>
            </w:r>
            <w:hyperlink r:id="rId16" w:history="1">
              <w:r>
                <w:rPr>
                  <w:rStyle w:val="Hyperlink"/>
                  <w:rFonts w:ascii="Calibri" w:hAnsi="Calibri" w:cs="Calibri"/>
                </w:rPr>
                <w:t>Ilvija.Peimane@vni.lv</w:t>
              </w:r>
            </w:hyperlink>
          </w:p>
          <w:p w14:paraId="2067ABC3" w14:textId="77777777" w:rsidR="004618DC" w:rsidRDefault="004618DC">
            <w:pPr>
              <w:rPr>
                <w:rFonts w:ascii="Calibri" w:hAnsi="Calibri" w:cs="Calibri"/>
              </w:rPr>
            </w:pPr>
            <w:r>
              <w:rPr>
                <w:rFonts w:ascii="Calibri" w:hAnsi="Calibri" w:cs="Calibri"/>
                <w:color w:val="7F7F7F"/>
              </w:rPr>
              <w:t>Tal.: +371 25600849</w:t>
            </w:r>
          </w:p>
          <w:p w14:paraId="443517FB" w14:textId="77777777" w:rsidR="004618DC" w:rsidRDefault="00C6511C">
            <w:pPr>
              <w:rPr>
                <w:rFonts w:ascii="Calibri" w:hAnsi="Calibri" w:cs="Calibri"/>
              </w:rPr>
            </w:pPr>
            <w:hyperlink r:id="rId17" w:history="1">
              <w:r w:rsidR="004618DC">
                <w:rPr>
                  <w:rStyle w:val="Hyperlink"/>
                  <w:rFonts w:ascii="Calibri" w:hAnsi="Calibri" w:cs="Calibri"/>
                  <w:color w:val="7F7F7F"/>
                </w:rPr>
                <w:t>www.vni.lv</w:t>
              </w:r>
            </w:hyperlink>
          </w:p>
        </w:tc>
      </w:tr>
    </w:tbl>
    <w:p w14:paraId="5FC023FE" w14:textId="77777777" w:rsidR="004618DC" w:rsidRDefault="004618DC" w:rsidP="004618DC">
      <w:pPr>
        <w:rPr>
          <w:rFonts w:ascii="Arial" w:hAnsi="Arial" w:cs="Arial"/>
          <w:b/>
          <w:bCs/>
          <w:color w:val="000000"/>
        </w:rPr>
      </w:pPr>
    </w:p>
    <w:p w14:paraId="6931AE73" w14:textId="77777777" w:rsidR="004618DC" w:rsidRDefault="004618DC" w:rsidP="004618DC">
      <w:pPr>
        <w:rPr>
          <w:rFonts w:ascii="Calibri" w:hAnsi="Calibri" w:cs="Calibri"/>
          <w:color w:val="000000"/>
        </w:rPr>
      </w:pPr>
      <w:r>
        <w:rPr>
          <w:rFonts w:ascii="Verdana" w:hAnsi="Verdana"/>
          <w:b/>
          <w:bCs/>
          <w:i/>
          <w:iCs/>
          <w:color w:val="000000"/>
          <w:sz w:val="20"/>
          <w:szCs w:val="20"/>
        </w:rPr>
        <w:t>Ar cieņu</w:t>
      </w:r>
    </w:p>
    <w:p w14:paraId="31FE5030" w14:textId="77777777" w:rsidR="004618DC" w:rsidRDefault="004618DC" w:rsidP="004618DC">
      <w:pPr>
        <w:rPr>
          <w:rFonts w:ascii="Calibri" w:hAnsi="Calibri" w:cs="Calibri"/>
          <w:color w:val="000000"/>
        </w:rPr>
      </w:pPr>
      <w:r>
        <w:rPr>
          <w:rFonts w:ascii="Verdana" w:hAnsi="Verdana"/>
          <w:b/>
          <w:bCs/>
          <w:i/>
          <w:iCs/>
          <w:color w:val="000000"/>
          <w:sz w:val="20"/>
          <w:szCs w:val="20"/>
        </w:rPr>
        <w:t>Inga Gertnere</w:t>
      </w:r>
    </w:p>
    <w:p w14:paraId="0457162F" w14:textId="77777777" w:rsidR="004618DC" w:rsidRDefault="004618DC" w:rsidP="004618DC">
      <w:pPr>
        <w:rPr>
          <w:rFonts w:ascii="Calibri" w:hAnsi="Calibri" w:cs="Calibri"/>
          <w:color w:val="000000"/>
        </w:rPr>
      </w:pPr>
      <w:r>
        <w:rPr>
          <w:rFonts w:ascii="Verdana" w:hAnsi="Verdana"/>
          <w:i/>
          <w:iCs/>
          <w:color w:val="000000"/>
          <w:sz w:val="20"/>
          <w:szCs w:val="20"/>
        </w:rPr>
        <w:t xml:space="preserve">VID Nodokļu pārvaldes Akcīzes daļas </w:t>
      </w:r>
    </w:p>
    <w:p w14:paraId="1BFACD43" w14:textId="77777777" w:rsidR="004618DC" w:rsidRDefault="004618DC" w:rsidP="004618DC">
      <w:pPr>
        <w:rPr>
          <w:rFonts w:ascii="Calibri" w:hAnsi="Calibri" w:cs="Calibri"/>
          <w:color w:val="000000"/>
        </w:rPr>
      </w:pPr>
      <w:r>
        <w:rPr>
          <w:rFonts w:ascii="Verdana" w:hAnsi="Verdana"/>
          <w:i/>
          <w:iCs/>
          <w:color w:val="000000"/>
          <w:sz w:val="20"/>
          <w:szCs w:val="20"/>
        </w:rPr>
        <w:t>Atbalsta nodaļas</w:t>
      </w:r>
    </w:p>
    <w:p w14:paraId="7FA1420D" w14:textId="77777777" w:rsidR="004618DC" w:rsidRDefault="004618DC" w:rsidP="004618DC">
      <w:pPr>
        <w:rPr>
          <w:rFonts w:ascii="Calibri" w:hAnsi="Calibri" w:cs="Calibri"/>
          <w:color w:val="000000"/>
        </w:rPr>
      </w:pPr>
      <w:r>
        <w:rPr>
          <w:rFonts w:ascii="Verdana" w:hAnsi="Verdana"/>
          <w:i/>
          <w:iCs/>
          <w:color w:val="000000"/>
          <w:sz w:val="20"/>
          <w:szCs w:val="20"/>
        </w:rPr>
        <w:t>galvenā juriste</w:t>
      </w:r>
    </w:p>
    <w:p w14:paraId="686FEE32" w14:textId="77777777" w:rsidR="004618DC" w:rsidRDefault="004618DC" w:rsidP="004618DC">
      <w:pPr>
        <w:rPr>
          <w:rFonts w:ascii="Calibri" w:hAnsi="Calibri" w:cs="Calibri"/>
          <w:color w:val="000000"/>
        </w:rPr>
      </w:pPr>
      <w:r>
        <w:rPr>
          <w:rFonts w:ascii="Verdana" w:hAnsi="Verdana"/>
          <w:i/>
          <w:iCs/>
          <w:color w:val="000000"/>
          <w:sz w:val="20"/>
          <w:szCs w:val="20"/>
        </w:rPr>
        <w:t>Tālr. 67120147</w:t>
      </w:r>
    </w:p>
    <w:p w14:paraId="2911EF93" w14:textId="77777777" w:rsidR="004618DC" w:rsidRDefault="00C6511C" w:rsidP="004618DC">
      <w:pPr>
        <w:rPr>
          <w:rFonts w:ascii="Calibri" w:hAnsi="Calibri" w:cs="Calibri"/>
          <w:color w:val="000000"/>
        </w:rPr>
      </w:pPr>
      <w:hyperlink r:id="rId18" w:tgtFrame="_blank" w:history="1">
        <w:r w:rsidR="004618DC">
          <w:rPr>
            <w:rStyle w:val="Hyperlink"/>
            <w:rFonts w:ascii="Verdana" w:hAnsi="Verdana" w:cs="Calibri"/>
            <w:i/>
            <w:iCs/>
            <w:sz w:val="20"/>
            <w:szCs w:val="20"/>
          </w:rPr>
          <w:t>Inga.Gertnere@vid.gov.lv</w:t>
        </w:r>
      </w:hyperlink>
    </w:p>
    <w:p w14:paraId="30209419" w14:textId="77777777" w:rsidR="004618DC" w:rsidRDefault="004618DC" w:rsidP="004618DC">
      <w:pPr>
        <w:rPr>
          <w:rFonts w:ascii="Arial" w:hAnsi="Arial" w:cs="Arial"/>
          <w:b/>
          <w:bCs/>
          <w:color w:val="000000"/>
        </w:rPr>
      </w:pPr>
    </w:p>
    <w:p w14:paraId="6CDE57AC" w14:textId="77777777" w:rsidR="004618DC" w:rsidRDefault="004618DC" w:rsidP="004618DC">
      <w:pPr>
        <w:rPr>
          <w:rFonts w:ascii="Arial" w:hAnsi="Arial" w:cs="Arial"/>
          <w:color w:val="000000"/>
        </w:rPr>
      </w:pPr>
      <w:r>
        <w:rPr>
          <w:rFonts w:ascii="Arial" w:hAnsi="Arial" w:cs="Arial"/>
          <w:b/>
          <w:bCs/>
          <w:color w:val="000000"/>
        </w:rPr>
        <w:t>Oskars Kupics</w:t>
      </w:r>
    </w:p>
    <w:p w14:paraId="28D66476" w14:textId="77777777" w:rsidR="004618DC" w:rsidRDefault="004618DC" w:rsidP="004618DC">
      <w:pPr>
        <w:rPr>
          <w:rFonts w:ascii="Arial" w:hAnsi="Arial" w:cs="Arial"/>
          <w:color w:val="000000"/>
          <w:sz w:val="7"/>
          <w:szCs w:val="7"/>
        </w:rPr>
      </w:pPr>
      <w:r>
        <w:rPr>
          <w:rFonts w:ascii="Arial" w:hAnsi="Arial" w:cs="Arial"/>
          <w:color w:val="000000"/>
          <w:sz w:val="7"/>
          <w:szCs w:val="7"/>
        </w:rPr>
        <w:t> </w:t>
      </w:r>
    </w:p>
    <w:p w14:paraId="43D8C9D3" w14:textId="77777777" w:rsidR="004618DC" w:rsidRDefault="004618DC" w:rsidP="004618DC">
      <w:pPr>
        <w:rPr>
          <w:rFonts w:ascii="Arial" w:hAnsi="Arial" w:cs="Arial"/>
          <w:color w:val="000000"/>
          <w:sz w:val="20"/>
          <w:szCs w:val="20"/>
        </w:rPr>
      </w:pPr>
      <w:r>
        <w:rPr>
          <w:rFonts w:ascii="Arial" w:hAnsi="Arial" w:cs="Arial"/>
          <w:color w:val="000000"/>
          <w:sz w:val="20"/>
          <w:szCs w:val="20"/>
        </w:rPr>
        <w:t>Juriskonsults</w:t>
      </w:r>
    </w:p>
    <w:p w14:paraId="6EC37E03" w14:textId="77777777" w:rsidR="004618DC" w:rsidRDefault="004618DC" w:rsidP="004618DC">
      <w:pPr>
        <w:rPr>
          <w:rFonts w:ascii="Arial" w:hAnsi="Arial" w:cs="Arial"/>
          <w:color w:val="000000"/>
          <w:sz w:val="20"/>
          <w:szCs w:val="20"/>
        </w:rPr>
      </w:pPr>
      <w:r>
        <w:rPr>
          <w:rFonts w:ascii="Arial" w:hAnsi="Arial" w:cs="Arial"/>
          <w:color w:val="000000"/>
          <w:sz w:val="20"/>
          <w:szCs w:val="20"/>
        </w:rPr>
        <w:t>Regulācijas lietu daļa</w:t>
      </w:r>
    </w:p>
    <w:p w14:paraId="5CC63B8A" w14:textId="77777777" w:rsidR="004618DC" w:rsidRDefault="004618DC" w:rsidP="004618DC">
      <w:pPr>
        <w:rPr>
          <w:rFonts w:ascii="Arial" w:hAnsi="Arial" w:cs="Arial"/>
          <w:color w:val="000000"/>
          <w:sz w:val="20"/>
          <w:szCs w:val="20"/>
        </w:rPr>
      </w:pPr>
      <w:r>
        <w:rPr>
          <w:rFonts w:ascii="Arial" w:hAnsi="Arial" w:cs="Arial"/>
          <w:color w:val="000000"/>
          <w:sz w:val="20"/>
          <w:szCs w:val="20"/>
        </w:rPr>
        <w:t>T +371 6772 5341 / M +371 2634 7981 / </w:t>
      </w:r>
      <w:hyperlink r:id="rId19" w:history="1">
        <w:r>
          <w:rPr>
            <w:rStyle w:val="Hyperlink"/>
            <w:rFonts w:ascii="Arial" w:hAnsi="Arial" w:cs="Arial"/>
            <w:color w:val="000000"/>
            <w:sz w:val="20"/>
            <w:szCs w:val="20"/>
          </w:rPr>
          <w:t>oskars.kupics@ast.lv</w:t>
        </w:r>
      </w:hyperlink>
    </w:p>
    <w:p w14:paraId="3BE7001D" w14:textId="77777777" w:rsidR="004618DC" w:rsidRDefault="004618DC" w:rsidP="004618DC">
      <w:pPr>
        <w:rPr>
          <w:rFonts w:ascii="Arial" w:hAnsi="Arial" w:cs="Arial"/>
          <w:color w:val="000000"/>
          <w:sz w:val="11"/>
          <w:szCs w:val="11"/>
        </w:rPr>
      </w:pPr>
      <w:r>
        <w:rPr>
          <w:rFonts w:ascii="Arial" w:hAnsi="Arial" w:cs="Arial"/>
          <w:color w:val="000000"/>
          <w:sz w:val="11"/>
          <w:szCs w:val="11"/>
        </w:rPr>
        <w:t> </w:t>
      </w:r>
    </w:p>
    <w:tbl>
      <w:tblPr>
        <w:tblW w:w="0" w:type="auto"/>
        <w:tblCellMar>
          <w:left w:w="0" w:type="dxa"/>
          <w:right w:w="0" w:type="dxa"/>
        </w:tblCellMar>
        <w:tblLook w:val="04A0" w:firstRow="1" w:lastRow="0" w:firstColumn="1" w:lastColumn="0" w:noHBand="0" w:noVBand="1"/>
      </w:tblPr>
      <w:tblGrid>
        <w:gridCol w:w="1500"/>
        <w:gridCol w:w="270"/>
        <w:gridCol w:w="4500"/>
      </w:tblGrid>
      <w:tr w:rsidR="004618DC" w14:paraId="5188C200" w14:textId="77777777" w:rsidTr="004618DC">
        <w:tc>
          <w:tcPr>
            <w:tcW w:w="1500" w:type="dxa"/>
            <w:vMerge w:val="restart"/>
            <w:vAlign w:val="center"/>
            <w:hideMark/>
          </w:tcPr>
          <w:p w14:paraId="27FC305A" w14:textId="490CEB81" w:rsidR="004618DC" w:rsidRDefault="004618DC">
            <w:pPr>
              <w:rPr>
                <w:rFonts w:ascii="Arial" w:hAnsi="Arial" w:cs="Arial"/>
                <w:color w:val="000000"/>
                <w:sz w:val="22"/>
                <w:szCs w:val="22"/>
              </w:rPr>
            </w:pPr>
            <w:r>
              <w:rPr>
                <w:rFonts w:ascii="Arial" w:hAnsi="Arial" w:cs="Arial"/>
                <w:noProof/>
                <w:color w:val="000000"/>
                <w:sz w:val="22"/>
                <w:szCs w:val="22"/>
              </w:rPr>
              <w:drawing>
                <wp:inline distT="0" distB="0" distL="0" distR="0" wp14:anchorId="496DABFA" wp14:editId="327EE466">
                  <wp:extent cx="781050" cy="337820"/>
                  <wp:effectExtent l="0" t="0" r="0" b="5080"/>
                  <wp:docPr id="5" name="Picture 5" descr="AST logo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ST logotip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337820"/>
                          </a:xfrm>
                          <a:prstGeom prst="rect">
                            <a:avLst/>
                          </a:prstGeom>
                          <a:noFill/>
                          <a:ln>
                            <a:noFill/>
                          </a:ln>
                        </pic:spPr>
                      </pic:pic>
                    </a:graphicData>
                  </a:graphic>
                </wp:inline>
              </w:drawing>
            </w:r>
          </w:p>
        </w:tc>
        <w:tc>
          <w:tcPr>
            <w:tcW w:w="270" w:type="dxa"/>
            <w:vMerge w:val="restart"/>
            <w:vAlign w:val="center"/>
            <w:hideMark/>
          </w:tcPr>
          <w:p w14:paraId="10D7C20B" w14:textId="48F84387" w:rsidR="004618DC" w:rsidRDefault="004618DC">
            <w:pPr>
              <w:rPr>
                <w:rFonts w:ascii="Arial" w:hAnsi="Arial" w:cs="Arial"/>
                <w:color w:val="000000"/>
                <w:sz w:val="22"/>
                <w:szCs w:val="22"/>
              </w:rPr>
            </w:pPr>
            <w:r>
              <w:rPr>
                <w:rFonts w:ascii="Arial" w:hAnsi="Arial" w:cs="Arial"/>
                <w:noProof/>
                <w:color w:val="000000"/>
                <w:sz w:val="22"/>
                <w:szCs w:val="22"/>
              </w:rPr>
              <w:drawing>
                <wp:inline distT="0" distB="0" distL="0" distR="0" wp14:anchorId="0F6B7548" wp14:editId="731D5FFC">
                  <wp:extent cx="6985" cy="681990"/>
                  <wp:effectExtent l="0" t="0" r="31115" b="3810"/>
                  <wp:docPr id="4" name="Picture 4" descr="v.lī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līnij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85" cy="681990"/>
                          </a:xfrm>
                          <a:prstGeom prst="rect">
                            <a:avLst/>
                          </a:prstGeom>
                          <a:noFill/>
                          <a:ln>
                            <a:noFill/>
                          </a:ln>
                        </pic:spPr>
                      </pic:pic>
                    </a:graphicData>
                  </a:graphic>
                </wp:inline>
              </w:drawing>
            </w:r>
          </w:p>
        </w:tc>
        <w:tc>
          <w:tcPr>
            <w:tcW w:w="4500" w:type="dxa"/>
            <w:tcMar>
              <w:top w:w="0" w:type="dxa"/>
              <w:left w:w="108" w:type="dxa"/>
              <w:bottom w:w="0" w:type="dxa"/>
              <w:right w:w="108" w:type="dxa"/>
            </w:tcMar>
            <w:vAlign w:val="center"/>
            <w:hideMark/>
          </w:tcPr>
          <w:p w14:paraId="403BCF34" w14:textId="77777777" w:rsidR="004618DC" w:rsidRDefault="004618DC">
            <w:pPr>
              <w:rPr>
                <w:rFonts w:ascii="Arial" w:hAnsi="Arial" w:cs="Arial"/>
                <w:color w:val="000000"/>
                <w:sz w:val="18"/>
                <w:szCs w:val="18"/>
              </w:rPr>
            </w:pPr>
            <w:r>
              <w:rPr>
                <w:rFonts w:ascii="Arial" w:hAnsi="Arial" w:cs="Arial"/>
                <w:color w:val="000000"/>
                <w:sz w:val="18"/>
                <w:szCs w:val="18"/>
              </w:rPr>
              <w:t>AS Augstsprieguma tīkls</w:t>
            </w:r>
          </w:p>
        </w:tc>
      </w:tr>
      <w:tr w:rsidR="004618DC" w14:paraId="1A84B25C" w14:textId="77777777" w:rsidTr="004618DC">
        <w:tc>
          <w:tcPr>
            <w:tcW w:w="0" w:type="auto"/>
            <w:vMerge/>
            <w:vAlign w:val="center"/>
            <w:hideMark/>
          </w:tcPr>
          <w:p w14:paraId="0687581D" w14:textId="77777777" w:rsidR="004618DC" w:rsidRDefault="004618DC">
            <w:pPr>
              <w:rPr>
                <w:rFonts w:ascii="Arial" w:hAnsi="Arial" w:cs="Arial"/>
                <w:color w:val="000000"/>
                <w:sz w:val="22"/>
                <w:szCs w:val="22"/>
              </w:rPr>
            </w:pPr>
          </w:p>
        </w:tc>
        <w:tc>
          <w:tcPr>
            <w:tcW w:w="0" w:type="auto"/>
            <w:vMerge/>
            <w:vAlign w:val="center"/>
            <w:hideMark/>
          </w:tcPr>
          <w:p w14:paraId="114C0969" w14:textId="77777777" w:rsidR="004618DC" w:rsidRDefault="004618DC">
            <w:pPr>
              <w:rPr>
                <w:rFonts w:ascii="Arial" w:hAnsi="Arial" w:cs="Arial"/>
                <w:color w:val="000000"/>
                <w:sz w:val="22"/>
                <w:szCs w:val="22"/>
              </w:rPr>
            </w:pPr>
          </w:p>
        </w:tc>
        <w:tc>
          <w:tcPr>
            <w:tcW w:w="0" w:type="auto"/>
            <w:tcMar>
              <w:top w:w="0" w:type="dxa"/>
              <w:left w:w="108" w:type="dxa"/>
              <w:bottom w:w="0" w:type="dxa"/>
              <w:right w:w="108" w:type="dxa"/>
            </w:tcMar>
            <w:vAlign w:val="center"/>
            <w:hideMark/>
          </w:tcPr>
          <w:p w14:paraId="2D11AF74" w14:textId="77777777" w:rsidR="004618DC" w:rsidRDefault="004618DC">
            <w:pPr>
              <w:rPr>
                <w:rFonts w:ascii="Arial" w:hAnsi="Arial" w:cs="Arial"/>
                <w:color w:val="000000"/>
                <w:sz w:val="18"/>
                <w:szCs w:val="18"/>
              </w:rPr>
            </w:pPr>
            <w:r>
              <w:rPr>
                <w:rFonts w:ascii="Arial" w:hAnsi="Arial" w:cs="Arial"/>
                <w:color w:val="000000"/>
                <w:sz w:val="18"/>
                <w:szCs w:val="18"/>
              </w:rPr>
              <w:t>Dārzciema iela 86, Rīga</w:t>
            </w:r>
          </w:p>
        </w:tc>
      </w:tr>
      <w:tr w:rsidR="004618DC" w14:paraId="36E9C79B" w14:textId="77777777" w:rsidTr="004618DC">
        <w:tc>
          <w:tcPr>
            <w:tcW w:w="0" w:type="auto"/>
            <w:vMerge/>
            <w:vAlign w:val="center"/>
            <w:hideMark/>
          </w:tcPr>
          <w:p w14:paraId="6FBB3641" w14:textId="77777777" w:rsidR="004618DC" w:rsidRDefault="004618DC">
            <w:pPr>
              <w:rPr>
                <w:rFonts w:ascii="Arial" w:hAnsi="Arial" w:cs="Arial"/>
                <w:color w:val="000000"/>
                <w:sz w:val="22"/>
                <w:szCs w:val="22"/>
              </w:rPr>
            </w:pPr>
          </w:p>
        </w:tc>
        <w:tc>
          <w:tcPr>
            <w:tcW w:w="0" w:type="auto"/>
            <w:vMerge/>
            <w:vAlign w:val="center"/>
            <w:hideMark/>
          </w:tcPr>
          <w:p w14:paraId="7C1D5CB6" w14:textId="77777777" w:rsidR="004618DC" w:rsidRDefault="004618DC">
            <w:pPr>
              <w:rPr>
                <w:rFonts w:ascii="Arial" w:hAnsi="Arial" w:cs="Arial"/>
                <w:color w:val="000000"/>
                <w:sz w:val="22"/>
                <w:szCs w:val="22"/>
              </w:rPr>
            </w:pPr>
          </w:p>
        </w:tc>
        <w:tc>
          <w:tcPr>
            <w:tcW w:w="0" w:type="auto"/>
            <w:tcMar>
              <w:top w:w="0" w:type="dxa"/>
              <w:left w:w="108" w:type="dxa"/>
              <w:bottom w:w="0" w:type="dxa"/>
              <w:right w:w="108" w:type="dxa"/>
            </w:tcMar>
            <w:vAlign w:val="center"/>
            <w:hideMark/>
          </w:tcPr>
          <w:p w14:paraId="0D7AB120" w14:textId="77777777" w:rsidR="004618DC" w:rsidRDefault="00C6511C">
            <w:pPr>
              <w:rPr>
                <w:rFonts w:ascii="Arial" w:hAnsi="Arial" w:cs="Arial"/>
                <w:color w:val="000000"/>
                <w:sz w:val="18"/>
                <w:szCs w:val="18"/>
              </w:rPr>
            </w:pPr>
            <w:hyperlink r:id="rId22" w:history="1">
              <w:r w:rsidR="004618DC">
                <w:rPr>
                  <w:rStyle w:val="Hyperlink"/>
                  <w:rFonts w:ascii="Arial" w:hAnsi="Arial" w:cs="Arial"/>
                  <w:color w:val="000000"/>
                  <w:sz w:val="18"/>
                  <w:szCs w:val="18"/>
                </w:rPr>
                <w:t>www.ast.lv</w:t>
              </w:r>
            </w:hyperlink>
          </w:p>
        </w:tc>
      </w:tr>
      <w:tr w:rsidR="004618DC" w14:paraId="78DFEBC8" w14:textId="77777777" w:rsidTr="004618DC">
        <w:tc>
          <w:tcPr>
            <w:tcW w:w="0" w:type="auto"/>
            <w:tcMar>
              <w:top w:w="0" w:type="dxa"/>
              <w:left w:w="108" w:type="dxa"/>
              <w:bottom w:w="0" w:type="dxa"/>
              <w:right w:w="108" w:type="dxa"/>
            </w:tcMar>
            <w:vAlign w:val="center"/>
            <w:hideMark/>
          </w:tcPr>
          <w:p w14:paraId="419B5AE0" w14:textId="77777777" w:rsidR="004618DC" w:rsidRDefault="004618DC">
            <w:pPr>
              <w:rPr>
                <w:rFonts w:ascii="Arial" w:hAnsi="Arial" w:cs="Arial"/>
                <w:color w:val="000000"/>
                <w:sz w:val="13"/>
                <w:szCs w:val="13"/>
              </w:rPr>
            </w:pPr>
            <w:r>
              <w:rPr>
                <w:rFonts w:ascii="Arial" w:hAnsi="Arial" w:cs="Arial"/>
                <w:color w:val="000000"/>
                <w:sz w:val="13"/>
                <w:szCs w:val="13"/>
              </w:rPr>
              <w:t>GODĪGI. GUDRI.</w:t>
            </w:r>
            <w:r>
              <w:rPr>
                <w:rFonts w:ascii="Arial" w:hAnsi="Arial" w:cs="Arial"/>
                <w:color w:val="000000"/>
                <w:sz w:val="13"/>
                <w:szCs w:val="13"/>
              </w:rPr>
              <w:br/>
              <w:t>ATBILDĪGI. KOPĪGI.</w:t>
            </w:r>
          </w:p>
        </w:tc>
        <w:tc>
          <w:tcPr>
            <w:tcW w:w="0" w:type="auto"/>
            <w:vMerge/>
            <w:vAlign w:val="center"/>
            <w:hideMark/>
          </w:tcPr>
          <w:p w14:paraId="7FFA2DD8" w14:textId="77777777" w:rsidR="004618DC" w:rsidRDefault="004618DC">
            <w:pPr>
              <w:rPr>
                <w:rFonts w:ascii="Arial" w:hAnsi="Arial" w:cs="Arial"/>
                <w:color w:val="000000"/>
                <w:sz w:val="22"/>
                <w:szCs w:val="22"/>
              </w:rPr>
            </w:pPr>
          </w:p>
        </w:tc>
        <w:tc>
          <w:tcPr>
            <w:tcW w:w="0" w:type="auto"/>
            <w:tcMar>
              <w:top w:w="0" w:type="dxa"/>
              <w:left w:w="108" w:type="dxa"/>
              <w:bottom w:w="0" w:type="dxa"/>
              <w:right w:w="108" w:type="dxa"/>
            </w:tcMar>
            <w:vAlign w:val="center"/>
            <w:hideMark/>
          </w:tcPr>
          <w:p w14:paraId="3BBDBBF1" w14:textId="62DADC7C" w:rsidR="004618DC" w:rsidRDefault="004618DC">
            <w:pPr>
              <w:rPr>
                <w:rFonts w:ascii="Arial" w:hAnsi="Arial" w:cs="Arial"/>
                <w:color w:val="000000"/>
                <w:sz w:val="18"/>
                <w:szCs w:val="18"/>
              </w:rPr>
            </w:pPr>
            <w:r>
              <w:rPr>
                <w:rFonts w:ascii="Arial" w:hAnsi="Arial" w:cs="Arial"/>
                <w:noProof/>
                <w:color w:val="000000"/>
                <w:sz w:val="18"/>
                <w:szCs w:val="18"/>
              </w:rPr>
              <w:drawing>
                <wp:inline distT="0" distB="0" distL="0" distR="0" wp14:anchorId="287F0E5E" wp14:editId="4471F543">
                  <wp:extent cx="189865" cy="189865"/>
                  <wp:effectExtent l="0" t="0" r="635" b="635"/>
                  <wp:docPr id="3" name="Picture 3" descr="Facebook">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acebook">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Arial" w:hAnsi="Arial" w:cs="Arial"/>
                <w:color w:val="000000"/>
                <w:sz w:val="18"/>
                <w:szCs w:val="18"/>
              </w:rPr>
              <w:t>  </w:t>
            </w:r>
            <w:r>
              <w:rPr>
                <w:rFonts w:ascii="Arial" w:hAnsi="Arial" w:cs="Arial"/>
                <w:noProof/>
                <w:color w:val="000000"/>
                <w:sz w:val="18"/>
                <w:szCs w:val="18"/>
              </w:rPr>
              <w:drawing>
                <wp:inline distT="0" distB="0" distL="0" distR="0" wp14:anchorId="2D57035E" wp14:editId="53415DAC">
                  <wp:extent cx="189865" cy="189865"/>
                  <wp:effectExtent l="0" t="0" r="635" b="635"/>
                  <wp:docPr id="2" name="Picture 2" descr="LinkedIn">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inkedIn">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r>
              <w:rPr>
                <w:rFonts w:ascii="Arial" w:hAnsi="Arial" w:cs="Arial"/>
                <w:color w:val="000000"/>
                <w:sz w:val="18"/>
                <w:szCs w:val="18"/>
              </w:rPr>
              <w:t>  </w:t>
            </w:r>
            <w:r>
              <w:rPr>
                <w:rFonts w:ascii="Arial" w:hAnsi="Arial" w:cs="Arial"/>
                <w:noProof/>
                <w:color w:val="000000"/>
                <w:sz w:val="18"/>
                <w:szCs w:val="18"/>
              </w:rPr>
              <w:drawing>
                <wp:inline distT="0" distB="0" distL="0" distR="0" wp14:anchorId="7E28F11B" wp14:editId="11292141">
                  <wp:extent cx="189865" cy="189865"/>
                  <wp:effectExtent l="0" t="0" r="635" b="635"/>
                  <wp:docPr id="1" name="Picture 1" descr="Twitter">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witter">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865" cy="189865"/>
                          </a:xfrm>
                          <a:prstGeom prst="rect">
                            <a:avLst/>
                          </a:prstGeom>
                          <a:noFill/>
                          <a:ln>
                            <a:noFill/>
                          </a:ln>
                        </pic:spPr>
                      </pic:pic>
                    </a:graphicData>
                  </a:graphic>
                </wp:inline>
              </w:drawing>
            </w:r>
          </w:p>
        </w:tc>
      </w:tr>
      <w:bookmarkEnd w:id="0"/>
    </w:tbl>
    <w:p w14:paraId="416552B0" w14:textId="77777777" w:rsidR="004618DC" w:rsidRDefault="004618DC" w:rsidP="004618DC"/>
    <w:sectPr w:rsidR="004618DC" w:rsidSect="004618DC">
      <w:headerReference w:type="default" r:id="rId2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C7032" w14:textId="77777777" w:rsidR="00C6511C" w:rsidRDefault="00C6511C" w:rsidP="004618DC">
      <w:r>
        <w:separator/>
      </w:r>
    </w:p>
  </w:endnote>
  <w:endnote w:type="continuationSeparator" w:id="0">
    <w:p w14:paraId="65B9AB45" w14:textId="77777777" w:rsidR="00C6511C" w:rsidRDefault="00C6511C" w:rsidP="00461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67D40" w14:textId="77777777" w:rsidR="00C6511C" w:rsidRDefault="00C6511C" w:rsidP="004618DC">
      <w:r>
        <w:separator/>
      </w:r>
    </w:p>
  </w:footnote>
  <w:footnote w:type="continuationSeparator" w:id="0">
    <w:p w14:paraId="140A9753" w14:textId="77777777" w:rsidR="00C6511C" w:rsidRDefault="00C6511C" w:rsidP="00461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5326E" w14:textId="0A32FB1F" w:rsidR="004618DC" w:rsidRDefault="004618DC">
    <w:pPr>
      <w:pStyle w:val="Header"/>
    </w:pPr>
    <w:r>
      <w:t>FM_24082021_atzinums</w:t>
    </w:r>
  </w:p>
  <w:p w14:paraId="03AEC34D" w14:textId="77777777" w:rsidR="004618DC" w:rsidRDefault="004618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FB3FB9"/>
    <w:multiLevelType w:val="hybridMultilevel"/>
    <w:tmpl w:val="E9108A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DC"/>
    <w:rsid w:val="002E1B49"/>
    <w:rsid w:val="004618DC"/>
    <w:rsid w:val="00BC6042"/>
    <w:rsid w:val="00C6511C"/>
    <w:rsid w:val="00D13D9B"/>
    <w:rsid w:val="00DE088F"/>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8BBE"/>
  <w15:chartTrackingRefBased/>
  <w15:docId w15:val="{3FD72581-7C6B-4D22-8C2E-4F47CE26D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DC"/>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618DC"/>
    <w:rPr>
      <w:color w:val="0563C1"/>
      <w:u w:val="single"/>
    </w:rPr>
  </w:style>
  <w:style w:type="paragraph" w:styleId="NormalWeb">
    <w:name w:val="Normal (Web)"/>
    <w:basedOn w:val="Normal"/>
    <w:uiPriority w:val="99"/>
    <w:semiHidden/>
    <w:unhideWhenUsed/>
    <w:rsid w:val="004618DC"/>
    <w:pPr>
      <w:spacing w:before="100" w:beforeAutospacing="1" w:after="100" w:afterAutospacing="1"/>
    </w:pPr>
    <w:rPr>
      <w:rFonts w:ascii="Calibri" w:hAnsi="Calibri" w:cs="Calibri"/>
      <w:sz w:val="22"/>
      <w:szCs w:val="22"/>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basedOn w:val="DefaultParagraphFont"/>
    <w:link w:val="ListParagraph"/>
    <w:uiPriority w:val="34"/>
    <w:locked/>
    <w:rsid w:val="004618DC"/>
    <w:rPr>
      <w:rFonts w:ascii="Calibri" w:hAnsi="Calibri" w:cs="Calibri"/>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uiPriority w:val="34"/>
    <w:qFormat/>
    <w:rsid w:val="004618DC"/>
    <w:pPr>
      <w:ind w:left="720"/>
      <w:contextualSpacing/>
    </w:pPr>
    <w:rPr>
      <w:rFonts w:ascii="Calibri" w:hAnsi="Calibri" w:cs="Calibri"/>
      <w:sz w:val="22"/>
      <w:szCs w:val="22"/>
      <w:lang w:eastAsia="en-US"/>
    </w:rPr>
  </w:style>
  <w:style w:type="paragraph" w:styleId="Header">
    <w:name w:val="header"/>
    <w:basedOn w:val="Normal"/>
    <w:link w:val="HeaderChar"/>
    <w:uiPriority w:val="99"/>
    <w:unhideWhenUsed/>
    <w:rsid w:val="004618DC"/>
    <w:pPr>
      <w:tabs>
        <w:tab w:val="center" w:pos="4153"/>
        <w:tab w:val="right" w:pos="8306"/>
      </w:tabs>
    </w:pPr>
  </w:style>
  <w:style w:type="character" w:customStyle="1" w:styleId="HeaderChar">
    <w:name w:val="Header Char"/>
    <w:basedOn w:val="DefaultParagraphFont"/>
    <w:link w:val="Header"/>
    <w:uiPriority w:val="99"/>
    <w:rsid w:val="004618DC"/>
    <w:rPr>
      <w:rFonts w:ascii="Times New Roman" w:hAnsi="Times New Roman" w:cs="Times New Roman"/>
      <w:sz w:val="24"/>
      <w:szCs w:val="24"/>
      <w:lang w:eastAsia="lv-LV"/>
    </w:rPr>
  </w:style>
  <w:style w:type="paragraph" w:styleId="Footer">
    <w:name w:val="footer"/>
    <w:basedOn w:val="Normal"/>
    <w:link w:val="FooterChar"/>
    <w:uiPriority w:val="99"/>
    <w:unhideWhenUsed/>
    <w:rsid w:val="004618DC"/>
    <w:pPr>
      <w:tabs>
        <w:tab w:val="center" w:pos="4153"/>
        <w:tab w:val="right" w:pos="8306"/>
      </w:tabs>
    </w:pPr>
  </w:style>
  <w:style w:type="character" w:customStyle="1" w:styleId="FooterChar">
    <w:name w:val="Footer Char"/>
    <w:basedOn w:val="DefaultParagraphFont"/>
    <w:link w:val="Footer"/>
    <w:uiPriority w:val="99"/>
    <w:rsid w:val="004618DC"/>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00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elina.kobzeva@fm.gov.lv" TargetMode="External"/><Relationship Id="rId13" Type="http://schemas.openxmlformats.org/officeDocument/2006/relationships/hyperlink" Target="https://lv100.lv/" TargetMode="External"/><Relationship Id="rId18" Type="http://schemas.openxmlformats.org/officeDocument/2006/relationships/hyperlink" Target="mailto:Inga.Gertnere@vid.gov.lv"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mailto:ilga.jermacane@fm.gov.lv" TargetMode="External"/><Relationship Id="rId12" Type="http://schemas.openxmlformats.org/officeDocument/2006/relationships/hyperlink" Target="file:///C:\Users\KarpovicaI\Downloads\pasts@fm.gov.lv" TargetMode="External"/><Relationship Id="rId17" Type="http://schemas.openxmlformats.org/officeDocument/2006/relationships/hyperlink" Target="http://www.vni.lv/" TargetMode="External"/><Relationship Id="rId25" Type="http://schemas.openxmlformats.org/officeDocument/2006/relationships/hyperlink" Target="https://www.linkedin.com/company/augstsprieguma-t%C4%ABkls-as" TargetMode="External"/><Relationship Id="rId2" Type="http://schemas.openxmlformats.org/officeDocument/2006/relationships/styles" Target="styles.xml"/><Relationship Id="rId16" Type="http://schemas.openxmlformats.org/officeDocument/2006/relationships/hyperlink" Target="mailto:Ilvija.Peimane@vni.lv" TargetMode="External"/><Relationship Id="rId20" Type="http://schemas.openxmlformats.org/officeDocument/2006/relationships/image" Target="media/image3.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KarpovicaI\Downloads\www.fm.gov.lv" TargetMode="External"/><Relationship Id="rId24"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www.facebook.com/Augstspriegumatikls" TargetMode="External"/><Relationship Id="rId28" Type="http://schemas.openxmlformats.org/officeDocument/2006/relationships/image" Target="media/image7.png"/><Relationship Id="rId10" Type="http://schemas.openxmlformats.org/officeDocument/2006/relationships/hyperlink" Target="mailto:%20inese.vanaga@fm.gov.lv" TargetMode="External"/><Relationship Id="rId19" Type="http://schemas.openxmlformats.org/officeDocument/2006/relationships/hyperlink" Target="mailto:oskars.kupics@ast.lv"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20gunita.galauska@fm.gov.lv" TargetMode="External"/><Relationship Id="rId14" Type="http://schemas.openxmlformats.org/officeDocument/2006/relationships/image" Target="media/image1.jpeg"/><Relationship Id="rId22" Type="http://schemas.openxmlformats.org/officeDocument/2006/relationships/hyperlink" Target="http://www.ast.lv/" TargetMode="External"/><Relationship Id="rId27" Type="http://schemas.openxmlformats.org/officeDocument/2006/relationships/hyperlink" Target="https://twitter.com/ast_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7736</Words>
  <Characters>4411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2</cp:revision>
  <dcterms:created xsi:type="dcterms:W3CDTF">2021-12-03T11:44:00Z</dcterms:created>
  <dcterms:modified xsi:type="dcterms:W3CDTF">2021-12-03T11:44:00Z</dcterms:modified>
</cp:coreProperties>
</file>