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D6AE07" w14:textId="77777777" w:rsidR="00447F9A" w:rsidRPr="00304DA9" w:rsidRDefault="00304DA9">
      <w:pPr>
        <w:spacing w:before="240" w:after="240"/>
        <w:rPr>
          <w:b/>
          <w:color w:val="auto"/>
          <w:sz w:val="28"/>
        </w:rPr>
      </w:pPr>
      <w:r w:rsidRPr="00304DA9">
        <w:rPr>
          <w:b/>
          <w:color w:val="auto"/>
          <w:sz w:val="28"/>
        </w:rPr>
        <w:t>25-TA-3014: Informatīvais ziņojums (Jauns)</w:t>
      </w:r>
    </w:p>
    <w:p w14:paraId="13DF0D66" w14:textId="77777777" w:rsidR="00447F9A" w:rsidRPr="00304DA9" w:rsidRDefault="00304DA9">
      <w:pPr>
        <w:pStyle w:val="titleparagraph"/>
        <w:contextualSpacing w:val="0"/>
        <w:rPr>
          <w:color w:val="auto"/>
        </w:rPr>
      </w:pPr>
      <w:r w:rsidRPr="00304DA9">
        <w:rPr>
          <w:color w:val="auto"/>
        </w:rPr>
        <w:t>Par vienotas patērētāju kreditētāju licencēšanas un uzraudzības institūcijas noteikšanu</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447F9A" w:rsidRPr="00304DA9" w14:paraId="15AC9F21" w14:textId="77777777" w:rsidTr="00304DA9">
        <w:tc>
          <w:tcPr>
            <w:tcW w:w="1015" w:type="dxa"/>
            <w:shd w:val="clear" w:color="auto" w:fill="FFFFFF"/>
            <w:noWrap/>
            <w:tcMar>
              <w:top w:w="75" w:type="dxa"/>
              <w:left w:w="75" w:type="dxa"/>
              <w:bottom w:w="75" w:type="dxa"/>
              <w:right w:w="75" w:type="dxa"/>
            </w:tcMar>
            <w:vAlign w:val="center"/>
          </w:tcPr>
          <w:p w14:paraId="6F11C723" w14:textId="77777777" w:rsidR="00447F9A" w:rsidRPr="00304DA9" w:rsidRDefault="00304DA9">
            <w:pPr>
              <w:jc w:val="center"/>
              <w:rPr>
                <w:b/>
                <w:color w:val="auto"/>
              </w:rPr>
            </w:pPr>
            <w:r w:rsidRPr="00304DA9">
              <w:rPr>
                <w:b/>
                <w:color w:val="auto"/>
              </w:rPr>
              <w:t>Nr.p.k.</w:t>
            </w:r>
          </w:p>
        </w:tc>
        <w:tc>
          <w:tcPr>
            <w:tcW w:w="3388" w:type="dxa"/>
            <w:shd w:val="clear" w:color="auto" w:fill="FFFFFF"/>
            <w:noWrap/>
            <w:tcMar>
              <w:top w:w="75" w:type="dxa"/>
              <w:left w:w="75" w:type="dxa"/>
              <w:bottom w:w="75" w:type="dxa"/>
              <w:right w:w="75" w:type="dxa"/>
            </w:tcMar>
            <w:vAlign w:val="center"/>
          </w:tcPr>
          <w:p w14:paraId="181175B0" w14:textId="77777777" w:rsidR="00447F9A" w:rsidRPr="00304DA9" w:rsidRDefault="00304DA9">
            <w:pPr>
              <w:jc w:val="center"/>
              <w:rPr>
                <w:b/>
                <w:color w:val="auto"/>
              </w:rPr>
            </w:pPr>
            <w:r w:rsidRPr="00304DA9">
              <w:rPr>
                <w:b/>
                <w:color w:val="auto"/>
              </w:rPr>
              <w:t>Saskaņošanai nosūtītā projekta redakcija</w:t>
            </w:r>
          </w:p>
        </w:tc>
        <w:tc>
          <w:tcPr>
            <w:tcW w:w="3388" w:type="dxa"/>
            <w:shd w:val="clear" w:color="auto" w:fill="FFFFFF"/>
            <w:noWrap/>
            <w:tcMar>
              <w:top w:w="75" w:type="dxa"/>
              <w:left w:w="75" w:type="dxa"/>
              <w:bottom w:w="75" w:type="dxa"/>
              <w:right w:w="75" w:type="dxa"/>
            </w:tcMar>
            <w:vAlign w:val="center"/>
          </w:tcPr>
          <w:p w14:paraId="70DCB108" w14:textId="77777777" w:rsidR="00447F9A" w:rsidRPr="00304DA9" w:rsidRDefault="00304DA9">
            <w:pPr>
              <w:jc w:val="center"/>
              <w:rPr>
                <w:b/>
                <w:color w:val="auto"/>
              </w:rPr>
            </w:pPr>
            <w:r w:rsidRPr="00304DA9">
              <w:rPr>
                <w:b/>
                <w:color w:val="auto"/>
              </w:rPr>
              <w:t>Iebildums / Priekšlikums</w:t>
            </w:r>
          </w:p>
        </w:tc>
        <w:tc>
          <w:tcPr>
            <w:tcW w:w="3388" w:type="dxa"/>
            <w:shd w:val="clear" w:color="auto" w:fill="FFFFFF"/>
            <w:noWrap/>
            <w:tcMar>
              <w:top w:w="75" w:type="dxa"/>
              <w:left w:w="75" w:type="dxa"/>
              <w:bottom w:w="75" w:type="dxa"/>
              <w:right w:w="75" w:type="dxa"/>
            </w:tcMar>
            <w:vAlign w:val="center"/>
          </w:tcPr>
          <w:p w14:paraId="5D8086C7" w14:textId="77777777" w:rsidR="00447F9A" w:rsidRPr="00304DA9" w:rsidRDefault="00304DA9">
            <w:pPr>
              <w:jc w:val="center"/>
              <w:rPr>
                <w:b/>
                <w:color w:val="auto"/>
              </w:rPr>
            </w:pPr>
            <w:r w:rsidRPr="00304DA9">
              <w:rPr>
                <w:b/>
                <w:color w:val="auto"/>
              </w:rPr>
              <w:t>Apstrādes informācija</w:t>
            </w:r>
          </w:p>
        </w:tc>
        <w:tc>
          <w:tcPr>
            <w:tcW w:w="3388" w:type="dxa"/>
            <w:shd w:val="clear" w:color="auto" w:fill="FFFFFF"/>
            <w:noWrap/>
            <w:tcMar>
              <w:top w:w="75" w:type="dxa"/>
              <w:left w:w="75" w:type="dxa"/>
              <w:bottom w:w="75" w:type="dxa"/>
              <w:right w:w="75" w:type="dxa"/>
            </w:tcMar>
            <w:vAlign w:val="center"/>
          </w:tcPr>
          <w:p w14:paraId="26BF5856" w14:textId="77777777" w:rsidR="00447F9A" w:rsidRPr="00304DA9" w:rsidRDefault="00304DA9">
            <w:pPr>
              <w:jc w:val="center"/>
              <w:rPr>
                <w:b/>
                <w:color w:val="auto"/>
              </w:rPr>
            </w:pPr>
            <w:r w:rsidRPr="00304DA9">
              <w:rPr>
                <w:b/>
                <w:color w:val="auto"/>
              </w:rPr>
              <w:t>Galīgā redakcija</w:t>
            </w:r>
          </w:p>
        </w:tc>
      </w:tr>
      <w:tr w:rsidR="00447F9A" w:rsidRPr="00304DA9" w14:paraId="29330966" w14:textId="77777777" w:rsidTr="00304DA9">
        <w:tc>
          <w:tcPr>
            <w:tcW w:w="14567" w:type="dxa"/>
            <w:gridSpan w:val="5"/>
            <w:shd w:val="clear" w:color="auto" w:fill="FFFFFF"/>
            <w:noWrap/>
            <w:tcMar>
              <w:top w:w="75" w:type="dxa"/>
              <w:left w:w="75" w:type="dxa"/>
              <w:bottom w:w="75" w:type="dxa"/>
              <w:right w:w="75" w:type="dxa"/>
            </w:tcMar>
            <w:vAlign w:val="center"/>
          </w:tcPr>
          <w:p w14:paraId="1A617E32" w14:textId="77777777" w:rsidR="00447F9A" w:rsidRPr="00304DA9" w:rsidRDefault="00304DA9">
            <w:pPr>
              <w:rPr>
                <w:color w:val="auto"/>
              </w:rPr>
            </w:pPr>
            <w:r w:rsidRPr="00304DA9">
              <w:rPr>
                <w:b/>
                <w:color w:val="auto"/>
              </w:rPr>
              <w:t>Izsludināšana: 23.12.2025. 15:06</w:t>
            </w:r>
          </w:p>
        </w:tc>
      </w:tr>
      <w:tr w:rsidR="00304DA9" w:rsidRPr="00304DA9" w14:paraId="792B78D4" w14:textId="77777777" w:rsidTr="00304DA9">
        <w:tc>
          <w:tcPr>
            <w:tcW w:w="1015" w:type="dxa"/>
            <w:shd w:val="clear" w:color="auto" w:fill="FFFFFF"/>
            <w:noWrap/>
            <w:tcMar>
              <w:top w:w="75" w:type="dxa"/>
              <w:left w:w="75" w:type="dxa"/>
              <w:bottom w:w="75" w:type="dxa"/>
              <w:right w:w="75" w:type="dxa"/>
            </w:tcMar>
          </w:tcPr>
          <w:p w14:paraId="25FC619A" w14:textId="77777777" w:rsidR="00304DA9" w:rsidRPr="00304DA9" w:rsidRDefault="00304DA9" w:rsidP="00304DA9">
            <w:pPr>
              <w:rPr>
                <w:color w:val="auto"/>
              </w:rPr>
            </w:pPr>
            <w:r w:rsidRPr="00304DA9">
              <w:rPr>
                <w:color w:val="auto"/>
              </w:rPr>
              <w:t>1.</w:t>
            </w:r>
          </w:p>
        </w:tc>
        <w:tc>
          <w:tcPr>
            <w:tcW w:w="3388" w:type="dxa"/>
            <w:shd w:val="clear" w:color="auto" w:fill="FFFFFF"/>
            <w:noWrap/>
            <w:tcMar>
              <w:top w:w="75" w:type="dxa"/>
              <w:left w:w="75" w:type="dxa"/>
              <w:bottom w:w="75" w:type="dxa"/>
              <w:right w:w="75" w:type="dxa"/>
            </w:tcMar>
          </w:tcPr>
          <w:p w14:paraId="16CD2858" w14:textId="77777777" w:rsidR="00304DA9" w:rsidRPr="00304DA9" w:rsidRDefault="00304DA9" w:rsidP="00304DA9">
            <w:pPr>
              <w:spacing w:after="240"/>
              <w:rPr>
                <w:b/>
                <w:color w:val="auto"/>
              </w:rPr>
            </w:pPr>
            <w:r w:rsidRPr="00304DA9">
              <w:rPr>
                <w:b/>
                <w:color w:val="auto"/>
              </w:rPr>
              <w:t>Informatīvais ziņojums</w:t>
            </w:r>
          </w:p>
          <w:p w14:paraId="4F7671DC" w14:textId="57916F0B" w:rsidR="00304DA9" w:rsidRPr="00304DA9" w:rsidRDefault="00304DA9" w:rsidP="00304DA9">
            <w:pPr>
              <w:rPr>
                <w:color w:val="auto"/>
              </w:rPr>
            </w:pPr>
            <w:r w:rsidRPr="00304DA9">
              <w:rPr>
                <w:color w:val="auto"/>
              </w:rPr>
              <w:t>Informatīvais ziņojums "Par vienotas patērētāju kreditētāju licencēšanas un uzraudzības institūcijas noteikšanu"</w:t>
            </w:r>
          </w:p>
        </w:tc>
        <w:tc>
          <w:tcPr>
            <w:tcW w:w="3388" w:type="dxa"/>
            <w:shd w:val="clear" w:color="auto" w:fill="FFFFFF"/>
            <w:noWrap/>
            <w:tcMar>
              <w:top w:w="75" w:type="dxa"/>
              <w:left w:w="75" w:type="dxa"/>
              <w:bottom w:w="75" w:type="dxa"/>
              <w:right w:w="75" w:type="dxa"/>
            </w:tcMar>
          </w:tcPr>
          <w:p w14:paraId="4C7DD38B" w14:textId="77777777" w:rsidR="00304DA9" w:rsidRPr="00304DA9" w:rsidRDefault="00304DA9" w:rsidP="00304DA9">
            <w:pPr>
              <w:spacing w:after="240"/>
              <w:rPr>
                <w:b/>
                <w:color w:val="auto"/>
                <w:szCs w:val="24"/>
              </w:rPr>
            </w:pPr>
            <w:r w:rsidRPr="00304DA9">
              <w:rPr>
                <w:b/>
                <w:color w:val="auto"/>
                <w:szCs w:val="24"/>
              </w:rPr>
              <w:t>Iebildums (AS “DelfinGroup”-06.01.2026. (ārpus portāla)</w:t>
            </w:r>
          </w:p>
          <w:p w14:paraId="122953FD" w14:textId="77777777" w:rsidR="00304DA9" w:rsidRPr="00304DA9" w:rsidRDefault="00304DA9" w:rsidP="00304DA9">
            <w:pPr>
              <w:pStyle w:val="ListParagraph"/>
              <w:numPr>
                <w:ilvl w:val="0"/>
                <w:numId w:val="1"/>
              </w:numPr>
              <w:ind w:left="127" w:firstLine="0"/>
              <w:rPr>
                <w:color w:val="auto"/>
                <w:szCs w:val="24"/>
              </w:rPr>
            </w:pPr>
            <w:r w:rsidRPr="00304DA9">
              <w:rPr>
                <w:b/>
                <w:bCs/>
                <w:color w:val="auto"/>
                <w:szCs w:val="24"/>
              </w:rPr>
              <w:t xml:space="preserve">Informatīvajā ziņojuma ievadā ir pretrunīgi apgalvojumi izmaiņu vajadzībai </w:t>
            </w:r>
          </w:p>
          <w:p w14:paraId="5687D83E" w14:textId="77777777" w:rsidR="00304DA9" w:rsidRPr="00304DA9" w:rsidRDefault="00304DA9" w:rsidP="00304DA9">
            <w:pPr>
              <w:rPr>
                <w:color w:val="auto"/>
                <w:szCs w:val="24"/>
              </w:rPr>
            </w:pPr>
          </w:p>
          <w:p w14:paraId="347F995E" w14:textId="77777777" w:rsidR="00304DA9" w:rsidRPr="00304DA9" w:rsidRDefault="00304DA9" w:rsidP="00304DA9">
            <w:pPr>
              <w:rPr>
                <w:color w:val="auto"/>
                <w:szCs w:val="24"/>
              </w:rPr>
            </w:pPr>
            <w:r w:rsidRPr="00304DA9">
              <w:rPr>
                <w:color w:val="auto"/>
                <w:szCs w:val="24"/>
              </w:rPr>
              <w:t>Informatīvā ziņojuma ievadā Finanšu ministrija norāda, ka “</w:t>
            </w:r>
            <w:r w:rsidRPr="00304DA9">
              <w:rPr>
                <w:i/>
                <w:iCs/>
                <w:color w:val="auto"/>
                <w:szCs w:val="24"/>
              </w:rPr>
              <w:t>Latvijā patērētāju kreditēšanas nozare strauji attīstās, un tajā ienāk arvien jauni tirgus dalībnieki. Tādējādi pēdējo gadu laikā arī pieaug patērētāju kreditētāju loma finanšu tirgū, un līdz ar finanšu tehnoloģiju jomas attīstību tā ieņem arvien būtiskāku lomu, kā arī rada konkurenci kreditēšanā kopumā</w:t>
            </w:r>
            <w:r w:rsidRPr="00304DA9">
              <w:rPr>
                <w:color w:val="auto"/>
                <w:szCs w:val="24"/>
              </w:rPr>
              <w:t>”.</w:t>
            </w:r>
          </w:p>
          <w:p w14:paraId="1E2B72A2" w14:textId="77777777" w:rsidR="00304DA9" w:rsidRPr="00304DA9" w:rsidRDefault="00304DA9" w:rsidP="00304DA9">
            <w:pPr>
              <w:rPr>
                <w:color w:val="auto"/>
                <w:szCs w:val="24"/>
              </w:rPr>
            </w:pPr>
          </w:p>
          <w:p w14:paraId="03D96F45" w14:textId="77777777" w:rsidR="00304DA9" w:rsidRPr="00304DA9" w:rsidRDefault="00304DA9" w:rsidP="00304DA9">
            <w:pPr>
              <w:rPr>
                <w:color w:val="auto"/>
                <w:szCs w:val="24"/>
              </w:rPr>
            </w:pPr>
            <w:r w:rsidRPr="00304DA9">
              <w:rPr>
                <w:color w:val="auto"/>
                <w:szCs w:val="24"/>
              </w:rPr>
              <w:t xml:space="preserve">Savukārt Informatīvā ziņojuma 12. lapaspusē no Finanšu </w:t>
            </w:r>
            <w:r w:rsidRPr="00304DA9">
              <w:rPr>
                <w:color w:val="auto"/>
                <w:szCs w:val="24"/>
              </w:rPr>
              <w:lastRenderedPageBreak/>
              <w:t>ministrijas puses ir secināts, ka: “</w:t>
            </w:r>
            <w:r w:rsidRPr="00304DA9">
              <w:rPr>
                <w:i/>
                <w:iCs/>
                <w:color w:val="auto"/>
                <w:szCs w:val="24"/>
              </w:rPr>
              <w:t>nebanku kreditētāju īpatsvars kopējā kreditēšanas apjomā joprojām saglabājas salīdzinoši zems</w:t>
            </w:r>
            <w:r w:rsidRPr="00304DA9">
              <w:rPr>
                <w:color w:val="auto"/>
                <w:szCs w:val="24"/>
              </w:rPr>
              <w:t>”, ka “</w:t>
            </w:r>
            <w:r w:rsidRPr="00304DA9">
              <w:rPr>
                <w:i/>
                <w:iCs/>
                <w:color w:val="auto"/>
                <w:szCs w:val="24"/>
              </w:rPr>
              <w:t>nebanku finanšu sektora tiešā saikne ar kredītiestādēm Latvijā saglabājas zema</w:t>
            </w:r>
            <w:r w:rsidRPr="00304DA9">
              <w:rPr>
                <w:color w:val="auto"/>
                <w:szCs w:val="24"/>
              </w:rPr>
              <w:t>” un ka “</w:t>
            </w:r>
            <w:r w:rsidRPr="00304DA9">
              <w:rPr>
                <w:i/>
                <w:iCs/>
                <w:color w:val="auto"/>
                <w:szCs w:val="24"/>
              </w:rPr>
              <w:t>Latvijas finanšu sistēmas nebanku finanšu sektora pakalpojumu pieejamības nepārtrauktība ir augsta, – kādam tirgus dalībniekam izstājoties, tā sniegtos pakalpojumus Latvijas finanšu sistēmas darbības nodrošināšanai var aizstāt citi, jo tirgus koncentrācija ir samērā zema</w:t>
            </w:r>
            <w:r w:rsidRPr="00304DA9">
              <w:rPr>
                <w:color w:val="auto"/>
                <w:szCs w:val="24"/>
              </w:rPr>
              <w:t>”. Papildus Informatīvā ziņojuma 11. lapaspusē ir norādīts, ka “</w:t>
            </w:r>
            <w:r w:rsidRPr="00304DA9">
              <w:rPr>
                <w:i/>
                <w:iCs/>
                <w:color w:val="auto"/>
                <w:szCs w:val="24"/>
              </w:rPr>
              <w:t>Kredītiestāžu sektorā kreditēšanas temps 2025. gada 1. pusgadā bija augstāks – 5.6% nekā nebanku kreditētāju iekšzemes nefinanšu sabiedrību un mājsaimniecībām izsniegto kredītu portfelī – 3,2</w:t>
            </w:r>
            <w:r w:rsidRPr="00304DA9">
              <w:rPr>
                <w:color w:val="auto"/>
                <w:szCs w:val="24"/>
              </w:rPr>
              <w:t xml:space="preserve">”. </w:t>
            </w:r>
          </w:p>
          <w:p w14:paraId="478E694E" w14:textId="77777777" w:rsidR="00304DA9" w:rsidRPr="00304DA9" w:rsidRDefault="00304DA9" w:rsidP="00304DA9">
            <w:pPr>
              <w:rPr>
                <w:color w:val="auto"/>
                <w:szCs w:val="24"/>
              </w:rPr>
            </w:pPr>
          </w:p>
          <w:p w14:paraId="3D6ABADD" w14:textId="77777777" w:rsidR="00304DA9" w:rsidRPr="00304DA9" w:rsidRDefault="00304DA9" w:rsidP="00304DA9">
            <w:pPr>
              <w:rPr>
                <w:color w:val="auto"/>
                <w:szCs w:val="24"/>
              </w:rPr>
            </w:pPr>
            <w:r w:rsidRPr="00304DA9">
              <w:rPr>
                <w:color w:val="auto"/>
                <w:szCs w:val="24"/>
              </w:rPr>
              <w:t xml:space="preserve">Tāpat arī PTAC statistika (https://www.ptac.gov.lv/lv/media/5274/download?attachment) liecina, ka tās licencēto kredītu devēju skaits ir stabils bez </w:t>
            </w:r>
            <w:r w:rsidRPr="00304DA9">
              <w:rPr>
                <w:color w:val="auto"/>
                <w:szCs w:val="24"/>
              </w:rPr>
              <w:lastRenderedPageBreak/>
              <w:t>tendences būtiski augt. Kā arī PTAC licencēto kredītu devēju kopējais kredītportfelis ir salīdzinoši neliels pret valsts ekonomiku, un tas joprojām ir nebūtisks pret kopējo kredītportfeli Latvijas tautsaimniecībā (kā norādīts informatīvajā ziņojumā: “</w:t>
            </w:r>
            <w:r w:rsidRPr="00304DA9">
              <w:rPr>
                <w:i/>
                <w:iCs/>
                <w:color w:val="auto"/>
                <w:szCs w:val="24"/>
              </w:rPr>
              <w:t>nebanku kreditētāju īpatsvars kopējā kreditēšanas apjomā joprojām saglabājas salīdzinoši zems</w:t>
            </w:r>
            <w:r w:rsidRPr="00304DA9">
              <w:rPr>
                <w:color w:val="auto"/>
                <w:szCs w:val="24"/>
              </w:rPr>
              <w:t>”.</w:t>
            </w:r>
          </w:p>
          <w:p w14:paraId="428F8ED8" w14:textId="77777777" w:rsidR="00304DA9" w:rsidRPr="00304DA9" w:rsidRDefault="00304DA9" w:rsidP="00304DA9">
            <w:pPr>
              <w:rPr>
                <w:color w:val="auto"/>
                <w:szCs w:val="24"/>
              </w:rPr>
            </w:pPr>
          </w:p>
          <w:p w14:paraId="1867D727" w14:textId="77777777" w:rsidR="00304DA9" w:rsidRPr="00304DA9" w:rsidRDefault="00304DA9" w:rsidP="00304DA9">
            <w:pPr>
              <w:rPr>
                <w:color w:val="auto"/>
                <w:szCs w:val="24"/>
              </w:rPr>
            </w:pPr>
            <w:r w:rsidRPr="00304DA9">
              <w:rPr>
                <w:color w:val="auto"/>
                <w:szCs w:val="24"/>
              </w:rPr>
              <w:t>Ievērojot šo, informatīvā ziņojuma ievadā minētie apstākļi vienotas patērētāju kreditētāju licencēšanas un uzraudzības institūcijas noteikšanas nepieciešamībai nav pamatoti, tas ir, šobrīd nav novērojama strauja nozares izaugsme un tirgū neienāk arvien jauni tirgus dalībnieki. Drīzāk tieši pretēji, novērojama stabila situācija, kurā darbojas gan PTAC licencētie kredītu devēji, gan kredītiestādes, kuriem patērētāju kreditēšana ir tikai viens no biznesa virzieniem.</w:t>
            </w:r>
          </w:p>
          <w:p w14:paraId="62B5AF1C" w14:textId="77777777" w:rsidR="00304DA9" w:rsidRPr="00304DA9" w:rsidRDefault="00304DA9" w:rsidP="00304DA9">
            <w:pPr>
              <w:rPr>
                <w:color w:val="auto"/>
                <w:szCs w:val="24"/>
              </w:rPr>
            </w:pPr>
          </w:p>
          <w:p w14:paraId="6F0BAAFF" w14:textId="77777777" w:rsidR="00304DA9" w:rsidRPr="00304DA9" w:rsidRDefault="00304DA9" w:rsidP="00304DA9">
            <w:pPr>
              <w:pStyle w:val="ListParagraph"/>
              <w:numPr>
                <w:ilvl w:val="0"/>
                <w:numId w:val="1"/>
              </w:numPr>
              <w:ind w:left="127" w:firstLine="0"/>
              <w:rPr>
                <w:color w:val="auto"/>
                <w:szCs w:val="24"/>
              </w:rPr>
            </w:pPr>
            <w:r w:rsidRPr="00304DA9">
              <w:rPr>
                <w:b/>
                <w:bCs/>
                <w:color w:val="auto"/>
                <w:szCs w:val="24"/>
              </w:rPr>
              <w:t xml:space="preserve">Informatīvajā ziņojumā nav analīzes par nākotnes </w:t>
            </w:r>
            <w:r w:rsidRPr="00304DA9">
              <w:rPr>
                <w:b/>
                <w:bCs/>
                <w:color w:val="auto"/>
                <w:szCs w:val="24"/>
              </w:rPr>
              <w:lastRenderedPageBreak/>
              <w:t>situāciju kreditēšanās uzraudzībā, kas saistīta ar atlikto maksājumu pakalpojuma sniedzējiem</w:t>
            </w:r>
          </w:p>
          <w:p w14:paraId="2DABF312" w14:textId="77777777" w:rsidR="00304DA9" w:rsidRPr="00304DA9" w:rsidRDefault="00304DA9" w:rsidP="00304DA9">
            <w:pPr>
              <w:rPr>
                <w:color w:val="auto"/>
                <w:szCs w:val="24"/>
              </w:rPr>
            </w:pPr>
          </w:p>
          <w:p w14:paraId="3898CBE3" w14:textId="77777777" w:rsidR="00304DA9" w:rsidRPr="00304DA9" w:rsidRDefault="00304DA9" w:rsidP="00304DA9">
            <w:pPr>
              <w:rPr>
                <w:color w:val="auto"/>
                <w:szCs w:val="24"/>
              </w:rPr>
            </w:pPr>
            <w:r w:rsidRPr="00304DA9">
              <w:rPr>
                <w:color w:val="auto"/>
                <w:szCs w:val="24"/>
              </w:rPr>
              <w:t xml:space="preserve">Informatīvajā ziņojumā ir analizēta esošā situācija kreditēšanas uzraudzībā, taču nav analīzes par nākotnes situāciju kreditēšanas uzraudzībā, kas saistīta ar plānotajiem grozījumiem Patērētāju tiesību aizsardzības likumā (turpmāk – </w:t>
            </w:r>
            <w:r w:rsidRPr="00304DA9">
              <w:rPr>
                <w:b/>
                <w:bCs/>
                <w:color w:val="auto"/>
                <w:szCs w:val="24"/>
              </w:rPr>
              <w:t>PTAL</w:t>
            </w:r>
            <w:r w:rsidRPr="00304DA9">
              <w:rPr>
                <w:color w:val="auto"/>
                <w:szCs w:val="24"/>
              </w:rPr>
              <w:t>), kuriem jāstājas spēkā 2026. gada 20. novembrī un ar kuriem tiks ieviestas Eiropas Parlamenta un Padomes 2023. gada 18. oktobra direktīvas (ES) 2023/2225 par patērētāju kredītlīgumiem un ar ko atceļ direktīvu 2008/48/EK prasības.</w:t>
            </w:r>
          </w:p>
          <w:p w14:paraId="58D28ED7" w14:textId="77777777" w:rsidR="00304DA9" w:rsidRPr="00304DA9" w:rsidRDefault="00304DA9" w:rsidP="00304DA9">
            <w:pPr>
              <w:rPr>
                <w:color w:val="auto"/>
                <w:szCs w:val="24"/>
              </w:rPr>
            </w:pPr>
          </w:p>
          <w:p w14:paraId="20BEC3F8" w14:textId="77777777" w:rsidR="00304DA9" w:rsidRPr="00304DA9" w:rsidRDefault="00304DA9" w:rsidP="00304DA9">
            <w:pPr>
              <w:rPr>
                <w:color w:val="auto"/>
                <w:szCs w:val="24"/>
              </w:rPr>
            </w:pPr>
            <w:r w:rsidRPr="00304DA9">
              <w:rPr>
                <w:color w:val="auto"/>
                <w:szCs w:val="24"/>
              </w:rPr>
              <w:t xml:space="preserve">Šādas analīzes trūkums ir kritisks, jo ar plānotajiem grozījumiem tiks būtiski palielināta to patērētāju kreditēšanas pakalpojumu joma, uz kurām attieksies PTAL prasības par patērētāju spējas atmaksāt kredītu izvērtēšanu, prasības par kredītsaistību informācijas nodošanu kredītinformācijas </w:t>
            </w:r>
            <w:r w:rsidRPr="00304DA9">
              <w:rPr>
                <w:color w:val="auto"/>
                <w:szCs w:val="24"/>
              </w:rPr>
              <w:lastRenderedPageBreak/>
              <w:t>birojiem u.c. prasības patērētāju tiesību aizsardzības jomā, kuru uzraudzību šobrīd veic PTAC. Šī joma pirmām kārtām būs “</w:t>
            </w:r>
            <w:r w:rsidRPr="00304DA9">
              <w:rPr>
                <w:i/>
                <w:iCs/>
                <w:color w:val="auto"/>
                <w:szCs w:val="24"/>
              </w:rPr>
              <w:t>buy now pay later</w:t>
            </w:r>
            <w:r w:rsidRPr="00304DA9">
              <w:rPr>
                <w:color w:val="auto"/>
                <w:szCs w:val="24"/>
              </w:rPr>
              <w:t>” pakalpojums jeb atlikto maksājumu pakalpojums, kuru šobrīd piedāvā plašs spektrs ar dažādu sfēru komersantiem, tajā skaitā dažādu preču interneta veikali, sadzīves tehnikas veikali un telekomunikāciju pakalpojumu sniedzēji (tajā skaitā LMT, Bite, Tele2).</w:t>
            </w:r>
          </w:p>
          <w:p w14:paraId="5170D038" w14:textId="77777777" w:rsidR="00304DA9" w:rsidRPr="00304DA9" w:rsidRDefault="00304DA9" w:rsidP="00304DA9">
            <w:pPr>
              <w:rPr>
                <w:color w:val="auto"/>
                <w:szCs w:val="24"/>
              </w:rPr>
            </w:pPr>
          </w:p>
          <w:p w14:paraId="6FF0C6FD" w14:textId="77777777" w:rsidR="00304DA9" w:rsidRPr="00304DA9" w:rsidRDefault="00304DA9" w:rsidP="00304DA9">
            <w:pPr>
              <w:rPr>
                <w:color w:val="auto"/>
                <w:szCs w:val="24"/>
              </w:rPr>
            </w:pPr>
            <w:r w:rsidRPr="00304DA9">
              <w:rPr>
                <w:color w:val="auto"/>
                <w:szCs w:val="24"/>
              </w:rPr>
              <w:t>Attiecīgi vienotas patērētāju kreditētāju licencēšanas un uzraudzības institūcijas noteikšanas gadījumā tas nozīmēs, ka ikdienas nomaksas pirkumu pakalpojumu saņēmējus, ja to pakalpojums kvalificēsies konkrētajām PTAL prasībām, būs jāuzrauga Latvijas Bankai. Uzņēmumam ir šaubas, vai valsts centrālajai bankai būtu jāuzrauga “</w:t>
            </w:r>
            <w:r w:rsidRPr="00304DA9">
              <w:rPr>
                <w:i/>
                <w:iCs/>
                <w:color w:val="auto"/>
                <w:szCs w:val="24"/>
              </w:rPr>
              <w:t>buy now pay later</w:t>
            </w:r>
            <w:r w:rsidRPr="00304DA9">
              <w:rPr>
                <w:color w:val="auto"/>
                <w:szCs w:val="24"/>
              </w:rPr>
              <w:t>” pakalpojuma sniegšana valstī.</w:t>
            </w:r>
          </w:p>
          <w:p w14:paraId="030EBF2A" w14:textId="77777777" w:rsidR="00304DA9" w:rsidRPr="00304DA9" w:rsidRDefault="00304DA9" w:rsidP="00304DA9">
            <w:pPr>
              <w:rPr>
                <w:color w:val="auto"/>
                <w:szCs w:val="24"/>
              </w:rPr>
            </w:pPr>
          </w:p>
          <w:p w14:paraId="67C86D6C" w14:textId="77777777" w:rsidR="00304DA9" w:rsidRPr="00304DA9" w:rsidRDefault="00304DA9" w:rsidP="00304DA9">
            <w:pPr>
              <w:rPr>
                <w:color w:val="auto"/>
                <w:szCs w:val="24"/>
              </w:rPr>
            </w:pPr>
            <w:r w:rsidRPr="00304DA9">
              <w:rPr>
                <w:color w:val="auto"/>
                <w:szCs w:val="24"/>
              </w:rPr>
              <w:t xml:space="preserve">Līdz ar to informatīvajā ziņojumā ir kļūdaini secināts, ka vienota uzrauga noteikšana atvieglos patērētājiem izpratni par to, kurā </w:t>
            </w:r>
            <w:r w:rsidRPr="00304DA9">
              <w:rPr>
                <w:color w:val="auto"/>
                <w:szCs w:val="24"/>
              </w:rPr>
              <w:lastRenderedPageBreak/>
              <w:t>institūcijā vērsties pēc palīdzības, jo informatīvajā ziņojumā nav aplūkoti un analizēti aspekti, kas saistīti ar plānotajiem grozījumiem PTAL un divu uzraugu principa saglabāšanos attiecībā uz tiem komersantiem, kuri piedāvās atliktā maksājuma pakalpojumus. Ja tiktu noteikts vienots uzraugs – Latvijas Banka, tas nozīmētu to, ka patērētājam būs jāspēj saprast, ka par telekomunikācijas pakalpojumu līgumu viņam būs jāvēršas joprojām PTAC, bet, ja patērētājam ir nomaksas pirkuma līgums pie šīs paša pakalpojumu sniedzēja, tad būs jāvēršas pie Latvijas Bankas. Tāpēc arī maldīgs ir secinājums, ka vienota uzrauga Latvijas Bankas personā noteikšana atvieglotu patērētājiem iespēju aizsargāt savas tiesības.</w:t>
            </w:r>
          </w:p>
          <w:p w14:paraId="0F1AA6CD" w14:textId="77777777" w:rsidR="00304DA9" w:rsidRPr="00304DA9" w:rsidRDefault="00304DA9" w:rsidP="00304DA9">
            <w:pPr>
              <w:rPr>
                <w:color w:val="auto"/>
                <w:szCs w:val="24"/>
              </w:rPr>
            </w:pPr>
          </w:p>
          <w:p w14:paraId="0C7DB36F" w14:textId="77777777" w:rsidR="00304DA9" w:rsidRPr="00304DA9" w:rsidRDefault="00304DA9" w:rsidP="00304DA9">
            <w:pPr>
              <w:rPr>
                <w:color w:val="auto"/>
                <w:szCs w:val="24"/>
              </w:rPr>
            </w:pPr>
            <w:r w:rsidRPr="00304DA9">
              <w:rPr>
                <w:color w:val="auto"/>
                <w:szCs w:val="24"/>
              </w:rPr>
              <w:t xml:space="preserve">Līdz ar to ir veicams atkārtots izvērtējums par kreditēšanas uzraudzību sasaistē ar patērētāju tiesību aizsardzību, ņemot vērā to, ka uzraugam būs ne tikai jāuzrauga esošie, licencētie kredītu devēji, bet arī atlikto </w:t>
            </w:r>
            <w:r w:rsidRPr="00304DA9">
              <w:rPr>
                <w:color w:val="auto"/>
                <w:szCs w:val="24"/>
              </w:rPr>
              <w:lastRenderedPageBreak/>
              <w:t>maksājumu pakalpojuma sniedzēji (gan reģistrētie, gan nereģistrētie).</w:t>
            </w:r>
          </w:p>
          <w:p w14:paraId="4D595C33" w14:textId="77777777" w:rsidR="00304DA9" w:rsidRPr="00304DA9" w:rsidRDefault="00304DA9" w:rsidP="00304DA9">
            <w:pPr>
              <w:rPr>
                <w:color w:val="auto"/>
                <w:szCs w:val="24"/>
              </w:rPr>
            </w:pPr>
          </w:p>
          <w:p w14:paraId="7832F72D" w14:textId="77777777" w:rsidR="00304DA9" w:rsidRPr="00304DA9" w:rsidRDefault="00304DA9" w:rsidP="00304DA9">
            <w:pPr>
              <w:pStyle w:val="ListParagraph"/>
              <w:numPr>
                <w:ilvl w:val="0"/>
                <w:numId w:val="1"/>
              </w:numPr>
              <w:ind w:left="0" w:firstLine="0"/>
              <w:rPr>
                <w:b/>
                <w:bCs/>
                <w:color w:val="auto"/>
                <w:szCs w:val="24"/>
              </w:rPr>
            </w:pPr>
            <w:r w:rsidRPr="00304DA9">
              <w:rPr>
                <w:b/>
                <w:bCs/>
                <w:color w:val="auto"/>
                <w:szCs w:val="24"/>
              </w:rPr>
              <w:t>Par kredītiestādes un tās meitas sabiedrību uzraudzību</w:t>
            </w:r>
          </w:p>
          <w:p w14:paraId="564173B4" w14:textId="77777777" w:rsidR="00304DA9" w:rsidRPr="00304DA9" w:rsidRDefault="00304DA9" w:rsidP="00304DA9">
            <w:pPr>
              <w:rPr>
                <w:color w:val="auto"/>
                <w:szCs w:val="24"/>
              </w:rPr>
            </w:pPr>
          </w:p>
          <w:p w14:paraId="2800B20F" w14:textId="77777777" w:rsidR="00304DA9" w:rsidRPr="00304DA9" w:rsidRDefault="00304DA9" w:rsidP="00304DA9">
            <w:pPr>
              <w:rPr>
                <w:color w:val="auto"/>
                <w:szCs w:val="24"/>
              </w:rPr>
            </w:pPr>
            <w:r w:rsidRPr="00304DA9">
              <w:rPr>
                <w:color w:val="auto"/>
                <w:szCs w:val="24"/>
              </w:rPr>
              <w:t>Informatīvā ziņojuma 3. lapaspusē ir norādīts, ka “</w:t>
            </w:r>
            <w:r w:rsidRPr="00304DA9">
              <w:rPr>
                <w:i/>
                <w:iCs/>
                <w:color w:val="auto"/>
                <w:szCs w:val="24"/>
              </w:rPr>
              <w:t>Ir situācijas, kad, piemēram, kredītiestādes meitas sabiedrībai, kura ir patērētāju kredītu sniedzēja, licenci izsniedz un uzraudzību nodrošina PTAC, bet mātes sabiedrībai, proti, kredītiestādei, uzraudzību nodrošina Latvijas Banka</w:t>
            </w:r>
            <w:r w:rsidRPr="00304DA9">
              <w:rPr>
                <w:color w:val="auto"/>
                <w:szCs w:val="24"/>
              </w:rPr>
              <w:t>”. Turpinājumā informatīvajā ziņojumā ir norādīts, ka “</w:t>
            </w:r>
            <w:r w:rsidRPr="00304DA9">
              <w:rPr>
                <w:i/>
                <w:iCs/>
                <w:color w:val="auto"/>
                <w:szCs w:val="24"/>
              </w:rPr>
              <w:t>Līdz ar to var veidoties situācija, ka vienam kreditēšanas pakalpojumu sniedzējam ir vairākas uzraudzības iestādes, kas praksē var nozīmēt arī paralēlas klātienes un neklātienes pārbaudes</w:t>
            </w:r>
            <w:r w:rsidRPr="00304DA9">
              <w:rPr>
                <w:color w:val="auto"/>
                <w:szCs w:val="24"/>
              </w:rPr>
              <w:t>”.</w:t>
            </w:r>
          </w:p>
          <w:p w14:paraId="3DBBB1FB" w14:textId="77777777" w:rsidR="00304DA9" w:rsidRPr="00304DA9" w:rsidRDefault="00304DA9" w:rsidP="00304DA9">
            <w:pPr>
              <w:rPr>
                <w:color w:val="auto"/>
                <w:szCs w:val="24"/>
              </w:rPr>
            </w:pPr>
          </w:p>
          <w:p w14:paraId="64A7BD6D" w14:textId="77777777" w:rsidR="00304DA9" w:rsidRPr="00304DA9" w:rsidRDefault="00304DA9" w:rsidP="00304DA9">
            <w:pPr>
              <w:rPr>
                <w:color w:val="auto"/>
                <w:szCs w:val="24"/>
              </w:rPr>
            </w:pPr>
            <w:r w:rsidRPr="00304DA9">
              <w:rPr>
                <w:color w:val="auto"/>
                <w:szCs w:val="24"/>
              </w:rPr>
              <w:t xml:space="preserve">Uzņēmuma ieskatā tā ir mūsdienu biznesa prakse, ka grupas ietvaros ir juridiskas personas ar dažādām atļaujām jeb speciālajām licencēm un katrai no tām ir cits </w:t>
            </w:r>
            <w:r w:rsidRPr="00304DA9">
              <w:rPr>
                <w:color w:val="auto"/>
                <w:szCs w:val="24"/>
              </w:rPr>
              <w:lastRenderedPageBreak/>
              <w:t>uzraugs, ievērojot arī juridisko personu atbildības nošķiršanas principu. Uzraugiem būtu jāspēj savā starpā koordinēt uzraudzība sektoros, kuros to uzraudzība daļēji pārklājas kāda grupas ietvaros. Turklāt nav dzirdēts par gadījumiem, kad Latvijas Banka būtu veikusi pārbaudes PTAC licencētā kredītu devēja, kas ir kredītiestādes meita.</w:t>
            </w:r>
          </w:p>
          <w:p w14:paraId="121AF73C" w14:textId="77777777" w:rsidR="00304DA9" w:rsidRPr="00304DA9" w:rsidRDefault="00304DA9" w:rsidP="00304DA9">
            <w:pPr>
              <w:rPr>
                <w:color w:val="auto"/>
                <w:szCs w:val="24"/>
              </w:rPr>
            </w:pPr>
          </w:p>
          <w:p w14:paraId="2F8B7D35" w14:textId="77777777" w:rsidR="00304DA9" w:rsidRPr="00304DA9" w:rsidRDefault="00304DA9" w:rsidP="00304DA9">
            <w:pPr>
              <w:rPr>
                <w:color w:val="auto"/>
                <w:szCs w:val="24"/>
              </w:rPr>
            </w:pPr>
            <w:r w:rsidRPr="00304DA9">
              <w:rPr>
                <w:color w:val="auto"/>
                <w:szCs w:val="24"/>
              </w:rPr>
              <w:t>Uzņēmumā ieskatā drīzāk būtu izvērtējama šobrīd sastopamā prakse, ka kredītiestāžu meitām savās firmās jeb nosaukumos izmantot vārdu “bank” vai “banka”, radot patērētājam potenciālu neskaidrību, vai aizdevējs (līguma puse) ir vai nav banka.</w:t>
            </w:r>
          </w:p>
          <w:p w14:paraId="154F2DE0" w14:textId="77777777" w:rsidR="00304DA9" w:rsidRPr="00304DA9" w:rsidRDefault="00304DA9" w:rsidP="00304DA9">
            <w:pPr>
              <w:rPr>
                <w:color w:val="auto"/>
                <w:szCs w:val="24"/>
              </w:rPr>
            </w:pPr>
          </w:p>
          <w:p w14:paraId="199FB921" w14:textId="77777777" w:rsidR="00304DA9" w:rsidRPr="00304DA9" w:rsidRDefault="00304DA9" w:rsidP="00304DA9">
            <w:pPr>
              <w:pStyle w:val="ListParagraph"/>
              <w:numPr>
                <w:ilvl w:val="0"/>
                <w:numId w:val="1"/>
              </w:numPr>
              <w:ind w:left="127" w:firstLine="0"/>
              <w:rPr>
                <w:b/>
                <w:bCs/>
                <w:color w:val="auto"/>
                <w:szCs w:val="24"/>
              </w:rPr>
            </w:pPr>
            <w:r w:rsidRPr="00304DA9">
              <w:rPr>
                <w:b/>
                <w:bCs/>
                <w:color w:val="auto"/>
                <w:szCs w:val="24"/>
              </w:rPr>
              <w:t>Par iestāžu kompetenci patērētāju tiesībās</w:t>
            </w:r>
          </w:p>
          <w:p w14:paraId="1F8DD6CB" w14:textId="77777777" w:rsidR="00304DA9" w:rsidRPr="00304DA9" w:rsidRDefault="00304DA9" w:rsidP="00304DA9">
            <w:pPr>
              <w:rPr>
                <w:color w:val="auto"/>
                <w:szCs w:val="24"/>
              </w:rPr>
            </w:pPr>
          </w:p>
          <w:p w14:paraId="1F75FF3E" w14:textId="77777777" w:rsidR="00304DA9" w:rsidRPr="00304DA9" w:rsidRDefault="00304DA9" w:rsidP="00304DA9">
            <w:pPr>
              <w:rPr>
                <w:color w:val="auto"/>
                <w:szCs w:val="24"/>
              </w:rPr>
            </w:pPr>
            <w:r w:rsidRPr="00304DA9">
              <w:rPr>
                <w:color w:val="auto"/>
                <w:szCs w:val="24"/>
              </w:rPr>
              <w:t>Informatīvā ziņojuma 3. lapaspusē ir norādīts, ka “</w:t>
            </w:r>
            <w:r w:rsidRPr="00304DA9">
              <w:rPr>
                <w:i/>
                <w:iCs/>
                <w:color w:val="auto"/>
                <w:szCs w:val="24"/>
              </w:rPr>
              <w:t xml:space="preserve">Arī patērētāju sūdzību izskatīšanā tiek iesaistītas vairākas iestādes, jo patērētājam ne vienmēr ir skaidrs kā sadalās kompetences starp iestādēm gan attiecībā uz </w:t>
            </w:r>
            <w:r w:rsidRPr="00304DA9">
              <w:rPr>
                <w:i/>
                <w:iCs/>
                <w:color w:val="auto"/>
                <w:szCs w:val="24"/>
              </w:rPr>
              <w:lastRenderedPageBreak/>
              <w:t>pamatkonta regulējumu, gan kreditēšanas līguma nosacījumiem, hipotekāro kredītu pārkreditēšanu vai finanšu pakalpojumu pieejamību reģionos, kas nereti ved pie informācijas sadrumstalotības un interpretācijas atšķirībām iestāžu starpā</w:t>
            </w:r>
            <w:r w:rsidRPr="00304DA9">
              <w:rPr>
                <w:color w:val="auto"/>
                <w:szCs w:val="24"/>
              </w:rPr>
              <w:t>”. Uzņēmuma ieskatā šī ir tīra spekulācija, kamēr nav sniegti kvantitatīvi dati, kas to apstiprina. Turklāt, uzņēmuma ieskatā šī problēma tikai palielinātos gadījumā, ja par vienoto uzraugu kļūtu Latvijas Banka, kuram būtu jāuzrauga arī “</w:t>
            </w:r>
            <w:r w:rsidRPr="00304DA9">
              <w:rPr>
                <w:i/>
                <w:iCs/>
                <w:color w:val="auto"/>
                <w:szCs w:val="24"/>
              </w:rPr>
              <w:t>buy now pay later</w:t>
            </w:r>
            <w:r w:rsidRPr="00304DA9">
              <w:rPr>
                <w:color w:val="auto"/>
                <w:szCs w:val="24"/>
              </w:rPr>
              <w:t>” pakalpojuma un lombarda aizdevumu sniegšana valstī, kuru visbiežāk sniedz personas, kuras nav klasiski kredītu devēji.</w:t>
            </w:r>
          </w:p>
          <w:p w14:paraId="0CCDAAAB" w14:textId="77777777" w:rsidR="00304DA9" w:rsidRPr="00304DA9" w:rsidRDefault="00304DA9" w:rsidP="00304DA9">
            <w:pPr>
              <w:rPr>
                <w:color w:val="auto"/>
                <w:szCs w:val="24"/>
              </w:rPr>
            </w:pPr>
          </w:p>
          <w:p w14:paraId="49191DFD" w14:textId="77777777" w:rsidR="00304DA9" w:rsidRPr="00304DA9" w:rsidRDefault="00304DA9" w:rsidP="00304DA9">
            <w:pPr>
              <w:rPr>
                <w:color w:val="auto"/>
                <w:szCs w:val="24"/>
              </w:rPr>
            </w:pPr>
            <w:r w:rsidRPr="00304DA9">
              <w:rPr>
                <w:color w:val="auto"/>
                <w:szCs w:val="24"/>
              </w:rPr>
              <w:t>Uzņēmums uzskata, ka PTAC būtu jāsaglabā kā primārais uzraugs patērētāju tiesību aizsardzības jomā, jo PTAC darbiniekiem ir vislielākā prakse darbā ar patērētājiem un viens uzraugs patērētāju tiesību aizsardzības jomā ir saprotamāks un skaidrāks koncepts arī patērētājiem.</w:t>
            </w:r>
          </w:p>
          <w:p w14:paraId="63A051C4" w14:textId="77777777" w:rsidR="00304DA9" w:rsidRPr="00304DA9" w:rsidRDefault="00304DA9" w:rsidP="00304DA9">
            <w:pPr>
              <w:rPr>
                <w:color w:val="auto"/>
                <w:szCs w:val="24"/>
              </w:rPr>
            </w:pPr>
          </w:p>
          <w:p w14:paraId="186DCAC2" w14:textId="77777777" w:rsidR="00304DA9" w:rsidRPr="00304DA9" w:rsidRDefault="00304DA9" w:rsidP="00304DA9">
            <w:pPr>
              <w:rPr>
                <w:color w:val="auto"/>
                <w:szCs w:val="24"/>
              </w:rPr>
            </w:pPr>
            <w:r w:rsidRPr="00304DA9">
              <w:rPr>
                <w:color w:val="auto"/>
                <w:szCs w:val="24"/>
              </w:rPr>
              <w:lastRenderedPageBreak/>
              <w:t>Tas, ko varētu apsvērt, ir patērētāju tiesību uzraudzības nodošana Latvijas Bankai attiecībā uz tās jau uzraudzībā esošajām iestādēm – kredītiestādēm, ieguldījumu brokeru sabiedrībām u.c. Uzņēmuma ieskatā pirms šķietami arī šī ir galvenā problēma, kuru vēlas risināt Finanšu ministrija un Latvijas Banka, tas ir, kredītiestāžu uzraugam būtu jāpaplašina uzraudzība attiecībā uz tās jau uzraudzībā esošajām personām, lai Latvijas Banka varētu veicināt to, ka kredītiestādes vairāk finansē patērētājus un kredītiestādes ir pieejamākas patērētājiem, jo īpaši reģionos. Šo problēmu risināšanai nav nepieciešams noteikt vienotu uzraugu, bet gan paplašināt Latvijas Bankas pilnvaras attiecībā uz kredītiestādēm un citām tās uzraugāmiem subjektiem.</w:t>
            </w:r>
          </w:p>
          <w:p w14:paraId="4708464C" w14:textId="77777777" w:rsidR="00304DA9" w:rsidRPr="00304DA9" w:rsidRDefault="00304DA9" w:rsidP="00304DA9">
            <w:pPr>
              <w:rPr>
                <w:color w:val="auto"/>
                <w:szCs w:val="24"/>
              </w:rPr>
            </w:pPr>
          </w:p>
          <w:p w14:paraId="237DB8F0" w14:textId="77777777" w:rsidR="00304DA9" w:rsidRPr="00304DA9" w:rsidRDefault="00304DA9" w:rsidP="00304DA9">
            <w:pPr>
              <w:rPr>
                <w:color w:val="auto"/>
                <w:szCs w:val="24"/>
              </w:rPr>
            </w:pPr>
          </w:p>
          <w:p w14:paraId="292C952C" w14:textId="77777777" w:rsidR="00304DA9" w:rsidRPr="00304DA9" w:rsidRDefault="00304DA9" w:rsidP="00304DA9">
            <w:pPr>
              <w:pStyle w:val="ListParagraph"/>
              <w:numPr>
                <w:ilvl w:val="0"/>
                <w:numId w:val="1"/>
              </w:numPr>
              <w:ind w:left="127" w:firstLine="0"/>
              <w:rPr>
                <w:b/>
                <w:bCs/>
                <w:color w:val="auto"/>
                <w:szCs w:val="24"/>
              </w:rPr>
            </w:pPr>
            <w:r w:rsidRPr="00304DA9">
              <w:rPr>
                <w:b/>
                <w:bCs/>
                <w:color w:val="auto"/>
                <w:szCs w:val="24"/>
              </w:rPr>
              <w:t xml:space="preserve">Informatīvajā ziņojumā minētie ieguvumi ir diskutabli un minētās problēmas ir </w:t>
            </w:r>
            <w:r w:rsidRPr="00304DA9">
              <w:rPr>
                <w:b/>
                <w:bCs/>
                <w:color w:val="auto"/>
                <w:szCs w:val="24"/>
              </w:rPr>
              <w:lastRenderedPageBreak/>
              <w:t>risināmas arī bez vienota uzrauga</w:t>
            </w:r>
          </w:p>
          <w:p w14:paraId="2E63857D" w14:textId="77777777" w:rsidR="00304DA9" w:rsidRPr="00304DA9" w:rsidRDefault="00304DA9" w:rsidP="00304DA9">
            <w:pPr>
              <w:rPr>
                <w:color w:val="auto"/>
                <w:szCs w:val="24"/>
              </w:rPr>
            </w:pPr>
          </w:p>
          <w:p w14:paraId="3B04D158" w14:textId="77777777" w:rsidR="00304DA9" w:rsidRPr="00304DA9" w:rsidRDefault="00304DA9" w:rsidP="00304DA9">
            <w:pPr>
              <w:rPr>
                <w:color w:val="auto"/>
                <w:szCs w:val="24"/>
              </w:rPr>
            </w:pPr>
            <w:r w:rsidRPr="00304DA9">
              <w:rPr>
                <w:color w:val="auto"/>
                <w:szCs w:val="24"/>
              </w:rPr>
              <w:t>Informatīvā ziņojuma 5. lapaspusē ir norādīts, ka “</w:t>
            </w:r>
            <w:r w:rsidRPr="00304DA9">
              <w:rPr>
                <w:i/>
                <w:iCs/>
                <w:color w:val="auto"/>
                <w:szCs w:val="24"/>
              </w:rPr>
              <w:t>Ņemot vērā jau esošo plašo finanšu tirgus dalībnieku uzraugāmo subjektu loku un piekļuvi plašam ekonomisko, tirgus un statistikas datu kopumam, kā arī spēju veikt padziļinātu sistēmisko risku analīzi, tā spēj nodrošināt pamatotus un uz pierādījumiem balstītus lēmumus</w:t>
            </w:r>
            <w:r w:rsidRPr="00304DA9">
              <w:rPr>
                <w:color w:val="auto"/>
                <w:szCs w:val="24"/>
              </w:rPr>
              <w:t>” un tālāk uzskaitīti ieguvumi patērētāju tiesību un interešu aizsardzībā finanšu pakalpojumu jomā.</w:t>
            </w:r>
          </w:p>
          <w:p w14:paraId="42DFFB01" w14:textId="77777777" w:rsidR="00304DA9" w:rsidRPr="00304DA9" w:rsidRDefault="00304DA9" w:rsidP="00304DA9">
            <w:pPr>
              <w:rPr>
                <w:color w:val="auto"/>
                <w:szCs w:val="24"/>
              </w:rPr>
            </w:pPr>
          </w:p>
          <w:p w14:paraId="25AD2DA1" w14:textId="77777777" w:rsidR="00304DA9" w:rsidRPr="00304DA9" w:rsidRDefault="00304DA9" w:rsidP="00304DA9">
            <w:pPr>
              <w:rPr>
                <w:color w:val="auto"/>
                <w:szCs w:val="24"/>
              </w:rPr>
            </w:pPr>
            <w:r w:rsidRPr="00304DA9">
              <w:rPr>
                <w:color w:val="auto"/>
                <w:szCs w:val="24"/>
              </w:rPr>
              <w:t xml:space="preserve">Kā pirmais ieguvums tiek minēta procentu likmju, komisijas maksu un kopējo kredītu izmaksu pārredzamības uzraudzība, nodrošinot, ka klientiem sniegtā informācija ir saprotama, salīdzināma un ļauj pieņemt informētus lēmumus. Uzņēmuma ieskatā šo funkciju šobrīd jau sekmīgi pilda PTAC. Turklāt normatīvie akti šobrīd paredz skaidrus ierobežojumus kredīta kopējām izmaksām patērētājiem, kā arī paredz pienākumu </w:t>
            </w:r>
            <w:r w:rsidRPr="00304DA9">
              <w:rPr>
                <w:color w:val="auto"/>
                <w:szCs w:val="24"/>
              </w:rPr>
              <w:lastRenderedPageBreak/>
              <w:t>patērētājam nodrošināt Eiropas standartizētās informācijas veidlapu, kuras mērķis ir ļaut vienotā formā visās Eiropas Savienībā patērētājam saprast ar kredītu saistības izmaksas un salīdzināt tās ar citu kredītu devēju piedāvājumiem.</w:t>
            </w:r>
          </w:p>
          <w:p w14:paraId="7FBC5246" w14:textId="77777777" w:rsidR="00304DA9" w:rsidRPr="00304DA9" w:rsidRDefault="00304DA9" w:rsidP="00304DA9">
            <w:pPr>
              <w:rPr>
                <w:color w:val="auto"/>
                <w:szCs w:val="24"/>
              </w:rPr>
            </w:pPr>
          </w:p>
          <w:p w14:paraId="76AD50FF" w14:textId="77777777" w:rsidR="00304DA9" w:rsidRPr="00304DA9" w:rsidRDefault="00304DA9" w:rsidP="00304DA9">
            <w:pPr>
              <w:rPr>
                <w:color w:val="auto"/>
                <w:szCs w:val="24"/>
              </w:rPr>
            </w:pPr>
            <w:r w:rsidRPr="00304DA9">
              <w:rPr>
                <w:color w:val="auto"/>
                <w:szCs w:val="24"/>
              </w:rPr>
              <w:t xml:space="preserve">Otrais ieguvums tiek minēta līgumu godīguma vērtēšana, novēršot negodīgus līguma nosacījumus un stiprinot līgumisko attiecību līdzsvaru starp pakalpojumu sniedzējiem un patērētājiem. Uzņēmuma ieskatā šo funkciju šobrīd jau sekmīgi pilda PTAC. Turklāt normatīvie akti šobrīd paredz skaidrus kredītu devēja pienākumus attiecībā uz šo. Papildus uzsverams, ka PTAC(-am) kā patērētāju tiesību aizsardzības iestādei, kura, ikdienā palīdz patērētājiem, ir visplašākā pieredze par dažādu nozaru komersantu komercpraksi, kas ļauj tieši PTAC šo unikālo pieredzi izmantot dažādu nozaru komersantu uzraudzībā attiecībā uz patērētāju tiesībām. Līdz ar to PTAC ir vislielākā praktiskā </w:t>
            </w:r>
            <w:r w:rsidRPr="00304DA9">
              <w:rPr>
                <w:color w:val="auto"/>
                <w:szCs w:val="24"/>
              </w:rPr>
              <w:lastRenderedPageBreak/>
              <w:t>pieredze attiecībā uz problēmām, ar kurām saskaras patērētāji ikdienā ar dažādu nozaru komersantiem un to īstenoto komercpraksi pret patērētājiem.</w:t>
            </w:r>
          </w:p>
          <w:p w14:paraId="7209335B" w14:textId="77777777" w:rsidR="00304DA9" w:rsidRPr="00304DA9" w:rsidRDefault="00304DA9" w:rsidP="00304DA9">
            <w:pPr>
              <w:rPr>
                <w:color w:val="auto"/>
                <w:szCs w:val="24"/>
              </w:rPr>
            </w:pPr>
          </w:p>
          <w:p w14:paraId="6604197A" w14:textId="77777777" w:rsidR="00304DA9" w:rsidRPr="00304DA9" w:rsidRDefault="00304DA9" w:rsidP="00304DA9">
            <w:pPr>
              <w:rPr>
                <w:color w:val="auto"/>
                <w:szCs w:val="24"/>
              </w:rPr>
            </w:pPr>
            <w:r w:rsidRPr="00304DA9">
              <w:rPr>
                <w:color w:val="auto"/>
                <w:szCs w:val="24"/>
              </w:rPr>
              <w:t xml:space="preserve">Trešais ieguvums tiek minēta atbildīgas kreditēšanas principu ievērošana, īpaši svarīgi, lai mazinātu pārmērīgas parādsaistības un ilgtermiņā veicinātu sabiedrības finanšu labklājību. Uzņēmuma ieskatā šo funkciju šobrīd jau sekmīgi pilda PTAC. Turklāt, informatīvajā ziņojumā atkārtojas paradigma par pārmērīgām parādsaistībām, lai gan Latvijā ir viens no stingrākajiem normatīvajiem regulējumiem patērētāju kreditēšanā Eiropā, kas tajā skaitā ir novedis pie tā, ka Latvijas kreditēšanas apjomi ir zemāki nekā vidēji Eiropā (https://www.tvnet.lv/8347466/latvijas-banka-kreditesana-klust-aktivaka-tacu-apjomi-vel-talu-no-eiropas-videja). Līdz ar to uzņēmuma ieskatā uzraudzībai būtu jākļūst vēl elastīgākai, nevis jādzīvo pēc stigmas, ka Latvijā pastāv pārmērīgas parādsaistības </w:t>
            </w:r>
            <w:r w:rsidRPr="00304DA9">
              <w:rPr>
                <w:color w:val="auto"/>
                <w:szCs w:val="24"/>
              </w:rPr>
              <w:lastRenderedPageBreak/>
              <w:t>patērētājiem, kuras būtu jāmazina.</w:t>
            </w:r>
          </w:p>
          <w:p w14:paraId="46523B0E" w14:textId="77777777" w:rsidR="00304DA9" w:rsidRPr="00304DA9" w:rsidRDefault="00304DA9" w:rsidP="00304DA9">
            <w:pPr>
              <w:rPr>
                <w:color w:val="auto"/>
                <w:szCs w:val="24"/>
              </w:rPr>
            </w:pPr>
          </w:p>
          <w:p w14:paraId="5BB06AD7" w14:textId="77777777" w:rsidR="00304DA9" w:rsidRPr="00304DA9" w:rsidRDefault="00304DA9" w:rsidP="00304DA9">
            <w:pPr>
              <w:rPr>
                <w:color w:val="auto"/>
                <w:szCs w:val="24"/>
              </w:rPr>
            </w:pPr>
            <w:r w:rsidRPr="00304DA9">
              <w:rPr>
                <w:color w:val="auto"/>
                <w:szCs w:val="24"/>
              </w:rPr>
              <w:t>Savukārt par piekto ieguvumu – finanšu pakalpojumu pieejamības uzraudzību, tostarp reģionālajā griezumā, uzņēmums vēlas norādīt, ka nebanku kreditētāji pārsvarā sniedz savus pakalpojums tiešsaistē. Līdz ar to nebanku sektors ir pieejams jebkurā Latvijā vietā, jo to pakalpojumu saņemšana ir praktiski vienmēr neklātienē (galvenais izņēmums ir lombarda pakalpojumi).</w:t>
            </w:r>
          </w:p>
          <w:p w14:paraId="19FFA362" w14:textId="77777777" w:rsidR="00304DA9" w:rsidRPr="00304DA9" w:rsidRDefault="00304DA9" w:rsidP="00304DA9">
            <w:pPr>
              <w:rPr>
                <w:color w:val="auto"/>
                <w:szCs w:val="24"/>
              </w:rPr>
            </w:pPr>
          </w:p>
          <w:p w14:paraId="7F2BA1F1" w14:textId="77777777" w:rsidR="00304DA9" w:rsidRPr="00304DA9" w:rsidRDefault="00304DA9" w:rsidP="00304DA9">
            <w:pPr>
              <w:rPr>
                <w:color w:val="auto"/>
                <w:szCs w:val="24"/>
              </w:rPr>
            </w:pPr>
            <w:r w:rsidRPr="00304DA9">
              <w:rPr>
                <w:color w:val="auto"/>
                <w:szCs w:val="24"/>
              </w:rPr>
              <w:t>Tāpat arī uzņēmumam nav skaidrs, kāda ir cēloņsakarība nebanku kreditētājiem ar informatīvajā ziņojumā minēto, ka vienots uzraugs “</w:t>
            </w:r>
            <w:r w:rsidRPr="00304DA9">
              <w:rPr>
                <w:i/>
                <w:iCs/>
                <w:color w:val="auto"/>
                <w:szCs w:val="24"/>
              </w:rPr>
              <w:t>[..] ir īpaši būtiski situācijās, [..] nodrošinot banku pakalpojumu pieejamību reģionos</w:t>
            </w:r>
            <w:r w:rsidRPr="00304DA9">
              <w:rPr>
                <w:color w:val="auto"/>
                <w:szCs w:val="24"/>
              </w:rPr>
              <w:t>”. Uzņēmuma ieskatā ar šo faktiski tiek norādīts, ka esošajā situācijā kredītiestādes koncentrējas tikai lielajās pilsētās, kam nav nekādas cēloņsakarības ar to, vai nebanku kreditētājus uzraudzītu Latvijas Banka vai PTAC.</w:t>
            </w:r>
          </w:p>
          <w:p w14:paraId="47F0955C" w14:textId="77777777" w:rsidR="00304DA9" w:rsidRPr="00304DA9" w:rsidRDefault="00304DA9" w:rsidP="00304DA9">
            <w:pPr>
              <w:rPr>
                <w:color w:val="auto"/>
                <w:szCs w:val="24"/>
              </w:rPr>
            </w:pPr>
          </w:p>
          <w:p w14:paraId="739EB92B" w14:textId="77777777" w:rsidR="00304DA9" w:rsidRPr="00304DA9" w:rsidRDefault="00304DA9" w:rsidP="00304DA9">
            <w:pPr>
              <w:pStyle w:val="ListParagraph"/>
              <w:numPr>
                <w:ilvl w:val="0"/>
                <w:numId w:val="1"/>
              </w:numPr>
              <w:ind w:left="127" w:firstLine="0"/>
              <w:rPr>
                <w:b/>
                <w:bCs/>
                <w:color w:val="auto"/>
                <w:szCs w:val="24"/>
              </w:rPr>
            </w:pPr>
            <w:r w:rsidRPr="00304DA9">
              <w:rPr>
                <w:b/>
                <w:bCs/>
                <w:color w:val="auto"/>
                <w:szCs w:val="24"/>
              </w:rPr>
              <w:t>Par datu pieejamību un datu avotiem</w:t>
            </w:r>
          </w:p>
          <w:p w14:paraId="2B32A327" w14:textId="77777777" w:rsidR="00304DA9" w:rsidRPr="00304DA9" w:rsidRDefault="00304DA9" w:rsidP="00304DA9">
            <w:pPr>
              <w:rPr>
                <w:color w:val="auto"/>
                <w:szCs w:val="24"/>
              </w:rPr>
            </w:pPr>
          </w:p>
          <w:p w14:paraId="50A9E4CF" w14:textId="77777777" w:rsidR="00304DA9" w:rsidRPr="00304DA9" w:rsidRDefault="00304DA9" w:rsidP="00304DA9">
            <w:pPr>
              <w:rPr>
                <w:color w:val="auto"/>
                <w:szCs w:val="24"/>
              </w:rPr>
            </w:pPr>
            <w:r w:rsidRPr="00304DA9">
              <w:rPr>
                <w:color w:val="auto"/>
                <w:szCs w:val="24"/>
              </w:rPr>
              <w:t>Informatīvā ziņojuma turpinājumā norādīts, ka “</w:t>
            </w:r>
            <w:r w:rsidRPr="00304DA9">
              <w:rPr>
                <w:i/>
                <w:iCs/>
                <w:color w:val="auto"/>
                <w:szCs w:val="24"/>
              </w:rPr>
              <w:t>Iespēja integrēt PTAC licencēto nebanku kreditētāju datus Latvijas Bankas Kredītu reģistrā būtiski uzlabo valsts spēju: • uzraudzīt kreditēšanas apjomu visos segmentos, • identificēt riskus pārkreditēšanās un maksātnespējas kontekstā, • nodrošināt vienotu un objektīvu informācijas avotu visiem tirgus dalībniekiem</w:t>
            </w:r>
            <w:r w:rsidRPr="00304DA9">
              <w:rPr>
                <w:color w:val="auto"/>
                <w:szCs w:val="24"/>
              </w:rPr>
              <w:t xml:space="preserve">”. Uzņēmuma ieskatā jau šobrīd PTAC un Latvijas Banka var savstarpēji apmainīties ar nepieciešamajiem datiem, tajā skaitā nepieciešamas gadījumā caur normatīvo aktu grozījumiem unificējot datus, kas kredītu devējiem jāsniedz uzraugam. Attiecīgi patērētāju kreditēšanas monitoringa un iespējamo risku identificēšanā jau šobrīd nepieciešamie dati ir pieejami uzraugiem,  ar kuriem tie var savstarpēji apmainīties. Tādēļ nav nepieciešams vienots uzraugs, un veikt nozares uzrauga </w:t>
            </w:r>
            <w:r w:rsidRPr="00304DA9">
              <w:rPr>
                <w:color w:val="auto"/>
                <w:szCs w:val="24"/>
              </w:rPr>
              <w:lastRenderedPageBreak/>
              <w:t>maiņu ar domu konsolidēt datu avotus, nešķiet lietderīgs un samērīgs.</w:t>
            </w:r>
          </w:p>
          <w:p w14:paraId="20BBCAA5" w14:textId="77777777" w:rsidR="00304DA9" w:rsidRPr="00304DA9" w:rsidRDefault="00304DA9" w:rsidP="00304DA9">
            <w:pPr>
              <w:rPr>
                <w:color w:val="auto"/>
                <w:szCs w:val="24"/>
              </w:rPr>
            </w:pPr>
          </w:p>
          <w:p w14:paraId="5F59CF91" w14:textId="77777777" w:rsidR="00304DA9" w:rsidRPr="00304DA9" w:rsidRDefault="00304DA9" w:rsidP="00304DA9">
            <w:pPr>
              <w:rPr>
                <w:color w:val="auto"/>
                <w:szCs w:val="24"/>
              </w:rPr>
            </w:pPr>
            <w:r w:rsidRPr="00304DA9">
              <w:rPr>
                <w:color w:val="auto"/>
                <w:szCs w:val="24"/>
              </w:rPr>
              <w:t>Attiecībā uz vienoto informācijas avotu visiem tirgus dalībniekiem, tad, ciktāl uzņēmumam ir zināms, tad arī kredītiestādes savstarpējā informācijas apmaiņā par patērētāju kredītsaistībām izmanto kredītinformācijas birojus. Tāpēc tas, ka nebanku kreditētāji sniegtu nākotnē datus pa tiešo arī Kredītu reģistram, kreditētāju praksē neko nemainītu, jo tie izmanto un turpinātu izmantot kredītinformācijas biroju pakalpojumus, lai apmainītos ar nepieciešamajiem datiem.</w:t>
            </w:r>
          </w:p>
          <w:p w14:paraId="137CCD4A" w14:textId="77777777" w:rsidR="00304DA9" w:rsidRPr="00304DA9" w:rsidRDefault="00304DA9" w:rsidP="00304DA9">
            <w:pPr>
              <w:rPr>
                <w:color w:val="auto"/>
                <w:szCs w:val="24"/>
              </w:rPr>
            </w:pPr>
          </w:p>
          <w:p w14:paraId="35DC3AAB" w14:textId="77777777" w:rsidR="00304DA9" w:rsidRPr="00304DA9" w:rsidRDefault="00304DA9" w:rsidP="00304DA9">
            <w:pPr>
              <w:rPr>
                <w:color w:val="auto"/>
                <w:szCs w:val="24"/>
              </w:rPr>
            </w:pPr>
            <w:r w:rsidRPr="00304DA9">
              <w:rPr>
                <w:color w:val="auto"/>
                <w:szCs w:val="24"/>
              </w:rPr>
              <w:t>Informatīvā ziņojumā tālāk arī norādīts, ka “</w:t>
            </w:r>
            <w:r w:rsidRPr="00304DA9">
              <w:rPr>
                <w:i/>
                <w:iCs/>
                <w:color w:val="auto"/>
                <w:szCs w:val="24"/>
              </w:rPr>
              <w:t>plašāks mandāts Latvijas Bankai patērētāju aizsardzībā ļautu veidot līdzsvarotu uzraudzības ietvaru, kurā tiktu ņemti vērā ne tikai riski finanšu stabilitātei, bet arī sabiedrības reālās vajadzības pēc pieejamiem, saprotamiem un godīgiem finanšu pakalpojumiem</w:t>
            </w:r>
            <w:r w:rsidRPr="00304DA9">
              <w:rPr>
                <w:color w:val="auto"/>
                <w:szCs w:val="24"/>
              </w:rPr>
              <w:t xml:space="preserve">”. Uzņēmuma </w:t>
            </w:r>
            <w:r w:rsidRPr="00304DA9">
              <w:rPr>
                <w:color w:val="auto"/>
                <w:szCs w:val="24"/>
              </w:rPr>
              <w:lastRenderedPageBreak/>
              <w:t>ieskatā arī šobrīd Latvijas Bankai ir iespējas sadarbībā ar PTAC panākt iepriekš minētos mērķus un uzņēmums neredz šķēršļus, kas to šobrīd liegtu kopējā sadarbībā ar PTAC.</w:t>
            </w:r>
          </w:p>
          <w:p w14:paraId="5CC38118" w14:textId="77777777" w:rsidR="00304DA9" w:rsidRPr="00304DA9" w:rsidRDefault="00304DA9" w:rsidP="00304DA9">
            <w:pPr>
              <w:rPr>
                <w:color w:val="auto"/>
                <w:szCs w:val="24"/>
              </w:rPr>
            </w:pPr>
          </w:p>
          <w:p w14:paraId="533C60CA" w14:textId="77777777" w:rsidR="00304DA9" w:rsidRPr="00304DA9" w:rsidRDefault="00304DA9" w:rsidP="00304DA9">
            <w:pPr>
              <w:pStyle w:val="ListParagraph"/>
              <w:numPr>
                <w:ilvl w:val="0"/>
                <w:numId w:val="1"/>
              </w:numPr>
              <w:ind w:left="127" w:firstLine="0"/>
              <w:rPr>
                <w:b/>
                <w:bCs/>
                <w:color w:val="auto"/>
                <w:szCs w:val="24"/>
              </w:rPr>
            </w:pPr>
            <w:r w:rsidRPr="00304DA9">
              <w:rPr>
                <w:b/>
                <w:bCs/>
                <w:color w:val="auto"/>
                <w:szCs w:val="24"/>
              </w:rPr>
              <w:t>Par centrālās bankas galvenajām funkcijām</w:t>
            </w:r>
          </w:p>
          <w:p w14:paraId="4E5A14E0" w14:textId="77777777" w:rsidR="00304DA9" w:rsidRPr="00304DA9" w:rsidRDefault="00304DA9" w:rsidP="00304DA9">
            <w:pPr>
              <w:rPr>
                <w:color w:val="auto"/>
                <w:szCs w:val="24"/>
              </w:rPr>
            </w:pPr>
          </w:p>
          <w:p w14:paraId="70DFBA00" w14:textId="77777777" w:rsidR="00304DA9" w:rsidRPr="00304DA9" w:rsidRDefault="00304DA9" w:rsidP="00304DA9">
            <w:pPr>
              <w:rPr>
                <w:color w:val="auto"/>
                <w:szCs w:val="24"/>
              </w:rPr>
            </w:pPr>
            <w:r w:rsidRPr="00304DA9">
              <w:rPr>
                <w:color w:val="auto"/>
                <w:szCs w:val="24"/>
              </w:rPr>
              <w:t>Informatīvā ziņojuma 10. lapaspusē ir norādīts, ka Latvijas Banka ir uzsvērusi, ka “</w:t>
            </w:r>
            <w:r w:rsidRPr="00304DA9">
              <w:rPr>
                <w:i/>
                <w:iCs/>
                <w:color w:val="auto"/>
                <w:szCs w:val="24"/>
              </w:rPr>
              <w:t>[..] netiks izstrādāta un ieviesta prudenciālā uzraudzība, jo sektors nepiesaista noguldījumus  un nepastāv riski un apsvērumi prudenciālo prasību ieviešanai</w:t>
            </w:r>
            <w:r w:rsidRPr="00304DA9">
              <w:rPr>
                <w:color w:val="auto"/>
                <w:szCs w:val="24"/>
              </w:rPr>
              <w:t xml:space="preserve">”. Uzņēmuma ieskatā šis ir vēl viens apstiprinājums tam, ka patērētāju kreditēšanas nozares, tajā skaitā atlikto maksājumu un lombarda aizdevumu, uzraudzība nav centrālās bankas klasiska funkcija, ko arī apstiprina tas, ka vēsturiski Latvijas Banka bija pret šīs nozares uzraudzības īstenošanu laikā, kad tika ieviestas prasības pēc speciālās atļaujas (licences) nepieciešamību patērētāju kreditēšanā. Tāpat arī, kā norādīts </w:t>
            </w:r>
            <w:r w:rsidRPr="00304DA9">
              <w:rPr>
                <w:color w:val="auto"/>
                <w:szCs w:val="24"/>
              </w:rPr>
              <w:lastRenderedPageBreak/>
              <w:t>pašā informatīvajā ziņojumā, tad “</w:t>
            </w:r>
            <w:r w:rsidRPr="00304DA9">
              <w:rPr>
                <w:i/>
                <w:iCs/>
                <w:color w:val="auto"/>
                <w:szCs w:val="24"/>
              </w:rPr>
              <w:t>nebanku kreditētāju īpatsvars kopējā kreditēšanas apjomā joprojām saglabājas salīdzinoši zems</w:t>
            </w:r>
            <w:r w:rsidRPr="00304DA9">
              <w:rPr>
                <w:color w:val="auto"/>
                <w:szCs w:val="24"/>
              </w:rPr>
              <w:t>”, līdz ar to šīs nozares kredītportfeļa īpatsvars nav būtisks valstī un nerada būtisku ietekmi uz Latvijas finanšu sistēmas stabilitāti.</w:t>
            </w:r>
          </w:p>
          <w:p w14:paraId="51EF9007" w14:textId="77777777" w:rsidR="00304DA9" w:rsidRPr="00304DA9" w:rsidRDefault="00304DA9" w:rsidP="00304DA9">
            <w:pPr>
              <w:rPr>
                <w:color w:val="auto"/>
                <w:szCs w:val="24"/>
              </w:rPr>
            </w:pPr>
          </w:p>
          <w:p w14:paraId="6E754A76" w14:textId="77777777" w:rsidR="00304DA9" w:rsidRPr="00304DA9" w:rsidRDefault="00304DA9" w:rsidP="00304DA9">
            <w:pPr>
              <w:rPr>
                <w:color w:val="auto"/>
                <w:szCs w:val="24"/>
              </w:rPr>
            </w:pPr>
            <w:r w:rsidRPr="00304DA9">
              <w:rPr>
                <w:color w:val="auto"/>
                <w:szCs w:val="24"/>
              </w:rPr>
              <w:t>Līdz ar to nav faktiskas nepieciešamības pēc vienota uzrauga centrālās bankas personā, jo nebankām nav nepieciešama prudenciālā uzraudzība. To apstiprina arī tālāk ziņojumā secinātais, ka “</w:t>
            </w:r>
            <w:r w:rsidRPr="00304DA9">
              <w:rPr>
                <w:i/>
                <w:iCs/>
                <w:color w:val="auto"/>
                <w:szCs w:val="24"/>
              </w:rPr>
              <w:t>nebanku kreditētāju īpatsvars kopējā kreditēšanas apjomā joprojām saglabājas salīdzinoši zems</w:t>
            </w:r>
            <w:r w:rsidRPr="00304DA9">
              <w:rPr>
                <w:color w:val="auto"/>
                <w:szCs w:val="24"/>
              </w:rPr>
              <w:t>” un ka “</w:t>
            </w:r>
            <w:r w:rsidRPr="00304DA9">
              <w:rPr>
                <w:i/>
                <w:iCs/>
                <w:color w:val="auto"/>
                <w:szCs w:val="24"/>
              </w:rPr>
              <w:t>nebanku finanšu sektora tiešā saikne ar kredītiestādēm Latvijā saglabājas zema</w:t>
            </w:r>
            <w:r w:rsidRPr="00304DA9">
              <w:rPr>
                <w:color w:val="auto"/>
                <w:szCs w:val="24"/>
              </w:rPr>
              <w:t>”.</w:t>
            </w:r>
          </w:p>
          <w:p w14:paraId="24B67C9E" w14:textId="77777777" w:rsidR="00304DA9" w:rsidRPr="00304DA9" w:rsidRDefault="00304DA9" w:rsidP="00304DA9">
            <w:pPr>
              <w:rPr>
                <w:color w:val="auto"/>
                <w:szCs w:val="24"/>
              </w:rPr>
            </w:pPr>
          </w:p>
          <w:p w14:paraId="07D774AC" w14:textId="77777777" w:rsidR="00304DA9" w:rsidRPr="00304DA9" w:rsidRDefault="00304DA9" w:rsidP="00304DA9">
            <w:pPr>
              <w:pStyle w:val="ListParagraph"/>
              <w:numPr>
                <w:ilvl w:val="0"/>
                <w:numId w:val="1"/>
              </w:numPr>
              <w:ind w:left="127" w:firstLine="0"/>
              <w:rPr>
                <w:b/>
                <w:bCs/>
                <w:color w:val="auto"/>
                <w:szCs w:val="24"/>
              </w:rPr>
            </w:pPr>
            <w:r w:rsidRPr="00304DA9">
              <w:rPr>
                <w:b/>
                <w:bCs/>
                <w:color w:val="auto"/>
                <w:szCs w:val="24"/>
              </w:rPr>
              <w:t>Galvenie secinājumi</w:t>
            </w:r>
          </w:p>
          <w:p w14:paraId="6FA39198" w14:textId="77777777" w:rsidR="00304DA9" w:rsidRPr="00304DA9" w:rsidRDefault="00304DA9" w:rsidP="00304DA9">
            <w:pPr>
              <w:rPr>
                <w:color w:val="auto"/>
                <w:szCs w:val="24"/>
              </w:rPr>
            </w:pPr>
          </w:p>
          <w:p w14:paraId="71156D60" w14:textId="77777777" w:rsidR="00304DA9" w:rsidRPr="00304DA9" w:rsidRDefault="00304DA9" w:rsidP="00304DA9">
            <w:pPr>
              <w:rPr>
                <w:color w:val="auto"/>
                <w:szCs w:val="24"/>
              </w:rPr>
            </w:pPr>
            <w:r w:rsidRPr="00304DA9">
              <w:rPr>
                <w:color w:val="auto"/>
                <w:szCs w:val="24"/>
              </w:rPr>
              <w:t xml:space="preserve">Uzņēmuma ieskatā informatīvais ziņojums ir pretrunīgs un nepilnvērtīgs, jo īpaši attiecībā uz atlikto maksājumu pakalpojumu sniedzēju ienākšanu nozarē. Līdz ar to ir nepieciešamā informatīvā </w:t>
            </w:r>
            <w:r w:rsidRPr="00304DA9">
              <w:rPr>
                <w:color w:val="auto"/>
                <w:szCs w:val="24"/>
              </w:rPr>
              <w:lastRenderedPageBreak/>
              <w:t>ziņojuma atkārtota izstrāde, aktīvāk diskusijā iesaistot nebanku sektoru un PTAC. Uzņēmums šobrīd neredz vajadzību pēc vienota uzrauga un no tā iegūstamos ieguvumus.</w:t>
            </w:r>
          </w:p>
          <w:p w14:paraId="5E11F123" w14:textId="77777777" w:rsidR="00304DA9" w:rsidRPr="00304DA9" w:rsidRDefault="00304DA9" w:rsidP="00304DA9">
            <w:pPr>
              <w:rPr>
                <w:color w:val="auto"/>
                <w:szCs w:val="24"/>
              </w:rPr>
            </w:pPr>
          </w:p>
          <w:p w14:paraId="715CAFE4" w14:textId="77777777" w:rsidR="00304DA9" w:rsidRPr="00304DA9" w:rsidRDefault="00304DA9" w:rsidP="00304DA9">
            <w:pPr>
              <w:rPr>
                <w:color w:val="auto"/>
                <w:szCs w:val="24"/>
              </w:rPr>
            </w:pPr>
            <w:r w:rsidRPr="00304DA9">
              <w:rPr>
                <w:color w:val="auto"/>
                <w:szCs w:val="24"/>
              </w:rPr>
              <w:t>Vienlaikus uzņēmuma ieskatā informatīvais ziņojums izgaismo nepieciešamību Latvijas Bankai ne tikai uzraudzīt kredītiestādes un citus tās uzraudzības subjektus no prudenciālā aspekta, bet arī uzraudzīt to īstenoto komercpraksi pret patērētājiem, jo īpaši finanšu pakalpojumu pieejamībā.</w:t>
            </w:r>
          </w:p>
          <w:p w14:paraId="0BD4B86A" w14:textId="77777777" w:rsidR="00304DA9" w:rsidRPr="00304DA9" w:rsidRDefault="00304DA9" w:rsidP="00304DA9">
            <w:pPr>
              <w:rPr>
                <w:color w:val="auto"/>
                <w:szCs w:val="24"/>
              </w:rPr>
            </w:pPr>
          </w:p>
          <w:p w14:paraId="7AB37446" w14:textId="77777777" w:rsidR="00304DA9" w:rsidRPr="00304DA9" w:rsidRDefault="00304DA9" w:rsidP="00304DA9">
            <w:pPr>
              <w:rPr>
                <w:color w:val="auto"/>
                <w:szCs w:val="24"/>
              </w:rPr>
            </w:pPr>
            <w:r w:rsidRPr="00304DA9">
              <w:rPr>
                <w:color w:val="auto"/>
                <w:szCs w:val="24"/>
              </w:rPr>
              <w:t xml:space="preserve">Līdz ar to uzņēmums aicina izsvērt variantu nodot Latvijas Bankai patērētāju tiesību un interešu aizsardzības uzraudzību attiecībā uz patērētājiem, kuriem finanšu pakalpojumus Latvijā sniedz finanšu tirgus dalībnieki, kurus jau šobrīd uzrauga Latvijas Banka vai Eiropas Savienības uzraudzības iestāde sadarbībā ar Latvijas Banku, kā arī citā Eiropas Ekonomikas zonas valstī reģistrēti finanšu tirgus dalībnieki, bez nebanku </w:t>
            </w:r>
            <w:r w:rsidRPr="00304DA9">
              <w:rPr>
                <w:color w:val="auto"/>
                <w:szCs w:val="24"/>
              </w:rPr>
              <w:lastRenderedPageBreak/>
              <w:t>uzraudzības nodošanas Latvijas Bankai. Tāpat Latvijas Bankai būtu nododama negodīgas komercprakses un reklāmas uzraudzību gadījumos, kad negodīga komercprakse vai reklāma ir saistīta ar Latvijas Bankas šobrīd uzraugāmajiem subjektiem.</w:t>
            </w:r>
          </w:p>
          <w:p w14:paraId="3D13C232" w14:textId="50E6FC4B" w:rsidR="00304DA9" w:rsidRPr="00304DA9" w:rsidRDefault="00304DA9" w:rsidP="00304DA9">
            <w:pPr>
              <w:rPr>
                <w:color w:val="auto"/>
              </w:rPr>
            </w:pPr>
          </w:p>
        </w:tc>
        <w:tc>
          <w:tcPr>
            <w:tcW w:w="3388" w:type="dxa"/>
            <w:shd w:val="clear" w:color="auto" w:fill="FFFFFF"/>
            <w:noWrap/>
            <w:tcMar>
              <w:top w:w="75" w:type="dxa"/>
              <w:left w:w="75" w:type="dxa"/>
              <w:bottom w:w="75" w:type="dxa"/>
              <w:right w:w="75" w:type="dxa"/>
            </w:tcMar>
          </w:tcPr>
          <w:p w14:paraId="10DF961A" w14:textId="77777777" w:rsidR="00304DA9" w:rsidRPr="00304DA9" w:rsidRDefault="00304DA9" w:rsidP="00304DA9">
            <w:pPr>
              <w:spacing w:after="120"/>
              <w:rPr>
                <w:b/>
                <w:bCs/>
                <w:color w:val="auto"/>
              </w:rPr>
            </w:pPr>
            <w:r w:rsidRPr="00304DA9">
              <w:rPr>
                <w:b/>
                <w:bCs/>
                <w:color w:val="auto"/>
              </w:rPr>
              <w:lastRenderedPageBreak/>
              <w:t>Nav ņemts vērā</w:t>
            </w:r>
          </w:p>
          <w:p w14:paraId="6C8E30D8" w14:textId="77777777" w:rsidR="00304DA9" w:rsidRPr="00304DA9" w:rsidRDefault="00304DA9" w:rsidP="00304DA9">
            <w:pPr>
              <w:spacing w:after="120"/>
              <w:rPr>
                <w:color w:val="auto"/>
              </w:rPr>
            </w:pPr>
            <w:r w:rsidRPr="00304DA9">
              <w:rPr>
                <w:color w:val="auto"/>
              </w:rPr>
              <w:t xml:space="preserve">Kā informatīvajā ziņojuma  norādīts, apvienojot regulējošā ietvara izstrādi, uzraudzību un patērētāju tiesību aizsardzību vienā institūcijā, tiek panākta </w:t>
            </w:r>
            <w:r w:rsidRPr="00304DA9">
              <w:rPr>
                <w:rStyle w:val="Strong"/>
                <w:rFonts w:eastAsiaTheme="majorEastAsia"/>
                <w:b w:val="0"/>
                <w:bCs w:val="0"/>
                <w:color w:val="auto"/>
              </w:rPr>
              <w:t>lielāka saskaņotība un koordinācija</w:t>
            </w:r>
            <w:r w:rsidRPr="00304DA9">
              <w:rPr>
                <w:color w:val="auto"/>
              </w:rPr>
              <w:t>. Tas ir īpaši būtiski situācijās, kurās nepieciešama starpnozaru sadarbība, piemēram, mājokļu kredītu pārkreditēšanas procesos vai nodrošinot banku pakalpojumu pieejamību reģionos. Vienotas institūcijas ietvaros iespējams ātrāk un efektīvāk identificēt problēmas, analizēt datus, izstrādāt risinājumus un ieviest politikas pasākumus.</w:t>
            </w:r>
          </w:p>
          <w:p w14:paraId="25F4C0A9" w14:textId="77777777" w:rsidR="00304DA9" w:rsidRPr="00304DA9" w:rsidRDefault="00304DA9" w:rsidP="00304DA9">
            <w:pPr>
              <w:spacing w:after="120"/>
              <w:rPr>
                <w:rFonts w:eastAsia="Calibri"/>
                <w:color w:val="auto"/>
              </w:rPr>
            </w:pPr>
            <w:r w:rsidRPr="00304DA9">
              <w:rPr>
                <w:rFonts w:eastAsia="Calibri"/>
                <w:color w:val="auto"/>
              </w:rPr>
              <w:t xml:space="preserve">Pastāvot uzraudzības ietvara sadrumstalotībai un finanšu tirgū ienākot arvien jauniem </w:t>
            </w:r>
            <w:r w:rsidRPr="00304DA9">
              <w:rPr>
                <w:rFonts w:eastAsia="Calibri"/>
                <w:color w:val="auto"/>
              </w:rPr>
              <w:lastRenderedPageBreak/>
              <w:t xml:space="preserve">spēlētājiem, valsts institūciju starpā finanšu un cilvēkresursi netiek efektīvi koncentrēti vienuviet, kas var norādīt uz lieku administratīvo slogu un no funkcijām izrietošu uzdevumu dublēšanos. </w:t>
            </w:r>
          </w:p>
          <w:p w14:paraId="398FE657" w14:textId="77777777" w:rsidR="00304DA9" w:rsidRPr="00304DA9" w:rsidRDefault="00304DA9" w:rsidP="00304DA9">
            <w:pPr>
              <w:rPr>
                <w:color w:val="auto"/>
              </w:rPr>
            </w:pPr>
            <w:r w:rsidRPr="00304DA9">
              <w:rPr>
                <w:rFonts w:eastAsia="Calibri"/>
                <w:color w:val="auto"/>
              </w:rPr>
              <w:t>Līdz ar to ar piedāvāto funkciju nodošanu Latvijas Bankai, tiek mazināta uzraudzības sadrumstalotība, funkciju dublēšanās, kā arī mainoties uzraudzības finansēšanas modelim, nozare iegūst arī finansiālu ietaupījumu, kas var tikt novirzīts kreditēšanas aktivitātei. Papildus jāatzīmē, ka a</w:t>
            </w:r>
            <w:r w:rsidRPr="00304DA9">
              <w:rPr>
                <w:color w:val="auto"/>
              </w:rPr>
              <w:t xml:space="preserve">r šīm plānotajām izmaiņām  nav paredzēts, ka tiks veikta atkārtota licencēšana esošajiem tirgus dalībniekiem vai ieviestas prudenciālās uzraudzības prasības, jo sektors nepiesaista noguldījumus un nav konstatēti šobrīd riski vai citi apsvērumi prudenciālo prasību ieviešanai, saglabājot proporcionalitāti attiecībā pret nozares dalībnieku biznesa modelim piemītošajiem riskiem. </w:t>
            </w:r>
          </w:p>
          <w:p w14:paraId="6084745D" w14:textId="77777777" w:rsidR="00304DA9" w:rsidRPr="00304DA9" w:rsidRDefault="00304DA9" w:rsidP="00304DA9">
            <w:pPr>
              <w:spacing w:after="120"/>
              <w:rPr>
                <w:rFonts w:eastAsia="Calibri"/>
                <w:color w:val="auto"/>
              </w:rPr>
            </w:pPr>
          </w:p>
          <w:p w14:paraId="0AFABABD" w14:textId="3C186157" w:rsidR="00304DA9" w:rsidRPr="00304DA9" w:rsidRDefault="00304DA9" w:rsidP="00304DA9">
            <w:pPr>
              <w:rPr>
                <w:color w:val="auto"/>
              </w:rPr>
            </w:pPr>
            <w:r w:rsidRPr="00304DA9">
              <w:rPr>
                <w:color w:val="auto"/>
              </w:rPr>
              <w:lastRenderedPageBreak/>
              <w:t>Attiecībā par atliktā maksājuma pakalpojumu sniedzējiem norādāms, ka saektora izmērs nav uzskatāms iemeslu izmaiņu neveikšanai, tieši pretēji, ja sektors ir neliels, optimāls risinājums varētu būt tieši sektora pievienošana lielākam sektoram un uzraugam, lai nodrošinātu racionālu resursu izmantošanu. Vienota uzrauga ieviešana ir preventīvs un strukturāls risinājums, nevis reakcija tikai uz apjoma pieaugumu.</w:t>
            </w:r>
          </w:p>
          <w:p w14:paraId="4FDA9A29" w14:textId="77777777" w:rsidR="00304DA9" w:rsidRPr="00304DA9" w:rsidRDefault="00304DA9" w:rsidP="00304DA9">
            <w:pPr>
              <w:rPr>
                <w:color w:val="auto"/>
              </w:rPr>
            </w:pPr>
            <w:r w:rsidRPr="00304DA9">
              <w:rPr>
                <w:color w:val="auto"/>
              </w:rPr>
              <w:t>Attiecībā uz atlikto maksājumu pakalpojumu sniedzējiem norādāms, ka  Latvijas Banka ir gatava pārņemt arī atliktā maksājuma pakalpojumu sniedzēju uzraudzību, lai nodrošinātu uzraudzību vienotā institūcijā.</w:t>
            </w:r>
          </w:p>
          <w:p w14:paraId="1058E4E6" w14:textId="77777777" w:rsidR="00304DA9" w:rsidRPr="00304DA9" w:rsidRDefault="00304DA9" w:rsidP="00304DA9">
            <w:pPr>
              <w:rPr>
                <w:color w:val="auto"/>
              </w:rPr>
            </w:pPr>
            <w:r w:rsidRPr="00304DA9">
              <w:rPr>
                <w:color w:val="auto"/>
              </w:rPr>
              <w:t xml:space="preserve">Lai arī juridisko personu nošķiršana ir atzīts princips, finanšu uzraudzībā arvien plašāk tiek piemērota grupas pieeja. Atsevišķu meitas sabiedrību uzraudzība dažādās iestādēs apgrūtina konsolidētu risku, komercprakses un reputācijas risku izvērtēšanu. Vienots uzraugs ļautu labāk identificēt </w:t>
            </w:r>
            <w:r w:rsidRPr="00304DA9">
              <w:rPr>
                <w:color w:val="auto"/>
              </w:rPr>
              <w:lastRenderedPageBreak/>
              <w:t>strukturālus riskus, kas rodas, ja banku grupas izmanto nebanku meitas sabiedrības atšķirīgam regulējumam.</w:t>
            </w:r>
          </w:p>
          <w:p w14:paraId="3D520267" w14:textId="77777777" w:rsidR="00304DA9" w:rsidRPr="00304DA9" w:rsidRDefault="00304DA9" w:rsidP="00304DA9">
            <w:pPr>
              <w:rPr>
                <w:color w:val="auto"/>
              </w:rPr>
            </w:pPr>
            <w:r w:rsidRPr="00304DA9">
              <w:rPr>
                <w:color w:val="auto"/>
              </w:rPr>
              <w:t>Informatīvajā ziņojumā netiek apšaubīta PTAC kompetence, bet gan tiek meklēts risinājums, lai kopumā uzraudzības sistēmu padarītu efektīvāku.</w:t>
            </w:r>
          </w:p>
          <w:p w14:paraId="0E3301C3" w14:textId="77777777" w:rsidR="00304DA9" w:rsidRPr="00304DA9" w:rsidRDefault="00304DA9" w:rsidP="00304DA9">
            <w:pPr>
              <w:rPr>
                <w:color w:val="auto"/>
              </w:rPr>
            </w:pPr>
            <w:r w:rsidRPr="00304DA9">
              <w:rPr>
                <w:color w:val="auto"/>
              </w:rPr>
              <w:t>Latvijas Bankai ir piekļuve makroekonomiskajiem, tirgus un sistēmiskajiem datiem, kas ļauj vērtēt procentu likmes, maksas un pieejamību plašākā kontekstā. Atbildīgas kreditēšanas mērķis nav tikai parādu mazināšana, bet arī ilgtspējīgas kreditēšanas veicināšana, kas prasa vienotu skatījumu uz banku un nebanku sektoru. Reģionālā pieejamība nav tikai fiziskas klātbūtnes jautājums, bet arī digitālās pieejamības, cenu un nosacījumu salīdzināmības jautājums, kur vienotam uzraugam ir priekšrocības.</w:t>
            </w:r>
          </w:p>
          <w:p w14:paraId="55D74F3C" w14:textId="77777777" w:rsidR="00304DA9" w:rsidRPr="00304DA9" w:rsidRDefault="00304DA9" w:rsidP="00304DA9">
            <w:pPr>
              <w:rPr>
                <w:color w:val="auto"/>
              </w:rPr>
            </w:pPr>
            <w:r w:rsidRPr="00304DA9">
              <w:rPr>
                <w:color w:val="auto"/>
              </w:rPr>
              <w:t xml:space="preserve">Formāla datu apmaiņa starp iestādēm nav līdzvērtīga vienotai datu infrastruktūrai. Centralizēta datu vākšana vienā iestādē samazina dublēšanos, interpretācijas atšķirības un </w:t>
            </w:r>
            <w:r w:rsidRPr="00304DA9">
              <w:rPr>
                <w:color w:val="auto"/>
              </w:rPr>
              <w:lastRenderedPageBreak/>
              <w:t>reakcijas laiku uz riskiem. Vienots uzraugs ļauj ātrāk identificēt pārkreditēšanās tendences, pirms tās kļūst sistēmiskas.</w:t>
            </w:r>
          </w:p>
          <w:p w14:paraId="40078FE2" w14:textId="77777777" w:rsidR="00304DA9" w:rsidRPr="00304DA9" w:rsidRDefault="00304DA9" w:rsidP="00304DA9">
            <w:pPr>
              <w:rPr>
                <w:color w:val="auto"/>
              </w:rPr>
            </w:pPr>
            <w:r w:rsidRPr="00304DA9">
              <w:rPr>
                <w:color w:val="auto"/>
              </w:rPr>
              <w:t>Attiecībā uz centrālās bankas funkcijām norādāms, ka pētot ārvalstu praksi, var secināt, ka centrālajām bankām un finanšu uzraugiem arvien biežāk tiek uzticēta arī patērētāju aizsardzība.</w:t>
            </w:r>
          </w:p>
          <w:p w14:paraId="7D2797D5" w14:textId="77777777" w:rsidR="00304DA9" w:rsidRPr="00304DA9" w:rsidRDefault="00304DA9" w:rsidP="00304DA9">
            <w:pPr>
              <w:rPr>
                <w:color w:val="auto"/>
              </w:rPr>
            </w:pPr>
            <w:r w:rsidRPr="00304DA9">
              <w:rPr>
                <w:color w:val="auto"/>
              </w:rPr>
              <w:t>Prudenciālās uzraudzības neesamība nenozīmē, ka tirgus uzvedības (conduct) uzraudzība nav centrālās bankas kompetencē. Tieši tas, ka sektors nerada sistēmisku risku šodien, ir arguments savlaicīgai uzraudzības modernizācijai, nevis tās atlikšanai līdz krīzei.</w:t>
            </w:r>
          </w:p>
          <w:p w14:paraId="72F8B233" w14:textId="77777777" w:rsidR="00304DA9" w:rsidRPr="00304DA9" w:rsidRDefault="00304DA9" w:rsidP="00304DA9">
            <w:pPr>
              <w:rPr>
                <w:color w:val="auto"/>
              </w:rPr>
            </w:pPr>
            <w:r w:rsidRPr="00304DA9">
              <w:rPr>
                <w:color w:val="auto"/>
              </w:rPr>
              <w:t>Līdz ar to vienota patērētāju kreditēšanas uzrauga noteikšana Latvijas Bankas personā ir samērīgs, starptautiskai praksei atbilstošs un ilgtermiņā patērētājiem un finanšu sistēmai izdevīgs risinājums.</w:t>
            </w:r>
          </w:p>
          <w:p w14:paraId="49976C73" w14:textId="1BBD86BF" w:rsidR="00304DA9" w:rsidRPr="00304DA9" w:rsidRDefault="00304DA9" w:rsidP="00304DA9">
            <w:pPr>
              <w:rPr>
                <w:color w:val="auto"/>
              </w:rPr>
            </w:pPr>
          </w:p>
        </w:tc>
        <w:tc>
          <w:tcPr>
            <w:tcW w:w="3388" w:type="dxa"/>
            <w:shd w:val="clear" w:color="auto" w:fill="FFFFFF"/>
            <w:noWrap/>
            <w:tcMar>
              <w:top w:w="75" w:type="dxa"/>
              <w:left w:w="75" w:type="dxa"/>
              <w:bottom w:w="75" w:type="dxa"/>
              <w:right w:w="75" w:type="dxa"/>
            </w:tcMar>
          </w:tcPr>
          <w:p w14:paraId="117CBB55" w14:textId="223D10E3" w:rsidR="00304DA9" w:rsidRPr="00304DA9" w:rsidRDefault="00304DA9" w:rsidP="00304DA9">
            <w:pPr>
              <w:rPr>
                <w:color w:val="auto"/>
              </w:rPr>
            </w:pPr>
          </w:p>
        </w:tc>
      </w:tr>
    </w:tbl>
    <w:p w14:paraId="3603BAD0" w14:textId="77777777" w:rsidR="00304DA9" w:rsidRPr="00304DA9" w:rsidRDefault="00304DA9">
      <w:pPr>
        <w:rPr>
          <w:color w:val="auto"/>
        </w:rPr>
      </w:pPr>
    </w:p>
    <w:sectPr w:rsidR="00304DA9" w:rsidRPr="00304DA9">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78BA9" w14:textId="77777777" w:rsidR="00786B0D" w:rsidRDefault="00786B0D">
      <w:r>
        <w:separator/>
      </w:r>
    </w:p>
  </w:endnote>
  <w:endnote w:type="continuationSeparator" w:id="0">
    <w:p w14:paraId="338FA8CF" w14:textId="77777777" w:rsidR="00786B0D" w:rsidRDefault="00786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2163" w14:textId="77777777" w:rsidR="00447F9A" w:rsidRDefault="00304DA9">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A654" w14:textId="77777777" w:rsidR="00304DA9" w:rsidRDefault="00304DA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FF06C" w14:textId="77777777" w:rsidR="00786B0D" w:rsidRDefault="00786B0D">
      <w:r>
        <w:separator/>
      </w:r>
    </w:p>
  </w:footnote>
  <w:footnote w:type="continuationSeparator" w:id="0">
    <w:p w14:paraId="4444775F" w14:textId="77777777" w:rsidR="00786B0D" w:rsidRDefault="00786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F9703" w14:textId="77777777" w:rsidR="00447F9A" w:rsidRDefault="00304DA9">
    <w:pPr>
      <w:pStyle w:val="Header"/>
      <w:contextualSpacing w:val="0"/>
    </w:pPr>
    <w:r>
      <w:t>Izziņa 25-TA-3014</w:t>
    </w:r>
    <w:r>
      <w:br/>
      <w:t>Izdrukāts 16.01.2026. 15.44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5A17" w14:textId="77777777" w:rsidR="00447F9A" w:rsidRDefault="00304DA9">
    <w:pPr>
      <w:pStyle w:val="Header"/>
      <w:contextualSpacing w:val="0"/>
    </w:pPr>
    <w:r>
      <w:t>Izziņa 25-TA-3014</w:t>
    </w:r>
    <w:r>
      <w:br/>
      <w:t>Izdrukāts 16.01.2026. 15.44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A8F"/>
    <w:multiLevelType w:val="hybridMultilevel"/>
    <w:tmpl w:val="B7AA7524"/>
    <w:lvl w:ilvl="0" w:tplc="7876C1E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580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F9A"/>
    <w:rsid w:val="000A701E"/>
    <w:rsid w:val="00304DA9"/>
    <w:rsid w:val="00447F9A"/>
    <w:rsid w:val="00593EBF"/>
    <w:rsid w:val="00786B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F37E2"/>
  <w15:docId w15:val="{27871C64-D0EF-4D9F-8AA8-532FA5957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ListParagraph">
    <w:name w:val="List Paragraph"/>
    <w:aliases w:val="2,Akapit z listą BS,Bullet list,Colorful List - Accent 11,H&amp;P List Paragraph,List Paragraph1,List Paragraph11,Normal bullet 2,Numurets,PPS_Bullet,Saistīto dokumentu saraksts,Strip,Syle 1"/>
    <w:basedOn w:val="Normal"/>
    <w:link w:val="ListParagraphChar"/>
    <w:uiPriority w:val="34"/>
    <w:qFormat/>
    <w:rsid w:val="00304DA9"/>
    <w:pPr>
      <w:ind w:left="720"/>
      <w:contextualSpacing/>
    </w:pPr>
  </w:style>
  <w:style w:type="character" w:customStyle="1" w:styleId="ListParagraphChar">
    <w:name w:val="List Paragraph Char"/>
    <w:aliases w:val="2 Char,Akapit z listą BS Char,Bullet list Char,Colorful List - Accent 11 Char,H&amp;P List Paragraph Char,List Paragraph1 Char,List Paragraph11 Char,Normal bullet 2 Char,Numurets Char,PPS_Bullet Char,Saistīto dokumentu saraksts Char"/>
    <w:link w:val="ListParagraph"/>
    <w:uiPriority w:val="34"/>
    <w:locked/>
    <w:rsid w:val="00304DA9"/>
  </w:style>
  <w:style w:type="character" w:styleId="Strong">
    <w:name w:val="Strong"/>
    <w:basedOn w:val="DefaultParagraphFont"/>
    <w:uiPriority w:val="22"/>
    <w:qFormat/>
    <w:rsid w:val="00304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20</Pages>
  <Words>2604</Words>
  <Characters>18353</Characters>
  <Application>Microsoft Office Word</Application>
  <DocSecurity>0</DocSecurity>
  <Lines>769</Lines>
  <Paragraphs>62</Paragraphs>
  <ScaleCrop>false</ScaleCrop>
  <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Izziņa_25-TA-3014.docx</dc:title>
  <dc:creator>Egija Gulbinska</dc:creator>
  <cp:lastModifiedBy>Egija Gulbinska</cp:lastModifiedBy>
  <cp:revision>3</cp:revision>
  <dcterms:created xsi:type="dcterms:W3CDTF">2026-01-16T13:49:00Z</dcterms:created>
  <dcterms:modified xsi:type="dcterms:W3CDTF">2026-01-16T13:51:00Z</dcterms:modified>
</cp:coreProperties>
</file>