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7. janvāra noteikumos Nr. 18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07:27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uzsākto projektu iesniegumu atlasi, projektu iesniedzējiem, finansējuma saņēmējiem un noslēgtajiem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ir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ar informāciju par  Rundāles pils muzejam piemēroto izņēmuma pieeja attiecībā uz MK noteikumu 10.3.1. apakšpunktā minēto rādītāju sasniegšanu atbilstoši Ekonomikas ministrijas 20.02.2026. vēstulē Nr. 3.7-9.21/2026.1042N norādītajam, proti, ka Rundāles pils muzejam valsts nozīmes kultūras pieminekļu statusa dēļ projekta iesniegumā primārās enerģijas ietaupījuma aprēķinā izmantojama tikai neatjaunojamās enerģijas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anotāciju nav nepieciešams papildināt, ņemot vērā, ka Ekonomikas ministrijas 20.02.2026. vēstulē Nr. 3.7-9.21/2026.1042N sniegtais skaidrojums neietekmē MK noteikumu Nr. 18 10.3.1. apakšpunktā minētā nosacījuma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finansējums – 4 665 514​​​​​​ </w:t>
            </w:r>
            <w:r w:rsidR="00000000" w:rsidRPr="00000000" w:rsidDel="00000000">
              <w:rPr>
                <w:i w:val="1"/>
                <w:rtl w:val="0"/>
              </w:rPr>
              <w:t xml:space="preserve">euro</w:t>
            </w:r>
            <w:r w:rsidR="00000000" w:rsidRPr="00000000" w:rsidDel="00000000">
              <w:rPr>
                <w:rtl w:val="0"/>
              </w:rPr>
              <w:t xml:space="preserve">) un valsts budžeta līdzfinansējums 5 220 000 </w:t>
            </w:r>
            <w:r w:rsidR="00000000" w:rsidRPr="00000000" w:rsidDel="00000000">
              <w:rPr>
                <w:i w:val="1"/>
                <w:rtl w:val="0"/>
              </w:rPr>
              <w:t xml:space="preserve">euro</w:t>
            </w:r>
            <w:r w:rsidR="00000000" w:rsidRPr="00000000" w:rsidDel="00000000">
              <w:rPr>
                <w:rtl w:val="0"/>
              </w:rPr>
              <w:t xml:space="preserve"> (no tā elastības finansējums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2025. gada 15. decembrī Eiropas Komisijas pieņemtā īstenošanas lēmuma Nr. C(2025) 8685 “Komisijas īstenošanas lēmums, ar kuru groza Īstenošanas lēmumu C(2022) 8712, ar ko programmu “Eiropas Savienības kohēzijas politikas programma 2021.– 2027. gadam” apstiprina Eiropas Reģionālās attīstības fonda, Kohēzijas fonda, Eiropas Sociālā fonda Plus un Taisnīgas pārkārtošanās fonda atbalsta piešķiršanai saskaņā ar mērķi “Investīcijas nodarbinātībai un izaugsmei” Latvijā” elastības finansējums ir pieejams, lūdzam papildināt anotāciju ar informāciju par elastības finansējuma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ir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finansējums – 4 665 514​​​​​​ </w:t>
            </w:r>
            <w:r w:rsidR="00000000" w:rsidRPr="00000000" w:rsidDel="00000000">
              <w:rPr>
                <w:i w:val="1"/>
                <w:rtl w:val="0"/>
              </w:rPr>
              <w:t xml:space="preserve">euro</w:t>
            </w:r>
            <w:r w:rsidR="00000000" w:rsidRPr="00000000" w:rsidDel="00000000">
              <w:rPr>
                <w:rtl w:val="0"/>
              </w:rPr>
              <w:t xml:space="preserve">) un valsts budžeta līdzfinansējums 5 220 000 </w:t>
            </w:r>
            <w:r w:rsidR="00000000" w:rsidRPr="00000000" w:rsidDel="00000000">
              <w:rPr>
                <w:i w:val="1"/>
                <w:rtl w:val="0"/>
              </w:rPr>
              <w:t xml:space="preserve">euro</w:t>
            </w:r>
            <w:r w:rsidR="00000000" w:rsidRPr="00000000" w:rsidDel="00000000">
              <w:rPr>
                <w:rtl w:val="0"/>
              </w:rPr>
              <w:t xml:space="preserve"> (no tā elastības finansējums – 823 326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komunikācijas un vizuālās identitātes pasākumu nodrošināšanas izmaksas šo noteikumu </w:t>
            </w:r>
            <w:r w:rsidR="00000000" w:rsidRPr="00000000" w:rsidDel="00000000">
              <w:rPr>
                <w:rtl w:val="0"/>
              </w:rPr>
              <w:t xml:space="preserve">25.7.</w:t>
            </w:r>
            <w:r w:rsidR="00000000" w:rsidRPr="00000000" w:rsidDel="00000000">
              <w:rPr>
                <w:rtl w:val="0"/>
              </w:rPr>
              <w:t xml:space="preserve"> apakšpunktā</w:t>
            </w:r>
            <w:r w:rsidR="00000000" w:rsidRPr="00000000" w:rsidDel="00000000">
              <w:rPr>
                <w:rtl w:val="0"/>
              </w:rPr>
              <w:t xml:space="preserve"> minētās atbalstāmās darbības īstenošanai saskaņā ar Eiropas Parlamenta un Padomes (ES) 2021. gada 24. jūnija Regulas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w:t>
            </w:r>
            <w:r w:rsidR="00000000" w:rsidRPr="00000000" w:rsidDel="00000000">
              <w:rPr>
                <w:rtl w:val="0"/>
              </w:rPr>
              <w:t xml:space="preserve"> ), 47. un 50. pantu un normatīvajiem aktiem par kārtību, kādā Eiropas Savienības fondu vadībā iesaistītās institūcijas nodrošina šo fondu ieviešanu 2021.–2027. gada plānošanas periodā. Ja projektam sniegtais atbalsts ir uzskatāms par komercdarbības atbalstu, komunikācijas un vizuālās identitātes pasākumu nodrošināšanas izmaksas var būt attiecināmas projekta ietvaros, nepiemērojot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2025. gada 7. janvāra noteikumu Nr. 18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 (turpmāk – noteikumi Nr. 18) 27.11.apakšpunktā vārdus un skaitļus "</w:t>
            </w:r>
            <w:r w:rsidR="00000000" w:rsidRPr="00000000" w:rsidDel="00000000">
              <w:rPr>
                <w:i w:val="1"/>
                <w:rtl w:val="0"/>
              </w:rPr>
              <w:t xml:space="preserve">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 47. un 50. pantu un normatīvajiem aktiem par kārtību, kādā Eiropas Savienības fondu vadībā iesaistītās institūcijas nodrošina šo fondu ieviešanu 2021.–2027. gada plānošanas periodā</w:t>
            </w:r>
            <w:r w:rsidR="00000000" w:rsidRPr="00000000" w:rsidDel="00000000">
              <w:rPr>
                <w:rtl w:val="0"/>
              </w:rPr>
              <w:t xml:space="preserve">", ņemot vērā to, ka minētie normatīvie akti neregulē izmaksu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komunikācijas un vizuālās identitātes pasākumu nodrošināšanas izmaksas šo noteikumu 25.7. apakšpunktā minētās atbalstāmās darbības īstenošanai. Ja projektam sniegtais atbalsts ir uzskatāms par komercdarbības atbalstu, komunikācijas un vizuālās identitātes pasākumu nodrošināšanas izmaksas var būt attiecināmas projekta ietvaros, nepiemērojot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 27.11.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komunikācijas un vizuālās identitātes pasākumu nodrošināšanas izmaksas šo noteikumu </w:t>
            </w:r>
            <w:r w:rsidR="00000000" w:rsidRPr="00000000" w:rsidDel="00000000">
              <w:rPr>
                <w:rtl w:val="0"/>
              </w:rPr>
              <w:t xml:space="preserve">25.7.</w:t>
            </w:r>
            <w:r w:rsidR="00000000" w:rsidRPr="00000000" w:rsidDel="00000000">
              <w:rPr>
                <w:rtl w:val="0"/>
              </w:rPr>
              <w:t xml:space="preserve"> apakšpunktā</w:t>
            </w:r>
            <w:r w:rsidR="00000000" w:rsidRPr="00000000" w:rsidDel="00000000">
              <w:rPr>
                <w:rtl w:val="0"/>
              </w:rPr>
              <w:t xml:space="preserve"> minētās atbalstāmās darbības īstenošanai. Ja projektam sniegtais atbalsts ir uzskatāms par komercdarbības atbalstu, komunikācijas un vizuālās identitātes pasākumu nodrošināšanas izmaksas var būt attiecināmas projekta ietvaros, nepiemērojot komercdarbības atbalsta regulējumu;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3. nodaļā noteiktie izmaksu procentuālie ierobežojumi tiek aprēķināti attiecībā pret projektā plānotajām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34.</w:t>
            </w:r>
            <w:r w:rsidR="00000000" w:rsidRPr="00000000" w:rsidDel="00000000">
              <w:rPr>
                <w:vertAlign w:val="superscript"/>
                <w:rtl w:val="0"/>
              </w:rPr>
              <w:t xml:space="preserve">1</w:t>
            </w:r>
            <w:r w:rsidR="00000000" w:rsidRPr="00000000" w:rsidDel="00000000">
              <w:rPr>
                <w:rtl w:val="0"/>
              </w:rPr>
              <w:t xml:space="preserve"> punktu, paredzot, ka tajā noteiktais procentuālā ierobežojuma aprēķins attiecībā pret projekta plānotajām tiešajām attiecināmajām izmaksām nav attiecināms uz 29.punktā noteikto netiešo izmaksu procentuālo aprēķinu. Informējam, ka, veicot padziļinātu attiecināmo izmaksu izvērtējumu, secināts – vienotās likmes, t.sk. netiešo izmaksu procentuālais apmērs ir aprēķināms no faktiskajām attiecināmajām izmaksām, nevis no plānotajām izmaksām, atbilstoši Vadlīnijas par vienkāršoto izmaksu izmantošanas iespējām un to piemērošana Eiropas Savienības kohēzijas politikas programmas 2021.–2027.gadam ietvaros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nodaļā noteiktie izmaksu procentuālie ierobežojumi tiek aprēķināti attiecībā pret projektā plānotajām tiešajām attiecināmajām izmaksām, izņemot 29.puntkā noteiktajam procentuālajam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 34.</w:t>
            </w:r>
            <w:r w:rsidR="00000000" w:rsidRPr="00000000" w:rsidDel="00000000">
              <w:rPr>
                <w:vertAlign w:val="superscript"/>
                <w:rtl w:val="0"/>
              </w:rPr>
              <w:t xml:space="preserve">1</w:t>
            </w:r>
            <w:r w:rsidR="00000000" w:rsidRPr="00000000" w:rsidDel="00000000">
              <w:rPr>
                <w:rtl w:val="0"/>
              </w:rPr>
              <w:t xml:space="preserve"> punkts ir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3. nodaļā noteiktie izmaksu procentuālie ierobežojumi, izņemot šo noteikumu 29. punktā noteikto izmaksu procentuālo ierobežojumu, tiek aprēķināti attiecībā pret projektā plānotajām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un sadarbības partneris pirms projekta īstenošanas paraksta apliecinājumu par interešu konflikta neesību, kā arī projekta īstenošanas laikā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Nr. 18 38. punktā svītrot atsauci uz Eiropas Parlamenta un Padomes 2024. gada 23. septembra Regulas (ES, Euratom) 2024/2509 par finanšu noteikumiem, ko piemēro Savienības vispārējam budžetam (pārstrādātā redakcija) (turpmāk - Finanšu regula) 61.pantu,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 38. punkts ir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un sadarbības partneris pirms projekta īstenošanas paraksta apliecinājumu par interešu konflikta neesību, kā arī projekta īstenošanas laikā nodrošina interešu konflikta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pārskata par enerģijas patēriņu (tai skaitā enerģijas galapatēriņa ietaupījumu) iesniegšanu sadarbības iestādei. Pārskata iesniegšanas termiņš ir pieci gadi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KEM saskaņoto pieeju, lūdzam noteikt, ka Finansējuma saņēmēja pienākums ziņot par Projekta enerģijas patēriņa rādītājiem saskaņā ar Energoefektivitātes likuma 15. panta ceturto daļu ir tikai vienu reizi par pilno kalendāro gadu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CFLA standartlīgumā jau ir iestrādāts Finansējuma saņēmēja pienākums ziņot par Projekta enerģijas patēriņa rādītājiem saskaņā ar Energoefektivitātes likuma 15. panta ceturto daļu, tas pēc Projekta pabeigšanas iesniedz informāciju par objekta enerģijas patēriņu pirms un pēc Projekta īstenošanas, izmantojot Sadarbības iestādes tīmekļa vietnē www.cfla.gov.lv publicēto veidlapu. Pārskatu iesniedz vienu reizi, norādot informāciju par pirmo pilno kalendāro gadu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 39.5.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pārskata par enerģijas patēriņu (tai skaitā enerģijas galapatēriņa ietaupījumu) iesniegšanu sadarbības iestādei. Pārskatu iesniedz vienu reizi, norādot informāciju par pirmo pilno kalendāro gadu pēc projekta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Komercdarbības atbalstu šo noteikumu ietvaros sniedz saskaņā ar regulas Nr. </w:t>
            </w:r>
            <w:r w:rsidR="00000000" w:rsidRPr="00000000" w:rsidDel="00000000">
              <w:rPr>
                <w:rtl w:val="0"/>
              </w:rPr>
              <w:t xml:space="preserve">651/2014</w:t>
            </w:r>
            <w:r w:rsidR="00000000" w:rsidRPr="00000000" w:rsidDel="00000000">
              <w:rPr>
                <w:rtl w:val="0"/>
              </w:rPr>
              <w:t xml:space="preserve"> 3. pantu kā ieguldījumu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 punktā norādīto Komisijas 2014. gada 17. jūnija Regulas (ES) Nr. 651/2014, ar ko noteiktas atbalsta kategorijas atzīst par saderīgām ar iekšējo tirgu, piemērojot Līguma 107. un 108. pantu, (turpmāk – regula Nr. 651/2014) pantu, ņemot vērā, ka komercdarbības atbalsts pasākuma ietvaros tiek sniegts ar regulas Nr. 651/2014 </w:t>
            </w:r>
            <w:r w:rsidR="00000000" w:rsidRPr="00000000" w:rsidDel="00000000">
              <w:rPr>
                <w:u w:val="single"/>
                <w:rtl w:val="0"/>
              </w:rPr>
              <w:t xml:space="preserve">53.</w:t>
            </w:r>
            <w:r w:rsidR="00000000" w:rsidRPr="00000000" w:rsidDel="00000000">
              <w:rPr>
                <w:rtl w:val="0"/>
              </w:rPr>
              <w:t xml:space="preserve"> pantu, nevis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 45.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Komercdarbības atbalstu šo noteikumu ietvaros sniedz saskaņā ar regulas Nr. </w:t>
            </w:r>
            <w:r w:rsidR="00000000" w:rsidRPr="00000000" w:rsidDel="00000000">
              <w:rPr>
                <w:rtl w:val="0"/>
              </w:rPr>
              <w:t xml:space="preserve">651/2014</w:t>
            </w:r>
            <w:r w:rsidR="00000000" w:rsidRPr="00000000" w:rsidDel="00000000">
              <w:rPr>
                <w:rtl w:val="0"/>
              </w:rPr>
              <w:t xml:space="preserve"> 53. pantu kā ieguldījumu atbalstu.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26-TA-175</w:t>
    </w:r>
    <w:r>
      <w:br/>
    </w:r>
    <w:r w:rsidR="00000000" w:rsidRPr="00000000" w:rsidDel="00000000">
      <w:rPr>
        <w:rtl w:val="0"/>
      </w:rPr>
      <w:t xml:space="preserve">20.03.2026. 16.39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26-TA-175</w:t>
    </w:r>
    <w:r>
      <w:br/>
    </w:r>
    <w:r w:rsidR="00000000" w:rsidRPr="00000000" w:rsidDel="00000000">
      <w:rPr>
        <w:rtl w:val="0"/>
      </w:rPr>
      <w:t xml:space="preserve">20.03.2026. 16.39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Izziņa_26-TA-175.docx</dc:title>
</cp:coreProperties>
</file>

<file path=docProps/custom.xml><?xml version="1.0" encoding="utf-8"?>
<Properties xmlns="http://schemas.openxmlformats.org/officeDocument/2006/custom-properties" xmlns:vt="http://schemas.openxmlformats.org/officeDocument/2006/docPropsVTypes"/>
</file>