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22-TA-3069: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un Eiropas Savienības atbalsta piešķiršanas, administrēšanas un uzraudzības vispārējā kārtība lauku un zivsaimniecības attīstībai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piešķir, administrē un uzrauga valsts un Eiropas Savienības atbalstu lauku attīstībai 2023.–2027. gada periodā projektu iesniegumu veidā un zivsaimniecības attīstībai 2021.–2027. gada periodā, īstenojot dažādus darbības veidus (turpmāk – pasākumi) atbilstoši: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punktu saskaņā ar Ministru kabineta 2009. gada 3. februāra noteikumu Nr.108 “Normatīvo aktu projektu sagatavošanas noteikumi” 100.2. apakšpunktu nepieciešams izteikt precīzi atbilstoši Lauksaimniecības un lauku attīstības likuma (turpmāk – likums) 5. panta ceturtajā un septītajā daļā noteiktajam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Lauksaimniecības un lauku attīstības likumā ietvertais deleģējums paredzēts ilgtermiņā, savukārt valsts un ES atbalsta noteikumus lauku un zivsaimniecības attīstībai izstrādā konkrētam plānošanas periodam. Ar 2023. gada 1. janvāri sākas jaunais 2023.–2027. gada Eiropas Lauksaimniecības fonda lauku attīstībai plānošanas periods, kura ieviešanu regulē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Eiropas Parlamenta un Padomes 2021. gada 2. decembra Regula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Eiropas Parlamenta un Padomes 2021. gada 2. decembra Regula (ES) 2021/2116 par kopējās lauksaimniecības politikas finansēšanu, pārvaldību un uzraudzību un ar ko atceļ Regulu (ES) Nr. 1306/2013 un Komisijas 2021. gada 21. decembra Īstenošanas regula (ES) 2022/128, ar ko nosaka noteikumus par to, kā Eiropas Parlamenta un Padomes Regulu (ES) 2021/2116 piemēro attiecībā uz maksājumu aģentūrām un citām struktūrām, finanšu pārvaldību, grāmatojumu noskaidrošanu, pārbaudēm, nodrošinājumiem un pārredzamību.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turpināts no 2021. gada 1. janvāra Latvijas Republikā uzsāktais 2021.–2027. gada Eiropas Jūrlietu, zvejniecības un akvakultūras fonda (turpmāk – EJZAF) plānošanas periods, ko regulē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un Eiropas Parlamenta un Padomes 2021. gada 7. jūlija Regula (ES) 2021/1139, ar ko izveido Eiropas Jūrlietu, zvejniecības un akvakultūras fondu un groza Regulu (ES) 2017/1004.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noteikumu projekta mērķis ir noteikt kārtību, kādā piešķir, administrē un uzrauga valsts un Eiropas Savienības atbalstu lauku un zivsaimniecības attīstības darbības veidus. Bet uz Lauksaimniecības un lauku attīstības likuma 5. panta ceturtajā un septītajā daļā noteiktā pilnvarojuma pamata tiek izdoti vairāki noteikumi, kas tiek paredzēti, lai noteikt kārtību, kurā piešķir, administrē un uzrauga valsts un ES atbalstu lauku un zivsaimniecības attīstībai dažādās intervencēs (KLP SP un EJZAF pasākumos). Katram atbalsta pasākumam tiek veidoti specifiska atbalsta pasākuma noteikumi gan  lauku attīstībai, gan zivsaimniecību attīstībai, kā arī tiek izveidoti visu pasākumu vienojošie noteikumi, kas nosaka kopējos nosacījumus, kurus ir jāizpilda atbalsta saņēmējiem, un  visu pasākumu vienojošie noteikumi, kas nosaka kopējos nosacījumus, kurus ir jāizpilda institūcijām, kas administrē, uzrauga atbalsta pasākumu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piešķir, administrē un uzrauga valsts un Eiropas Savienības atbalstu lauku attīstībai 2023.–2027. gada plānošanas periodā projektu iesniegumu veidā un zivsaimniecības attīstībai 2021.–2027. gada plānošanas periodā, īstenojot dažādus darbības veidus (turpmāk – pasākumi) atbilstoši: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grūtībās nonācis uzņēmums - saimnieciskās darbības veicējs, kas atbilst regulas 702/2014 2.panta 14.punktam vai regulas 1388/2014 3.panta 5.punktam;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saskaņā ar Komerclikuma 18. pantu termins ''uzņēmums'' apzīmē organizatoriski saimniecisku vienību un nevis komercdarbības vai saimnieciskās darbības subjektu. Ņemot vērā minēto, lūdzam izvērtēt un nepieciešamības gadījumā precizēt noteikumu projektu, termina ''uzņēmums'' vietā izmantojot terminu ''komersants'' vai ''saimnieciskās darbības veicējs''.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grūtībās nonācis saimnieciskās darbības veicējs - saimnieciskās darbības veicējs, kas atbilst regulas 702/2014 2.panta 14.punktam vai regulas 1388/2014 3.panta 5.punktam;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"uzņēmums" tika aizvietots ar terminu “saimnieciskās darbības veicējs”, tai skaitā "grūtībās nonācis uzņēmums" aizvietots ar "grūtībās nonācis saimnieciskās darbības veicējs". Savukārt termins "viens vienots uzņēmums" atbilst Komerclikuma 18.pantam, līdz ar to tiek saglabāts minētā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grūtībās nonācis saimnieciskās darbības veicējs ir saimnieciskās darbības veicējs, kas atbilst regulas 2022/2472 2. panta 59. punkta vai regulas 1388/2014 3. panta 5. punkta skaidrojumam;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w:t>
            </w:r>
            <w:r w:rsidR="00000000" w:rsidRPr="00000000" w:rsidDel="00000000">
              <w:rPr>
                <w:rtl w:val="0"/>
              </w:rPr>
              <w:t xml:space="preserve">6.5.3.</w:t>
            </w:r>
            <w:r w:rsidR="00000000" w:rsidRPr="00000000" w:rsidDel="00000000">
              <w:rPr>
                <w:rtl w:val="0"/>
              </w:rPr>
              <w:t xml:space="preserve">  un </w:t>
            </w:r>
            <w:r w:rsidR="00000000" w:rsidRPr="00000000" w:rsidDel="00000000">
              <w:rPr>
                <w:rtl w:val="0"/>
              </w:rPr>
              <w:t xml:space="preserve">6.5.4.</w:t>
            </w:r>
            <w:r w:rsidR="00000000" w:rsidRPr="00000000" w:rsidDel="00000000">
              <w:rPr>
                <w:rtl w:val="0"/>
              </w:rPr>
              <w:t xml:space="preserve"> ​​​​​​​ apakšpunktā minēto prasību par nepieciešamo piedāvājumu skaitu nepiemēro, ja atbalsta pretendents ir Publisko iepirkumu likuma 1. panta 19. punktā vai Sabiedrisko pakalpojumu sniedzēju iepirkumu likumā minētais pasūtītājs. Ja publiskā iepirkuma procedūrā ir saņemts viens piedāvājums, atbalsta pretendents Lauku atbalsta dienestā iesniedz dokumentus, kas pierāda preču, pakalpojumu vai būvniecības līgumcenas pamatotību un atbilstību tirgus cenai.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un skaidrot šāda regulējuma nepieciešamību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nodrošinātu valsts un ES finansējuma efektīvu, samērīgu un pamatotu izlietojumu noteikumu projekta 6.5.3. un 6.5.4. apakšpunkts paredz atbalsta pretendentam iesniegt divus derīgus piedāvājumus pēc tirgus cenu salīdzinājuma, ja preču vai pakalpojuma izmaksas ir lielākas par 1000 euro.  Ja preces vai pakalpojuma izmaksas pārsniedz 70 000 euro, tad ir jāiesniedz trīs derīgi piedāvājumi. Šie nosacījumi attiecināmi uz visiem atbalsta saņēmējiem, izņemot 7.punktā noteiktos subjektus.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7.punkts nosaka, ka noteikumu 6.5.3. un 6.5.4. apakšpunkts nav piemērojams ja atbalsta pretendents ir Publisko iepirkumu likuma 1. panta 19. punktā vai Sabiedrisko pakalpojumu sniedzēju iepirkumu likumā minētais pasūtītājs, jo uz šiem subjektiem attiecas iepriekšminēto likumu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iepirkumu likuma nosacījumi tiek piemēroti, ja  publisku piegādes līgumu vai pakalpojuma līgumu līgumcena ir 42 000 euro vai lielāka un publisku būvdarbu līgumu līgumcena ir 170 000 euro vai lielāka.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w:t>
            </w:r>
            <w:r w:rsidR="00000000" w:rsidRPr="00000000" w:rsidDel="00000000">
              <w:rPr>
                <w:rtl w:val="0"/>
              </w:rPr>
              <w:t xml:space="preserve">7.5.3.</w:t>
            </w:r>
            <w:r w:rsidR="00000000" w:rsidRPr="00000000" w:rsidDel="00000000">
              <w:rPr>
                <w:rtl w:val="0"/>
              </w:rPr>
              <w:t xml:space="preserve"> un </w:t>
            </w:r>
            <w:r w:rsidR="00000000" w:rsidRPr="00000000" w:rsidDel="00000000">
              <w:rPr>
                <w:rtl w:val="0"/>
              </w:rPr>
              <w:t xml:space="preserve">7.5.4.</w:t>
            </w:r>
            <w:r w:rsidR="00000000" w:rsidRPr="00000000" w:rsidDel="00000000">
              <w:rPr>
                <w:rtl w:val="0"/>
              </w:rPr>
              <w:t xml:space="preserve"> apakšpunktā minēto prasību par nepieciešamo piedāvājumu skaitu nepiemēro, ja atbalsta pretendents ir Publisko iepirkumu likuma 1. panta 19. punktā vai Sabiedrisko pakalpojumu sniedzēju iepirkumu likumā minētais pasūtītājs. Ja publiskā iepirkuma procedūrā ir saņemts viens piedāvājums, atbalsta pretendents Lauku atbalsta dienestā iesniedz dokumentus, kas pierāda preču, pakalpojumu vai būvniecības līgumcenas pamatotību un atbilstību tirgus cenai.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Lauku atbalsta dienests, izvērtējot atbalsta pretendenta lauksaimniecības izglītības atbilstību normatīvajiem aktiem par lauksaimniecības attīstības pasākumu īstenošanu, ņem vērā Zemkopības ministrijas izstrādātās un publicētas Vadlīnijas lauksaimniecības izglītības atbilstības izvērtēšanai.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11. punkts paredz, ka Lauku atbalsta dienests (turpmāk - LAD), izvērtējot atbalsta pretendenta lauksaimniecības izglītības atbilstību normatīvajiem aktiem par lauksaimniecības attīstības pasākumu īstenošanu, ņem vērā Zemkopības ministrijas izstrādātās un publicētas Vadlīnijas lauksaimniecības izglītības atbilstības izvērtēšanai (turpmāk – Vadlīnijas). Attiecīgi, lai LAD varētu izvērtēt atbalsta pretendenta lauksaimniecības izglītības atbilstību noteikumu projektam, ir nepieciešamas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Vadlīnijas vēl nav izstrādātas un stājušās spēkā, Tieslietu ministrijas ieskatā noteikumu projektā šobrīd nevarētu tikt iekļauts tiesiskais regulējums, kas vēl nav izstrādāts un spēkā esošs.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noteikumu projektu virzīt apstiprināšanai Ministru kabinetā pēc Vadlīniju spēkā stāšanās vai nosakot noteikumu projektā pārejas regulējumu (līdz Vadlīniju spēkā stāšanās brīdim).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 kā ELFLA Vadošajai iestādei ir jānodrošina visa nepieciešamā normatīvo aktu bāze, tostarp vadlīniju, ELFLA atbalsta pasākumu ieviešanai. Ņemot vērā, ka vairāku pasākumu īstenošanā ir kopīgi nosacījumi, tad tiek izstrādāts šobrīd saskaņošanā esošais noteikumu projekts. Tāpat papildus tam tiek izstrādāti ar pasākuma īstenošanu saistītie specifiskie MK noteikumi. Projektu iesniegumu pieņemšana pasākumos iespējama tikai pēc specifisko MK noteikumu apstiprināšanas, t.i. saskaņošanā esošie noteikumi apvieno kopīgus nosacījumus vairākiem pasākumiem, bet iesniegumu iesniegšana jeb 11.punktā minētā nosacījuma vērtēšana iestāsies tikai pēc papildus MKN pieņemšanas un vadlīniju izstrādes. Līdz ar to 11.punktā ietvertā norma netiks piemērota līdz specifisko MK noteikumu apstiprināšanas un attiecīgi arī vadlīniju izstrādes, kas attiecīgi norādīts arī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Lauku atbalsta dienests, izvērtējot atbalsta pretendenta lauksaimniecības izglītības atbilstību normatīvajiem aktiem par lauksaimniecības attīstības pasākumu īstenošanu, ņem vērā Zemkopības ministrijas izstrādātās un publicētas Vadlīnijas lauksaimniecības izglītības atbilstības izvērtēšanai.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Lauku atbalsta dienests, izvērtējot atbalsta pretendenta lauksaimniecības izglītības atbilstību normatīvajiem aktiem par lauksaimniecības attīstības pasākumu īstenošanu, ņem vērā Zemkopības ministrijas izstrādātās un publicētas Vadlīnijas lauksaimniecības izglītības atbilstības izvērtēšanai.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Vadlīnijas lauksaimniecības izglītības atbilstības izvērtēšanai nav publiski pieejamas. Attiecīgi lūdzam skaidrot, vai tās ir izstrādātas un apstiprinātas.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vai jaunajā plānošanas periodā ir izstrādāti normatīvie akti, kas regulē lauksaimniecības attīstības pasākumu īstenošanas atbalsta pretendenta lauksaimniecības izglītības atbilstību.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Zemkopības ministrija izstrādā Vadlīnijas lauksaimniecības izglītības atbilstības izvērtēšanai. Tās tiks publicētas Zemkopības ministrijas tīmeklī un Lauku atbalsta dienesta tīmeklī, un būs pieejamas atbalsta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KLP SP atsevišķās intervencēs (pasākumos) ir noteikta prasība par lauksaimniecības izglītības  iegūšanu, attiecīgi šī prasība tiks noteikta pasākumu ieviešanas nosacījumos, piemēram, apgūtas lauksaimniecības pamatzināšanas 160 stundu apmērā piemērojot minētas Vadlīnijas lauksaimniecības izglītības atbilstības izvērtēšanai specifisko pasākumu noteikumu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Lauku atbalsta dienests, izvērtējot atbalsta pretendenta lauksaimniecības izglītības atbilstību normatīvajiem aktiem par lauksaimniecības attīstības pasākumu īstenošanu, ņem vērā Zemkopības ministrijas izstrādātās un publicētas Vadlīnijas lauksaimniecības izglītības atbilstības izvērtēšanai.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Publisko finansējumu atmaksā par iegādātajām precēm un būvēm, ja tās ir atbalsta saņēmēja īpašumā. Šī prasība neattiecas uz atbalsta saņēmējiem, kas publiskā finansējuma atmaksu saņem saskaņā ar šo noteikumu </w:t>
            </w:r>
            <w:r w:rsidR="00000000" w:rsidRPr="00000000" w:rsidDel="00000000">
              <w:rPr>
                <w:rtl w:val="0"/>
              </w:rPr>
              <w:t xml:space="preserve">48.2.</w:t>
            </w:r>
            <w:r w:rsidR="00000000" w:rsidRPr="00000000" w:rsidDel="00000000">
              <w:rPr>
                <w:rtl w:val="0"/>
              </w:rPr>
              <w:t xml:space="preserve">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32. punktu, jo pašreizējā redakcija nav saprotama. Pirmkārt, lūdzam norādīt subjektu, kuram ir pienākums atmaksāt publisko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lūdzam skaidrot, kāpēc noteikumu projekta 32. punkta subjektam publiskais finansējums ir jāatmaksā. Norādām, ka visas preces un būves, ko subjekts iegādājās (arī par tam piešķīto publisko finansējumu) nonāk tā īpašumā. Attiecīgi noteikumu projekta 32. punkts ir jāpapildina ar nosacījumiem, kādos gadījumos kāpēc noteikumu projekta 32. punkta subjektam publiskais finansējums ir jāatmaksā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32.punkts tika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32.punktā tiek noteikts,  ka, ja projekta īstenošanā ieguldīti pašu līdzekļi, tad pēc tā īstenošanas Lauku atbalsta dienests veic finansējuma “atmaksu”  (pēc  maksājuma pieprasījuma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ja preču iegādei izmanto finanšu līzinga līdzekļus, atbalsta saņēmējs maksājuma pieprasījumu iesniedz tad, kad ir izpildīti visi 48.2. apakšpunktā minētie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Lauku atbalsta dienests publisko finansējumu atmaksā par iegādātajām precēm un būvēm, ja tās ir atbalsta saņēmēja īpašumā. Šī prasība neattiecas uz atbalsta saņēmējiem, kas publiskā finansējuma atmaksu saņem saskaņā ar šo noteikumu </w:t>
            </w:r>
            <w:r w:rsidR="00000000" w:rsidRPr="00000000" w:rsidDel="00000000">
              <w:rPr>
                <w:rtl w:val="0"/>
              </w:rPr>
              <w:t xml:space="preserve">50.2.</w:t>
            </w:r>
            <w:r w:rsidR="00000000" w:rsidRPr="00000000" w:rsidDel="00000000">
              <w:rPr>
                <w:rtl w:val="0"/>
              </w:rPr>
              <w:t xml:space="preserve"> apakšpunktu.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atbalsta saņēmējs noteiktajā termiņā neiesniedz šo noteikumu </w:t>
            </w:r>
            <w:r w:rsidR="00000000" w:rsidRPr="00000000" w:rsidDel="00000000">
              <w:rPr>
                <w:rtl w:val="0"/>
              </w:rPr>
              <w:t xml:space="preserve">33.</w:t>
            </w:r>
            <w:r w:rsidR="00000000" w:rsidRPr="00000000" w:rsidDel="00000000">
              <w:rPr>
                <w:rtl w:val="0"/>
              </w:rPr>
              <w:t xml:space="preserve"> punktā minēto informāciju, Lauku atbalsta dienests pieprasa to iesniegt septiņu dienu laikā no pieprasījuma dienas. Ja atbalsta saņēmējs norādītajā laikā informāciju neiesniedz, Lauku atbalsta dienests ir tiesīgs neizmaksāt atbalstu un pieprasīt iepriekš saņemtā atbalsta atmaksu saskaņā ar šo noteikumu </w:t>
            </w:r>
            <w:r w:rsidR="00000000" w:rsidRPr="00000000" w:rsidDel="00000000">
              <w:rPr>
                <w:rtl w:val="0"/>
              </w:rPr>
              <w:t xml:space="preserve">52.2.</w:t>
            </w:r>
            <w:r w:rsidR="00000000" w:rsidRPr="00000000" w:rsidDel="00000000">
              <w:rPr>
                <w:rtl w:val="0"/>
              </w:rPr>
              <w:t xml:space="preserve"> apakšpunktu un </w:t>
            </w:r>
            <w:r w:rsidR="00000000" w:rsidRPr="00000000" w:rsidDel="00000000">
              <w:rPr>
                <w:rtl w:val="0"/>
              </w:rPr>
              <w:t xml:space="preserve">68.</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izzvetēt iespēju un nepieciešamību papildināt noteikumu projekta 34. punktu ar tiesībām LAD noteikt atbalsta saņēmējam termiņa pagarinājumu šo noteikumu 33. punktā minētās informācijas iesniegšanai, ja atbalsta saņēmējs sniedz objektīvu pamatojumu, kāpēc minētos dokumentus nav iespējams iesniegt septiņu dienu laikā no pieprasījuma dienas (piemēram, 33.7. apakšpunktā minētais ražotājs vai tā pilnvarotai pārstāvis vilcinās izsniegt atbilstības deklarācijas kopiju).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noteikumu projekta 34.punktā noteiktām, LAD ir tiesīgs (nevis, tas Lauku atbalsta dienesta ir pienākums)  neizmaksāt atbalstu un pieprasīt iepriekš saņemtā atbalsta atmaksu. “Tiesīgs” sevī ietver vērtēšanas un komunikācijas opciju, tai skaitā arī attiecinot uz savu darbību Iesnieguma likumu vai Administratīvā procesa likumu un tur paredzētās iespējas pagarināt ziņu sniegšanas laiku, ja tiek norādīts objektīvs iemesls. Tas nozīmē, ka Lauku atbalsta dienests katru gadījumu vērtēs individuāli un punktā minētās sekas var iestāties tikai tādā gadījumā, ja atbalsta saņēmējs nekomunicē ar Lauku atbalsta dienestu un nesniedz ne minēto informāciju, ne objektīvu pamatojumu par kavēšanās iemesliem.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Ja atbalsta saņēmējs noteiktajā termiņā neiesniedz šo noteikumu </w:t>
            </w:r>
            <w:r w:rsidR="00000000" w:rsidRPr="00000000" w:rsidDel="00000000">
              <w:rPr>
                <w:rtl w:val="0"/>
              </w:rPr>
              <w:t xml:space="preserve">35.</w:t>
            </w:r>
            <w:r w:rsidR="00000000" w:rsidRPr="00000000" w:rsidDel="00000000">
              <w:rPr>
                <w:rtl w:val="0"/>
              </w:rPr>
              <w:t xml:space="preserve"> punktā minēto informāciju, Lauku atbalsta dienests pieprasa to iesniegt septiņu dienu laikā no pieprasījuma dienas. Ja atbalsta saņēmējs norādītajā laikā informāciju neiesniedz, Lauku atbalsta dienests ir tiesīgs neizmaksāt atbalstu un pieprasīt iepriekš saņemtā atbalsta atmaksu saskaņā ar šo noteikumu </w:t>
            </w:r>
            <w:r w:rsidR="00000000" w:rsidRPr="00000000" w:rsidDel="00000000">
              <w:rPr>
                <w:rtl w:val="0"/>
              </w:rPr>
              <w:t xml:space="preserve">54.2.</w:t>
            </w:r>
            <w:r w:rsidR="00000000" w:rsidRPr="00000000" w:rsidDel="00000000">
              <w:rPr>
                <w:rtl w:val="0"/>
              </w:rPr>
              <w:t xml:space="preserve"> apakšpunktu un </w:t>
            </w:r>
            <w:r w:rsidR="00000000" w:rsidRPr="00000000" w:rsidDel="00000000">
              <w:rPr>
                <w:rtl w:val="0"/>
              </w:rPr>
              <w:t xml:space="preserve">68.</w:t>
            </w:r>
            <w:r w:rsidR="00000000" w:rsidRPr="00000000" w:rsidDel="00000000">
              <w:rPr>
                <w:rtl w:val="0"/>
              </w:rPr>
              <w:t xml:space="preserve">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Atbalsta saņēmējam maksājuma pieprasījuma iesniegšanas dienā nodokļu un valsts sociālās apdrošināšanas iemaksu parādi nav lielāki par 1000 </w:t>
            </w:r>
            <w:r w:rsidR="00000000" w:rsidRPr="00000000" w:rsidDel="00000000">
              <w:rPr>
                <w:i w:val="1"/>
                <w:rtl w:val="0"/>
              </w:rPr>
              <w:t xml:space="preserve">euro</w:t>
            </w:r>
            <w:r w:rsidR="00000000" w:rsidRPr="00000000" w:rsidDel="00000000">
              <w:rPr>
                <w:rtl w:val="0"/>
              </w:rPr>
              <w:t xml:space="preserve"> vai ar Valsts ieņēmumu dienesta lēmumu nodokļu maksājumu termiņš ir pagarināts vai atlikts saskaņā ar likumu "Par nodokļiem un nodevām".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nodokļu un valsts sociālās apdrošināšanas iemaksu parāda summu un nosacījumus ar “Eiropas Reģionālās attīstības fonda, Eiropas Sociālā fonda plus, Kohēzijas fonda un Taisnīgas pārkārtošanās fonda projektu iesniegumu atlases metodika 2021.–2027.gadam” metodikas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ELFLA un EJZAF atbalstam netiek piemērotas Eiropas Reģionālās attīstības fonda, Eiropas Sociālā fonda plus, Kohēzijas fonda vai Taisnīgas pārkārtošanās fonda projektu iesniegumu atlases metodika 2021.–2027.gadam. ELFLA un EJZAF atbalsts tiek ieviests saskaņā ar Lauksaimniecības un lauku attīstības likumu, līdz ar to var tikt noteiktas atšķirīgas atbalsta saņemšanas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šobrīd spēkā esošajos Ministru kabineta  noteikumos Nr.446 41.punktā ir apstiprināta līdzīga norma.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Atbalsta saņēmējam maksājuma pieprasījuma iesniegšanas dienā nodokļu un valsts sociālās apdrošināšanas iemaksu parādi nav lielāki par 1000 </w:t>
            </w:r>
            <w:r w:rsidR="00000000" w:rsidRPr="00000000" w:rsidDel="00000000">
              <w:rPr>
                <w:i w:val="1"/>
                <w:rtl w:val="0"/>
              </w:rPr>
              <w:t xml:space="preserve">euro</w:t>
            </w:r>
            <w:r w:rsidR="00000000" w:rsidRPr="00000000" w:rsidDel="00000000">
              <w:rPr>
                <w:rtl w:val="0"/>
              </w:rPr>
              <w:t xml:space="preserve"> vai ar Valsts ieņēmumu dienesta lēmumu nodokļu maksājumu termiņš ir pagarināts vai atlikts saskaņā ar likumu "Par nodokļiem un nodevām".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59.1. pasākumos, kuros jāvērtē pretendenta atbilstība grūtībās nonākuša uzņēmuma statusam, ir konstatēta kāda no grūtībās nonākuša uzņēmuma pazīmēm: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noteikumu projektu, termina ''uzņēmums'' vietā izmantojot terminu ''komersants''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šajā normā nebūtu jāskata atsevišķs vārds “uzņēmums”, bet gan vārdkopa “grūtībās nonācis uzņēmums”. Noteikumu projektā lietota terminoloģija (“grūtībās nonākušais uzņēmums”) ir saskaņota ar regulās lietotajiem terminiem (tai skaitā ar  Regulā Nr.702/2014 lietotiem terminiem). Noteikumu projekts ir mehānisms, kā ieviest ES Regulu normas, tāpēc ir svarīgi, lai lietotie termini ir savstarpēji saskaņoti, lai nodrošināt atbalsta saņēmējiem savstarpēju izpratni par Regulu normām un noteikumu normām.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pasākumos, kuros jāvērtē pretendenta atbilstība grūtībās nonākuša saimnieciskās darbības veicēja statusam, ir konstatēta kāda no grūtībās nonākuša saimnieciskās darbības veicēja pazīmēm: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59.1.1. kapitālsabiedrībai, izņemot mazu un vidēju uzņēmumu, kas ir pastāvējis mazāk nekā trīs gadus, uzkrāto zaudējumu dēļ ir zudusi vairāk nekā puse no tās parakstītā kapitāla, ja, uzkrātos zaudējumus atskaitot no rezervēm un visām pārējām pozīcijām, kuras vispārpieņemts uzskatīt par daļu no sabiedrības pašu kapitāla, rodas negatīvs rezultāts, kas pārsniedz pusi no parakstītā kapitāla, tajā skaitā kapitāldaļu uzcenojumu;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noteikumu projektu, termina ''uzņēmums'' vietā izmantojot terminu ''komersants''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šajā normā nebūtu jāskata atsevišķs vārds “uzņēmums”, bet gan 59.1. apakšpunktu papildinošs vārdkopu “grūtībās nonācis uzņēmums”.  Noteikumu projektā lietota terminoloģija ir saskaņota ar regulās lietotajiem terminiem (tai skaitā ar  Regulā Nr.702/2014 lietotiem terminiem). Noteikumu projekts ir mehānisms, kā ieviest ES Regulu normas, tāpēc ir svarīgi, lai lietotie termini ir savstarpēji saskaņoti, lai nodrošināt atbalsta saņēmējiem savstarpēju izpratni par Regulu normām un noteikumu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kapitālsabiedrībai, izņemot mazu un vidēju saimnieciskās darbības veicēju, kas ir pastāvējis mazāk nekā trīs gadus, uzkrāto zaudējumu dēļ ir zudusi vairāk nekā puse no tās parakstītā kapitāla, ja, uzkrātos zaudējumus atskaitot no rezervēm un visām pārējām pozīcijām, kuras vispārpieņemts uzskatīt par daļu no sabiedrības pašu kapitāla, rodas negatīvs rezultāts, kas pārsniedz pusi no parakstītā kapitāla, tajā skaitā kapitāldaļu uzcenojumu;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59.1.2. sabiedrībai, īpaši pilnsabiedrībai un komandītsabiedrībai, kurā vismaz dažiem dalībniekiem ir neierobežota atbildība par sabiedrības parādsaistībām, izņemot mazam un vidējam uzņēmumu, kas ir pastāvējis mazāk nekā trīs gadus, uzkrāto zaudējumu dēļ ir zudusi vairāk nekā puse no kapitāla, kas uzrādīts sabiedrības grāmatvedības pārskatos;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noteikumu projektu, termina ''uzņēmums'' vietā izmantojot terminu ''komersants''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šajā normā nebūtu jāskata atsevišķs vārds “uzņēmums”, bet gan 59.1. apakšpunktu papildinošs vārdkopu “grūtībās nonācis uzņēmums”.  Noteikumu projektā lietota terminoloģija ir saskaņota ar regulās lietotajiem terminiem (tai skaitā ar  Regulā Nr.702/2014 lietotiem terminiem). Noteikumu projekts ir mehānisms, kā ieviest ES Regulu normas, tāpēc ir svarīgi, lai lietotie termini ir savstarpēji saskaņoti, lai nodrošināt atbalsta saņēmējiem savstarpēju izpratni par Regulu normām un noteikumu normām.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sabiedrībai, īpaši pilnsabiedrībai un komandītsabiedrībai, kurā vismaz dažiem dalībniekiem ir neierobežota atbildība par sabiedrības parādsaistībām, izņemot mazam un vidējam saimnieciskās darbības veicējam, kas ir pastāvējis mazāk nekā trīs gadus, uzkrāto zaudējumu dēļ ir zudusi vairāk nekā puse no kapitāla, kas uzrādīts sabiedrības grāmatvedības pārskatos;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59.1.5. atbalsta pretendents neatbilst mazā un vidējā uzņēmuma statusam, un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noteikumu projektu, termina ''uzņēmums'' vietā izmantojot terminu ''komersants''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šajā normā nebūtu jāskata atsevišķs vārds “uzņēmums”, bet gan 59.1. apakšpunktu papildinošs vārdkopu “grūtībās nonācis uzņēmums”.  Noteikumu projektā lietota terminoloģija ir saskaņota ar regulās lietotajiem terminiem (tai skaitā ar  Regulā Nr.702/2014 lietotiem terminiem). Noteikumu projekts ir mehānisms, kā ieviest ES Regulu normas, tāpēc ir svarīgi, lai lietotie termini ir savstarpēji saskaņoti, lai nodrošināt atbalsta saņēmējiem savstarpēju izpratni par Regulu normām un noteikumu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atbalsta pretendents neatbilst mazā un vidējā saimnieciskās darbības veicēja statusam, un pēdējos divus gadus tā parādsaistību un pašu kapitāla bilances vērtību attiecība ir pārsniegusi 7,5, kā arī procentu seguma attiecība, kas rēķināta pēc saimnieciskās darbības veicēja ieņēmumiem pirms procentu, nodokļu, nolietojuma un amortizācijas atskaitījumiem (EBITDA), ir bijusi mazāka par 1,0;</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59.2. tā uzņēmuma dalībniekiem un to saistītajiem uzņēmumiem, kuri ir reģistrēti valstī vai teritorijā, kas minēta normatīvajos aktos par zemu nodokļu vai beznodokļu valstīm vai teritorijām, pieder vairāk nekā 25 procenti kapitāldaļu;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noteikumu projektu, termina ''uzņēmums'' vietā izmantojot terminu ''komersants''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lietota terminoloģija ir saskaņota ar regulās lietotajiem terminiem (tai skaitā ar  Regulā Nr.702/2014 lietotiem terminiem). Noteikumu projekts ir mehānisms, kā ieviest ES Regulu normas, tāpēc ir svarīgi, lai lietotie termini ir savstarpēji saskaņoti, lai nodrošināt atbalsta saņēmējiem savstarpēju izpratni par Regulu normām un noteikumu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tā saimnieciskās darbības veicēja dalībniekiem un to saistītajām personām, kuri ir reģistrēti valstī vai teritorijā, kas minēta normatīvajos aktos par zemu nodokļu vai beznodokļu valstīm vai teritorijām, pieder vairāk nekā 25 procenti kapitāldaļu;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Atbalsta pretendentiem, kas piesakās atbalstam pasākumos, kuros jāvērtē saistīto uzņēmumu (arī viena vienota uzņēmuma) nosacījumi, Lauku atbalsta dienests pārbauda, vai atbalsta pretendentam pieejamajā attiecināmo izmaksu kopējā apmērā tiek iekļauts arī šā atbalsta pretendenta saistīto uzņēmumu (arī viena vienota uzņēmuma) publiskais atbalsts, kas piešķirts atbilstoši regulas Nr. 702/2014  1. pielikuma 3. panta 3. punktā noteiktajiem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atšķirību starp noteikumu projektā lietoto terminu "viens vienots uzņēmums", "saistīts uzņēmums" un "uzņēmums". Vēršam uzmanību, ka izteiksmes vienveidīgums atvieglo noteikta satura informācijas nepārprotamu paušanu un uztveršanu, palīdz izprast normatīvo aktu, ļauj izvairīties no neskaidrībām un pārpratumiem. Ņemot vērā minēto, lūdzam nepieciešamības gadījumā precizēt noteikumu projektu, lietojot vienādas izteiksmes (juridisko frazeoloģiju).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saskaņā ar Komerclikuma 18. pantu termins "uzņēmums" apzīmē organizatoriski saimniecisku vienību (objektu) un nevis komercdarbības vai saimnieciskās darbības subjektu. Ievērojot minēto, lūdzam izvērtēt un nepieciešamības gadījumā precizēt noteikumu projektu, termina "uzņēmums" vietā izmantojot terminu "komersants"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lietota terminoloģija (gan “uzņēmums”, gan  "viens vienots uzņēmums", "saistīts uzņēmums") saskaņota ar regulās lietotajiem terminiem, kas atbalsta piešķiršanas jomā ir vitāli svarīgi, jo šie noteikumi ir regulu ieviešanas mehānisms.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“Viena vienota uzņēmuma” definīcija noteikta Komisijas (ES) regulas Nr.1407/2013 (2013.gada 18.decembris) par Līguma par Eiropas Savienības darbību 107. un 108.panta piemērošanu de minimis atbalstam 2.panta 2.punktā, t.i., viens vienots uzņēmums ir tāds uzņēmums, kas ietver visus uzņēmumus,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kuru starpā pastāv vienas no šādām attiecībām: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vienam uzņēmumam ir akcionāru vai dalībnieku balsstiesību vairākums citā uzņēmumā;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vienam uzņēmumam ir tiesības iecelt vai atlaist cita uzņēmuma pārvaldes, vadības vai uzraudzības struktūras locekļu vairākumu;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vienam uzņēmumam ir tiesības īstenot dominējošu ietekmi pār citu uzņēmumu saskaņā ar līgumu, kas noslēgts ar šo uzņēmumu, vai saskaņā ar tā dibināšanas līguma klauzulu vai statūtiem;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viens uzņēmums, kas ir cita uzņēmuma akcionārs vai dalībnieks, vienpersoniski kontrolē akcionāru vai dalībnieku vairākuma balsstiesības minētajā uzņēmumā saskaņā ar vienošanos, kas panākta ar pārējiem minētā uzņēmuma akcionāriem vai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Uzņēmumi, kuriem kādas no a) līdz d) apakšpunktos minētajām attiecībām pastāv ar viena vai vairāku citu uzņēmumu starpniecību, arī ir uzskatāmi par vienu vienotu uzņēmumu.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attiecībā uz uzņēmumiem, kas pieder (vai ir cita veida ietekme uzņēmumos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Komisijas regulas Nr.1407/2013 2.panta 2.punktā minētajiem kritērijiem) fiziskām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valsts atbalsta noteikumi ir piemērojami tikai gadījumos, kad minētās fiziskās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klasificējas kā “uzņēmums”. Līdz ar to vairāki uzņēmumi, kas pieder fiziskai personai, var tik klasificēti kā viens vienots uzņēmums tikai gadījumos, kad veic ekonomiskas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(saimnieciskas) aktivitātes, neatkarīgi no tās juridiskās formas un no veidā, kā tā tiek finansēta.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Nr.702/2014 I pielikuma 3.panta 3.punktam,  “Saistīti uzņēmumi” ir uzņēmumi, kuru starpā pastāv kādas no šeit norādītajām attiecībām: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uzņēmumam ir akcionāru vai locekļu balsstiesību vairākums citā uzņēmumā;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uzņēmumam ir tiesības iecelt vai atlaist pārvaldes, vadības vai uzraudzības struktūras locekļu vairākumu citā uzņēmumā;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uzņēmumam ir tiesības īstenot dominējošu ietekmi pār citu uzņēmumu saskaņā ar līgumu, kas noslēgts ar šo uzņēmumu, vai saskaņā ar tā dibināšanas līguma klauzulu vai statūtiem;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uzņēmums, kas ir cita uzņēmuma akcionārs vai loceklis, vienpersoniski kontrolē akcionāru vai locekļu vairākuma balsstiesības minētajā uzņēmumā saskaņā ar vienošanos, kas panākta ar pārējiem uzņēmuma akcionāriem vai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Uzņēmumi, kurus saista kādas no šīm attiecībām, ko nodrošina fiziska persona vai fizisku personu grupa, kuras kopīgi darbojas, arī ir uzskatāmi par saistītiem uzņēmumiem, ja tie pilnīgi vai daļēji darbojas tajā pašā konkrētajā tirgū vai blakustirgos.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Atbalsta pretendentiem, kas piesakās atbalstam pasākumos, kuros jāvērtē saistīto personu (arī viena vienota uzņēmuma) nosacījumi, Lauku atbalsta dienests pārbauda, vai atbalsta pretendentam pieejamajā attiecināmo izmaksu kopējā apmērā tiek iekļauts arī šā atbalsta pretendenta saistīto personu (arī viena vienota uzņēmuma) publiskais atbalsts, kas piešķirts atbilstoši regulas 2022/2472 I pielikuma 3. panta 3. punktā noteiktajiem kritērijiem, ja attiecīgā atbalsta saņemšanu regulējošajos normatīvajos aktos nav noteikts citādi.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atbalsta pretendents vai atbalsta saņēmējs projekta pieteikuma vērtēšanas, īstenošanas vai uzraudzības laikā neievēro normatīvajos aktos par valsts un Eiropas Savienības atbalsta piešķiršanu lauku un zivsaimniecības attīstībai konkrētam pasākumam noteiktās prasības, Lauku atbalsta dienests samazina atbalsta summu vai neatbilstību un pārkāpumu gadījumā pieņem lēmumu par atbalsta atmaksu saskaņā ar Zemkopības ministrijas apstiprinātajām vadlīnijām par finanšu korekcijas piemērošanu projektos, vai pieņem lēmumu par saistību pārtraukšanu.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Zemkopības ministrijas apstiprinātās vadlīnijas par finanšu korekcijas piemērošanu nav publiski pieejamas. Attiecīgi lūdzam skaidrot, vai tās ir izstrādātas un apstiprinātas.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Zemkopības ministrijas apstiprinātas  Vadlīnijas par finanšu korekcijas piemērošanu projektos šobrīd attiecas uz Programmas zivsaimniecības attīstībai 2021.-2027.gadam projektiem un ir pieejamas Lauku atbalsta dienesta tīmeklī - https://www.lad.gov.lv/lv/media/1457/download?attachment . Informējam, ka līdzīgi tiks apstiprinātas vadlīnijas par finanšu korekcijas piemērošanu projektos, kas tiks iesniegti valsts un Eiropas Savienības atbalstam lauku attīstībai 2023.–2027. gada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atbalsta pretendents vai atbalsta saņēmējs projekta pieteikuma vērtēšanas, īstenošanas vai uzraudzības laikā neievēro normatīvajos aktos par valsts un Eiropas Savienības atbalsta piešķiršanu lauku un zivsaimniecības attīstībai konkrētam pasākumam noteiktās prasības, Lauku atbalsta dienests samazina atbalsta summu vai neatbilstību un pārkāpumu gadījumā pieņem lēmumu par atbalsta atmaksu saskaņā ar Zemkopības ministrijas apstiprinātajām vadlīnijām par finanšu korekcijas piemērošanu projektos, vai pieņem lēmumu par saistību pārtraukšanu.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5. sadaļas 1. tabulu norādot visas noteikumu projekta vienības ar kurām tiek ieviestas regulas.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administrēšanas un uzraudzības kārtība lauku un zivsaimniecības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izskatīt iespēju precizēt noteikumu projekta nosaukumu, jo tā tvērums ir būtiski plašāks nekā tā nosaukumā ietvertais tēmu loks, lai nosaukumā būtu atspoguļots, ka šie noteikumi nosaka arī vispārējās  projektu īstenošanas prasības.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Eiropas Savienības atbalsta piešķiršanas, administrēšanas un uzraudzības kārtība, vispārējās projektu īstenošanas prasības lauku un zivsaimniecības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nosaukums tika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administrēšanas un uzraudzības vispārējā kārtība lauku un zivsaimniecības attīstībai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ar Lauksaimniecības un lauku attīstības likuma 5. panta ceturto un septīto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noteikumu projekta deleģējumā norādīto atsauci uz Lauksaimniecības un lauku attīstības likuma 5. panta septīto daļu, ņemot vērā, ka uz tā pamata Zemkopības ministrija ir jau sagatavojusi citu Ministru kabineta noteikumu projektu “Kārtība, kādā administrē un uzrauga Eiropas Lauksaimniecības garantiju fondu un Eiropas Lauksaimniecības fondu lauku attīstībai, kā arī valsts un Eiropas Savienības atbalstu lauksaimniecībai un lauku attīstībai 2023.–2027. gada plānošanas periodā” (22-TA-3048).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šī noteikumu projekta mērķis ir noteikt kārtību, kādā piešķir, administrē un uzrauga valsts un Eiropas Savienības lauku un zivsaimniecības attīstības atbalstu. Bet uz Lauksaimniecības un lauku attīstības likuma 5. panta ceturtajā un septītajā daļā noteiktā pilnvarojuma pamata tiek izdoti vairāki noteikumi, kas tiek paredzēti, lai noteikt kārtību, kurā piešķir, administrē un uzrauga valsts un ES atbalstu lauku un zivsaimniecības attīstībai dažādās intervencēs (KLP SP un EJZAF pasākumos), nosakot katram atbalsta veidam specifiskus nosacījumus Papildus tam projekta veida atbalsta pasākumiem izstrādāti vienojošie noteikumi, kas nosaka kopējos nosacījumus, kurus ir jāizpilda atbalsta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22-TA-3069 noteikumu projektā “Valsts un Eiropas Savienības atbalsta piešķiršanas, administrēšanas un uzraudzības kārtība lauku un zivsaimniecības attīstībai” ietverti vispārēji nosacījumi Eiropas Savienībā (ES) paredzētajiem kopējās lauksaimniecības politikas (turpmāk – KLP) (2023–2027) lauku attīstības un Programmas zivsaimniecības attīstībai 2021.-2027.gadam (turpmāk – ZRP) pasākumiem, kas tiek īstenoti atklātu projektu iesniegumu konkursu un kompensāciju maksājumu veidā, t.i., projektu iesniegumu iesniegšanas, projekta iesnieguma vērtēšanas un lēmumu pieņemšanas kārtība, projekta iesnieguma vērtēšanas kritēriji, projekta īstenošanas nosacījumi, kā arī publiskā finansējuma pieprasīšanas un maksājumu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Lauksaimniecības un lauku attīstības likuma 5. panta ceturto un septīto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par projekta iesnieguma atbilstību noformēšanas prasībām un publiskā finansējuma saņemšanas nosacījumiem un projekta iesnieguma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izskatīt iespēju dzēst 17.1.apakšpunktā īpaši izcelto atbilstību noformēšanas prasībām, jo tas jau ir viens no publiskā finansējuma saņemšanas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projekta iesnieguma atbilstību publiskā finansējuma saņemšanas nosacījumiem un projekta iesnieguma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tika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par projekta iesnieguma atbilstību publiskā finansējuma saņemšanas nosacījumiem un projekta iesnieguma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45.2.2. saņēmis priekšapmaksu, atbalsta saņēmējs preču piegādātājiem, darbu izpildītājiem vai pakalpojumu sniedzējiem samaksā pilnā apmērā no sava kredītiestādes norēķinu konta;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precizēt noteikumu projekta 45.2.2. apakšpunktu, norādot par ko tieši atbalsta saņēmējs preču piegādātājiem, darbu izpildītājiem vai pakalpojumu sniedzējiem samaksā pilnā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45.2.2. saņēmis priekšapmaksu, atbalsta saņēmējs preču piegādātājiem, darbu izpildītājiem vai pakalpojumu sniedzējiem samaksā pilnā apmērā par izpildītajiem pakalpojumiem no sava kredītiestādes norēķinu konta;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Apakšpunkta redakcija tika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47.2.2. saņēmis priekšapmaksu, atbalsta saņēmējs preču piegādātājiem, darbu izpildītājiem vai pakalpojumu sniedzējiem samaksā pilnā apmērā par izpildītajiem pakalpojumiem no sava kredītiestādes norēķinu konta;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 tas atzīts par vainīgu terorismā, terorisma finansēšanā, aicinājumā uz terorismu, terorisma draudos vai personas vervēšanā un apmācībā terora aktu izdarīšanai;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79.</w:t>
            </w:r>
            <w:r w:rsidR="00000000" w:rsidRPr="00000000" w:rsidDel="00000000">
              <w:rPr>
                <w:vertAlign w:val="superscript"/>
                <w:rtl w:val="0"/>
              </w:rPr>
              <w:t xml:space="preserve">4</w:t>
            </w:r>
            <w:r w:rsidR="00000000" w:rsidRPr="00000000" w:rsidDel="00000000">
              <w:rPr>
                <w:rtl w:val="0"/>
              </w:rPr>
              <w:t xml:space="preserve"> pantā lietoto terminoloģiju, aizstāt projekta 63.1.apakšpunktā vārdus "un apmācībā terora aktu izdarīšanai" ar vārdiem "apmācīšanā un apmācīšanos terorismam".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 tas atzīts par vainīgu terorismā, terorisma finansēšanā, aicinājumā uz terorismu, terorisma draudos vai personas vervēšanā apmācīšanā un apmācīšanos terorismam;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63.4.1. kukuļņemšana, kukuļdošana, kukuļa piesavināšanās, starpniecība kukuļošanā, neatļauta labuma pieņemšana vai komerciāla uzpirkšana;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Krimināllikumā 198.pantā lietoto terminoloģiju, aizstāt projekta 63.4.1.apakšpunktā vārdu "labuma" ar vārdu "labumu".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63.4.1. kukuļņemšana, kukuļdošana, kukuļa piesavināšanās, starpniecība kukuļošanā, neatļauta labumu pieņemšana vai komerciāla uzpirkšana;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63.5.2. personas nodarbināšanā bez rakstveidā noslēgta darba līguma, nodokļu normatīvajos aktos noteiktajā termiņā par šo personu neiesniedzot informatīvo deklarāciju par darba ņēmēju, kad tas uzsāk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tiesiskās noteiktības principa izriet prasība, ka tiesību normai, kas nosaka personas pamattiesību ierobežojumus, jābūt skaidrai un pēc iespējas precīzai (sk. Satversmes tiesas 2010.gada 20.decembra sprieduma lietā Nr. 2010-44-01 11.punktu). Tiesību normas izdevēja pienākums ir rūpēties par to, lai tiesību norma tiktu formulēta tik nepārprotami, ka to varētu pareizi interpretēt un piemērot, bet indivīds varētu apzināties tās piemērošanas tiesiskās sekas (sk. Satversmes tiesas 2010.gada 19.jūnija sprieduma lietā Nr. 2010-02-01 9.4.2.punktu un 2011.gada 11.maija sprieduma lietā Nr. 2010-55-0106 13.1.punktu).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projekta 63.5.2.apakšpunktā ir ietverti divi dažādi administratīvie pārkāpumi (Darba likuma 158. pants un likuma "Par nodokļiem un nodevām" 142. panta otrā 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noteiktību, precizēt projekta 63.5.2.apakšpunktu, nodalot attiecīgos pārkāpumus divās atsevišķās normās.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63.5.2. un 63.5.3. apakšpunktus.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63.5.2. personas nodarbināšanā bez rakstveidā noslēgta darba līguma;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pielikumu, norādot normatīvā akta Krimināllikums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tika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22-TA-3069</w:t>
    </w:r>
    <w:r>
      <w:br/>
    </w:r>
    <w:r w:rsidR="00000000" w:rsidRPr="00000000" w:rsidDel="00000000">
      <w:rPr>
        <w:rtl w:val="0"/>
      </w:rPr>
      <w:t xml:space="preserve">23.02.2023. 15.28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22-TA-3069</w:t>
    </w:r>
    <w:r>
      <w:br/>
    </w:r>
    <w:r w:rsidR="00000000" w:rsidRPr="00000000" w:rsidDel="00000000">
      <w:rPr>
        <w:rtl w:val="0"/>
      </w:rPr>
      <w:t xml:space="preserve">23.02.2023. 15.28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Izziņa_22-TA-3069.docx</dc:title>
</cp:coreProperties>
</file>

<file path=docProps/custom.xml><?xml version="1.0" encoding="utf-8"?>
<Properties xmlns="http://schemas.openxmlformats.org/officeDocument/2006/custom-properties" xmlns:vt="http://schemas.openxmlformats.org/officeDocument/2006/docPropsVTypes"/>
</file>