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7FFC" w14:textId="2594E07F" w:rsidR="00137EDF" w:rsidRPr="00D8116D" w:rsidRDefault="00513461" w:rsidP="00D8116D">
      <w:pPr>
        <w:pStyle w:val="naisnod"/>
        <w:spacing w:before="0" w:after="0"/>
        <w:rPr>
          <w:sz w:val="22"/>
          <w:szCs w:val="22"/>
        </w:rPr>
      </w:pPr>
      <w:r w:rsidRPr="00D8116D">
        <w:rPr>
          <w:sz w:val="22"/>
          <w:szCs w:val="22"/>
        </w:rPr>
        <w:t xml:space="preserve">Izziņa par </w:t>
      </w:r>
      <w:bookmarkStart w:id="0" w:name="_Hlk77601037"/>
      <w:r w:rsidR="00137EDF" w:rsidRPr="00D8116D">
        <w:rPr>
          <w:sz w:val="22"/>
          <w:szCs w:val="22"/>
        </w:rPr>
        <w:t>atzinumos sniegtajiem iebildumiem</w:t>
      </w:r>
      <w:bookmarkEnd w:id="0"/>
    </w:p>
    <w:p w14:paraId="55F4D289" w14:textId="77777777" w:rsidR="00ED578A" w:rsidRPr="00D8116D" w:rsidRDefault="00137EDF" w:rsidP="00D8116D">
      <w:pPr>
        <w:pStyle w:val="naisf"/>
        <w:spacing w:before="0" w:after="0"/>
        <w:jc w:val="center"/>
        <w:rPr>
          <w:b/>
          <w:bCs/>
          <w:sz w:val="22"/>
          <w:szCs w:val="22"/>
        </w:rPr>
      </w:pPr>
      <w:r w:rsidRPr="00D8116D">
        <w:rPr>
          <w:b/>
          <w:bCs/>
          <w:sz w:val="22"/>
          <w:szCs w:val="22"/>
        </w:rPr>
        <w:t xml:space="preserve">par </w:t>
      </w:r>
      <w:r w:rsidR="00A76FB3" w:rsidRPr="00D8116D">
        <w:rPr>
          <w:b/>
          <w:bCs/>
          <w:sz w:val="22"/>
          <w:szCs w:val="22"/>
        </w:rPr>
        <w:t xml:space="preserve">Ministru kabineta rīkojuma projektu „Par valsts nekustamā īpašuma ieguldīšanu valsts sabiedrības ar ierobežotu atbildību </w:t>
      </w:r>
    </w:p>
    <w:p w14:paraId="7C79CBD3" w14:textId="79CA037D" w:rsidR="00513461" w:rsidRPr="00D8116D" w:rsidRDefault="00A76FB3" w:rsidP="00D8116D">
      <w:pPr>
        <w:pStyle w:val="naisf"/>
        <w:spacing w:before="0" w:after="0"/>
        <w:jc w:val="center"/>
        <w:rPr>
          <w:b/>
          <w:bCs/>
          <w:sz w:val="22"/>
          <w:szCs w:val="22"/>
        </w:rPr>
      </w:pPr>
      <w:r w:rsidRPr="00D8116D">
        <w:rPr>
          <w:b/>
          <w:bCs/>
          <w:sz w:val="22"/>
          <w:szCs w:val="22"/>
        </w:rPr>
        <w:t>„Latvijas Nacionālā opera un balets” pamatkapitālā”</w:t>
      </w:r>
    </w:p>
    <w:p w14:paraId="678D6A4A" w14:textId="77777777" w:rsidR="00B22F72" w:rsidRPr="00D8116D" w:rsidRDefault="00B22F72" w:rsidP="00D8116D">
      <w:pPr>
        <w:pStyle w:val="naislab"/>
        <w:spacing w:before="0" w:after="0"/>
        <w:jc w:val="center"/>
        <w:outlineLvl w:val="0"/>
        <w:rPr>
          <w:b/>
          <w:sz w:val="22"/>
          <w:szCs w:val="22"/>
        </w:rPr>
      </w:pPr>
    </w:p>
    <w:p w14:paraId="373396D7" w14:textId="77777777" w:rsidR="00B22F72" w:rsidRPr="00D8116D" w:rsidRDefault="00067B65" w:rsidP="00D8116D">
      <w:pPr>
        <w:pStyle w:val="naisf"/>
        <w:spacing w:before="0" w:after="0"/>
        <w:ind w:firstLine="0"/>
        <w:jc w:val="center"/>
        <w:rPr>
          <w:b/>
          <w:sz w:val="22"/>
          <w:szCs w:val="22"/>
        </w:rPr>
      </w:pPr>
      <w:r w:rsidRPr="00D8116D">
        <w:rPr>
          <w:b/>
          <w:sz w:val="22"/>
          <w:szCs w:val="22"/>
        </w:rPr>
        <w:t>I. Jautājumi, par kuriem saskaņošanā vienošanās nav panākta</w:t>
      </w:r>
    </w:p>
    <w:p w14:paraId="512E768B" w14:textId="77777777" w:rsidR="00B22F72" w:rsidRPr="00D8116D" w:rsidRDefault="00B22F72" w:rsidP="00D8116D">
      <w:pPr>
        <w:rPr>
          <w:b/>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96"/>
        <w:gridCol w:w="2580"/>
        <w:gridCol w:w="3761"/>
        <w:gridCol w:w="2412"/>
        <w:gridCol w:w="2054"/>
        <w:gridCol w:w="2589"/>
      </w:tblGrid>
      <w:tr w:rsidR="00DD48AB" w:rsidRPr="00D8116D" w14:paraId="203A2FFF" w14:textId="77777777" w:rsidTr="00B177D8">
        <w:tc>
          <w:tcPr>
            <w:tcW w:w="213" w:type="pct"/>
            <w:tcBorders>
              <w:top w:val="single" w:sz="6" w:space="0" w:color="000000"/>
              <w:left w:val="single" w:sz="6" w:space="0" w:color="000000"/>
              <w:bottom w:val="single" w:sz="6" w:space="0" w:color="000000"/>
              <w:right w:val="single" w:sz="6" w:space="0" w:color="000000"/>
            </w:tcBorders>
            <w:vAlign w:val="center"/>
          </w:tcPr>
          <w:p w14:paraId="7E86946D" w14:textId="77777777" w:rsidR="00B22F72" w:rsidRPr="00D8116D" w:rsidRDefault="00067B65" w:rsidP="00D8116D">
            <w:pPr>
              <w:pStyle w:val="naisc"/>
              <w:spacing w:before="0" w:after="0"/>
              <w:rPr>
                <w:sz w:val="22"/>
                <w:szCs w:val="22"/>
              </w:rPr>
            </w:pPr>
            <w:r w:rsidRPr="00D8116D">
              <w:rPr>
                <w:sz w:val="22"/>
                <w:szCs w:val="22"/>
              </w:rPr>
              <w:t>Nr. p.k.</w:t>
            </w:r>
          </w:p>
        </w:tc>
        <w:tc>
          <w:tcPr>
            <w:tcW w:w="922" w:type="pct"/>
            <w:tcBorders>
              <w:top w:val="single" w:sz="6" w:space="0" w:color="000000"/>
              <w:left w:val="single" w:sz="6" w:space="0" w:color="000000"/>
              <w:bottom w:val="single" w:sz="6" w:space="0" w:color="000000"/>
              <w:right w:val="single" w:sz="6" w:space="0" w:color="000000"/>
            </w:tcBorders>
            <w:vAlign w:val="center"/>
          </w:tcPr>
          <w:p w14:paraId="0BF902F3" w14:textId="77777777" w:rsidR="00B22F72" w:rsidRPr="00D8116D" w:rsidRDefault="001B26F0" w:rsidP="00D8116D">
            <w:pPr>
              <w:pStyle w:val="naisc"/>
              <w:spacing w:before="0" w:after="0"/>
              <w:ind w:firstLine="12"/>
              <w:rPr>
                <w:sz w:val="22"/>
                <w:szCs w:val="22"/>
              </w:rPr>
            </w:pPr>
            <w:r w:rsidRPr="00D8116D">
              <w:rPr>
                <w:sz w:val="22"/>
                <w:szCs w:val="22"/>
              </w:rPr>
              <w:t>Saskaņošanai nosūtītā projekta redakcija (konkrēta punkta (panta) redakcija)</w:t>
            </w:r>
          </w:p>
        </w:tc>
        <w:tc>
          <w:tcPr>
            <w:tcW w:w="1344" w:type="pct"/>
            <w:tcBorders>
              <w:top w:val="single" w:sz="6" w:space="0" w:color="000000"/>
              <w:left w:val="single" w:sz="6" w:space="0" w:color="000000"/>
              <w:bottom w:val="single" w:sz="6" w:space="0" w:color="000000"/>
              <w:right w:val="single" w:sz="6" w:space="0" w:color="000000"/>
            </w:tcBorders>
            <w:vAlign w:val="center"/>
          </w:tcPr>
          <w:p w14:paraId="6AF2E6BD" w14:textId="77777777" w:rsidR="00B22F72" w:rsidRPr="00D8116D" w:rsidRDefault="001B26F0" w:rsidP="00D8116D">
            <w:pPr>
              <w:pStyle w:val="naisc"/>
              <w:spacing w:before="0" w:after="0"/>
              <w:ind w:right="3"/>
              <w:rPr>
                <w:sz w:val="22"/>
                <w:szCs w:val="22"/>
              </w:rPr>
            </w:pPr>
            <w:r w:rsidRPr="00D8116D">
              <w:rPr>
                <w:sz w:val="22"/>
                <w:szCs w:val="22"/>
              </w:rPr>
              <w:t>Atzinumā norādītais ministrijas (citas institūcijas) iebildums, kā arī saskaņošanā papildus izteiktais iebildums par projekta konkrēto punktu (pantu)</w:t>
            </w:r>
          </w:p>
        </w:tc>
        <w:tc>
          <w:tcPr>
            <w:tcW w:w="862" w:type="pct"/>
            <w:tcBorders>
              <w:top w:val="single" w:sz="6" w:space="0" w:color="000000"/>
              <w:left w:val="single" w:sz="6" w:space="0" w:color="000000"/>
              <w:bottom w:val="single" w:sz="6" w:space="0" w:color="000000"/>
              <w:right w:val="single" w:sz="6" w:space="0" w:color="000000"/>
            </w:tcBorders>
            <w:vAlign w:val="center"/>
          </w:tcPr>
          <w:p w14:paraId="038ABEED" w14:textId="77777777" w:rsidR="00B22F72" w:rsidRPr="00D8116D" w:rsidRDefault="001B26F0" w:rsidP="00D8116D">
            <w:pPr>
              <w:pStyle w:val="naisc"/>
              <w:spacing w:before="0" w:after="0"/>
              <w:ind w:firstLine="21"/>
              <w:rPr>
                <w:sz w:val="22"/>
                <w:szCs w:val="22"/>
              </w:rPr>
            </w:pPr>
            <w:r w:rsidRPr="00D8116D">
              <w:rPr>
                <w:sz w:val="22"/>
                <w:szCs w:val="22"/>
              </w:rPr>
              <w:t>Atbildīgās ministrijas pamatojums iebilduma noraidījumam</w:t>
            </w:r>
          </w:p>
        </w:tc>
        <w:tc>
          <w:tcPr>
            <w:tcW w:w="734" w:type="pct"/>
            <w:tcBorders>
              <w:top w:val="single" w:sz="4" w:space="0" w:color="auto"/>
              <w:left w:val="single" w:sz="4" w:space="0" w:color="auto"/>
              <w:bottom w:val="single" w:sz="4" w:space="0" w:color="auto"/>
              <w:right w:val="single" w:sz="4" w:space="0" w:color="auto"/>
            </w:tcBorders>
            <w:vAlign w:val="center"/>
          </w:tcPr>
          <w:p w14:paraId="7CCB2AB0" w14:textId="77777777" w:rsidR="00B22F72" w:rsidRPr="00D8116D" w:rsidRDefault="001B26F0" w:rsidP="00D8116D">
            <w:pPr>
              <w:jc w:val="center"/>
              <w:rPr>
                <w:sz w:val="22"/>
                <w:szCs w:val="22"/>
              </w:rPr>
            </w:pPr>
            <w:r w:rsidRPr="00D8116D">
              <w:rPr>
                <w:sz w:val="22"/>
                <w:szCs w:val="22"/>
              </w:rPr>
              <w:t>Atzinuma sniedzēja uzturētais iebildums, ja tas atšķiras no atzinumā norādītā iebilduma pamatojuma</w:t>
            </w:r>
          </w:p>
        </w:tc>
        <w:tc>
          <w:tcPr>
            <w:tcW w:w="925" w:type="pct"/>
            <w:tcBorders>
              <w:top w:val="single" w:sz="4" w:space="0" w:color="auto"/>
              <w:left w:val="single" w:sz="4" w:space="0" w:color="auto"/>
              <w:bottom w:val="single" w:sz="4" w:space="0" w:color="auto"/>
            </w:tcBorders>
            <w:vAlign w:val="center"/>
          </w:tcPr>
          <w:p w14:paraId="1931A2AB" w14:textId="77777777" w:rsidR="00B22F72" w:rsidRPr="00D8116D" w:rsidRDefault="001B26F0" w:rsidP="00D8116D">
            <w:pPr>
              <w:jc w:val="center"/>
              <w:rPr>
                <w:sz w:val="22"/>
                <w:szCs w:val="22"/>
              </w:rPr>
            </w:pPr>
            <w:r w:rsidRPr="00D8116D">
              <w:rPr>
                <w:sz w:val="22"/>
                <w:szCs w:val="22"/>
              </w:rPr>
              <w:t>Projekta attiecīgā punkta (panta) galīgā redakcija</w:t>
            </w:r>
          </w:p>
        </w:tc>
      </w:tr>
      <w:tr w:rsidR="00DD48AB" w:rsidRPr="00D8116D" w14:paraId="28DE96DE" w14:textId="77777777" w:rsidTr="00B177D8">
        <w:trPr>
          <w:trHeight w:val="274"/>
        </w:trPr>
        <w:tc>
          <w:tcPr>
            <w:tcW w:w="213" w:type="pct"/>
            <w:tcBorders>
              <w:top w:val="single" w:sz="6" w:space="0" w:color="000000"/>
              <w:left w:val="single" w:sz="6" w:space="0" w:color="000000"/>
              <w:bottom w:val="single" w:sz="6" w:space="0" w:color="000000"/>
              <w:right w:val="single" w:sz="6" w:space="0" w:color="000000"/>
            </w:tcBorders>
            <w:vAlign w:val="center"/>
          </w:tcPr>
          <w:p w14:paraId="7350141D" w14:textId="77777777" w:rsidR="00B22F72" w:rsidRPr="00D8116D" w:rsidRDefault="00513461" w:rsidP="00D8116D">
            <w:pPr>
              <w:pStyle w:val="naisc"/>
              <w:spacing w:before="0" w:after="0"/>
              <w:rPr>
                <w:sz w:val="22"/>
                <w:szCs w:val="22"/>
              </w:rPr>
            </w:pPr>
            <w:r w:rsidRPr="00D8116D">
              <w:rPr>
                <w:sz w:val="22"/>
                <w:szCs w:val="22"/>
              </w:rPr>
              <w:t>1</w:t>
            </w:r>
          </w:p>
        </w:tc>
        <w:tc>
          <w:tcPr>
            <w:tcW w:w="922" w:type="pct"/>
            <w:tcBorders>
              <w:top w:val="single" w:sz="6" w:space="0" w:color="000000"/>
              <w:left w:val="single" w:sz="6" w:space="0" w:color="000000"/>
              <w:bottom w:val="single" w:sz="6" w:space="0" w:color="000000"/>
              <w:right w:val="single" w:sz="6" w:space="0" w:color="000000"/>
            </w:tcBorders>
          </w:tcPr>
          <w:p w14:paraId="62208B81" w14:textId="77777777" w:rsidR="00B22F72" w:rsidRPr="00D8116D" w:rsidRDefault="00513461" w:rsidP="00D8116D">
            <w:pPr>
              <w:pStyle w:val="naisc"/>
              <w:spacing w:before="0" w:after="0"/>
              <w:ind w:firstLine="12"/>
              <w:rPr>
                <w:sz w:val="22"/>
                <w:szCs w:val="22"/>
              </w:rPr>
            </w:pPr>
            <w:r w:rsidRPr="00D8116D">
              <w:rPr>
                <w:sz w:val="22"/>
                <w:szCs w:val="22"/>
              </w:rPr>
              <w:t>2</w:t>
            </w:r>
          </w:p>
        </w:tc>
        <w:tc>
          <w:tcPr>
            <w:tcW w:w="1344" w:type="pct"/>
            <w:tcBorders>
              <w:top w:val="single" w:sz="6" w:space="0" w:color="000000"/>
              <w:left w:val="single" w:sz="6" w:space="0" w:color="000000"/>
              <w:bottom w:val="single" w:sz="6" w:space="0" w:color="000000"/>
              <w:right w:val="single" w:sz="6" w:space="0" w:color="000000"/>
            </w:tcBorders>
          </w:tcPr>
          <w:p w14:paraId="1594AE28" w14:textId="77777777" w:rsidR="00B22F72" w:rsidRPr="00D8116D" w:rsidRDefault="00513461" w:rsidP="00D8116D">
            <w:pPr>
              <w:pStyle w:val="naisc"/>
              <w:spacing w:before="0" w:after="0"/>
              <w:rPr>
                <w:sz w:val="22"/>
                <w:szCs w:val="22"/>
              </w:rPr>
            </w:pPr>
            <w:r w:rsidRPr="00D8116D">
              <w:rPr>
                <w:sz w:val="22"/>
                <w:szCs w:val="22"/>
              </w:rPr>
              <w:t>3</w:t>
            </w:r>
          </w:p>
        </w:tc>
        <w:tc>
          <w:tcPr>
            <w:tcW w:w="862" w:type="pct"/>
            <w:tcBorders>
              <w:top w:val="single" w:sz="6" w:space="0" w:color="000000"/>
              <w:left w:val="single" w:sz="6" w:space="0" w:color="000000"/>
              <w:bottom w:val="single" w:sz="6" w:space="0" w:color="000000"/>
              <w:right w:val="single" w:sz="6" w:space="0" w:color="000000"/>
            </w:tcBorders>
          </w:tcPr>
          <w:p w14:paraId="03E9E34A" w14:textId="77777777" w:rsidR="00B22F72" w:rsidRPr="00D8116D" w:rsidRDefault="00513461" w:rsidP="00D8116D">
            <w:pPr>
              <w:pStyle w:val="naisc"/>
              <w:spacing w:before="0" w:after="0"/>
              <w:rPr>
                <w:sz w:val="22"/>
                <w:szCs w:val="22"/>
              </w:rPr>
            </w:pPr>
            <w:r w:rsidRPr="00D8116D">
              <w:rPr>
                <w:sz w:val="22"/>
                <w:szCs w:val="22"/>
              </w:rPr>
              <w:t>4</w:t>
            </w:r>
          </w:p>
        </w:tc>
        <w:tc>
          <w:tcPr>
            <w:tcW w:w="734" w:type="pct"/>
            <w:tcBorders>
              <w:top w:val="single" w:sz="4" w:space="0" w:color="auto"/>
              <w:left w:val="single" w:sz="4" w:space="0" w:color="auto"/>
              <w:bottom w:val="single" w:sz="4" w:space="0" w:color="auto"/>
              <w:right w:val="single" w:sz="4" w:space="0" w:color="auto"/>
            </w:tcBorders>
          </w:tcPr>
          <w:p w14:paraId="3EC14E8C" w14:textId="77777777" w:rsidR="00B22F72" w:rsidRPr="00D8116D" w:rsidRDefault="00513461" w:rsidP="00D8116D">
            <w:pPr>
              <w:jc w:val="center"/>
              <w:rPr>
                <w:sz w:val="22"/>
                <w:szCs w:val="22"/>
              </w:rPr>
            </w:pPr>
            <w:r w:rsidRPr="00D8116D">
              <w:rPr>
                <w:sz w:val="22"/>
                <w:szCs w:val="22"/>
              </w:rPr>
              <w:t>5</w:t>
            </w:r>
          </w:p>
        </w:tc>
        <w:tc>
          <w:tcPr>
            <w:tcW w:w="925" w:type="pct"/>
            <w:tcBorders>
              <w:top w:val="single" w:sz="4" w:space="0" w:color="auto"/>
              <w:left w:val="single" w:sz="4" w:space="0" w:color="auto"/>
              <w:bottom w:val="single" w:sz="4" w:space="0" w:color="auto"/>
            </w:tcBorders>
          </w:tcPr>
          <w:p w14:paraId="18EF2156" w14:textId="77777777" w:rsidR="00B22F72" w:rsidRPr="00D8116D" w:rsidRDefault="00513461" w:rsidP="00D8116D">
            <w:pPr>
              <w:jc w:val="center"/>
              <w:rPr>
                <w:sz w:val="22"/>
                <w:szCs w:val="22"/>
              </w:rPr>
            </w:pPr>
            <w:r w:rsidRPr="00D8116D">
              <w:rPr>
                <w:sz w:val="22"/>
                <w:szCs w:val="22"/>
              </w:rPr>
              <w:t>6</w:t>
            </w:r>
          </w:p>
        </w:tc>
      </w:tr>
      <w:tr w:rsidR="00054678" w:rsidRPr="00D8116D" w14:paraId="6B881D6B" w14:textId="77777777" w:rsidTr="00B177D8">
        <w:trPr>
          <w:trHeight w:val="65"/>
        </w:trPr>
        <w:tc>
          <w:tcPr>
            <w:tcW w:w="213" w:type="pct"/>
            <w:tcBorders>
              <w:top w:val="single" w:sz="6" w:space="0" w:color="000000"/>
              <w:left w:val="single" w:sz="6" w:space="0" w:color="000000"/>
              <w:bottom w:val="single" w:sz="6" w:space="0" w:color="000000"/>
              <w:right w:val="single" w:sz="6" w:space="0" w:color="000000"/>
            </w:tcBorders>
          </w:tcPr>
          <w:p w14:paraId="7E4E8615" w14:textId="74E89722" w:rsidR="00054678" w:rsidRPr="00D8116D" w:rsidRDefault="00054678" w:rsidP="00D8116D">
            <w:pPr>
              <w:pStyle w:val="naisc"/>
              <w:spacing w:before="0" w:after="0"/>
              <w:rPr>
                <w:sz w:val="22"/>
                <w:szCs w:val="22"/>
              </w:rPr>
            </w:pPr>
          </w:p>
        </w:tc>
        <w:tc>
          <w:tcPr>
            <w:tcW w:w="922" w:type="pct"/>
            <w:tcBorders>
              <w:top w:val="single" w:sz="6" w:space="0" w:color="000000"/>
              <w:left w:val="single" w:sz="6" w:space="0" w:color="000000"/>
              <w:bottom w:val="single" w:sz="6" w:space="0" w:color="000000"/>
              <w:right w:val="single" w:sz="6" w:space="0" w:color="000000"/>
            </w:tcBorders>
          </w:tcPr>
          <w:p w14:paraId="257ABFC1" w14:textId="4F75A4F6" w:rsidR="00054678" w:rsidRPr="00D8116D" w:rsidRDefault="00054678" w:rsidP="00D8116D">
            <w:pPr>
              <w:tabs>
                <w:tab w:val="left" w:pos="993"/>
              </w:tabs>
              <w:jc w:val="both"/>
              <w:rPr>
                <w:sz w:val="22"/>
                <w:szCs w:val="22"/>
              </w:rPr>
            </w:pPr>
          </w:p>
        </w:tc>
        <w:tc>
          <w:tcPr>
            <w:tcW w:w="1344" w:type="pct"/>
            <w:tcBorders>
              <w:top w:val="single" w:sz="6" w:space="0" w:color="000000"/>
              <w:left w:val="single" w:sz="6" w:space="0" w:color="000000"/>
              <w:bottom w:val="single" w:sz="6" w:space="0" w:color="000000"/>
              <w:right w:val="single" w:sz="6" w:space="0" w:color="000000"/>
            </w:tcBorders>
          </w:tcPr>
          <w:p w14:paraId="711B06C8" w14:textId="24E06454" w:rsidR="00054678" w:rsidRPr="00D8116D" w:rsidRDefault="00054678" w:rsidP="00D8116D">
            <w:pPr>
              <w:ind w:firstLine="567"/>
              <w:jc w:val="both"/>
              <w:rPr>
                <w:sz w:val="22"/>
                <w:szCs w:val="22"/>
              </w:rPr>
            </w:pPr>
          </w:p>
        </w:tc>
        <w:tc>
          <w:tcPr>
            <w:tcW w:w="862" w:type="pct"/>
            <w:tcBorders>
              <w:top w:val="single" w:sz="6" w:space="0" w:color="000000"/>
              <w:left w:val="single" w:sz="6" w:space="0" w:color="000000"/>
              <w:bottom w:val="single" w:sz="6" w:space="0" w:color="000000"/>
              <w:right w:val="single" w:sz="6" w:space="0" w:color="000000"/>
            </w:tcBorders>
          </w:tcPr>
          <w:p w14:paraId="34E02549" w14:textId="3014B13E" w:rsidR="00054678" w:rsidRPr="00D8116D" w:rsidRDefault="00054678" w:rsidP="00D8116D">
            <w:pPr>
              <w:pStyle w:val="naisc"/>
              <w:spacing w:before="0" w:after="0"/>
              <w:jc w:val="both"/>
              <w:rPr>
                <w:sz w:val="22"/>
                <w:szCs w:val="22"/>
              </w:rPr>
            </w:pPr>
          </w:p>
        </w:tc>
        <w:tc>
          <w:tcPr>
            <w:tcW w:w="734" w:type="pct"/>
            <w:tcBorders>
              <w:top w:val="single" w:sz="4" w:space="0" w:color="auto"/>
              <w:left w:val="single" w:sz="4" w:space="0" w:color="auto"/>
              <w:bottom w:val="single" w:sz="4" w:space="0" w:color="auto"/>
              <w:right w:val="single" w:sz="4" w:space="0" w:color="auto"/>
            </w:tcBorders>
          </w:tcPr>
          <w:p w14:paraId="16033A76" w14:textId="77777777" w:rsidR="00054678" w:rsidRPr="00D8116D" w:rsidRDefault="00054678" w:rsidP="00D8116D">
            <w:pPr>
              <w:jc w:val="center"/>
              <w:rPr>
                <w:sz w:val="22"/>
                <w:szCs w:val="22"/>
              </w:rPr>
            </w:pPr>
          </w:p>
        </w:tc>
        <w:tc>
          <w:tcPr>
            <w:tcW w:w="925" w:type="pct"/>
            <w:tcBorders>
              <w:top w:val="single" w:sz="4" w:space="0" w:color="auto"/>
              <w:left w:val="single" w:sz="4" w:space="0" w:color="auto"/>
              <w:bottom w:val="single" w:sz="4" w:space="0" w:color="auto"/>
              <w:right w:val="single" w:sz="4" w:space="0" w:color="auto"/>
            </w:tcBorders>
          </w:tcPr>
          <w:p w14:paraId="14E68BA6" w14:textId="2E55E3E6" w:rsidR="00054678" w:rsidRPr="00D8116D" w:rsidRDefault="00054678" w:rsidP="00D8116D">
            <w:pPr>
              <w:jc w:val="both"/>
              <w:rPr>
                <w:sz w:val="22"/>
                <w:szCs w:val="22"/>
              </w:rPr>
            </w:pPr>
          </w:p>
        </w:tc>
      </w:tr>
    </w:tbl>
    <w:p w14:paraId="5FDD81F6" w14:textId="77777777" w:rsidR="00E6799F" w:rsidRPr="00D8116D" w:rsidRDefault="00E6799F" w:rsidP="00D8116D">
      <w:pPr>
        <w:pStyle w:val="naisf"/>
        <w:spacing w:before="0" w:after="0"/>
        <w:ind w:firstLine="0"/>
        <w:rPr>
          <w:sz w:val="22"/>
          <w:szCs w:val="22"/>
        </w:rPr>
      </w:pPr>
    </w:p>
    <w:p w14:paraId="4FCFB061" w14:textId="1527843F" w:rsidR="00B22F72" w:rsidRPr="00D8116D" w:rsidRDefault="0049246D" w:rsidP="00D8116D">
      <w:pPr>
        <w:pStyle w:val="naisf"/>
        <w:spacing w:before="0" w:after="0"/>
        <w:ind w:firstLine="0"/>
        <w:rPr>
          <w:b/>
          <w:sz w:val="22"/>
          <w:szCs w:val="22"/>
        </w:rPr>
      </w:pPr>
      <w:r w:rsidRPr="00D8116D">
        <w:rPr>
          <w:b/>
          <w:sz w:val="22"/>
          <w:szCs w:val="22"/>
        </w:rPr>
        <w:t>  </w:t>
      </w:r>
      <w:r w:rsidR="00067B65" w:rsidRPr="00D8116D">
        <w:rPr>
          <w:b/>
          <w:sz w:val="22"/>
          <w:szCs w:val="22"/>
        </w:rPr>
        <w:t>Informācija par elektronisko saskaņošanu:</w:t>
      </w:r>
    </w:p>
    <w:p w14:paraId="280934E9" w14:textId="77777777" w:rsidR="00ED578A" w:rsidRPr="00D8116D" w:rsidRDefault="00ED578A" w:rsidP="00D8116D">
      <w:pPr>
        <w:pStyle w:val="naisf"/>
        <w:spacing w:before="0" w:after="0"/>
        <w:ind w:firstLine="0"/>
        <w:rPr>
          <w:b/>
          <w:sz w:val="22"/>
          <w:szCs w:val="22"/>
        </w:rPr>
      </w:pPr>
    </w:p>
    <w:tbl>
      <w:tblPr>
        <w:tblW w:w="14034" w:type="dxa"/>
        <w:tblLayout w:type="fixed"/>
        <w:tblLook w:val="00A0" w:firstRow="1" w:lastRow="0" w:firstColumn="1" w:lastColumn="0" w:noHBand="0" w:noVBand="0"/>
      </w:tblPr>
      <w:tblGrid>
        <w:gridCol w:w="5386"/>
        <w:gridCol w:w="8648"/>
      </w:tblGrid>
      <w:tr w:rsidR="00A76FB3" w:rsidRPr="00D8116D" w14:paraId="15CD1925" w14:textId="77777777" w:rsidTr="00A76FB3">
        <w:tc>
          <w:tcPr>
            <w:tcW w:w="5386" w:type="dxa"/>
          </w:tcPr>
          <w:p w14:paraId="36E9660A" w14:textId="77777777" w:rsidR="00A76FB3" w:rsidRPr="00D8116D" w:rsidRDefault="00A76FB3" w:rsidP="00D8116D">
            <w:pPr>
              <w:pStyle w:val="naisf"/>
              <w:spacing w:before="0" w:after="0"/>
              <w:ind w:firstLine="0"/>
              <w:rPr>
                <w:sz w:val="22"/>
                <w:szCs w:val="22"/>
              </w:rPr>
            </w:pPr>
            <w:r w:rsidRPr="00D8116D">
              <w:rPr>
                <w:sz w:val="22"/>
                <w:szCs w:val="22"/>
              </w:rPr>
              <w:t>Datums:</w:t>
            </w:r>
          </w:p>
        </w:tc>
        <w:tc>
          <w:tcPr>
            <w:tcW w:w="8648" w:type="dxa"/>
            <w:tcBorders>
              <w:bottom w:val="single" w:sz="4" w:space="0" w:color="auto"/>
            </w:tcBorders>
            <w:shd w:val="clear" w:color="auto" w:fill="auto"/>
          </w:tcPr>
          <w:p w14:paraId="32FC581D" w14:textId="3429ECCB" w:rsidR="00A76FB3" w:rsidRPr="00D8116D" w:rsidRDefault="00A76FB3" w:rsidP="00D8116D">
            <w:pPr>
              <w:pStyle w:val="Paraststmeklis"/>
              <w:spacing w:before="0" w:beforeAutospacing="0" w:after="0" w:afterAutospacing="0"/>
              <w:jc w:val="both"/>
              <w:rPr>
                <w:sz w:val="22"/>
                <w:szCs w:val="22"/>
              </w:rPr>
            </w:pPr>
            <w:proofErr w:type="gramStart"/>
            <w:r w:rsidRPr="00D8116D">
              <w:rPr>
                <w:sz w:val="22"/>
                <w:szCs w:val="22"/>
              </w:rPr>
              <w:t>2021.gada</w:t>
            </w:r>
            <w:proofErr w:type="gramEnd"/>
            <w:r w:rsidRPr="00D8116D">
              <w:rPr>
                <w:sz w:val="22"/>
                <w:szCs w:val="22"/>
              </w:rPr>
              <w:t xml:space="preserve"> </w:t>
            </w:r>
            <w:r w:rsidR="00935FAF">
              <w:rPr>
                <w:sz w:val="22"/>
                <w:szCs w:val="22"/>
              </w:rPr>
              <w:t>2</w:t>
            </w:r>
            <w:r w:rsidR="00941266" w:rsidRPr="00D8116D">
              <w:rPr>
                <w:sz w:val="22"/>
                <w:szCs w:val="22"/>
              </w:rPr>
              <w:t>.septembrī</w:t>
            </w:r>
          </w:p>
        </w:tc>
      </w:tr>
      <w:tr w:rsidR="00A76FB3" w:rsidRPr="00D8116D" w14:paraId="02DA00EB" w14:textId="77777777" w:rsidTr="00A76FB3">
        <w:tc>
          <w:tcPr>
            <w:tcW w:w="5386" w:type="dxa"/>
          </w:tcPr>
          <w:p w14:paraId="784A544A" w14:textId="77777777" w:rsidR="00A76FB3" w:rsidRPr="00D8116D" w:rsidRDefault="00A76FB3" w:rsidP="00D8116D">
            <w:pPr>
              <w:pStyle w:val="naisf"/>
              <w:spacing w:before="0" w:after="0"/>
              <w:ind w:firstLine="0"/>
              <w:rPr>
                <w:sz w:val="22"/>
                <w:szCs w:val="22"/>
              </w:rPr>
            </w:pPr>
          </w:p>
        </w:tc>
        <w:tc>
          <w:tcPr>
            <w:tcW w:w="8648" w:type="dxa"/>
            <w:tcBorders>
              <w:top w:val="single" w:sz="4" w:space="0" w:color="auto"/>
            </w:tcBorders>
          </w:tcPr>
          <w:p w14:paraId="56908F65" w14:textId="77777777" w:rsidR="00A76FB3" w:rsidRPr="00D8116D" w:rsidRDefault="00A76FB3" w:rsidP="00D8116D">
            <w:pPr>
              <w:pStyle w:val="Paraststmeklis"/>
              <w:spacing w:before="0" w:beforeAutospacing="0" w:after="0" w:afterAutospacing="0"/>
              <w:rPr>
                <w:sz w:val="22"/>
                <w:szCs w:val="22"/>
              </w:rPr>
            </w:pPr>
          </w:p>
        </w:tc>
      </w:tr>
      <w:tr w:rsidR="00A76FB3" w:rsidRPr="00D8116D" w14:paraId="71D1EF4B" w14:textId="77777777" w:rsidTr="00A76FB3">
        <w:tc>
          <w:tcPr>
            <w:tcW w:w="5386" w:type="dxa"/>
          </w:tcPr>
          <w:p w14:paraId="0061E814" w14:textId="77777777" w:rsidR="00A76FB3" w:rsidRPr="00D8116D" w:rsidRDefault="00A76FB3" w:rsidP="00D8116D">
            <w:pPr>
              <w:pStyle w:val="naiskr"/>
              <w:spacing w:before="0" w:after="0"/>
              <w:rPr>
                <w:sz w:val="22"/>
                <w:szCs w:val="22"/>
              </w:rPr>
            </w:pPr>
            <w:r w:rsidRPr="00D8116D">
              <w:rPr>
                <w:sz w:val="22"/>
                <w:szCs w:val="22"/>
              </w:rPr>
              <w:t>Saskaņošanas dalībnieki:</w:t>
            </w:r>
          </w:p>
        </w:tc>
        <w:tc>
          <w:tcPr>
            <w:tcW w:w="8648" w:type="dxa"/>
            <w:tcBorders>
              <w:bottom w:val="single" w:sz="4" w:space="0" w:color="auto"/>
            </w:tcBorders>
          </w:tcPr>
          <w:p w14:paraId="4710FD4B" w14:textId="14D61A66" w:rsidR="00A76FB3" w:rsidRPr="00D8116D" w:rsidRDefault="00A76FB3" w:rsidP="00D8116D">
            <w:pPr>
              <w:jc w:val="both"/>
              <w:rPr>
                <w:sz w:val="22"/>
                <w:szCs w:val="22"/>
              </w:rPr>
            </w:pPr>
            <w:r w:rsidRPr="00D8116D">
              <w:rPr>
                <w:sz w:val="22"/>
                <w:szCs w:val="22"/>
              </w:rPr>
              <w:t>Finanšu ministrija, Tieslietu ministrija un Pārresoru koordinācijas centrs</w:t>
            </w:r>
          </w:p>
        </w:tc>
      </w:tr>
      <w:tr w:rsidR="00A76FB3" w:rsidRPr="00D8116D" w14:paraId="50339430" w14:textId="77777777" w:rsidTr="00A76FB3">
        <w:trPr>
          <w:trHeight w:val="185"/>
        </w:trPr>
        <w:tc>
          <w:tcPr>
            <w:tcW w:w="5386" w:type="dxa"/>
          </w:tcPr>
          <w:p w14:paraId="1DD60403" w14:textId="77777777" w:rsidR="00A76FB3" w:rsidRPr="00D8116D" w:rsidRDefault="00A76FB3" w:rsidP="00D8116D">
            <w:pPr>
              <w:pStyle w:val="naiskr"/>
              <w:spacing w:before="0" w:after="0"/>
              <w:rPr>
                <w:sz w:val="22"/>
                <w:szCs w:val="22"/>
              </w:rPr>
            </w:pPr>
          </w:p>
        </w:tc>
        <w:tc>
          <w:tcPr>
            <w:tcW w:w="8648" w:type="dxa"/>
          </w:tcPr>
          <w:p w14:paraId="3664B2FE" w14:textId="77777777" w:rsidR="00A76FB3" w:rsidRPr="00D8116D" w:rsidRDefault="00A76FB3" w:rsidP="00D8116D">
            <w:pPr>
              <w:ind w:right="-483"/>
              <w:rPr>
                <w:sz w:val="22"/>
                <w:szCs w:val="22"/>
              </w:rPr>
            </w:pPr>
          </w:p>
        </w:tc>
      </w:tr>
      <w:tr w:rsidR="00A76FB3" w:rsidRPr="00D8116D" w14:paraId="2BC8BCBF" w14:textId="77777777" w:rsidTr="00A76FB3">
        <w:tc>
          <w:tcPr>
            <w:tcW w:w="5386" w:type="dxa"/>
            <w:tcBorders>
              <w:top w:val="nil"/>
              <w:left w:val="nil"/>
              <w:bottom w:val="nil"/>
              <w:right w:val="nil"/>
            </w:tcBorders>
          </w:tcPr>
          <w:p w14:paraId="65C8CE13" w14:textId="77777777" w:rsidR="00A76FB3" w:rsidRPr="00D8116D" w:rsidRDefault="00A76FB3" w:rsidP="00D8116D">
            <w:pPr>
              <w:pStyle w:val="naiskr"/>
              <w:spacing w:before="0" w:after="0"/>
              <w:rPr>
                <w:sz w:val="22"/>
                <w:szCs w:val="22"/>
              </w:rPr>
            </w:pPr>
            <w:r w:rsidRPr="00D8116D">
              <w:rPr>
                <w:sz w:val="22"/>
                <w:szCs w:val="22"/>
              </w:rPr>
              <w:t>Saskaņošanas dalībnieki izskatīja šādu ministriju (citu institūciju) iebildumus:</w:t>
            </w:r>
          </w:p>
        </w:tc>
        <w:tc>
          <w:tcPr>
            <w:tcW w:w="8648" w:type="dxa"/>
            <w:tcBorders>
              <w:top w:val="nil"/>
              <w:left w:val="nil"/>
              <w:bottom w:val="single" w:sz="4" w:space="0" w:color="auto"/>
              <w:right w:val="nil"/>
            </w:tcBorders>
          </w:tcPr>
          <w:p w14:paraId="6396AA88" w14:textId="77777777" w:rsidR="00A76FB3" w:rsidRPr="00D8116D" w:rsidRDefault="00A76FB3" w:rsidP="00D8116D">
            <w:pPr>
              <w:ind w:right="504"/>
              <w:jc w:val="both"/>
              <w:rPr>
                <w:sz w:val="22"/>
                <w:szCs w:val="22"/>
              </w:rPr>
            </w:pPr>
          </w:p>
          <w:p w14:paraId="2619185F" w14:textId="65E6A5E3" w:rsidR="00A76FB3" w:rsidRPr="00D8116D" w:rsidRDefault="00A76FB3" w:rsidP="00D8116D">
            <w:pPr>
              <w:ind w:right="504"/>
              <w:jc w:val="both"/>
              <w:rPr>
                <w:sz w:val="22"/>
                <w:szCs w:val="22"/>
              </w:rPr>
            </w:pPr>
            <w:r w:rsidRPr="00D8116D">
              <w:rPr>
                <w:sz w:val="22"/>
                <w:szCs w:val="22"/>
              </w:rPr>
              <w:t>Finanšu ministrija, Tieslietu ministrija</w:t>
            </w:r>
            <w:r w:rsidR="001642F3" w:rsidRPr="00D8116D">
              <w:rPr>
                <w:sz w:val="22"/>
                <w:szCs w:val="22"/>
              </w:rPr>
              <w:t xml:space="preserve"> un Pārresoru koordinācijas centrs</w:t>
            </w:r>
          </w:p>
        </w:tc>
      </w:tr>
      <w:tr w:rsidR="00A76FB3" w:rsidRPr="00D8116D" w14:paraId="576FF3B5" w14:textId="77777777" w:rsidTr="00A76FB3">
        <w:tc>
          <w:tcPr>
            <w:tcW w:w="5386" w:type="dxa"/>
            <w:tcBorders>
              <w:top w:val="nil"/>
              <w:left w:val="nil"/>
              <w:right w:val="nil"/>
            </w:tcBorders>
          </w:tcPr>
          <w:p w14:paraId="4EFDA2C2" w14:textId="77777777" w:rsidR="00A76FB3" w:rsidRPr="00D8116D" w:rsidRDefault="00A76FB3" w:rsidP="00D8116D">
            <w:pPr>
              <w:pStyle w:val="naiskr"/>
              <w:spacing w:before="0" w:after="0"/>
              <w:rPr>
                <w:sz w:val="22"/>
                <w:szCs w:val="22"/>
              </w:rPr>
            </w:pPr>
          </w:p>
        </w:tc>
        <w:tc>
          <w:tcPr>
            <w:tcW w:w="8648" w:type="dxa"/>
            <w:tcBorders>
              <w:top w:val="single" w:sz="4" w:space="0" w:color="auto"/>
              <w:left w:val="nil"/>
              <w:right w:val="nil"/>
            </w:tcBorders>
            <w:vAlign w:val="bottom"/>
          </w:tcPr>
          <w:p w14:paraId="7359CF3B" w14:textId="77777777" w:rsidR="00A76FB3" w:rsidRPr="00D8116D" w:rsidRDefault="00A76FB3" w:rsidP="00D8116D">
            <w:pPr>
              <w:ind w:right="-483"/>
              <w:rPr>
                <w:sz w:val="22"/>
                <w:szCs w:val="22"/>
              </w:rPr>
            </w:pPr>
          </w:p>
        </w:tc>
      </w:tr>
      <w:tr w:rsidR="00A76FB3" w:rsidRPr="00D8116D" w14:paraId="791454A0" w14:textId="77777777" w:rsidTr="00A76FB3">
        <w:trPr>
          <w:trHeight w:val="735"/>
        </w:trPr>
        <w:tc>
          <w:tcPr>
            <w:tcW w:w="5386" w:type="dxa"/>
            <w:hideMark/>
          </w:tcPr>
          <w:p w14:paraId="7CE54888" w14:textId="77777777" w:rsidR="00A76FB3" w:rsidRPr="00D8116D" w:rsidRDefault="00A76FB3" w:rsidP="00D8116D">
            <w:pPr>
              <w:pStyle w:val="naiskr"/>
              <w:spacing w:before="0" w:after="0"/>
              <w:ind w:right="500"/>
              <w:rPr>
                <w:sz w:val="22"/>
                <w:szCs w:val="22"/>
                <w:lang w:eastAsia="en-US"/>
              </w:rPr>
            </w:pPr>
            <w:r w:rsidRPr="00D8116D">
              <w:rPr>
                <w:sz w:val="22"/>
                <w:szCs w:val="22"/>
                <w:lang w:eastAsia="en-US"/>
              </w:rPr>
              <w:t>Ministrijas (citas institūcijas), kuras nav ieradušās uz sanāksmi vai kuras nav atbildējušas uz uzaicinājumu piedalīties elektroniskajā saskaņošanā</w:t>
            </w:r>
          </w:p>
        </w:tc>
        <w:tc>
          <w:tcPr>
            <w:tcW w:w="8648" w:type="dxa"/>
            <w:tcBorders>
              <w:bottom w:val="single" w:sz="4" w:space="0" w:color="auto"/>
            </w:tcBorders>
          </w:tcPr>
          <w:p w14:paraId="031C8B30" w14:textId="77777777" w:rsidR="00A76FB3" w:rsidRPr="00D8116D" w:rsidRDefault="00A76FB3" w:rsidP="00D8116D">
            <w:pPr>
              <w:pStyle w:val="naiskr"/>
              <w:spacing w:before="0" w:after="0"/>
              <w:ind w:right="500"/>
              <w:rPr>
                <w:sz w:val="22"/>
                <w:szCs w:val="22"/>
                <w:lang w:eastAsia="en-US"/>
              </w:rPr>
            </w:pPr>
          </w:p>
        </w:tc>
      </w:tr>
    </w:tbl>
    <w:p w14:paraId="6DAE564C" w14:textId="77777777" w:rsidR="00B22F72" w:rsidRPr="00D8116D" w:rsidRDefault="00B22F72" w:rsidP="00D8116D">
      <w:pPr>
        <w:pStyle w:val="naisf"/>
        <w:spacing w:before="0" w:after="0"/>
        <w:ind w:firstLine="0"/>
        <w:rPr>
          <w:sz w:val="22"/>
          <w:szCs w:val="22"/>
        </w:rPr>
      </w:pPr>
    </w:p>
    <w:p w14:paraId="4BF10171" w14:textId="036AC773" w:rsidR="00281FDC" w:rsidRPr="00D8116D" w:rsidRDefault="00281FDC" w:rsidP="00D8116D">
      <w:pPr>
        <w:pStyle w:val="naisf"/>
        <w:spacing w:before="0" w:after="0"/>
        <w:ind w:firstLine="0"/>
        <w:jc w:val="center"/>
        <w:rPr>
          <w:b/>
          <w:sz w:val="22"/>
          <w:szCs w:val="22"/>
        </w:rPr>
      </w:pPr>
    </w:p>
    <w:p w14:paraId="32723336" w14:textId="62236D71" w:rsidR="001642F3" w:rsidRPr="00D8116D" w:rsidRDefault="001642F3" w:rsidP="00D8116D">
      <w:pPr>
        <w:pStyle w:val="naisf"/>
        <w:spacing w:before="0" w:after="0"/>
        <w:ind w:firstLine="0"/>
        <w:jc w:val="center"/>
        <w:rPr>
          <w:b/>
          <w:sz w:val="22"/>
          <w:szCs w:val="22"/>
        </w:rPr>
      </w:pPr>
    </w:p>
    <w:p w14:paraId="042A6531" w14:textId="6978B3CF" w:rsidR="001642F3" w:rsidRPr="00D8116D" w:rsidRDefault="001642F3" w:rsidP="00D8116D">
      <w:pPr>
        <w:pStyle w:val="naisf"/>
        <w:spacing w:before="0" w:after="0"/>
        <w:ind w:firstLine="0"/>
        <w:jc w:val="center"/>
        <w:rPr>
          <w:b/>
          <w:sz w:val="22"/>
          <w:szCs w:val="22"/>
        </w:rPr>
      </w:pPr>
    </w:p>
    <w:p w14:paraId="5696F014" w14:textId="77850DF9" w:rsidR="001642F3" w:rsidRPr="00D8116D" w:rsidRDefault="001642F3" w:rsidP="00D8116D">
      <w:pPr>
        <w:pStyle w:val="naisf"/>
        <w:spacing w:before="0" w:after="0"/>
        <w:ind w:firstLine="0"/>
        <w:jc w:val="center"/>
        <w:rPr>
          <w:b/>
          <w:sz w:val="22"/>
          <w:szCs w:val="22"/>
        </w:rPr>
      </w:pPr>
    </w:p>
    <w:p w14:paraId="4675FA13" w14:textId="3707850B" w:rsidR="001642F3" w:rsidRPr="00D8116D" w:rsidRDefault="001642F3" w:rsidP="00D8116D">
      <w:pPr>
        <w:pStyle w:val="naisf"/>
        <w:spacing w:before="0" w:after="0"/>
        <w:ind w:firstLine="0"/>
        <w:jc w:val="center"/>
        <w:rPr>
          <w:b/>
          <w:sz w:val="22"/>
          <w:szCs w:val="22"/>
        </w:rPr>
      </w:pPr>
    </w:p>
    <w:p w14:paraId="3687BE2E" w14:textId="1097B39F" w:rsidR="001642F3" w:rsidRPr="00D8116D" w:rsidRDefault="001642F3" w:rsidP="00D8116D">
      <w:pPr>
        <w:pStyle w:val="naisf"/>
        <w:spacing w:before="0" w:after="0"/>
        <w:ind w:firstLine="0"/>
        <w:jc w:val="center"/>
        <w:rPr>
          <w:b/>
          <w:sz w:val="22"/>
          <w:szCs w:val="22"/>
        </w:rPr>
      </w:pPr>
    </w:p>
    <w:p w14:paraId="26D28420" w14:textId="75237D4A" w:rsidR="001642F3" w:rsidRPr="00D8116D" w:rsidRDefault="001642F3" w:rsidP="00D8116D">
      <w:pPr>
        <w:pStyle w:val="naisf"/>
        <w:spacing w:before="0" w:after="0"/>
        <w:ind w:firstLine="0"/>
        <w:jc w:val="center"/>
        <w:rPr>
          <w:b/>
          <w:sz w:val="22"/>
          <w:szCs w:val="22"/>
        </w:rPr>
      </w:pPr>
    </w:p>
    <w:p w14:paraId="6D8A6C87" w14:textId="72725F91" w:rsidR="001642F3" w:rsidRPr="00D8116D" w:rsidRDefault="001642F3" w:rsidP="00D8116D">
      <w:pPr>
        <w:pStyle w:val="naisf"/>
        <w:spacing w:before="0" w:after="0"/>
        <w:ind w:firstLine="0"/>
        <w:jc w:val="center"/>
        <w:rPr>
          <w:b/>
          <w:sz w:val="22"/>
          <w:szCs w:val="22"/>
        </w:rPr>
      </w:pPr>
    </w:p>
    <w:p w14:paraId="575D46FE" w14:textId="77777777" w:rsidR="00B22F72" w:rsidRPr="00D8116D" w:rsidRDefault="00C8468F" w:rsidP="00D8116D">
      <w:pPr>
        <w:pStyle w:val="naisf"/>
        <w:spacing w:before="0" w:after="0"/>
        <w:ind w:firstLine="0"/>
        <w:jc w:val="center"/>
        <w:rPr>
          <w:b/>
          <w:sz w:val="22"/>
          <w:szCs w:val="22"/>
        </w:rPr>
      </w:pPr>
      <w:r w:rsidRPr="00D8116D">
        <w:rPr>
          <w:b/>
          <w:sz w:val="22"/>
          <w:szCs w:val="22"/>
        </w:rPr>
        <w:lastRenderedPageBreak/>
        <w:t>II. Jautājumi, par kuriem saskaņošanā vienošanās ir panākta</w:t>
      </w:r>
    </w:p>
    <w:p w14:paraId="3079721D" w14:textId="77777777" w:rsidR="00B22F72" w:rsidRPr="00D8116D" w:rsidRDefault="00B22F72" w:rsidP="00D8116D">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3"/>
        <w:gridCol w:w="3544"/>
        <w:gridCol w:w="3474"/>
        <w:gridCol w:w="3028"/>
        <w:gridCol w:w="3103"/>
      </w:tblGrid>
      <w:tr w:rsidR="003060AC" w:rsidRPr="00D8116D" w14:paraId="3775A8AD" w14:textId="77777777" w:rsidTr="00830B96">
        <w:tc>
          <w:tcPr>
            <w:tcW w:w="301" w:type="pct"/>
            <w:tcBorders>
              <w:top w:val="single" w:sz="6" w:space="0" w:color="000000"/>
              <w:left w:val="single" w:sz="6" w:space="0" w:color="000000"/>
              <w:bottom w:val="single" w:sz="6" w:space="0" w:color="000000"/>
              <w:right w:val="single" w:sz="6" w:space="0" w:color="000000"/>
            </w:tcBorders>
            <w:vAlign w:val="center"/>
          </w:tcPr>
          <w:p w14:paraId="3E1B9555" w14:textId="77777777" w:rsidR="00B22F72" w:rsidRPr="00D8116D" w:rsidRDefault="00067B65" w:rsidP="00D8116D">
            <w:pPr>
              <w:pStyle w:val="naisc"/>
              <w:spacing w:before="0" w:after="0"/>
              <w:rPr>
                <w:sz w:val="22"/>
                <w:szCs w:val="22"/>
              </w:rPr>
            </w:pPr>
            <w:r w:rsidRPr="00D8116D">
              <w:rPr>
                <w:sz w:val="22"/>
                <w:szCs w:val="22"/>
              </w:rPr>
              <w:t>Nr.p.k.</w:t>
            </w:r>
          </w:p>
        </w:tc>
        <w:tc>
          <w:tcPr>
            <w:tcW w:w="1266" w:type="pct"/>
            <w:tcBorders>
              <w:top w:val="single" w:sz="6" w:space="0" w:color="000000"/>
              <w:left w:val="single" w:sz="6" w:space="0" w:color="000000"/>
              <w:bottom w:val="single" w:sz="6" w:space="0" w:color="000000"/>
              <w:right w:val="single" w:sz="6" w:space="0" w:color="000000"/>
            </w:tcBorders>
            <w:vAlign w:val="center"/>
          </w:tcPr>
          <w:p w14:paraId="433CACB4" w14:textId="77777777" w:rsidR="00B22F72" w:rsidRPr="00D8116D" w:rsidRDefault="00C8468F" w:rsidP="00D8116D">
            <w:pPr>
              <w:pStyle w:val="naisc"/>
              <w:spacing w:before="0" w:after="0"/>
              <w:ind w:firstLine="12"/>
              <w:rPr>
                <w:sz w:val="22"/>
                <w:szCs w:val="22"/>
              </w:rPr>
            </w:pPr>
            <w:r w:rsidRPr="00D8116D">
              <w:rPr>
                <w:sz w:val="22"/>
                <w:szCs w:val="22"/>
              </w:rPr>
              <w:t>Saskaņošanai nosūtītā projekta redakcija (konkrēta punkta (panta) redakcija)</w:t>
            </w:r>
          </w:p>
        </w:tc>
        <w:tc>
          <w:tcPr>
            <w:tcW w:w="1241" w:type="pct"/>
            <w:tcBorders>
              <w:top w:val="single" w:sz="6" w:space="0" w:color="000000"/>
              <w:left w:val="single" w:sz="6" w:space="0" w:color="000000"/>
              <w:bottom w:val="single" w:sz="6" w:space="0" w:color="000000"/>
              <w:right w:val="single" w:sz="6" w:space="0" w:color="000000"/>
            </w:tcBorders>
            <w:vAlign w:val="center"/>
          </w:tcPr>
          <w:p w14:paraId="09BA5288" w14:textId="77777777" w:rsidR="00B22F72" w:rsidRPr="00D8116D" w:rsidRDefault="00C8468F" w:rsidP="00D8116D">
            <w:pPr>
              <w:pStyle w:val="naisc"/>
              <w:spacing w:before="0" w:after="0"/>
              <w:ind w:right="3"/>
              <w:rPr>
                <w:sz w:val="22"/>
                <w:szCs w:val="22"/>
              </w:rPr>
            </w:pPr>
            <w:r w:rsidRPr="00D8116D">
              <w:rPr>
                <w:sz w:val="22"/>
                <w:szCs w:val="22"/>
              </w:rPr>
              <w:t>Atzinumā norādītais ministrijas (citas institūcijas) iebildums, kā arī saskaņošanā papildus izteiktais iebildums par projekta konkrēto punktu (pantu)</w:t>
            </w:r>
          </w:p>
        </w:tc>
        <w:tc>
          <w:tcPr>
            <w:tcW w:w="1082" w:type="pct"/>
            <w:tcBorders>
              <w:top w:val="single" w:sz="6" w:space="0" w:color="000000"/>
              <w:left w:val="single" w:sz="6" w:space="0" w:color="000000"/>
              <w:bottom w:val="single" w:sz="6" w:space="0" w:color="000000"/>
              <w:right w:val="single" w:sz="6" w:space="0" w:color="000000"/>
            </w:tcBorders>
            <w:vAlign w:val="center"/>
          </w:tcPr>
          <w:p w14:paraId="4BFCD66A" w14:textId="77777777" w:rsidR="00B22F72" w:rsidRPr="00D8116D" w:rsidRDefault="00C8468F" w:rsidP="00D8116D">
            <w:pPr>
              <w:pStyle w:val="naisc"/>
              <w:spacing w:before="0" w:after="0"/>
              <w:ind w:firstLine="21"/>
              <w:rPr>
                <w:sz w:val="22"/>
                <w:szCs w:val="22"/>
              </w:rPr>
            </w:pPr>
            <w:r w:rsidRPr="00D8116D">
              <w:rPr>
                <w:sz w:val="22"/>
                <w:szCs w:val="22"/>
              </w:rPr>
              <w:t>Atbildīgās ministrijas norāde par to, ka iebildums ir ņemts vērā, vai informācija par saskaņošanā panākto alternatīvo risinājumu</w:t>
            </w:r>
          </w:p>
        </w:tc>
        <w:tc>
          <w:tcPr>
            <w:tcW w:w="1109" w:type="pct"/>
            <w:tcBorders>
              <w:top w:val="single" w:sz="4" w:space="0" w:color="auto"/>
              <w:left w:val="single" w:sz="4" w:space="0" w:color="auto"/>
              <w:bottom w:val="single" w:sz="4" w:space="0" w:color="auto"/>
            </w:tcBorders>
            <w:vAlign w:val="center"/>
          </w:tcPr>
          <w:p w14:paraId="3DBA8463" w14:textId="77777777" w:rsidR="00B22F72" w:rsidRPr="00D8116D" w:rsidRDefault="00C8468F" w:rsidP="00D8116D">
            <w:pPr>
              <w:jc w:val="center"/>
              <w:rPr>
                <w:sz w:val="22"/>
                <w:szCs w:val="22"/>
              </w:rPr>
            </w:pPr>
            <w:r w:rsidRPr="00D8116D">
              <w:rPr>
                <w:sz w:val="22"/>
                <w:szCs w:val="22"/>
              </w:rPr>
              <w:t>Projekta attiecīgā punkta (panta) galīgā redakcija</w:t>
            </w:r>
          </w:p>
        </w:tc>
      </w:tr>
      <w:tr w:rsidR="003060AC" w:rsidRPr="00D8116D" w14:paraId="1BF89B4C" w14:textId="77777777" w:rsidTr="00830B96">
        <w:tc>
          <w:tcPr>
            <w:tcW w:w="301" w:type="pct"/>
            <w:tcBorders>
              <w:top w:val="single" w:sz="6" w:space="0" w:color="000000"/>
              <w:left w:val="single" w:sz="6" w:space="0" w:color="000000"/>
              <w:bottom w:val="single" w:sz="6" w:space="0" w:color="000000"/>
              <w:right w:val="single" w:sz="6" w:space="0" w:color="000000"/>
            </w:tcBorders>
          </w:tcPr>
          <w:p w14:paraId="37D4BF1A" w14:textId="77777777" w:rsidR="00B22F72" w:rsidRPr="00D8116D" w:rsidRDefault="00C8468F" w:rsidP="00D8116D">
            <w:pPr>
              <w:pStyle w:val="naisc"/>
              <w:spacing w:before="0" w:after="0"/>
              <w:rPr>
                <w:sz w:val="22"/>
                <w:szCs w:val="22"/>
              </w:rPr>
            </w:pPr>
            <w:r w:rsidRPr="00D8116D">
              <w:rPr>
                <w:sz w:val="22"/>
                <w:szCs w:val="22"/>
              </w:rPr>
              <w:t>1</w:t>
            </w:r>
          </w:p>
        </w:tc>
        <w:tc>
          <w:tcPr>
            <w:tcW w:w="1266" w:type="pct"/>
            <w:tcBorders>
              <w:top w:val="single" w:sz="6" w:space="0" w:color="000000"/>
              <w:left w:val="single" w:sz="6" w:space="0" w:color="000000"/>
              <w:bottom w:val="single" w:sz="6" w:space="0" w:color="000000"/>
              <w:right w:val="single" w:sz="6" w:space="0" w:color="000000"/>
            </w:tcBorders>
          </w:tcPr>
          <w:p w14:paraId="77B42282" w14:textId="77777777" w:rsidR="00B22F72" w:rsidRPr="00D8116D" w:rsidRDefault="00C8468F" w:rsidP="00D8116D">
            <w:pPr>
              <w:pStyle w:val="naisc"/>
              <w:spacing w:before="0" w:after="0"/>
              <w:rPr>
                <w:sz w:val="22"/>
                <w:szCs w:val="22"/>
              </w:rPr>
            </w:pPr>
            <w:r w:rsidRPr="00D8116D">
              <w:rPr>
                <w:sz w:val="22"/>
                <w:szCs w:val="22"/>
              </w:rPr>
              <w:t>2</w:t>
            </w:r>
          </w:p>
        </w:tc>
        <w:tc>
          <w:tcPr>
            <w:tcW w:w="1241" w:type="pct"/>
            <w:tcBorders>
              <w:top w:val="single" w:sz="6" w:space="0" w:color="000000"/>
              <w:left w:val="single" w:sz="6" w:space="0" w:color="000000"/>
              <w:bottom w:val="single" w:sz="6" w:space="0" w:color="000000"/>
              <w:right w:val="single" w:sz="6" w:space="0" w:color="000000"/>
            </w:tcBorders>
          </w:tcPr>
          <w:p w14:paraId="549CBBCD" w14:textId="77777777" w:rsidR="00B22F72" w:rsidRPr="00D8116D" w:rsidRDefault="00C8468F" w:rsidP="00D8116D">
            <w:pPr>
              <w:pStyle w:val="naisc"/>
              <w:spacing w:before="0" w:after="0"/>
              <w:rPr>
                <w:sz w:val="22"/>
                <w:szCs w:val="22"/>
              </w:rPr>
            </w:pPr>
            <w:r w:rsidRPr="00D8116D">
              <w:rPr>
                <w:sz w:val="22"/>
                <w:szCs w:val="22"/>
              </w:rPr>
              <w:t>3</w:t>
            </w:r>
          </w:p>
        </w:tc>
        <w:tc>
          <w:tcPr>
            <w:tcW w:w="1082" w:type="pct"/>
            <w:tcBorders>
              <w:top w:val="single" w:sz="6" w:space="0" w:color="000000"/>
              <w:left w:val="single" w:sz="6" w:space="0" w:color="000000"/>
              <w:bottom w:val="single" w:sz="4" w:space="0" w:color="auto"/>
              <w:right w:val="single" w:sz="6" w:space="0" w:color="000000"/>
            </w:tcBorders>
          </w:tcPr>
          <w:p w14:paraId="1BDD9AF1" w14:textId="77777777" w:rsidR="00B22F72" w:rsidRPr="00D8116D" w:rsidRDefault="00C8468F" w:rsidP="00D8116D">
            <w:pPr>
              <w:pStyle w:val="naisc"/>
              <w:spacing w:before="0" w:after="0"/>
              <w:rPr>
                <w:sz w:val="22"/>
                <w:szCs w:val="22"/>
              </w:rPr>
            </w:pPr>
            <w:r w:rsidRPr="00D8116D">
              <w:rPr>
                <w:sz w:val="22"/>
                <w:szCs w:val="22"/>
              </w:rPr>
              <w:t>4</w:t>
            </w:r>
          </w:p>
        </w:tc>
        <w:tc>
          <w:tcPr>
            <w:tcW w:w="1109" w:type="pct"/>
            <w:tcBorders>
              <w:top w:val="single" w:sz="4" w:space="0" w:color="auto"/>
              <w:left w:val="single" w:sz="4" w:space="0" w:color="auto"/>
              <w:bottom w:val="single" w:sz="4" w:space="0" w:color="auto"/>
            </w:tcBorders>
          </w:tcPr>
          <w:p w14:paraId="1F8DBF82" w14:textId="77777777" w:rsidR="00B22F72" w:rsidRPr="00D8116D" w:rsidRDefault="00C8468F" w:rsidP="00D8116D">
            <w:pPr>
              <w:jc w:val="center"/>
              <w:rPr>
                <w:sz w:val="22"/>
                <w:szCs w:val="22"/>
              </w:rPr>
            </w:pPr>
            <w:r w:rsidRPr="00D8116D">
              <w:rPr>
                <w:sz w:val="22"/>
                <w:szCs w:val="22"/>
              </w:rPr>
              <w:t>5</w:t>
            </w:r>
          </w:p>
        </w:tc>
      </w:tr>
      <w:tr w:rsidR="003060AC" w:rsidRPr="00D8116D" w14:paraId="1EFCFE10" w14:textId="77777777" w:rsidTr="00830B96">
        <w:tc>
          <w:tcPr>
            <w:tcW w:w="301" w:type="pct"/>
            <w:tcBorders>
              <w:top w:val="single" w:sz="6" w:space="0" w:color="000000"/>
              <w:left w:val="single" w:sz="6" w:space="0" w:color="000000"/>
              <w:bottom w:val="single" w:sz="6" w:space="0" w:color="000000"/>
              <w:right w:val="single" w:sz="6" w:space="0" w:color="000000"/>
            </w:tcBorders>
            <w:shd w:val="clear" w:color="auto" w:fill="auto"/>
          </w:tcPr>
          <w:p w14:paraId="0DB7420C" w14:textId="77777777" w:rsidR="00ED578A" w:rsidRPr="00D8116D" w:rsidRDefault="00ED578A" w:rsidP="00D8116D">
            <w:pPr>
              <w:pStyle w:val="naisc"/>
              <w:numPr>
                <w:ilvl w:val="0"/>
                <w:numId w:val="2"/>
              </w:numPr>
              <w:tabs>
                <w:tab w:val="left" w:pos="284"/>
              </w:tabs>
              <w:spacing w:before="0" w:after="0"/>
              <w:ind w:left="528" w:hanging="284"/>
              <w:jc w:val="left"/>
              <w:rPr>
                <w:sz w:val="22"/>
                <w:szCs w:val="22"/>
              </w:rPr>
            </w:pPr>
          </w:p>
        </w:tc>
        <w:tc>
          <w:tcPr>
            <w:tcW w:w="1266" w:type="pct"/>
            <w:tcBorders>
              <w:top w:val="single" w:sz="6" w:space="0" w:color="000000"/>
              <w:left w:val="single" w:sz="6" w:space="0" w:color="000000"/>
              <w:bottom w:val="single" w:sz="6" w:space="0" w:color="000000"/>
              <w:right w:val="single" w:sz="6" w:space="0" w:color="000000"/>
            </w:tcBorders>
            <w:shd w:val="clear" w:color="auto" w:fill="auto"/>
          </w:tcPr>
          <w:p w14:paraId="4A6D90EA" w14:textId="684779CB" w:rsidR="00ED578A" w:rsidRPr="00D8116D" w:rsidRDefault="008A6586" w:rsidP="00D8116D">
            <w:pPr>
              <w:jc w:val="both"/>
              <w:rPr>
                <w:sz w:val="22"/>
                <w:szCs w:val="22"/>
              </w:rPr>
            </w:pPr>
            <w:r w:rsidRPr="00D8116D">
              <w:rPr>
                <w:sz w:val="22"/>
                <w:szCs w:val="22"/>
              </w:rPr>
              <w:t>Ministru kabineta rīkojuma projekts „Par valsts nekustamā īpašuma ieguldīšanu valsts sabiedrības ar ierobežotu atbildību „Latvijas Nacionālā opera un balets” pamatkapitālā” (turpmāk – Projekts)</w:t>
            </w:r>
            <w:r w:rsidR="00D8116D">
              <w:rPr>
                <w:sz w:val="22"/>
                <w:szCs w:val="22"/>
              </w:rPr>
              <w:t xml:space="preserve"> un P</w:t>
            </w:r>
            <w:r w:rsidR="00D8116D" w:rsidRPr="00D8116D">
              <w:rPr>
                <w:sz w:val="22"/>
                <w:szCs w:val="22"/>
              </w:rPr>
              <w:t>rojekta sākotnējās ietekmes novērtējuma ziņojum</w:t>
            </w:r>
            <w:r w:rsidR="00D8116D">
              <w:rPr>
                <w:sz w:val="22"/>
                <w:szCs w:val="22"/>
              </w:rPr>
              <w:t>s</w:t>
            </w:r>
            <w:r w:rsidR="00D8116D" w:rsidRPr="00D8116D">
              <w:rPr>
                <w:sz w:val="22"/>
                <w:szCs w:val="22"/>
              </w:rPr>
              <w:t xml:space="preserve"> (anotācija)</w:t>
            </w:r>
            <w:r w:rsidR="00D8116D">
              <w:rPr>
                <w:sz w:val="22"/>
                <w:szCs w:val="22"/>
              </w:rPr>
              <w:t>.</w:t>
            </w:r>
          </w:p>
        </w:tc>
        <w:tc>
          <w:tcPr>
            <w:tcW w:w="1241" w:type="pct"/>
            <w:tcBorders>
              <w:top w:val="single" w:sz="6" w:space="0" w:color="000000"/>
              <w:left w:val="single" w:sz="6" w:space="0" w:color="000000"/>
              <w:bottom w:val="single" w:sz="6" w:space="0" w:color="000000"/>
              <w:right w:val="single" w:sz="6" w:space="0" w:color="000000"/>
            </w:tcBorders>
            <w:shd w:val="clear" w:color="auto" w:fill="auto"/>
          </w:tcPr>
          <w:p w14:paraId="2956DF43" w14:textId="77777777" w:rsidR="00ED578A" w:rsidRPr="00D8116D" w:rsidRDefault="00ED578A" w:rsidP="00D8116D">
            <w:pPr>
              <w:jc w:val="both"/>
              <w:rPr>
                <w:b/>
                <w:sz w:val="22"/>
                <w:szCs w:val="22"/>
              </w:rPr>
            </w:pPr>
            <w:r w:rsidRPr="00D8116D">
              <w:rPr>
                <w:b/>
                <w:sz w:val="22"/>
                <w:szCs w:val="22"/>
              </w:rPr>
              <w:t>Finanšu ministrija:</w:t>
            </w:r>
          </w:p>
          <w:p w14:paraId="685D3094" w14:textId="5100824A" w:rsidR="00ED578A" w:rsidRPr="00D8116D" w:rsidRDefault="00ED578A" w:rsidP="00D8116D">
            <w:pPr>
              <w:pStyle w:val="naisc"/>
              <w:spacing w:before="0" w:after="0"/>
              <w:jc w:val="both"/>
              <w:rPr>
                <w:b/>
                <w:sz w:val="22"/>
                <w:szCs w:val="22"/>
              </w:rPr>
            </w:pPr>
            <w:r w:rsidRPr="00D8116D">
              <w:rPr>
                <w:bCs/>
                <w:sz w:val="22"/>
                <w:szCs w:val="22"/>
              </w:rPr>
              <w:t xml:space="preserve">Ņemot vērā, ka atbilstoši Publiskas personas mantas atsavināšanas likumam un Ministru kabineta </w:t>
            </w:r>
            <w:proofErr w:type="gramStart"/>
            <w:r w:rsidRPr="00D8116D">
              <w:rPr>
                <w:bCs/>
                <w:sz w:val="22"/>
                <w:szCs w:val="22"/>
              </w:rPr>
              <w:t>2020.gada</w:t>
            </w:r>
            <w:proofErr w:type="gramEnd"/>
            <w:r w:rsidRPr="00D8116D">
              <w:rPr>
                <w:bCs/>
                <w:sz w:val="22"/>
                <w:szCs w:val="22"/>
              </w:rPr>
              <w:t xml:space="preserve"> 19.februāra rīkojumam Nr.64 “Par Rīgas pilsētas pašvaldībai piederošā nekustamā īpašuma Aspazijas bulvārī 3, Rīgā, pārņemšanu valsts īpašumā” nekustamais īpašums Aspazijas bulvārī 3, Rīgā, nodots valstij Kultūras ministrijas īpašumā uz funkcijas īstenošanas laiku un ir paredzēts pienākums attiecīgo nekustamo īpašumu bez atlīdzības nodot Rīgas pilsētas pašvaldības īpašumā, ja tas vairs netiek izmantots minētā Ministru kabineta rīkojuma 1.punktā minēto funkciju īstenošanai, lūdzam skaidrot, kā Kultūras ministrija nodrošinās nekustamā īpašuma nodošanu atpakaļ pašvaldībai, ja tas netiks izmantots attiecīgās funkcijas īstenošanai, kā arī lūdzam pievienot rīkojuma projektam Ministru kabineta sēdes protokollēmuma projektu, paredzot uzdevumu </w:t>
            </w:r>
            <w:r w:rsidRPr="00D8116D">
              <w:rPr>
                <w:bCs/>
                <w:sz w:val="22"/>
                <w:szCs w:val="22"/>
              </w:rPr>
              <w:lastRenderedPageBreak/>
              <w:t>Kultūras ministrijai kā valsts sabiedrības ar ierobežotu atbildību “Latvijas Nacionālā opera un balets” kapitāla daļu turētājai nodrošināt, ka gadījumā, ja nekustamais īpašums Aspazijas bulvārī 3, Rīgā, vairs nebūs nepieciešams minētās kapitālsabiedrības funkciju īstenošanai, tas tiks atgūts valsts īpašumā bez atlīdzības un sekojoši nodots Rīgas pilsētas pašvaldībai.</w:t>
            </w:r>
          </w:p>
        </w:tc>
        <w:tc>
          <w:tcPr>
            <w:tcW w:w="1082" w:type="pct"/>
            <w:tcBorders>
              <w:top w:val="single" w:sz="6" w:space="0" w:color="000000"/>
              <w:left w:val="single" w:sz="6" w:space="0" w:color="000000"/>
              <w:bottom w:val="single" w:sz="6" w:space="0" w:color="000000"/>
              <w:right w:val="single" w:sz="6" w:space="0" w:color="000000"/>
            </w:tcBorders>
            <w:shd w:val="clear" w:color="auto" w:fill="auto"/>
          </w:tcPr>
          <w:p w14:paraId="5A1D9A38" w14:textId="63DC55AD" w:rsidR="00ED578A" w:rsidRPr="00D8116D" w:rsidRDefault="00ED578A" w:rsidP="00D8116D">
            <w:pPr>
              <w:widowControl w:val="0"/>
              <w:autoSpaceDE w:val="0"/>
              <w:autoSpaceDN w:val="0"/>
              <w:adjustRightInd w:val="0"/>
              <w:jc w:val="center"/>
              <w:rPr>
                <w:b/>
                <w:bCs/>
                <w:sz w:val="22"/>
                <w:szCs w:val="22"/>
              </w:rPr>
            </w:pPr>
            <w:r w:rsidRPr="00D8116D">
              <w:rPr>
                <w:b/>
                <w:bCs/>
                <w:sz w:val="22"/>
                <w:szCs w:val="22"/>
              </w:rPr>
              <w:lastRenderedPageBreak/>
              <w:t>Ņemts vērā</w:t>
            </w:r>
          </w:p>
        </w:tc>
        <w:tc>
          <w:tcPr>
            <w:tcW w:w="1109" w:type="pct"/>
            <w:tcBorders>
              <w:top w:val="single" w:sz="4" w:space="0" w:color="auto"/>
              <w:left w:val="single" w:sz="4" w:space="0" w:color="auto"/>
              <w:bottom w:val="single" w:sz="4" w:space="0" w:color="auto"/>
            </w:tcBorders>
            <w:shd w:val="clear" w:color="auto" w:fill="auto"/>
          </w:tcPr>
          <w:p w14:paraId="52D19A4F" w14:textId="758A26FB" w:rsidR="00ED70FD" w:rsidRPr="00D8116D" w:rsidRDefault="00D8116D" w:rsidP="00D8116D">
            <w:pPr>
              <w:jc w:val="both"/>
              <w:rPr>
                <w:sz w:val="22"/>
                <w:szCs w:val="22"/>
              </w:rPr>
            </w:pPr>
            <w:r>
              <w:rPr>
                <w:sz w:val="22"/>
                <w:szCs w:val="22"/>
              </w:rPr>
              <w:t>P</w:t>
            </w:r>
            <w:r w:rsidR="00ED70FD" w:rsidRPr="00D8116D">
              <w:rPr>
                <w:sz w:val="22"/>
                <w:szCs w:val="22"/>
              </w:rPr>
              <w:t>rojekts papildināts ar 3.punktu</w:t>
            </w:r>
            <w:r w:rsidR="00935FAF">
              <w:rPr>
                <w:sz w:val="22"/>
                <w:szCs w:val="22"/>
              </w:rPr>
              <w:t xml:space="preserve"> šādā redakcijā</w:t>
            </w:r>
            <w:r w:rsidR="00ED70FD" w:rsidRPr="00D8116D">
              <w:rPr>
                <w:sz w:val="22"/>
                <w:szCs w:val="22"/>
              </w:rPr>
              <w:t>:</w:t>
            </w:r>
          </w:p>
          <w:p w14:paraId="120EBFB0" w14:textId="77777777" w:rsidR="00915508" w:rsidRPr="00D8116D" w:rsidRDefault="00915508" w:rsidP="00D8116D">
            <w:pPr>
              <w:jc w:val="both"/>
              <w:rPr>
                <w:sz w:val="22"/>
                <w:szCs w:val="22"/>
              </w:rPr>
            </w:pPr>
          </w:p>
          <w:p w14:paraId="05BB08F8" w14:textId="1FDDF26C" w:rsidR="00ED70FD" w:rsidRPr="00D8116D" w:rsidRDefault="00D8116D" w:rsidP="00D8116D">
            <w:pPr>
              <w:jc w:val="both"/>
              <w:rPr>
                <w:sz w:val="22"/>
                <w:szCs w:val="22"/>
              </w:rPr>
            </w:pPr>
            <w:r w:rsidRPr="00921CF9">
              <w:rPr>
                <w:sz w:val="22"/>
                <w:szCs w:val="22"/>
              </w:rPr>
              <w:t>„</w:t>
            </w:r>
            <w:r>
              <w:rPr>
                <w:sz w:val="22"/>
                <w:szCs w:val="22"/>
              </w:rPr>
              <w:t xml:space="preserve">3. </w:t>
            </w:r>
            <w:r w:rsidR="00ED70FD" w:rsidRPr="00D8116D">
              <w:rPr>
                <w:sz w:val="22"/>
                <w:szCs w:val="22"/>
              </w:rPr>
              <w:t xml:space="preserve">Kultūras ministrijai kā valsts sabiedrības ar ierobežotu atbildību </w:t>
            </w:r>
            <w:r w:rsidRPr="00921CF9">
              <w:rPr>
                <w:sz w:val="22"/>
                <w:szCs w:val="22"/>
              </w:rPr>
              <w:t>„</w:t>
            </w:r>
            <w:r w:rsidR="00ED70FD" w:rsidRPr="00D8116D">
              <w:rPr>
                <w:sz w:val="22"/>
                <w:szCs w:val="22"/>
              </w:rPr>
              <w:t>Latvijas Nacionālā opera un balets” kapitāla daļu turētājai nodrošināt, ka nekustamais īpašums Aspazijas bulvārī 3, Rīgā</w:t>
            </w:r>
            <w:r>
              <w:rPr>
                <w:sz w:val="22"/>
                <w:szCs w:val="22"/>
              </w:rPr>
              <w:t>,</w:t>
            </w:r>
            <w:r w:rsidR="00ED70FD" w:rsidRPr="00D8116D">
              <w:rPr>
                <w:sz w:val="22"/>
                <w:szCs w:val="22"/>
              </w:rPr>
              <w:t xml:space="preserve"> tiek atgūts valsts īpašumā, attiecīgi samazinot valsts sabiedrības ar ierobežotu atbildību „Latvijas Nacionālā opera un balets” pamatkapitālu, ja tas vairs netiek izmantots šā rīkojuma 1.punktā minēt</w:t>
            </w:r>
            <w:r w:rsidR="00935FAF">
              <w:rPr>
                <w:sz w:val="22"/>
                <w:szCs w:val="22"/>
              </w:rPr>
              <w:t>o</w:t>
            </w:r>
            <w:r w:rsidR="00ED70FD" w:rsidRPr="00D8116D">
              <w:rPr>
                <w:sz w:val="22"/>
                <w:szCs w:val="22"/>
              </w:rPr>
              <w:t xml:space="preserve"> funkcij</w:t>
            </w:r>
            <w:r w:rsidR="00935FAF">
              <w:rPr>
                <w:sz w:val="22"/>
                <w:szCs w:val="22"/>
              </w:rPr>
              <w:t>u</w:t>
            </w:r>
            <w:r w:rsidR="00ED70FD" w:rsidRPr="00D8116D">
              <w:rPr>
                <w:sz w:val="22"/>
                <w:szCs w:val="22"/>
              </w:rPr>
              <w:t xml:space="preserve"> īstenošanai</w:t>
            </w:r>
            <w:r w:rsidR="00935FAF">
              <w:rPr>
                <w:sz w:val="22"/>
                <w:szCs w:val="22"/>
              </w:rPr>
              <w:t>,</w:t>
            </w:r>
            <w:r w:rsidR="00ED70FD" w:rsidRPr="00D8116D">
              <w:rPr>
                <w:sz w:val="22"/>
                <w:szCs w:val="22"/>
              </w:rPr>
              <w:t xml:space="preserve"> un nodots Rīgas pilsētas pašvaldības īpašumā bez atlīdzības.”</w:t>
            </w:r>
          </w:p>
          <w:p w14:paraId="21BE58B4" w14:textId="77777777" w:rsidR="00F9617F" w:rsidRPr="00D8116D" w:rsidRDefault="00F9617F" w:rsidP="00D8116D">
            <w:pPr>
              <w:jc w:val="both"/>
              <w:rPr>
                <w:sz w:val="22"/>
                <w:szCs w:val="22"/>
              </w:rPr>
            </w:pPr>
          </w:p>
          <w:p w14:paraId="1506EB2E" w14:textId="57F9B376" w:rsidR="00F14A6A" w:rsidRPr="00D8116D" w:rsidRDefault="00915508" w:rsidP="00D8116D">
            <w:pPr>
              <w:jc w:val="both"/>
              <w:rPr>
                <w:sz w:val="22"/>
                <w:szCs w:val="22"/>
              </w:rPr>
            </w:pPr>
            <w:r w:rsidRPr="00D8116D">
              <w:rPr>
                <w:sz w:val="22"/>
                <w:szCs w:val="22"/>
              </w:rPr>
              <w:t xml:space="preserve">Papildināts </w:t>
            </w:r>
            <w:r w:rsidR="00D8116D">
              <w:rPr>
                <w:sz w:val="22"/>
                <w:szCs w:val="22"/>
              </w:rPr>
              <w:t>P</w:t>
            </w:r>
            <w:r w:rsidRPr="00D8116D">
              <w:rPr>
                <w:sz w:val="22"/>
                <w:szCs w:val="22"/>
              </w:rPr>
              <w:t>rojekta sākotnējās ietekmes novērtējuma ziņojuma (anotācijas) I sadaļas 2.punkts ar šādu informāciju:</w:t>
            </w:r>
          </w:p>
          <w:p w14:paraId="5E4B0093" w14:textId="77777777" w:rsidR="00F14A6A" w:rsidRPr="00D8116D" w:rsidRDefault="00F14A6A" w:rsidP="00D8116D">
            <w:pPr>
              <w:jc w:val="both"/>
              <w:rPr>
                <w:sz w:val="22"/>
                <w:szCs w:val="22"/>
              </w:rPr>
            </w:pPr>
          </w:p>
          <w:p w14:paraId="3CB24B3B" w14:textId="20A9D21B" w:rsidR="0071017D" w:rsidRPr="00D8116D" w:rsidRDefault="00915508" w:rsidP="00D8116D">
            <w:pPr>
              <w:jc w:val="both"/>
              <w:rPr>
                <w:sz w:val="22"/>
                <w:szCs w:val="22"/>
              </w:rPr>
            </w:pPr>
            <w:r w:rsidRPr="00D8116D">
              <w:rPr>
                <w:sz w:val="22"/>
                <w:szCs w:val="22"/>
              </w:rPr>
              <w:t xml:space="preserve">„Latvijas Nacionālā opera dibināta </w:t>
            </w:r>
            <w:proofErr w:type="gramStart"/>
            <w:r w:rsidRPr="00D8116D">
              <w:rPr>
                <w:sz w:val="22"/>
                <w:szCs w:val="22"/>
              </w:rPr>
              <w:t>1919.gadā</w:t>
            </w:r>
            <w:proofErr w:type="gramEnd"/>
            <w:r w:rsidRPr="00D8116D">
              <w:rPr>
                <w:sz w:val="22"/>
                <w:szCs w:val="22"/>
              </w:rPr>
              <w:t xml:space="preserve">, savukārt Latvijas Nacionālās operas ēkas </w:t>
            </w:r>
            <w:r w:rsidRPr="00D8116D">
              <w:rPr>
                <w:sz w:val="22"/>
                <w:szCs w:val="22"/>
              </w:rPr>
              <w:lastRenderedPageBreak/>
              <w:t xml:space="preserve">celtniecība ir pabeigta 1863.gadā. Kapitālsabiedrības darbību regulē speciālais Latvijas Nacionālās operas un baleta likums, saskaņā ar minētā likuma </w:t>
            </w:r>
            <w:proofErr w:type="gramStart"/>
            <w:r w:rsidRPr="00D8116D">
              <w:rPr>
                <w:sz w:val="22"/>
                <w:szCs w:val="22"/>
              </w:rPr>
              <w:t>4.pantu</w:t>
            </w:r>
            <w:proofErr w:type="gramEnd"/>
            <w:r w:rsidRPr="00D8116D">
              <w:rPr>
                <w:sz w:val="22"/>
                <w:szCs w:val="22"/>
              </w:rPr>
              <w:t xml:space="preserve"> noteiktas tās funkcijas (nemainīgas jau vairāk kā 100 gadus), savukārt saskaņā ar 5.pantu kapitālsabiedrību var reorganizēt vai likvidēt tikai</w:t>
            </w:r>
            <w:r w:rsidR="00935FAF">
              <w:rPr>
                <w:sz w:val="22"/>
                <w:szCs w:val="22"/>
              </w:rPr>
              <w:t>,</w:t>
            </w:r>
            <w:r w:rsidRPr="00D8116D">
              <w:rPr>
                <w:sz w:val="22"/>
                <w:szCs w:val="22"/>
              </w:rPr>
              <w:t xml:space="preserve"> pamatojoties uz likumu. Līdz ar to nav prognozējams, ka Latvijas Nacionālās operas ēka, kas celta speciāli operas un baleta žanra izrāžu veidošanai, netiks izmantota kultūras funkciju īstenošanai.</w:t>
            </w:r>
            <w:r w:rsidR="00D8116D">
              <w:rPr>
                <w:sz w:val="22"/>
                <w:szCs w:val="22"/>
              </w:rPr>
              <w:t>”</w:t>
            </w:r>
          </w:p>
        </w:tc>
      </w:tr>
      <w:tr w:rsidR="003060AC" w:rsidRPr="00D8116D" w14:paraId="2D43ADF5" w14:textId="77777777" w:rsidTr="00830B96">
        <w:tc>
          <w:tcPr>
            <w:tcW w:w="301" w:type="pct"/>
            <w:tcBorders>
              <w:top w:val="single" w:sz="6" w:space="0" w:color="000000"/>
              <w:left w:val="single" w:sz="6" w:space="0" w:color="000000"/>
              <w:bottom w:val="single" w:sz="6" w:space="0" w:color="000000"/>
              <w:right w:val="single" w:sz="6" w:space="0" w:color="000000"/>
            </w:tcBorders>
            <w:shd w:val="clear" w:color="auto" w:fill="auto"/>
          </w:tcPr>
          <w:p w14:paraId="45D3657F" w14:textId="77777777" w:rsidR="00ED578A" w:rsidRPr="00D8116D" w:rsidRDefault="00ED578A" w:rsidP="00D8116D">
            <w:pPr>
              <w:pStyle w:val="naisc"/>
              <w:numPr>
                <w:ilvl w:val="0"/>
                <w:numId w:val="2"/>
              </w:numPr>
              <w:tabs>
                <w:tab w:val="left" w:pos="284"/>
              </w:tabs>
              <w:spacing w:before="0" w:after="0"/>
              <w:ind w:left="528" w:hanging="284"/>
              <w:rPr>
                <w:sz w:val="22"/>
                <w:szCs w:val="22"/>
              </w:rPr>
            </w:pPr>
          </w:p>
        </w:tc>
        <w:tc>
          <w:tcPr>
            <w:tcW w:w="1266" w:type="pct"/>
            <w:tcBorders>
              <w:top w:val="single" w:sz="6" w:space="0" w:color="000000"/>
              <w:left w:val="single" w:sz="6" w:space="0" w:color="000000"/>
              <w:bottom w:val="single" w:sz="6" w:space="0" w:color="000000"/>
              <w:right w:val="single" w:sz="6" w:space="0" w:color="000000"/>
            </w:tcBorders>
            <w:shd w:val="clear" w:color="auto" w:fill="auto"/>
          </w:tcPr>
          <w:p w14:paraId="59E9929A" w14:textId="014F8405" w:rsidR="00ED578A" w:rsidRPr="00D8116D" w:rsidRDefault="00ED578A" w:rsidP="00D8116D">
            <w:pPr>
              <w:jc w:val="both"/>
              <w:rPr>
                <w:sz w:val="22"/>
                <w:szCs w:val="22"/>
              </w:rPr>
            </w:pPr>
            <w:r w:rsidRPr="00D8116D">
              <w:rPr>
                <w:sz w:val="22"/>
                <w:szCs w:val="22"/>
              </w:rPr>
              <w:t>Projekts un Projekta sākotnējās ietekmes novērtējuma ziņojums (anotācija).</w:t>
            </w:r>
          </w:p>
        </w:tc>
        <w:tc>
          <w:tcPr>
            <w:tcW w:w="1241" w:type="pct"/>
            <w:tcBorders>
              <w:top w:val="single" w:sz="6" w:space="0" w:color="000000"/>
              <w:left w:val="single" w:sz="6" w:space="0" w:color="000000"/>
              <w:bottom w:val="single" w:sz="6" w:space="0" w:color="000000"/>
              <w:right w:val="single" w:sz="6" w:space="0" w:color="000000"/>
            </w:tcBorders>
            <w:shd w:val="clear" w:color="auto" w:fill="auto"/>
          </w:tcPr>
          <w:p w14:paraId="021A418C" w14:textId="2C67AEB0" w:rsidR="00ED578A" w:rsidRPr="00D8116D" w:rsidRDefault="00ED578A" w:rsidP="00D8116D">
            <w:pPr>
              <w:autoSpaceDE w:val="0"/>
              <w:autoSpaceDN w:val="0"/>
              <w:adjustRightInd w:val="0"/>
              <w:jc w:val="both"/>
              <w:rPr>
                <w:b/>
                <w:bCs/>
                <w:sz w:val="22"/>
                <w:szCs w:val="22"/>
              </w:rPr>
            </w:pPr>
            <w:r w:rsidRPr="00D8116D">
              <w:rPr>
                <w:b/>
                <w:bCs/>
                <w:sz w:val="22"/>
                <w:szCs w:val="22"/>
              </w:rPr>
              <w:t>Pārresoru koordinācijas centrs:</w:t>
            </w:r>
          </w:p>
          <w:p w14:paraId="511E2898" w14:textId="53A528C7" w:rsidR="00ED578A" w:rsidRPr="00D8116D" w:rsidRDefault="00ED578A" w:rsidP="00D8116D">
            <w:pPr>
              <w:autoSpaceDE w:val="0"/>
              <w:autoSpaceDN w:val="0"/>
              <w:adjustRightInd w:val="0"/>
              <w:jc w:val="both"/>
              <w:rPr>
                <w:sz w:val="22"/>
                <w:szCs w:val="22"/>
              </w:rPr>
            </w:pPr>
            <w:r w:rsidRPr="00D8116D">
              <w:rPr>
                <w:sz w:val="22"/>
                <w:szCs w:val="22"/>
              </w:rPr>
              <w:t xml:space="preserve">Projekts paredz Saskaņā ar </w:t>
            </w:r>
            <w:hyperlink r:id="rId12" w:tgtFrame="_blank" w:history="1">
              <w:r w:rsidRPr="00D8116D">
                <w:rPr>
                  <w:sz w:val="22"/>
                  <w:szCs w:val="22"/>
                </w:rPr>
                <w:t>Publiskas personas mantas atsavināšanas likuma</w:t>
              </w:r>
            </w:hyperlink>
            <w:r w:rsidRPr="00D8116D">
              <w:rPr>
                <w:sz w:val="22"/>
                <w:szCs w:val="22"/>
              </w:rPr>
              <w:t xml:space="preserve"> </w:t>
            </w:r>
            <w:hyperlink r:id="rId13" w:anchor="p40" w:tgtFrame="_blank" w:history="1">
              <w:proofErr w:type="gramStart"/>
              <w:r w:rsidRPr="00D8116D">
                <w:rPr>
                  <w:sz w:val="22"/>
                  <w:szCs w:val="22"/>
                </w:rPr>
                <w:t>40.pantu</w:t>
              </w:r>
              <w:proofErr w:type="gramEnd"/>
            </w:hyperlink>
            <w:r w:rsidRPr="00D8116D">
              <w:rPr>
                <w:sz w:val="22"/>
                <w:szCs w:val="22"/>
              </w:rPr>
              <w:t xml:space="preserve"> atļaut KM ieguldīt valsts sabiedrības ar ierobežotu atbildību “Latvijas Nacionālā opera un balets” (turpmāk – LNOB) pamatkapitālā kā mantisko ieguldījumu valsts nekustamo īpašumu (nekustamā īpašuma kadastra Nr.0100 005 0056), kas sastāv no zemes vienības (zemes vienības kadastra apzīmējums 0100 005 0056) 12 095 m</w:t>
            </w:r>
            <w:r w:rsidRPr="00D8116D">
              <w:rPr>
                <w:sz w:val="22"/>
                <w:szCs w:val="22"/>
                <w:vertAlign w:val="superscript"/>
              </w:rPr>
              <w:t>2</w:t>
            </w:r>
            <w:r w:rsidRPr="00D8116D">
              <w:rPr>
                <w:sz w:val="22"/>
                <w:szCs w:val="22"/>
              </w:rPr>
              <w:t xml:space="preserve"> platībā un divām būvēm (būvju kadastra apzīmējumi 0100 005 0056 001 un 0100 005 0055 004) Aspazijas bulvārī 3, Rīgā (turpmāk – Atsavināmais īpašums), ar kopējo </w:t>
            </w:r>
            <w:r w:rsidRPr="00D8116D">
              <w:rPr>
                <w:sz w:val="22"/>
                <w:szCs w:val="22"/>
              </w:rPr>
              <w:lastRenderedPageBreak/>
              <w:t xml:space="preserve">valsts mantiskā ieguldījuma vērtību 16 000 000 </w:t>
            </w:r>
            <w:r w:rsidRPr="00D8116D">
              <w:rPr>
                <w:i/>
                <w:iCs/>
                <w:sz w:val="22"/>
                <w:szCs w:val="22"/>
              </w:rPr>
              <w:t>euro</w:t>
            </w:r>
            <w:r w:rsidRPr="00D8116D">
              <w:rPr>
                <w:sz w:val="22"/>
                <w:szCs w:val="22"/>
              </w:rPr>
              <w:t>, kas ierakstīts zemesgrāmatā uz valsts vārda KM personā.</w:t>
            </w:r>
          </w:p>
          <w:p w14:paraId="0D083234" w14:textId="77777777" w:rsidR="00ED578A" w:rsidRPr="00D8116D" w:rsidRDefault="00ED578A" w:rsidP="00D8116D">
            <w:pPr>
              <w:autoSpaceDE w:val="0"/>
              <w:autoSpaceDN w:val="0"/>
              <w:adjustRightInd w:val="0"/>
              <w:ind w:firstLine="567"/>
              <w:jc w:val="both"/>
              <w:rPr>
                <w:sz w:val="22"/>
                <w:szCs w:val="22"/>
              </w:rPr>
            </w:pPr>
            <w:r w:rsidRPr="00D8116D">
              <w:rPr>
                <w:sz w:val="22"/>
                <w:szCs w:val="22"/>
              </w:rPr>
              <w:t xml:space="preserve">Atsavināmais īpašums - </w:t>
            </w:r>
            <w:r w:rsidRPr="00D8116D">
              <w:rPr>
                <w:bCs/>
                <w:iCs/>
                <w:sz w:val="22"/>
                <w:szCs w:val="22"/>
              </w:rPr>
              <w:t xml:space="preserve">Latvijas Nacionālās operas ēka atrodas valsts nozīmes kultūras pieminekļu sarakstos ar valsts aizsardzības Nr.6513 (ieraksts Nr.2.1.). Ar </w:t>
            </w:r>
            <w:r w:rsidRPr="00D8116D">
              <w:rPr>
                <w:bCs/>
                <w:sz w:val="22"/>
                <w:szCs w:val="22"/>
              </w:rPr>
              <w:t xml:space="preserve">Ministru kabineta </w:t>
            </w:r>
            <w:proofErr w:type="gramStart"/>
            <w:r w:rsidRPr="00D8116D">
              <w:rPr>
                <w:bCs/>
                <w:sz w:val="22"/>
                <w:szCs w:val="22"/>
              </w:rPr>
              <w:t>2020.gada</w:t>
            </w:r>
            <w:proofErr w:type="gramEnd"/>
            <w:r w:rsidRPr="00D8116D">
              <w:rPr>
                <w:bCs/>
                <w:sz w:val="22"/>
                <w:szCs w:val="22"/>
              </w:rPr>
              <w:t xml:space="preserve"> 19.februāra rīkojumu Nr. 64 Par Rīgas pilsētas pašvaldībai piederošā nekustamā īpašuma Aspazijas bulvārī 3, Rīgā, pārņemšanu valsts īpašumā (turpmāk – Pārņemšanas rīkojums) Atsavināmais īpašums tika nodots </w:t>
            </w:r>
            <w:r w:rsidRPr="00D8116D">
              <w:rPr>
                <w:sz w:val="22"/>
                <w:szCs w:val="22"/>
              </w:rPr>
              <w:t>valstij KM personā, vienlaikus nolemjot, ka tas izmantojams tikai pārvaldes funkciju īstenošanai kultūras jomā (uzskaitot konkrētas izmantošanas jomas), un uzdodot KM, nostiprinot īpašuma tiesības uz nekustamo īpašumu zemesgrāmatā uz valsts vārda:</w:t>
            </w:r>
          </w:p>
          <w:p w14:paraId="0E7AA659" w14:textId="77777777" w:rsidR="00ED578A" w:rsidRPr="00D8116D" w:rsidRDefault="00ED578A" w:rsidP="00D8116D">
            <w:pPr>
              <w:pStyle w:val="Paraststmeklis"/>
              <w:numPr>
                <w:ilvl w:val="0"/>
                <w:numId w:val="1"/>
              </w:numPr>
              <w:shd w:val="clear" w:color="auto" w:fill="FFFFFF"/>
              <w:spacing w:before="0" w:beforeAutospacing="0" w:after="0" w:afterAutospacing="0"/>
              <w:ind w:left="284" w:hanging="284"/>
              <w:jc w:val="both"/>
              <w:rPr>
                <w:sz w:val="22"/>
                <w:szCs w:val="22"/>
              </w:rPr>
            </w:pPr>
            <w:r w:rsidRPr="00D8116D">
              <w:rPr>
                <w:sz w:val="22"/>
                <w:szCs w:val="22"/>
              </w:rPr>
              <w:t>norādīt, ka īpašuma tiesības nostiprinātas uz laiku, kamēr nekustamais īpašums tiek izmantots šā rīkojuma 1. punktā minēto funkciju īstenošanai;</w:t>
            </w:r>
          </w:p>
          <w:p w14:paraId="124C5351" w14:textId="77777777" w:rsidR="00ED578A" w:rsidRPr="00D8116D" w:rsidRDefault="00ED578A" w:rsidP="00D8116D">
            <w:pPr>
              <w:pStyle w:val="Paraststmeklis"/>
              <w:numPr>
                <w:ilvl w:val="0"/>
                <w:numId w:val="1"/>
              </w:numPr>
              <w:shd w:val="clear" w:color="auto" w:fill="FFFFFF"/>
              <w:spacing w:before="0" w:beforeAutospacing="0" w:after="0" w:afterAutospacing="0"/>
              <w:ind w:left="284" w:hanging="284"/>
              <w:jc w:val="both"/>
              <w:rPr>
                <w:sz w:val="22"/>
                <w:szCs w:val="22"/>
              </w:rPr>
            </w:pPr>
            <w:r w:rsidRPr="00D8116D">
              <w:rPr>
                <w:sz w:val="22"/>
                <w:szCs w:val="22"/>
              </w:rPr>
              <w:t xml:space="preserve">ierakstīt atzīmi par aizliegumu atsavināt nekustamo īpašumu vai tā daļu un apgrūtināt to ar hipotēku bez Rīgas pilsētas pašvaldības piekrišanas </w:t>
            </w:r>
            <w:proofErr w:type="gramStart"/>
            <w:r w:rsidRPr="00D8116D">
              <w:rPr>
                <w:sz w:val="22"/>
                <w:szCs w:val="22"/>
              </w:rPr>
              <w:t>(</w:t>
            </w:r>
            <w:proofErr w:type="gramEnd"/>
            <w:r w:rsidRPr="00D8116D">
              <w:rPr>
                <w:sz w:val="22"/>
                <w:szCs w:val="22"/>
              </w:rPr>
              <w:t xml:space="preserve">izņemot KM tiesības šā rīkojuma 1. punktā </w:t>
            </w:r>
            <w:r w:rsidRPr="00D8116D">
              <w:rPr>
                <w:sz w:val="22"/>
                <w:szCs w:val="22"/>
              </w:rPr>
              <w:lastRenderedPageBreak/>
              <w:t>minēto nekustamo īpašumu ieguldīt LNOB pamatkapitālā, nostiprinot īpašuma tiesības uz nekustamo īpašumu zemesgrāmatā uz LNOB vārda, ar nosacījumu, ka tiek nodrošināta šā rīkojuma 1. punktā minēto funkciju īstenošana;</w:t>
            </w:r>
          </w:p>
          <w:p w14:paraId="1524F9A2" w14:textId="77777777" w:rsidR="00ED578A" w:rsidRPr="00D8116D" w:rsidRDefault="00ED578A" w:rsidP="00D8116D">
            <w:pPr>
              <w:pStyle w:val="Paraststmeklis"/>
              <w:numPr>
                <w:ilvl w:val="0"/>
                <w:numId w:val="1"/>
              </w:numPr>
              <w:shd w:val="clear" w:color="auto" w:fill="FFFFFF"/>
              <w:overflowPunct w:val="0"/>
              <w:autoSpaceDE w:val="0"/>
              <w:autoSpaceDN w:val="0"/>
              <w:adjustRightInd w:val="0"/>
              <w:spacing w:before="0" w:beforeAutospacing="0" w:after="0" w:afterAutospacing="0"/>
              <w:ind w:left="284" w:hanging="284"/>
              <w:jc w:val="both"/>
              <w:textAlignment w:val="baseline"/>
              <w:rPr>
                <w:bCs/>
                <w:sz w:val="22"/>
                <w:szCs w:val="22"/>
              </w:rPr>
            </w:pPr>
            <w:r w:rsidRPr="00D8116D">
              <w:rPr>
                <w:sz w:val="22"/>
                <w:szCs w:val="22"/>
              </w:rPr>
              <w:t xml:space="preserve"> KM nekustamo īpašumu bez atlīdzības nodot Rīgas pilsētas pašvaldības īpašumā, ja tas vairs netiek izmantots šā rīkojuma 1. punktā minēto funkciju īstenošanai.</w:t>
            </w:r>
            <w:r w:rsidRPr="00D8116D">
              <w:rPr>
                <w:bCs/>
                <w:sz w:val="22"/>
                <w:szCs w:val="22"/>
              </w:rPr>
              <w:tab/>
            </w:r>
          </w:p>
          <w:p w14:paraId="46897FF6" w14:textId="3FFCF7B5" w:rsidR="00ED578A" w:rsidRPr="00D8116D" w:rsidRDefault="00ED578A" w:rsidP="00D8116D">
            <w:pPr>
              <w:overflowPunct w:val="0"/>
              <w:autoSpaceDE w:val="0"/>
              <w:autoSpaceDN w:val="0"/>
              <w:adjustRightInd w:val="0"/>
              <w:ind w:firstLine="567"/>
              <w:jc w:val="both"/>
              <w:textAlignment w:val="baseline"/>
              <w:rPr>
                <w:bCs/>
                <w:sz w:val="22"/>
                <w:szCs w:val="22"/>
              </w:rPr>
            </w:pPr>
            <w:r w:rsidRPr="00D8116D">
              <w:rPr>
                <w:bCs/>
                <w:sz w:val="22"/>
                <w:szCs w:val="22"/>
              </w:rPr>
              <w:t>Pārņemšanas rīkojumā ietvertie nosacījumi ir nostiprināti zemesgrāmatā: II. daļas 1. iedaļas 5.3. punktā ir nostiprināta atzīme par īpašuma tiesību saistību ar Pārņemšanas rīkojumā minēto funkciju izpildi, un II. daļas 2. iedaļas 1.1. punktā – aizliegums bez Rīgas pilsētas pašvaldības piekrišanas atsavināt vai apgrūtināt īpašumu.</w:t>
            </w:r>
          </w:p>
          <w:p w14:paraId="23FEDE7B" w14:textId="72A7D7D2" w:rsidR="00ED578A" w:rsidRPr="00D8116D" w:rsidRDefault="00ED578A" w:rsidP="00D8116D">
            <w:pPr>
              <w:overflowPunct w:val="0"/>
              <w:autoSpaceDE w:val="0"/>
              <w:autoSpaceDN w:val="0"/>
              <w:adjustRightInd w:val="0"/>
              <w:ind w:firstLine="567"/>
              <w:jc w:val="both"/>
              <w:textAlignment w:val="baseline"/>
              <w:rPr>
                <w:bCs/>
                <w:sz w:val="22"/>
                <w:szCs w:val="22"/>
              </w:rPr>
            </w:pPr>
            <w:r w:rsidRPr="00D8116D">
              <w:rPr>
                <w:bCs/>
                <w:sz w:val="22"/>
                <w:szCs w:val="22"/>
              </w:rPr>
              <w:t xml:space="preserve">Pārņemšanas rīkojumā ietvertie nosacījumi ir spēkā un ir jāievēro, plānojot </w:t>
            </w:r>
            <w:r w:rsidRPr="00D8116D">
              <w:rPr>
                <w:sz w:val="22"/>
                <w:szCs w:val="22"/>
              </w:rPr>
              <w:t xml:space="preserve">KM </w:t>
            </w:r>
            <w:r w:rsidRPr="00D8116D">
              <w:rPr>
                <w:bCs/>
                <w:sz w:val="22"/>
                <w:szCs w:val="22"/>
              </w:rPr>
              <w:t xml:space="preserve">turpmāko rīcību ar Atsavināmo īpašumu. </w:t>
            </w:r>
            <w:r w:rsidRPr="00D8116D">
              <w:rPr>
                <w:sz w:val="22"/>
                <w:szCs w:val="22"/>
              </w:rPr>
              <w:t>KM</w:t>
            </w:r>
            <w:r w:rsidRPr="00D8116D">
              <w:rPr>
                <w:bCs/>
                <w:sz w:val="22"/>
                <w:szCs w:val="22"/>
              </w:rPr>
              <w:t>, ieguldot nekustamo īpašumu kapitālsabiedrībā, ir jānodrošina Pārņemšanas rīkojuma noteikumu izpilde</w:t>
            </w:r>
            <w:proofErr w:type="gramStart"/>
            <w:r w:rsidRPr="00D8116D">
              <w:rPr>
                <w:bCs/>
                <w:sz w:val="22"/>
                <w:szCs w:val="22"/>
              </w:rPr>
              <w:t xml:space="preserve"> vai jārosina to atcelšana</w:t>
            </w:r>
            <w:proofErr w:type="gramEnd"/>
            <w:r w:rsidRPr="00D8116D">
              <w:rPr>
                <w:bCs/>
                <w:sz w:val="22"/>
                <w:szCs w:val="22"/>
              </w:rPr>
              <w:t xml:space="preserve">, vai grozīšana. Ja, ieguldot Atsavināmo īpašumu kapitālsabiedrības pamatkapitālā, netiek pārskatīti </w:t>
            </w:r>
            <w:r w:rsidRPr="00D8116D">
              <w:rPr>
                <w:bCs/>
                <w:sz w:val="22"/>
                <w:szCs w:val="22"/>
              </w:rPr>
              <w:lastRenderedPageBreak/>
              <w:t xml:space="preserve">Pārņemšanas rīkojumā </w:t>
            </w:r>
            <w:r w:rsidRPr="00D8116D">
              <w:rPr>
                <w:sz w:val="22"/>
                <w:szCs w:val="22"/>
              </w:rPr>
              <w:t xml:space="preserve">KM </w:t>
            </w:r>
            <w:r w:rsidRPr="00D8116D">
              <w:rPr>
                <w:bCs/>
                <w:sz w:val="22"/>
                <w:szCs w:val="22"/>
              </w:rPr>
              <w:t xml:space="preserve">noteiktie uzdevumi, tad īpašuma atsavināšanas procesā ir jānodrošina, ka Atsavināmais </w:t>
            </w:r>
            <w:r w:rsidRPr="00D8116D">
              <w:rPr>
                <w:sz w:val="22"/>
                <w:szCs w:val="22"/>
              </w:rPr>
              <w:t>nekustamais īpašums arī turpmāk tiks izmantots Pārņemšanas rīkojuma 1. punktā minēto funkciju īstenošanai, kā arī</w:t>
            </w:r>
            <w:r w:rsidRPr="00D8116D">
              <w:rPr>
                <w:bCs/>
                <w:sz w:val="22"/>
                <w:szCs w:val="22"/>
              </w:rPr>
              <w:t xml:space="preserve"> iespēja </w:t>
            </w:r>
            <w:r w:rsidRPr="00D8116D">
              <w:rPr>
                <w:sz w:val="22"/>
                <w:szCs w:val="22"/>
              </w:rPr>
              <w:t xml:space="preserve">nekustamo īpašumu bez atlīdzības nodot Rīgas pilsētas pašvaldības īpašumā, ja tas vairs netiks izmantots šā rīkojuma 1.punktā minēto funkciju īstenošanai. </w:t>
            </w:r>
            <w:r w:rsidRPr="00D8116D">
              <w:rPr>
                <w:bCs/>
                <w:sz w:val="22"/>
                <w:szCs w:val="22"/>
              </w:rPr>
              <w:t xml:space="preserve">Projektā un tā anotācijā netiek skarts jautājums par Pārņemšanas rīkojumā norādīto izmantošanas un atsavināšanas aprobežojumu saglabāšanu, izpildi vai atcelšanu. Vienlaikus atzīmējams, ka pienākums nodot </w:t>
            </w:r>
            <w:r w:rsidRPr="00D8116D">
              <w:rPr>
                <w:sz w:val="22"/>
                <w:szCs w:val="22"/>
              </w:rPr>
              <w:t>nekustamo īpašumu bez atlīdzības Rīgas pilsētas pašvaldības īpašumā, ja tas vairs netiek izmantots šā rīkojuma 1. punktā minēto funkciju īstenošanai, nav nostiprināts Zemesgrāmatā un automātiski uz LNOB nepāries.</w:t>
            </w:r>
          </w:p>
          <w:p w14:paraId="03A9CD8F" w14:textId="303C0108" w:rsidR="00ED578A" w:rsidRPr="00D8116D" w:rsidRDefault="00ED578A" w:rsidP="00D8116D">
            <w:pPr>
              <w:overflowPunct w:val="0"/>
              <w:autoSpaceDE w:val="0"/>
              <w:autoSpaceDN w:val="0"/>
              <w:adjustRightInd w:val="0"/>
              <w:ind w:firstLine="567"/>
              <w:jc w:val="both"/>
              <w:textAlignment w:val="baseline"/>
              <w:rPr>
                <w:bCs/>
                <w:sz w:val="22"/>
                <w:szCs w:val="22"/>
              </w:rPr>
            </w:pPr>
            <w:r w:rsidRPr="00D8116D">
              <w:rPr>
                <w:bCs/>
                <w:sz w:val="22"/>
                <w:szCs w:val="22"/>
              </w:rPr>
              <w:t>Tā kā LNOB nav Pārņemšanas rīkojuma adresāts, uz to bez attiecīgas saistību nodošanas nav attiecināmi rīkojumā ietvertie Atsavināmā īpašuma civiltiesiskās aprites aprobežojumi. Pēc</w:t>
            </w:r>
            <w:proofErr w:type="gramStart"/>
            <w:r w:rsidRPr="00D8116D">
              <w:rPr>
                <w:bCs/>
                <w:sz w:val="22"/>
                <w:szCs w:val="22"/>
              </w:rPr>
              <w:t xml:space="preserve">  </w:t>
            </w:r>
            <w:proofErr w:type="gramEnd"/>
            <w:r w:rsidRPr="00D8116D">
              <w:rPr>
                <w:bCs/>
                <w:sz w:val="22"/>
                <w:szCs w:val="22"/>
              </w:rPr>
              <w:t xml:space="preserve">Atsavināmā īpašuma ieguldīšanas kapitālsabiedrības pamatkapitālā LNOB valde būs tiesīga rīkoties ar īpašumu, ievērojot vienīgi tos </w:t>
            </w:r>
            <w:r w:rsidRPr="00D8116D">
              <w:rPr>
                <w:bCs/>
                <w:sz w:val="22"/>
                <w:szCs w:val="22"/>
              </w:rPr>
              <w:lastRenderedPageBreak/>
              <w:t xml:space="preserve">aprobežojumus, kas nostiprināti zemesgrāmatā. </w:t>
            </w:r>
          </w:p>
          <w:p w14:paraId="70A9F323" w14:textId="090053B8" w:rsidR="00ED578A" w:rsidRPr="00D8116D" w:rsidRDefault="00ED578A" w:rsidP="00D8116D">
            <w:pPr>
              <w:pStyle w:val="naisc"/>
              <w:spacing w:before="0" w:after="0"/>
              <w:ind w:firstLine="567"/>
              <w:jc w:val="both"/>
              <w:rPr>
                <w:b/>
                <w:sz w:val="22"/>
                <w:szCs w:val="22"/>
              </w:rPr>
            </w:pPr>
            <w:r w:rsidRPr="00D8116D">
              <w:rPr>
                <w:bCs/>
                <w:sz w:val="22"/>
                <w:szCs w:val="22"/>
              </w:rPr>
              <w:t>Ņemot vērā iepriekš norādīto, PKC norāda, ka izskatot jautājumu par Atsavināmā īpašuma ieguldīšanu LNOB pamatkapitālā vienlaikus jāizlemj jautājums par Pārņemšanas rīkojumā ietverto nosacījumu (apgrūtināšanas ar hipotēku un tālākas atsavināšanas aizliegumu, kā arī Rīgas pašvaldības tiesībām atgūt Atsavināto īpašumu, ja tas netiks izmantots valsts pārvaldes funkciju īstenošanai kultūras jomā) turpmāku izpildi. Vienlaikus jārisina jautājums par Atsavināmā īpašuma zemesgrāmatu nodalījuma II. daļas 1. iedaļas 5.3. punktā nostiprinātās atzīmes dzēšanu vai grozīšanu, vai – ja tā tiek saglabāta – par LNOB rīcību ar Atsavināmo īpašumu, iestājoties īpašuma tiesību atcelšanas nosacījumam, jo ne Komerclikumā, ne Publiskas personas mantas atsavināšanas likumā šādai situācijai nav izveidots regulējums</w:t>
            </w:r>
          </w:p>
        </w:tc>
        <w:tc>
          <w:tcPr>
            <w:tcW w:w="1082" w:type="pct"/>
            <w:tcBorders>
              <w:top w:val="single" w:sz="6" w:space="0" w:color="000000"/>
              <w:left w:val="single" w:sz="6" w:space="0" w:color="000000"/>
              <w:bottom w:val="single" w:sz="6" w:space="0" w:color="000000"/>
              <w:right w:val="single" w:sz="6" w:space="0" w:color="000000"/>
            </w:tcBorders>
            <w:shd w:val="clear" w:color="auto" w:fill="auto"/>
          </w:tcPr>
          <w:p w14:paraId="2F14C0F5" w14:textId="77777777" w:rsidR="00ED578A" w:rsidRDefault="00ED578A" w:rsidP="00D8116D">
            <w:pPr>
              <w:widowControl w:val="0"/>
              <w:autoSpaceDE w:val="0"/>
              <w:autoSpaceDN w:val="0"/>
              <w:adjustRightInd w:val="0"/>
              <w:jc w:val="center"/>
              <w:rPr>
                <w:b/>
                <w:bCs/>
                <w:sz w:val="22"/>
                <w:szCs w:val="22"/>
              </w:rPr>
            </w:pPr>
            <w:r w:rsidRPr="00D8116D">
              <w:rPr>
                <w:b/>
                <w:bCs/>
                <w:sz w:val="22"/>
                <w:szCs w:val="22"/>
              </w:rPr>
              <w:lastRenderedPageBreak/>
              <w:t>Ņemts vērā</w:t>
            </w:r>
          </w:p>
          <w:p w14:paraId="1F372413" w14:textId="4F0B3A97" w:rsidR="00D8116D" w:rsidRDefault="00D8116D" w:rsidP="00921CF9">
            <w:pPr>
              <w:ind w:firstLine="567"/>
              <w:jc w:val="both"/>
              <w:rPr>
                <w:sz w:val="22"/>
                <w:szCs w:val="22"/>
              </w:rPr>
            </w:pPr>
            <w:r>
              <w:rPr>
                <w:bCs/>
                <w:sz w:val="22"/>
                <w:szCs w:val="22"/>
              </w:rPr>
              <w:t>S</w:t>
            </w:r>
            <w:r w:rsidRPr="00D8116D">
              <w:rPr>
                <w:bCs/>
                <w:sz w:val="22"/>
                <w:szCs w:val="22"/>
              </w:rPr>
              <w:t xml:space="preserve">kaidrojam, </w:t>
            </w:r>
            <w:r>
              <w:rPr>
                <w:bCs/>
                <w:sz w:val="22"/>
                <w:szCs w:val="22"/>
              </w:rPr>
              <w:t xml:space="preserve">ka </w:t>
            </w:r>
            <w:r w:rsidRPr="00D8116D">
              <w:rPr>
                <w:bCs/>
                <w:sz w:val="22"/>
                <w:szCs w:val="22"/>
              </w:rPr>
              <w:t xml:space="preserve">Ministru kabineta </w:t>
            </w:r>
            <w:proofErr w:type="gramStart"/>
            <w:r w:rsidRPr="00D8116D">
              <w:rPr>
                <w:bCs/>
                <w:sz w:val="22"/>
                <w:szCs w:val="22"/>
              </w:rPr>
              <w:t>2020.gada</w:t>
            </w:r>
            <w:proofErr w:type="gramEnd"/>
            <w:r w:rsidRPr="00D8116D">
              <w:rPr>
                <w:bCs/>
                <w:sz w:val="22"/>
                <w:szCs w:val="22"/>
              </w:rPr>
              <w:t xml:space="preserve"> 19.februāra rīkojum</w:t>
            </w:r>
            <w:r>
              <w:rPr>
                <w:bCs/>
                <w:sz w:val="22"/>
                <w:szCs w:val="22"/>
              </w:rPr>
              <w:t>ā</w:t>
            </w:r>
            <w:r w:rsidRPr="00D8116D">
              <w:rPr>
                <w:bCs/>
                <w:sz w:val="22"/>
                <w:szCs w:val="22"/>
              </w:rPr>
              <w:t xml:space="preserve"> Nr.64 </w:t>
            </w:r>
            <w:r w:rsidRPr="00D8116D">
              <w:rPr>
                <w:sz w:val="22"/>
                <w:szCs w:val="22"/>
              </w:rPr>
              <w:t>„</w:t>
            </w:r>
            <w:r w:rsidRPr="00D8116D">
              <w:rPr>
                <w:bCs/>
                <w:sz w:val="22"/>
                <w:szCs w:val="22"/>
              </w:rPr>
              <w:t>Par Rīgas pilsētas pašvaldībai piederošā nekustamā īpašuma Aspazijas bulvārī 3, Rīgā, pārņemšanu valsts īpašumā</w:t>
            </w:r>
            <w:r>
              <w:rPr>
                <w:bCs/>
                <w:sz w:val="22"/>
                <w:szCs w:val="22"/>
              </w:rPr>
              <w:t>”</w:t>
            </w:r>
            <w:r w:rsidRPr="00D8116D">
              <w:rPr>
                <w:bCs/>
                <w:sz w:val="22"/>
                <w:szCs w:val="22"/>
              </w:rPr>
              <w:t xml:space="preserve"> norādīto izmantošanas un atsavināšanas aprobežojumu saglabāšan</w:t>
            </w:r>
            <w:r>
              <w:rPr>
                <w:bCs/>
                <w:sz w:val="22"/>
                <w:szCs w:val="22"/>
              </w:rPr>
              <w:t>u</w:t>
            </w:r>
            <w:r w:rsidRPr="00D8116D">
              <w:rPr>
                <w:bCs/>
                <w:sz w:val="22"/>
                <w:szCs w:val="22"/>
              </w:rPr>
              <w:t>, izpild</w:t>
            </w:r>
            <w:r>
              <w:rPr>
                <w:bCs/>
                <w:sz w:val="22"/>
                <w:szCs w:val="22"/>
              </w:rPr>
              <w:t>i</w:t>
            </w:r>
            <w:r w:rsidRPr="00D8116D">
              <w:rPr>
                <w:bCs/>
                <w:sz w:val="22"/>
                <w:szCs w:val="22"/>
              </w:rPr>
              <w:t xml:space="preserve"> vai atcelšan</w:t>
            </w:r>
            <w:r>
              <w:rPr>
                <w:bCs/>
                <w:sz w:val="22"/>
                <w:szCs w:val="22"/>
              </w:rPr>
              <w:t>u</w:t>
            </w:r>
            <w:r w:rsidRPr="00D8116D">
              <w:rPr>
                <w:bCs/>
                <w:sz w:val="22"/>
                <w:szCs w:val="22"/>
              </w:rPr>
              <w:t xml:space="preserve"> nav paredzēts skart, tie saglabājas nemainīgi. Vienlaikus vēršam uzmanību, ka pienākums nodot </w:t>
            </w:r>
            <w:r w:rsidRPr="00D8116D">
              <w:rPr>
                <w:sz w:val="22"/>
                <w:szCs w:val="22"/>
              </w:rPr>
              <w:t>nekustamo īpašumu bez atlīdzības Rīgas pilsētas pašvaldības īpašumā, ja tas netiek izmantots kultūras funkciju veikšanai</w:t>
            </w:r>
            <w:r w:rsidR="00A05472">
              <w:rPr>
                <w:sz w:val="22"/>
                <w:szCs w:val="22"/>
              </w:rPr>
              <w:t>,</w:t>
            </w:r>
            <w:r w:rsidRPr="00D8116D">
              <w:rPr>
                <w:sz w:val="22"/>
                <w:szCs w:val="22"/>
              </w:rPr>
              <w:t xml:space="preserve"> ir </w:t>
            </w:r>
            <w:r w:rsidRPr="00D8116D">
              <w:rPr>
                <w:sz w:val="22"/>
                <w:szCs w:val="22"/>
              </w:rPr>
              <w:lastRenderedPageBreak/>
              <w:t>nostiprināts Rīgas pilsētas Vidzemes priekšpilsētas tiesas Rīgas pilsētas zemesgrāmatas nodalījuma Nr.13415 II daļas 1.iedaļas 5.3.punktā</w:t>
            </w:r>
            <w:r>
              <w:rPr>
                <w:sz w:val="22"/>
                <w:szCs w:val="22"/>
              </w:rPr>
              <w:t xml:space="preserve">, </w:t>
            </w:r>
            <w:r w:rsidRPr="00D8116D">
              <w:rPr>
                <w:sz w:val="22"/>
                <w:szCs w:val="22"/>
              </w:rPr>
              <w:t>saskaņā ar kuru valsts īpašuma tiesība</w:t>
            </w:r>
            <w:proofErr w:type="gramStart"/>
            <w:r w:rsidRPr="00D8116D">
              <w:rPr>
                <w:sz w:val="22"/>
                <w:szCs w:val="22"/>
              </w:rPr>
              <w:t xml:space="preserve"> nostiprināta uz laiku</w:t>
            </w:r>
            <w:proofErr w:type="gramEnd"/>
            <w:r w:rsidRPr="00D8116D">
              <w:rPr>
                <w:sz w:val="22"/>
                <w:szCs w:val="22"/>
              </w:rPr>
              <w:t>, kamēr nekustamais īpašums tiek izmantots Ministru kabineta 2020.gada 19.februāra rīkojuma Nr.64 „</w:t>
            </w:r>
            <w:r w:rsidRPr="00D8116D">
              <w:rPr>
                <w:bCs/>
                <w:sz w:val="22"/>
                <w:szCs w:val="22"/>
              </w:rPr>
              <w:t>Par Rīgas pilsētas pašvaldībai piederošā nekustamā īpašuma Aspazijas bulvārī 3, Rīgā, pārņemšanu valsts īpašumā</w:t>
            </w:r>
            <w:r>
              <w:rPr>
                <w:bCs/>
                <w:sz w:val="22"/>
                <w:szCs w:val="22"/>
              </w:rPr>
              <w:t>”</w:t>
            </w:r>
            <w:r w:rsidRPr="00D8116D">
              <w:rPr>
                <w:bCs/>
                <w:sz w:val="22"/>
                <w:szCs w:val="22"/>
              </w:rPr>
              <w:t xml:space="preserve"> </w:t>
            </w:r>
            <w:r w:rsidRPr="00D8116D">
              <w:rPr>
                <w:sz w:val="22"/>
                <w:szCs w:val="22"/>
              </w:rPr>
              <w:t xml:space="preserve">1.punktā minēto funkciju veikšanai. </w:t>
            </w:r>
          </w:p>
          <w:p w14:paraId="42E173B6" w14:textId="1D825C14" w:rsidR="00D8116D" w:rsidRPr="00D8116D" w:rsidRDefault="00D8116D" w:rsidP="00921CF9">
            <w:pPr>
              <w:ind w:firstLine="567"/>
              <w:jc w:val="both"/>
              <w:rPr>
                <w:b/>
                <w:bCs/>
                <w:sz w:val="22"/>
                <w:szCs w:val="22"/>
              </w:rPr>
            </w:pPr>
            <w:r w:rsidRPr="00D8116D">
              <w:rPr>
                <w:sz w:val="22"/>
                <w:szCs w:val="22"/>
              </w:rPr>
              <w:t>Savukārt Rīgas pilsētas Vidzemes priekšpilsētas tiesas Rīgas pilsētas zemesgrāmatas nodalījuma Nr.13415 nodalījuma II</w:t>
            </w:r>
            <w:r>
              <w:rPr>
                <w:sz w:val="22"/>
                <w:szCs w:val="22"/>
              </w:rPr>
              <w:t> </w:t>
            </w:r>
            <w:r w:rsidRPr="00D8116D">
              <w:rPr>
                <w:sz w:val="22"/>
                <w:szCs w:val="22"/>
              </w:rPr>
              <w:t>daļas 2.iedaļas 1.1.punkt</w:t>
            </w:r>
            <w:r>
              <w:rPr>
                <w:sz w:val="22"/>
                <w:szCs w:val="22"/>
              </w:rPr>
              <w:t>ā</w:t>
            </w:r>
            <w:r w:rsidRPr="00D8116D">
              <w:rPr>
                <w:sz w:val="22"/>
                <w:szCs w:val="22"/>
              </w:rPr>
              <w:t xml:space="preserve"> noteikts aizliegums bez Rīgas pilsētas pašvaldības piekrišanas nekustamo īpašumu atsavināt un apgrūtināt, izņemot Kultūras ministrijas tiesības nekustamo īpašumu ieguldīt valsts sabiedrības ar ierobežotu atbildību </w:t>
            </w:r>
            <w:r w:rsidRPr="00D8116D">
              <w:rPr>
                <w:sz w:val="22"/>
                <w:szCs w:val="22"/>
                <w:lang w:eastAsia="en-US"/>
              </w:rPr>
              <w:t>„</w:t>
            </w:r>
            <w:r w:rsidRPr="00D8116D">
              <w:rPr>
                <w:sz w:val="22"/>
                <w:szCs w:val="22"/>
              </w:rPr>
              <w:t xml:space="preserve">Latvijas Nacionālā opera un balets” pamatkapitālā, nostiprinot īpašuma tiesības uz nekustamo īpašumu zemesgrāmatā uz valsts sabiedrības ar ierobežotu atbildību </w:t>
            </w:r>
            <w:r w:rsidRPr="00D8116D">
              <w:rPr>
                <w:sz w:val="22"/>
                <w:szCs w:val="22"/>
                <w:lang w:eastAsia="en-US"/>
              </w:rPr>
              <w:t>„</w:t>
            </w:r>
            <w:r w:rsidRPr="00D8116D">
              <w:rPr>
                <w:sz w:val="22"/>
                <w:szCs w:val="22"/>
              </w:rPr>
              <w:t xml:space="preserve">Latvijas Nacionālā opera un balets” vārda. </w:t>
            </w:r>
            <w:proofErr w:type="spellStart"/>
            <w:r w:rsidRPr="00D8116D">
              <w:rPr>
                <w:sz w:val="22"/>
                <w:szCs w:val="22"/>
              </w:rPr>
              <w:t>Tādejādi</w:t>
            </w:r>
            <w:proofErr w:type="spellEnd"/>
            <w:r w:rsidRPr="00D8116D">
              <w:rPr>
                <w:sz w:val="22"/>
                <w:szCs w:val="22"/>
              </w:rPr>
              <w:t xml:space="preserve"> </w:t>
            </w:r>
            <w:r w:rsidRPr="00D8116D">
              <w:rPr>
                <w:sz w:val="22"/>
                <w:szCs w:val="22"/>
              </w:rPr>
              <w:lastRenderedPageBreak/>
              <w:t xml:space="preserve">minētais ieraksts un Kultūras ministrijas tiesības ieguldīt nekustamo īpašumu valsts sabiedrības ar ierobežotu atbildību </w:t>
            </w:r>
            <w:r w:rsidRPr="00D8116D">
              <w:rPr>
                <w:sz w:val="22"/>
                <w:szCs w:val="22"/>
                <w:lang w:eastAsia="en-US"/>
              </w:rPr>
              <w:t>„</w:t>
            </w:r>
            <w:r w:rsidRPr="00D8116D">
              <w:rPr>
                <w:sz w:val="22"/>
                <w:szCs w:val="22"/>
              </w:rPr>
              <w:t>Latvijas Nacionālā opera un balets” pamatkapitālā ir pamatots gan uz Ministru kabineta 2020.gada 19.februāra rīkojumu Nr.64</w:t>
            </w:r>
            <w:r>
              <w:rPr>
                <w:sz w:val="22"/>
                <w:szCs w:val="22"/>
              </w:rPr>
              <w:t xml:space="preserve"> </w:t>
            </w:r>
            <w:r w:rsidRPr="00D8116D">
              <w:rPr>
                <w:sz w:val="22"/>
                <w:szCs w:val="22"/>
              </w:rPr>
              <w:t>„</w:t>
            </w:r>
            <w:r w:rsidRPr="00D8116D">
              <w:rPr>
                <w:bCs/>
                <w:sz w:val="22"/>
                <w:szCs w:val="22"/>
              </w:rPr>
              <w:t>Par Rīgas pilsētas pašvaldībai piederošā nekustamā īpašuma Aspazijas bulvārī 3, Rīgā, pārņemšanu valsts īpašumā</w:t>
            </w:r>
            <w:r>
              <w:rPr>
                <w:bCs/>
                <w:sz w:val="22"/>
                <w:szCs w:val="22"/>
              </w:rPr>
              <w:t>”</w:t>
            </w:r>
            <w:r w:rsidRPr="00D8116D">
              <w:rPr>
                <w:sz w:val="22"/>
                <w:szCs w:val="22"/>
              </w:rPr>
              <w:t>, gan Rīgas domes 2019.gada 18.decembra lēmumu Nr.2854</w:t>
            </w:r>
            <w:r>
              <w:rPr>
                <w:sz w:val="22"/>
                <w:szCs w:val="22"/>
              </w:rPr>
              <w:t xml:space="preserve"> –</w:t>
            </w:r>
            <w:r w:rsidRPr="00D8116D">
              <w:rPr>
                <w:sz w:val="22"/>
                <w:szCs w:val="22"/>
              </w:rPr>
              <w:t xml:space="preserve"> Rīgas dome kā </w:t>
            </w:r>
            <w:r>
              <w:rPr>
                <w:sz w:val="22"/>
                <w:szCs w:val="22"/>
              </w:rPr>
              <w:t>n</w:t>
            </w:r>
            <w:r w:rsidRPr="00D8116D">
              <w:rPr>
                <w:sz w:val="22"/>
                <w:szCs w:val="22"/>
              </w:rPr>
              <w:t xml:space="preserve">ekustamā īpašuma sākotnējais īpašnieks ir piekritusi nekustamā īpašuma ieguldīšanai valsts sabiedrības ar ierobežotu atbildību </w:t>
            </w:r>
            <w:r w:rsidRPr="00D8116D">
              <w:rPr>
                <w:sz w:val="22"/>
                <w:szCs w:val="22"/>
                <w:lang w:eastAsia="en-US"/>
              </w:rPr>
              <w:t>„</w:t>
            </w:r>
            <w:r w:rsidRPr="00D8116D">
              <w:rPr>
                <w:sz w:val="22"/>
                <w:szCs w:val="22"/>
              </w:rPr>
              <w:t xml:space="preserve">Latvijas Nacionālā opera un balets” pamatkapitālā. </w:t>
            </w:r>
          </w:p>
        </w:tc>
        <w:tc>
          <w:tcPr>
            <w:tcW w:w="1109" w:type="pct"/>
            <w:tcBorders>
              <w:top w:val="single" w:sz="4" w:space="0" w:color="auto"/>
              <w:left w:val="single" w:sz="4" w:space="0" w:color="auto"/>
              <w:bottom w:val="single" w:sz="4" w:space="0" w:color="auto"/>
            </w:tcBorders>
            <w:shd w:val="clear" w:color="auto" w:fill="auto"/>
          </w:tcPr>
          <w:p w14:paraId="7AFC5948" w14:textId="143C9D61" w:rsidR="00ED70FD" w:rsidRPr="00D8116D" w:rsidRDefault="00D8116D" w:rsidP="00D8116D">
            <w:pPr>
              <w:jc w:val="both"/>
              <w:rPr>
                <w:sz w:val="22"/>
                <w:szCs w:val="22"/>
              </w:rPr>
            </w:pPr>
            <w:r>
              <w:rPr>
                <w:sz w:val="22"/>
                <w:szCs w:val="22"/>
              </w:rPr>
              <w:lastRenderedPageBreak/>
              <w:t>P</w:t>
            </w:r>
            <w:r w:rsidR="00ED70FD" w:rsidRPr="00D8116D">
              <w:rPr>
                <w:sz w:val="22"/>
                <w:szCs w:val="22"/>
              </w:rPr>
              <w:t>rojekts papildināts ar 3.punktu</w:t>
            </w:r>
            <w:r w:rsidR="00935FAF">
              <w:rPr>
                <w:sz w:val="22"/>
                <w:szCs w:val="22"/>
              </w:rPr>
              <w:t xml:space="preserve"> šādā redakcijā</w:t>
            </w:r>
            <w:r w:rsidR="00ED70FD" w:rsidRPr="00D8116D">
              <w:rPr>
                <w:sz w:val="22"/>
                <w:szCs w:val="22"/>
              </w:rPr>
              <w:t>:</w:t>
            </w:r>
          </w:p>
          <w:p w14:paraId="3DFA22F5" w14:textId="77777777" w:rsidR="00ED70FD" w:rsidRPr="00D8116D" w:rsidRDefault="00ED70FD" w:rsidP="00D8116D">
            <w:pPr>
              <w:jc w:val="both"/>
              <w:rPr>
                <w:sz w:val="22"/>
                <w:szCs w:val="22"/>
              </w:rPr>
            </w:pPr>
          </w:p>
          <w:p w14:paraId="5E20D978" w14:textId="5656F9D5" w:rsidR="000F5682" w:rsidRPr="00D8116D" w:rsidRDefault="00D8116D" w:rsidP="00921CF9">
            <w:pPr>
              <w:widowControl w:val="0"/>
              <w:jc w:val="both"/>
              <w:rPr>
                <w:sz w:val="22"/>
                <w:szCs w:val="22"/>
              </w:rPr>
            </w:pPr>
            <w:r w:rsidRPr="00D8116D">
              <w:rPr>
                <w:sz w:val="22"/>
                <w:szCs w:val="22"/>
              </w:rPr>
              <w:t>„</w:t>
            </w:r>
            <w:r>
              <w:rPr>
                <w:sz w:val="22"/>
                <w:szCs w:val="22"/>
              </w:rPr>
              <w:t xml:space="preserve">3. </w:t>
            </w:r>
            <w:r w:rsidR="00ED70FD" w:rsidRPr="00D8116D">
              <w:rPr>
                <w:sz w:val="22"/>
                <w:szCs w:val="22"/>
              </w:rPr>
              <w:t xml:space="preserve">Kultūras ministrijai kā valsts sabiedrības ar ierobežotu atbildību </w:t>
            </w:r>
            <w:r w:rsidRPr="00D8116D">
              <w:rPr>
                <w:sz w:val="22"/>
                <w:szCs w:val="22"/>
              </w:rPr>
              <w:t>„</w:t>
            </w:r>
            <w:r w:rsidR="00ED70FD" w:rsidRPr="00D8116D">
              <w:rPr>
                <w:sz w:val="22"/>
                <w:szCs w:val="22"/>
              </w:rPr>
              <w:t>Latvijas Nacionālā opera un balets” kapitāla daļu turētājai nodrošināt, ka nekustamais īpašums Aspazijas bulvārī 3, Rīgā</w:t>
            </w:r>
            <w:r>
              <w:rPr>
                <w:sz w:val="22"/>
                <w:szCs w:val="22"/>
              </w:rPr>
              <w:t>,</w:t>
            </w:r>
            <w:r w:rsidR="00ED70FD" w:rsidRPr="00D8116D">
              <w:rPr>
                <w:sz w:val="22"/>
                <w:szCs w:val="22"/>
              </w:rPr>
              <w:t xml:space="preserve"> tiek atgūts valsts īpašumā, attiecīgi samazinot valsts sabiedrības ar ierobežotu atbildību „Latvijas Nacionālā opera un balets” pamatkapitālu, ja tas vairs netiek izmantots šā rīkojuma 1.punktā minēt</w:t>
            </w:r>
            <w:r w:rsidR="00935FAF">
              <w:rPr>
                <w:sz w:val="22"/>
                <w:szCs w:val="22"/>
              </w:rPr>
              <w:t>o</w:t>
            </w:r>
            <w:r w:rsidR="00ED70FD" w:rsidRPr="00D8116D">
              <w:rPr>
                <w:sz w:val="22"/>
                <w:szCs w:val="22"/>
              </w:rPr>
              <w:t xml:space="preserve"> funkcij</w:t>
            </w:r>
            <w:r w:rsidR="00935FAF">
              <w:rPr>
                <w:sz w:val="22"/>
                <w:szCs w:val="22"/>
              </w:rPr>
              <w:t>u</w:t>
            </w:r>
            <w:r w:rsidR="00ED70FD" w:rsidRPr="00D8116D">
              <w:rPr>
                <w:sz w:val="22"/>
                <w:szCs w:val="22"/>
              </w:rPr>
              <w:t xml:space="preserve"> īstenošanai</w:t>
            </w:r>
            <w:r w:rsidR="00935FAF">
              <w:rPr>
                <w:sz w:val="22"/>
                <w:szCs w:val="22"/>
              </w:rPr>
              <w:t>,</w:t>
            </w:r>
            <w:r w:rsidR="00ED70FD" w:rsidRPr="00D8116D">
              <w:rPr>
                <w:sz w:val="22"/>
                <w:szCs w:val="22"/>
              </w:rPr>
              <w:t xml:space="preserve"> un nodots Rīgas pilsētas pašvaldības īpašumā bez atlīdzības.”</w:t>
            </w:r>
          </w:p>
        </w:tc>
      </w:tr>
      <w:tr w:rsidR="003060AC" w:rsidRPr="00D8116D" w14:paraId="4A15A737" w14:textId="77777777" w:rsidTr="00830B96">
        <w:tc>
          <w:tcPr>
            <w:tcW w:w="301" w:type="pct"/>
            <w:tcBorders>
              <w:top w:val="single" w:sz="6" w:space="0" w:color="000000"/>
              <w:left w:val="single" w:sz="6" w:space="0" w:color="000000"/>
              <w:bottom w:val="single" w:sz="6" w:space="0" w:color="000000"/>
              <w:right w:val="single" w:sz="6" w:space="0" w:color="000000"/>
            </w:tcBorders>
            <w:shd w:val="clear" w:color="auto" w:fill="auto"/>
          </w:tcPr>
          <w:p w14:paraId="44CC498C" w14:textId="77777777" w:rsidR="00ED578A" w:rsidRPr="00D8116D" w:rsidRDefault="00ED578A" w:rsidP="00D8116D">
            <w:pPr>
              <w:pStyle w:val="naisc"/>
              <w:numPr>
                <w:ilvl w:val="0"/>
                <w:numId w:val="2"/>
              </w:numPr>
              <w:tabs>
                <w:tab w:val="left" w:pos="284"/>
              </w:tabs>
              <w:spacing w:before="0" w:after="0"/>
              <w:ind w:left="528" w:hanging="284"/>
              <w:rPr>
                <w:sz w:val="22"/>
                <w:szCs w:val="22"/>
              </w:rPr>
            </w:pPr>
          </w:p>
        </w:tc>
        <w:tc>
          <w:tcPr>
            <w:tcW w:w="1266" w:type="pct"/>
            <w:tcBorders>
              <w:top w:val="single" w:sz="6" w:space="0" w:color="000000"/>
              <w:left w:val="single" w:sz="6" w:space="0" w:color="000000"/>
              <w:bottom w:val="single" w:sz="6" w:space="0" w:color="000000"/>
              <w:right w:val="single" w:sz="6" w:space="0" w:color="000000"/>
            </w:tcBorders>
            <w:shd w:val="clear" w:color="auto" w:fill="auto"/>
          </w:tcPr>
          <w:p w14:paraId="6C2E5520" w14:textId="4BC26F31" w:rsidR="00ED578A" w:rsidRPr="00D8116D" w:rsidRDefault="0069000C" w:rsidP="00D8116D">
            <w:pPr>
              <w:jc w:val="both"/>
              <w:rPr>
                <w:sz w:val="22"/>
                <w:szCs w:val="22"/>
              </w:rPr>
            </w:pPr>
            <w:r w:rsidRPr="00D8116D">
              <w:rPr>
                <w:sz w:val="22"/>
                <w:szCs w:val="22"/>
              </w:rPr>
              <w:t>Projekta sākotnējās ietekmes novērtējuma ziņojums (anotācija).</w:t>
            </w:r>
          </w:p>
        </w:tc>
        <w:tc>
          <w:tcPr>
            <w:tcW w:w="1241" w:type="pct"/>
            <w:tcBorders>
              <w:top w:val="single" w:sz="6" w:space="0" w:color="000000"/>
              <w:left w:val="single" w:sz="6" w:space="0" w:color="000000"/>
              <w:bottom w:val="single" w:sz="6" w:space="0" w:color="000000"/>
              <w:right w:val="single" w:sz="6" w:space="0" w:color="000000"/>
            </w:tcBorders>
            <w:shd w:val="clear" w:color="auto" w:fill="auto"/>
          </w:tcPr>
          <w:p w14:paraId="1BF48A54" w14:textId="77777777" w:rsidR="00ED578A" w:rsidRPr="00D8116D" w:rsidRDefault="00ED578A" w:rsidP="00D8116D">
            <w:pPr>
              <w:pStyle w:val="naisc"/>
              <w:spacing w:before="0" w:after="0"/>
              <w:jc w:val="both"/>
              <w:rPr>
                <w:b/>
                <w:sz w:val="22"/>
                <w:szCs w:val="22"/>
              </w:rPr>
            </w:pPr>
            <w:r w:rsidRPr="00D8116D">
              <w:rPr>
                <w:b/>
                <w:sz w:val="22"/>
                <w:szCs w:val="22"/>
              </w:rPr>
              <w:t>Finanšu ministrija:</w:t>
            </w:r>
          </w:p>
          <w:p w14:paraId="4884A196" w14:textId="3FB3FFC6" w:rsidR="00ED578A" w:rsidRPr="00D8116D" w:rsidRDefault="00ED578A" w:rsidP="00D8116D">
            <w:pPr>
              <w:shd w:val="clear" w:color="auto" w:fill="FFFFFF"/>
              <w:tabs>
                <w:tab w:val="left" w:pos="993"/>
                <w:tab w:val="left" w:pos="1276"/>
              </w:tabs>
              <w:suppressAutoHyphens/>
              <w:autoSpaceDN w:val="0"/>
              <w:jc w:val="both"/>
              <w:textAlignment w:val="baseline"/>
              <w:rPr>
                <w:bCs/>
                <w:sz w:val="22"/>
                <w:szCs w:val="22"/>
              </w:rPr>
            </w:pPr>
            <w:r w:rsidRPr="00D8116D">
              <w:rPr>
                <w:kern w:val="3"/>
                <w:sz w:val="22"/>
                <w:szCs w:val="22"/>
              </w:rPr>
              <w:t xml:space="preserve">Atbilstoši likuma “Par kultūras pieminekļu aizsardzību” </w:t>
            </w:r>
            <w:proofErr w:type="gramStart"/>
            <w:r w:rsidRPr="00D8116D">
              <w:rPr>
                <w:kern w:val="3"/>
                <w:sz w:val="22"/>
                <w:szCs w:val="22"/>
              </w:rPr>
              <w:t>9.pantam</w:t>
            </w:r>
            <w:proofErr w:type="gramEnd"/>
            <w:r w:rsidRPr="00D8116D">
              <w:rPr>
                <w:kern w:val="3"/>
                <w:sz w:val="22"/>
                <w:szCs w:val="22"/>
              </w:rPr>
              <w:t xml:space="preserve"> zemes gabalus, uz kuriem atrodas kultūras pieminekļi, drīkst piešķirt lietošanā vai iegūt īpašumā zemes likumdošanas aktos noteiktajā kārtībā tikai tad, ja nākamais lietotājs vai īpašnieks ir iepazīstināts ar norādījumiem par attiecīgā kultūras </w:t>
            </w:r>
            <w:r w:rsidRPr="00D8116D">
              <w:rPr>
                <w:kern w:val="3"/>
                <w:sz w:val="22"/>
                <w:szCs w:val="22"/>
              </w:rPr>
              <w:lastRenderedPageBreak/>
              <w:t>pieminekļa izmantošanu un saglabāšanu. Lūdzam papildināt rīkojuma projekta sākotnējās ietekmes novērtējuma ziņojumu (anotāciju) ar informāciju par to, vai ir saņemts Nacionālās kultūras mantojuma pārvaldes viedoklis, kā arī vai valsts sabiedrība ar ierobežotu atbildību “Latvijas Nacionālā opera un balets” ir iepazīstināta ar norādījumiem par attiecīgā kultūras pieminekļa izmantošanu un saglabāšanu.</w:t>
            </w:r>
          </w:p>
        </w:tc>
        <w:tc>
          <w:tcPr>
            <w:tcW w:w="1082" w:type="pct"/>
            <w:tcBorders>
              <w:top w:val="single" w:sz="6" w:space="0" w:color="000000"/>
              <w:left w:val="single" w:sz="6" w:space="0" w:color="000000"/>
              <w:bottom w:val="single" w:sz="6" w:space="0" w:color="000000"/>
              <w:right w:val="single" w:sz="6" w:space="0" w:color="000000"/>
            </w:tcBorders>
            <w:shd w:val="clear" w:color="auto" w:fill="auto"/>
          </w:tcPr>
          <w:p w14:paraId="2337E62A" w14:textId="153BE3DD" w:rsidR="00ED578A" w:rsidRPr="00D8116D" w:rsidRDefault="00ED578A" w:rsidP="00D8116D">
            <w:pPr>
              <w:widowControl w:val="0"/>
              <w:autoSpaceDE w:val="0"/>
              <w:autoSpaceDN w:val="0"/>
              <w:adjustRightInd w:val="0"/>
              <w:jc w:val="center"/>
              <w:rPr>
                <w:b/>
                <w:bCs/>
                <w:sz w:val="22"/>
                <w:szCs w:val="22"/>
              </w:rPr>
            </w:pPr>
            <w:r w:rsidRPr="00D8116D">
              <w:rPr>
                <w:b/>
                <w:bCs/>
                <w:sz w:val="22"/>
                <w:szCs w:val="22"/>
              </w:rPr>
              <w:lastRenderedPageBreak/>
              <w:t>Ņemts vērā</w:t>
            </w:r>
          </w:p>
        </w:tc>
        <w:tc>
          <w:tcPr>
            <w:tcW w:w="1109" w:type="pct"/>
            <w:tcBorders>
              <w:top w:val="single" w:sz="4" w:space="0" w:color="auto"/>
              <w:left w:val="single" w:sz="4" w:space="0" w:color="auto"/>
              <w:bottom w:val="single" w:sz="4" w:space="0" w:color="auto"/>
            </w:tcBorders>
            <w:shd w:val="clear" w:color="auto" w:fill="auto"/>
          </w:tcPr>
          <w:p w14:paraId="7BFAF5F7" w14:textId="6E993B79" w:rsidR="008A6586" w:rsidRDefault="008A6586" w:rsidP="008A6586">
            <w:pPr>
              <w:jc w:val="both"/>
              <w:rPr>
                <w:sz w:val="22"/>
                <w:szCs w:val="22"/>
              </w:rPr>
            </w:pPr>
            <w:r w:rsidRPr="00D8116D">
              <w:rPr>
                <w:sz w:val="22"/>
                <w:szCs w:val="22"/>
              </w:rPr>
              <w:t xml:space="preserve">Papildināts </w:t>
            </w:r>
            <w:r>
              <w:rPr>
                <w:sz w:val="22"/>
                <w:szCs w:val="22"/>
              </w:rPr>
              <w:t>P</w:t>
            </w:r>
            <w:r w:rsidRPr="00D8116D">
              <w:rPr>
                <w:sz w:val="22"/>
                <w:szCs w:val="22"/>
              </w:rPr>
              <w:t>rojekta sākotnējās ietekmes novērtējuma ziņojuma (anotācijas) I sadaļas 2.punkts ar šādu informāciju:</w:t>
            </w:r>
          </w:p>
          <w:p w14:paraId="078B89D2" w14:textId="77777777" w:rsidR="008A6586" w:rsidRPr="00D8116D" w:rsidRDefault="008A6586" w:rsidP="008A6586">
            <w:pPr>
              <w:jc w:val="both"/>
              <w:rPr>
                <w:sz w:val="22"/>
                <w:szCs w:val="22"/>
              </w:rPr>
            </w:pPr>
          </w:p>
          <w:p w14:paraId="32859799" w14:textId="240E651A" w:rsidR="00ED578A" w:rsidRPr="00D8116D" w:rsidRDefault="008A6586" w:rsidP="00D8116D">
            <w:pPr>
              <w:jc w:val="both"/>
              <w:rPr>
                <w:sz w:val="22"/>
                <w:szCs w:val="22"/>
              </w:rPr>
            </w:pPr>
            <w:r w:rsidRPr="008A6586">
              <w:rPr>
                <w:sz w:val="22"/>
                <w:szCs w:val="22"/>
              </w:rPr>
              <w:t xml:space="preserve">„Vienlaikus nekustamais īpašums ir valsts nozīmes arhitektūras piemineklis „Teātris” (valsts aizsardzības Nr.6513), kas šobrīd spēkā </w:t>
            </w:r>
            <w:r w:rsidRPr="008A6586">
              <w:rPr>
                <w:sz w:val="22"/>
                <w:szCs w:val="22"/>
              </w:rPr>
              <w:lastRenderedPageBreak/>
              <w:t xml:space="preserve">esošajā Valsts aizsargājamo kultūras pieminekļu sarakstā iekļauts ar Kultūras ministrijas </w:t>
            </w:r>
            <w:proofErr w:type="gramStart"/>
            <w:r w:rsidRPr="008A6586">
              <w:rPr>
                <w:sz w:val="22"/>
                <w:szCs w:val="22"/>
              </w:rPr>
              <w:t>1998.gada</w:t>
            </w:r>
            <w:proofErr w:type="gramEnd"/>
            <w:r w:rsidRPr="008A6586">
              <w:rPr>
                <w:sz w:val="22"/>
                <w:szCs w:val="22"/>
              </w:rPr>
              <w:t xml:space="preserve"> 29.oktobra rīkojumu Nr.128 „Par Valsts aizsargājamo kultūras pieminekļu sarakstu”. Nacionālā kultūras mantojum</w:t>
            </w:r>
            <w:r w:rsidR="00A05472">
              <w:rPr>
                <w:sz w:val="22"/>
                <w:szCs w:val="22"/>
              </w:rPr>
              <w:t>a</w:t>
            </w:r>
            <w:r w:rsidRPr="008A6586">
              <w:rPr>
                <w:sz w:val="22"/>
                <w:szCs w:val="22"/>
              </w:rPr>
              <w:t xml:space="preserve"> pārvalde ar </w:t>
            </w:r>
            <w:proofErr w:type="gramStart"/>
            <w:r w:rsidRPr="008A6586">
              <w:rPr>
                <w:sz w:val="22"/>
                <w:szCs w:val="22"/>
              </w:rPr>
              <w:t>2021.gada</w:t>
            </w:r>
            <w:proofErr w:type="gramEnd"/>
            <w:r w:rsidRPr="008A6586">
              <w:rPr>
                <w:sz w:val="22"/>
                <w:szCs w:val="22"/>
              </w:rPr>
              <w:t xml:space="preserve"> 1.septembra norādījumiem </w:t>
            </w:r>
            <w:proofErr w:type="spellStart"/>
            <w:r w:rsidRPr="008A6586">
              <w:rPr>
                <w:sz w:val="22"/>
                <w:szCs w:val="22"/>
              </w:rPr>
              <w:t>Nr.NKMP</w:t>
            </w:r>
            <w:proofErr w:type="spellEnd"/>
            <w:r w:rsidRPr="008A6586">
              <w:rPr>
                <w:sz w:val="22"/>
                <w:szCs w:val="22"/>
              </w:rPr>
              <w:t>/2021/14.1-07/4492 „Par valsts nozīmes arhitektūras pieminekļa „Teātris”  (valsts aizsardzības Nr.6513) izmantošanu un saglabāšanu, adrese: Aspazijas bulvāris 3, Rīga,  (kadastra apzīmējums 0100 005 0056 001)” kapitālsabiedrību ir atkārtoti iepazīstinājusi ar norādījumiem par nekustamā īpašuma kā kultūras pieminekļa izmantošanu un saglabāšanu.</w:t>
            </w:r>
            <w:r>
              <w:rPr>
                <w:sz w:val="22"/>
                <w:szCs w:val="22"/>
              </w:rPr>
              <w:t>”</w:t>
            </w:r>
          </w:p>
        </w:tc>
      </w:tr>
      <w:tr w:rsidR="003060AC" w:rsidRPr="00D8116D" w14:paraId="1711BA68" w14:textId="77777777" w:rsidTr="00830B96">
        <w:tc>
          <w:tcPr>
            <w:tcW w:w="301" w:type="pct"/>
            <w:tcBorders>
              <w:top w:val="single" w:sz="6" w:space="0" w:color="000000"/>
              <w:left w:val="single" w:sz="6" w:space="0" w:color="000000"/>
              <w:bottom w:val="single" w:sz="6" w:space="0" w:color="000000"/>
              <w:right w:val="single" w:sz="6" w:space="0" w:color="000000"/>
            </w:tcBorders>
            <w:shd w:val="clear" w:color="auto" w:fill="auto"/>
          </w:tcPr>
          <w:p w14:paraId="2B6A6783" w14:textId="77777777" w:rsidR="00ED578A" w:rsidRPr="00D8116D" w:rsidRDefault="00ED578A" w:rsidP="00D8116D">
            <w:pPr>
              <w:pStyle w:val="naisc"/>
              <w:numPr>
                <w:ilvl w:val="0"/>
                <w:numId w:val="2"/>
              </w:numPr>
              <w:tabs>
                <w:tab w:val="left" w:pos="284"/>
              </w:tabs>
              <w:spacing w:before="0" w:after="0"/>
              <w:ind w:left="528" w:hanging="284"/>
              <w:rPr>
                <w:sz w:val="22"/>
                <w:szCs w:val="22"/>
              </w:rPr>
            </w:pPr>
          </w:p>
        </w:tc>
        <w:tc>
          <w:tcPr>
            <w:tcW w:w="1266" w:type="pct"/>
            <w:tcBorders>
              <w:top w:val="single" w:sz="6" w:space="0" w:color="000000"/>
              <w:left w:val="single" w:sz="6" w:space="0" w:color="000000"/>
              <w:bottom w:val="single" w:sz="6" w:space="0" w:color="000000"/>
              <w:right w:val="single" w:sz="6" w:space="0" w:color="000000"/>
            </w:tcBorders>
            <w:shd w:val="clear" w:color="auto" w:fill="auto"/>
          </w:tcPr>
          <w:p w14:paraId="28CE7F6E" w14:textId="36E8437A" w:rsidR="00ED578A" w:rsidRPr="00D8116D" w:rsidRDefault="0069000C" w:rsidP="00D8116D">
            <w:pPr>
              <w:jc w:val="both"/>
              <w:rPr>
                <w:sz w:val="22"/>
                <w:szCs w:val="22"/>
              </w:rPr>
            </w:pPr>
            <w:r w:rsidRPr="00D8116D">
              <w:rPr>
                <w:sz w:val="22"/>
                <w:szCs w:val="22"/>
              </w:rPr>
              <w:t>Projekta sākotnējās ietekmes novērtējuma ziņojums (anotācija).</w:t>
            </w:r>
          </w:p>
        </w:tc>
        <w:tc>
          <w:tcPr>
            <w:tcW w:w="1241" w:type="pct"/>
            <w:tcBorders>
              <w:top w:val="single" w:sz="6" w:space="0" w:color="000000"/>
              <w:left w:val="single" w:sz="6" w:space="0" w:color="000000"/>
              <w:bottom w:val="single" w:sz="6" w:space="0" w:color="000000"/>
              <w:right w:val="single" w:sz="6" w:space="0" w:color="000000"/>
            </w:tcBorders>
            <w:shd w:val="clear" w:color="auto" w:fill="auto"/>
          </w:tcPr>
          <w:p w14:paraId="17892824" w14:textId="77777777" w:rsidR="00ED578A" w:rsidRPr="00D8116D" w:rsidRDefault="00ED578A" w:rsidP="00D8116D">
            <w:pPr>
              <w:pStyle w:val="naisc"/>
              <w:spacing w:before="0" w:after="0"/>
              <w:jc w:val="both"/>
              <w:rPr>
                <w:b/>
                <w:sz w:val="22"/>
                <w:szCs w:val="22"/>
              </w:rPr>
            </w:pPr>
            <w:r w:rsidRPr="00D8116D">
              <w:rPr>
                <w:b/>
                <w:sz w:val="22"/>
                <w:szCs w:val="22"/>
              </w:rPr>
              <w:t>Finanšu ministrija:</w:t>
            </w:r>
          </w:p>
          <w:p w14:paraId="685100DF" w14:textId="77777777" w:rsidR="00ED578A" w:rsidRPr="00D8116D" w:rsidRDefault="00ED578A" w:rsidP="00D8116D">
            <w:pPr>
              <w:shd w:val="clear" w:color="auto" w:fill="FFFFFF"/>
              <w:tabs>
                <w:tab w:val="left" w:pos="993"/>
                <w:tab w:val="left" w:pos="1276"/>
              </w:tabs>
              <w:suppressAutoHyphens/>
              <w:autoSpaceDN w:val="0"/>
              <w:jc w:val="both"/>
              <w:textAlignment w:val="baseline"/>
              <w:rPr>
                <w:kern w:val="3"/>
                <w:sz w:val="22"/>
                <w:szCs w:val="22"/>
              </w:rPr>
            </w:pPr>
            <w:r w:rsidRPr="00D8116D">
              <w:rPr>
                <w:kern w:val="3"/>
                <w:sz w:val="22"/>
                <w:szCs w:val="22"/>
              </w:rPr>
              <w:t xml:space="preserve">Rīkojuma projektam pievienotās SIA “OBER HAUS VĒRTĒŠANAS SERVISS” atskaites par nekustamā īpašuma Aspazijas bulvārī 3, Rīgā, tirgus vērtību 4.lp. sadaļā “Īpaši pieņēmumi” norādīts, ka </w:t>
            </w:r>
            <w:r w:rsidRPr="00D8116D">
              <w:rPr>
                <w:i/>
                <w:iCs/>
                <w:kern w:val="3"/>
                <w:sz w:val="22"/>
                <w:szCs w:val="22"/>
              </w:rPr>
              <w:t xml:space="preserve">“ir panākta vienošanās ar atbildīgām valsts iestādēm par publisku-privātu </w:t>
            </w:r>
            <w:proofErr w:type="gramStart"/>
            <w:r w:rsidRPr="00D8116D">
              <w:rPr>
                <w:i/>
                <w:iCs/>
                <w:kern w:val="3"/>
                <w:sz w:val="22"/>
                <w:szCs w:val="22"/>
              </w:rPr>
              <w:t>partnerību kuras</w:t>
            </w:r>
            <w:proofErr w:type="gramEnd"/>
            <w:r w:rsidRPr="00D8116D">
              <w:rPr>
                <w:i/>
                <w:iCs/>
                <w:kern w:val="3"/>
                <w:sz w:val="22"/>
                <w:szCs w:val="22"/>
              </w:rPr>
              <w:t xml:space="preserve"> rezultātā īpašuma privatizācija ar attiecīgiem nosacījumiem un ierobežojumiem ir iespējama un kuras rezultātā valsts subsīdijas objekta </w:t>
            </w:r>
            <w:proofErr w:type="spellStart"/>
            <w:r w:rsidRPr="00D8116D">
              <w:rPr>
                <w:i/>
                <w:iCs/>
                <w:kern w:val="3"/>
                <w:sz w:val="22"/>
                <w:szCs w:val="22"/>
              </w:rPr>
              <w:t>plašizklaides</w:t>
            </w:r>
            <w:proofErr w:type="spellEnd"/>
            <w:r w:rsidRPr="00D8116D">
              <w:rPr>
                <w:i/>
                <w:iCs/>
                <w:kern w:val="3"/>
                <w:sz w:val="22"/>
                <w:szCs w:val="22"/>
              </w:rPr>
              <w:t xml:space="preserve"> </w:t>
            </w:r>
            <w:r w:rsidRPr="00D8116D">
              <w:rPr>
                <w:i/>
                <w:iCs/>
                <w:kern w:val="3"/>
                <w:sz w:val="22"/>
                <w:szCs w:val="22"/>
              </w:rPr>
              <w:lastRenderedPageBreak/>
              <w:t xml:space="preserve">saimnieciskās darbības nodrošināšanai tiek lielākoties saglabātas, vērtējuma izpratnē tas nozīmē 60% atbalsts izdevumu pozīcijām (~17.6% samazinājums pret 2019.gadu, 15.9% samazinājums pret 5. gadu vidējo atbalstu) subsīdiju objekta operatora nomas maksas maksājumu segšanai un uz īpašnieku attiecināmo izdevumu segšanai, kas neatraujami saistīti ar Nacionālās Operas un Baleta </w:t>
            </w:r>
            <w:proofErr w:type="spellStart"/>
            <w:r w:rsidRPr="00D8116D">
              <w:rPr>
                <w:i/>
                <w:iCs/>
                <w:kern w:val="3"/>
                <w:sz w:val="22"/>
                <w:szCs w:val="22"/>
              </w:rPr>
              <w:t>plašizklaides</w:t>
            </w:r>
            <w:proofErr w:type="spellEnd"/>
            <w:r w:rsidRPr="00D8116D">
              <w:rPr>
                <w:i/>
                <w:iCs/>
                <w:kern w:val="3"/>
                <w:sz w:val="22"/>
                <w:szCs w:val="22"/>
              </w:rPr>
              <w:t xml:space="preserve"> saimniecisko darbību un objekta uzturēšanas izdevumiem”</w:t>
            </w:r>
            <w:r w:rsidRPr="00D8116D">
              <w:rPr>
                <w:kern w:val="3"/>
                <w:sz w:val="22"/>
                <w:szCs w:val="22"/>
              </w:rPr>
              <w:t>. Minētās atskaites 13.lp. kā viens no pozitīvajiem faktoriem, kas ietekmē nekustamā īpašuma tirgus vērtību, norādīts, ka publiskās un privātās partnerības potenciāls mazina maksātnespējas risku, savukārt kā negatīvais faktors norādīts, ka publiskās un privātās partnerības nepieciešamība palielina riskus. Lūdzam sniegt papildus informāciju par iepriekš minēto, kā arī skaidrot, vai ir plānots publiskās un privātās partnerības projekts.</w:t>
            </w:r>
          </w:p>
          <w:p w14:paraId="0D872B76" w14:textId="4EE37E9A" w:rsidR="0069000C" w:rsidRPr="00D8116D" w:rsidRDefault="0069000C" w:rsidP="00D8116D">
            <w:pPr>
              <w:shd w:val="clear" w:color="auto" w:fill="FFFFFF"/>
              <w:tabs>
                <w:tab w:val="left" w:pos="993"/>
                <w:tab w:val="left" w:pos="1276"/>
              </w:tabs>
              <w:suppressAutoHyphens/>
              <w:autoSpaceDN w:val="0"/>
              <w:ind w:firstLine="567"/>
              <w:jc w:val="both"/>
              <w:textAlignment w:val="baseline"/>
              <w:rPr>
                <w:kern w:val="3"/>
                <w:sz w:val="22"/>
                <w:szCs w:val="22"/>
              </w:rPr>
            </w:pPr>
            <w:r w:rsidRPr="00D8116D">
              <w:rPr>
                <w:kern w:val="3"/>
                <w:sz w:val="22"/>
                <w:szCs w:val="22"/>
              </w:rPr>
              <w:t xml:space="preserve">Lūdzam papildināt rīkojuma projekta sākotnējās ietekmes novērtējuma ziņojumu (anotāciju) ar informāciju par plānoto turpmāko nekustamā īpašuma Aspazijas bulvārī 3, Rīgā, izmantošanu, t.sk. vai ir plānoti kādi attīstības projekti, rekonstrukcija, vai ir plānots apgrūtināt minēto nekustamo </w:t>
            </w:r>
            <w:r w:rsidRPr="00D8116D">
              <w:rPr>
                <w:kern w:val="3"/>
                <w:sz w:val="22"/>
                <w:szCs w:val="22"/>
              </w:rPr>
              <w:lastRenderedPageBreak/>
              <w:t>īpašumu ar kādām saistībām.  Lūdzam norādīt,</w:t>
            </w:r>
            <w:proofErr w:type="gramStart"/>
            <w:r w:rsidRPr="00D8116D">
              <w:rPr>
                <w:kern w:val="3"/>
                <w:sz w:val="22"/>
                <w:szCs w:val="22"/>
              </w:rPr>
              <w:t xml:space="preserve">  </w:t>
            </w:r>
            <w:proofErr w:type="gramEnd"/>
            <w:r w:rsidRPr="00D8116D">
              <w:rPr>
                <w:kern w:val="3"/>
                <w:sz w:val="22"/>
                <w:szCs w:val="22"/>
              </w:rPr>
              <w:t>kādu Latvijas Nacionālās operas un baleta likumā noteikto funkciju sasniegšana tiks veicināta, ieguldot minēto nekustamo īpašumu kapitālsabiedrības pamatkapitālā un kā tiks nodrošināta Ministru kabineta 2020.gada 19.februāra rīkojuma Nr.64 “Par Rīgas pilsētas pašvaldībai piederošā nekustamā īpašuma Aspazijas bulvārī 3, Rīgā, pārņemšanu valsts īpašumā” 1.punktā norādīto funkciju izpilde, kā arī sniegt informāciju par attiecīgo plānoto darbību atbilstību valsts sabiedrības ar ierobežotu atbildību “Latvijas Nacionālā opera un balets” stratēģijai. Lūdzam arī norādīt, vai par plānoto darbību ar nekustamo īpašumu Aspazijas bulvāra 3, Rīgā, pēc tā ieguldīšanas pamatkapitālā ir informēta Rīgas pašvaldība.</w:t>
            </w:r>
          </w:p>
        </w:tc>
        <w:tc>
          <w:tcPr>
            <w:tcW w:w="1082" w:type="pct"/>
            <w:tcBorders>
              <w:top w:val="single" w:sz="6" w:space="0" w:color="000000"/>
              <w:left w:val="single" w:sz="6" w:space="0" w:color="000000"/>
              <w:bottom w:val="single" w:sz="6" w:space="0" w:color="000000"/>
              <w:right w:val="single" w:sz="6" w:space="0" w:color="000000"/>
            </w:tcBorders>
            <w:shd w:val="clear" w:color="auto" w:fill="auto"/>
          </w:tcPr>
          <w:p w14:paraId="6690CE32" w14:textId="77777777" w:rsidR="00ED578A" w:rsidRDefault="00ED578A" w:rsidP="00D8116D">
            <w:pPr>
              <w:widowControl w:val="0"/>
              <w:autoSpaceDE w:val="0"/>
              <w:autoSpaceDN w:val="0"/>
              <w:adjustRightInd w:val="0"/>
              <w:jc w:val="center"/>
              <w:rPr>
                <w:b/>
                <w:bCs/>
                <w:sz w:val="22"/>
                <w:szCs w:val="22"/>
              </w:rPr>
            </w:pPr>
            <w:r w:rsidRPr="00D8116D">
              <w:rPr>
                <w:b/>
                <w:bCs/>
                <w:sz w:val="22"/>
                <w:szCs w:val="22"/>
              </w:rPr>
              <w:lastRenderedPageBreak/>
              <w:t>Ņemts vērā</w:t>
            </w:r>
          </w:p>
          <w:p w14:paraId="159AF6B5" w14:textId="70F8D1AB" w:rsidR="008A6586" w:rsidRPr="00D8116D" w:rsidRDefault="008A6586" w:rsidP="00921CF9">
            <w:pPr>
              <w:jc w:val="both"/>
              <w:rPr>
                <w:b/>
                <w:bCs/>
                <w:sz w:val="22"/>
                <w:szCs w:val="22"/>
              </w:rPr>
            </w:pPr>
            <w:r>
              <w:rPr>
                <w:sz w:val="22"/>
                <w:szCs w:val="22"/>
              </w:rPr>
              <w:t>Skaidrojam, ka p</w:t>
            </w:r>
            <w:r w:rsidRPr="00D8116D">
              <w:rPr>
                <w:sz w:val="22"/>
                <w:szCs w:val="22"/>
              </w:rPr>
              <w:t xml:space="preserve">ubliskās </w:t>
            </w:r>
            <w:r>
              <w:rPr>
                <w:sz w:val="22"/>
                <w:szCs w:val="22"/>
              </w:rPr>
              <w:t>–</w:t>
            </w:r>
            <w:r w:rsidRPr="00D8116D">
              <w:rPr>
                <w:sz w:val="22"/>
                <w:szCs w:val="22"/>
              </w:rPr>
              <w:t xml:space="preserve"> privātās partnerības projekti attiecībā uz nekustamo īpašumu </w:t>
            </w:r>
            <w:r w:rsidR="00EC75EE" w:rsidRPr="00EC75EE">
              <w:rPr>
                <w:sz w:val="22"/>
                <w:szCs w:val="22"/>
              </w:rPr>
              <w:t>Aspazijas bulvārī 3, Rīgā</w:t>
            </w:r>
            <w:r w:rsidR="00EC75EE">
              <w:rPr>
                <w:sz w:val="22"/>
                <w:szCs w:val="22"/>
              </w:rPr>
              <w:t xml:space="preserve">, </w:t>
            </w:r>
            <w:r w:rsidRPr="00D8116D">
              <w:rPr>
                <w:sz w:val="22"/>
                <w:szCs w:val="22"/>
              </w:rPr>
              <w:t xml:space="preserve">nav un netiek plānoti. </w:t>
            </w:r>
          </w:p>
        </w:tc>
        <w:tc>
          <w:tcPr>
            <w:tcW w:w="1109" w:type="pct"/>
            <w:tcBorders>
              <w:top w:val="single" w:sz="4" w:space="0" w:color="auto"/>
              <w:left w:val="single" w:sz="4" w:space="0" w:color="auto"/>
              <w:bottom w:val="single" w:sz="4" w:space="0" w:color="auto"/>
            </w:tcBorders>
            <w:shd w:val="clear" w:color="auto" w:fill="auto"/>
          </w:tcPr>
          <w:p w14:paraId="4E8BF078" w14:textId="4891E2E0" w:rsidR="00CF3971" w:rsidRPr="00D8116D" w:rsidRDefault="006E6D09" w:rsidP="00D8116D">
            <w:pPr>
              <w:jc w:val="both"/>
              <w:rPr>
                <w:bCs/>
                <w:iCs/>
                <w:sz w:val="22"/>
                <w:szCs w:val="22"/>
                <w:lang w:val="sv-SE"/>
              </w:rPr>
            </w:pPr>
            <w:r w:rsidRPr="00D8116D">
              <w:rPr>
                <w:sz w:val="22"/>
                <w:szCs w:val="22"/>
              </w:rPr>
              <w:t xml:space="preserve">Papildināts rīkojuma projekta sākotnējās ietekmes novērtējuma ziņojuma (anotācijas) I sadaļas 2.punkts ar </w:t>
            </w:r>
            <w:r w:rsidRPr="00D8116D">
              <w:rPr>
                <w:bCs/>
                <w:iCs/>
                <w:sz w:val="22"/>
                <w:szCs w:val="22"/>
                <w:lang w:val="sv-SE"/>
              </w:rPr>
              <w:t>šādu informāciju:</w:t>
            </w:r>
          </w:p>
          <w:p w14:paraId="1FB993C1" w14:textId="77777777" w:rsidR="006E6D09" w:rsidRPr="00D8116D" w:rsidRDefault="006E6D09" w:rsidP="00D8116D">
            <w:pPr>
              <w:jc w:val="both"/>
              <w:rPr>
                <w:kern w:val="3"/>
                <w:sz w:val="22"/>
                <w:szCs w:val="22"/>
                <w:highlight w:val="yellow"/>
              </w:rPr>
            </w:pPr>
          </w:p>
          <w:p w14:paraId="4494BAB4" w14:textId="23E9F2CD" w:rsidR="006E6D09" w:rsidRPr="00D8116D" w:rsidRDefault="001429F8" w:rsidP="00D8116D">
            <w:pPr>
              <w:jc w:val="both"/>
              <w:rPr>
                <w:kern w:val="3"/>
                <w:sz w:val="22"/>
                <w:szCs w:val="22"/>
              </w:rPr>
            </w:pPr>
            <w:r w:rsidRPr="00D8116D">
              <w:rPr>
                <w:sz w:val="22"/>
                <w:szCs w:val="22"/>
                <w:lang w:eastAsia="en-US"/>
              </w:rPr>
              <w:t>„</w:t>
            </w:r>
            <w:r w:rsidR="006E6D09" w:rsidRPr="00D8116D">
              <w:rPr>
                <w:kern w:val="3"/>
                <w:sz w:val="22"/>
                <w:szCs w:val="22"/>
              </w:rPr>
              <w:t xml:space="preserve">Nekustamais īpašums arī turpmāk izmantojams Latvijas Nacionālās operas un baleta likuma </w:t>
            </w:r>
            <w:proofErr w:type="gramStart"/>
            <w:r w:rsidR="006E6D09" w:rsidRPr="00D8116D">
              <w:rPr>
                <w:kern w:val="3"/>
                <w:sz w:val="22"/>
                <w:szCs w:val="22"/>
              </w:rPr>
              <w:t>3.pantā</w:t>
            </w:r>
            <w:proofErr w:type="gramEnd"/>
            <w:r w:rsidR="006E6D09" w:rsidRPr="00D8116D">
              <w:rPr>
                <w:kern w:val="3"/>
                <w:sz w:val="22"/>
                <w:szCs w:val="22"/>
              </w:rPr>
              <w:t xml:space="preserve"> noteiktajam mērķim un 4.pantā noteiktajam funkcijām:</w:t>
            </w:r>
          </w:p>
          <w:p w14:paraId="18CB7558" w14:textId="0D161F00" w:rsidR="006E6D09" w:rsidRPr="00921CF9" w:rsidRDefault="006E6D09" w:rsidP="00921CF9">
            <w:pPr>
              <w:pStyle w:val="Sarakstarindkopa"/>
              <w:widowControl w:val="0"/>
              <w:numPr>
                <w:ilvl w:val="0"/>
                <w:numId w:val="5"/>
              </w:numPr>
              <w:shd w:val="clear" w:color="auto" w:fill="FFFFFF"/>
              <w:ind w:left="284" w:hanging="284"/>
              <w:jc w:val="both"/>
              <w:rPr>
                <w:sz w:val="22"/>
                <w:szCs w:val="22"/>
              </w:rPr>
            </w:pPr>
            <w:r w:rsidRPr="00921CF9">
              <w:rPr>
                <w:sz w:val="22"/>
                <w:szCs w:val="22"/>
              </w:rPr>
              <w:t>iestudēt operas un baleta izrādes, koncertus un citus uzvedumus;</w:t>
            </w:r>
          </w:p>
          <w:p w14:paraId="50615E4D" w14:textId="24B008E9" w:rsidR="006E6D09" w:rsidRPr="00921CF9" w:rsidRDefault="006E6D09" w:rsidP="00921CF9">
            <w:pPr>
              <w:pStyle w:val="Sarakstarindkopa"/>
              <w:numPr>
                <w:ilvl w:val="0"/>
                <w:numId w:val="5"/>
              </w:numPr>
              <w:shd w:val="clear" w:color="auto" w:fill="FFFFFF"/>
              <w:ind w:left="284" w:hanging="284"/>
              <w:jc w:val="both"/>
              <w:rPr>
                <w:sz w:val="22"/>
                <w:szCs w:val="22"/>
              </w:rPr>
            </w:pPr>
            <w:r w:rsidRPr="00921CF9">
              <w:rPr>
                <w:sz w:val="22"/>
                <w:szCs w:val="22"/>
              </w:rPr>
              <w:lastRenderedPageBreak/>
              <w:t>organizēt operas un baleta izrādes un koncertus Latvijā un ārvalstīs;</w:t>
            </w:r>
          </w:p>
          <w:p w14:paraId="426B85B1" w14:textId="1052982E" w:rsidR="006E6D09" w:rsidRPr="00921CF9" w:rsidRDefault="006E6D09" w:rsidP="00921CF9">
            <w:pPr>
              <w:pStyle w:val="Sarakstarindkopa"/>
              <w:numPr>
                <w:ilvl w:val="0"/>
                <w:numId w:val="5"/>
              </w:numPr>
              <w:shd w:val="clear" w:color="auto" w:fill="FFFFFF"/>
              <w:ind w:left="284" w:hanging="284"/>
              <w:jc w:val="both"/>
              <w:rPr>
                <w:sz w:val="22"/>
                <w:szCs w:val="22"/>
              </w:rPr>
            </w:pPr>
            <w:r w:rsidRPr="00921CF9">
              <w:rPr>
                <w:sz w:val="22"/>
                <w:szCs w:val="22"/>
              </w:rPr>
              <w:t>veicināt jaunu latviešu oriģināldarbu radīšanu operas un baleta žanrā un iestudē tos;</w:t>
            </w:r>
          </w:p>
          <w:p w14:paraId="31F4A959" w14:textId="4BA4E5C4" w:rsidR="006E6D09" w:rsidRPr="00921CF9" w:rsidRDefault="006E6D09" w:rsidP="00921CF9">
            <w:pPr>
              <w:pStyle w:val="Sarakstarindkopa"/>
              <w:numPr>
                <w:ilvl w:val="0"/>
                <w:numId w:val="5"/>
              </w:numPr>
              <w:shd w:val="clear" w:color="auto" w:fill="FFFFFF"/>
              <w:ind w:left="284" w:hanging="284"/>
              <w:jc w:val="both"/>
              <w:rPr>
                <w:sz w:val="22"/>
                <w:szCs w:val="22"/>
              </w:rPr>
            </w:pPr>
            <w:r w:rsidRPr="00921CF9">
              <w:rPr>
                <w:sz w:val="22"/>
                <w:szCs w:val="22"/>
              </w:rPr>
              <w:t>veicināt jaunu un talantīgu mākslinieku izaugsmi;</w:t>
            </w:r>
          </w:p>
          <w:p w14:paraId="12119134" w14:textId="100F6DDE" w:rsidR="006E6D09" w:rsidRPr="00921CF9" w:rsidRDefault="006E6D09" w:rsidP="00921CF9">
            <w:pPr>
              <w:pStyle w:val="Sarakstarindkopa"/>
              <w:numPr>
                <w:ilvl w:val="0"/>
                <w:numId w:val="5"/>
              </w:numPr>
              <w:shd w:val="clear" w:color="auto" w:fill="FFFFFF"/>
              <w:ind w:left="284" w:hanging="284"/>
              <w:jc w:val="both"/>
              <w:rPr>
                <w:sz w:val="22"/>
                <w:szCs w:val="22"/>
              </w:rPr>
            </w:pPr>
            <w:r w:rsidRPr="00921CF9">
              <w:rPr>
                <w:sz w:val="22"/>
                <w:szCs w:val="22"/>
              </w:rPr>
              <w:t>veidot studijas, kā arī operas un baleta klases;</w:t>
            </w:r>
          </w:p>
          <w:p w14:paraId="46FC3183" w14:textId="3AF69313" w:rsidR="006E6D09" w:rsidRPr="00921CF9" w:rsidRDefault="006E6D09" w:rsidP="00921CF9">
            <w:pPr>
              <w:pStyle w:val="Sarakstarindkopa"/>
              <w:numPr>
                <w:ilvl w:val="0"/>
                <w:numId w:val="5"/>
              </w:numPr>
              <w:shd w:val="clear" w:color="auto" w:fill="FFFFFF"/>
              <w:ind w:left="284" w:hanging="284"/>
              <w:jc w:val="both"/>
              <w:rPr>
                <w:sz w:val="22"/>
                <w:szCs w:val="22"/>
              </w:rPr>
            </w:pPr>
            <w:r w:rsidRPr="00921CF9">
              <w:rPr>
                <w:sz w:val="22"/>
                <w:szCs w:val="22"/>
              </w:rPr>
              <w:t>pārstāvēt Latviju dažādos starptautiskajos festivālos, konkursos un citos pasākumos, kā arī reprezentē Latvijas kultūru ārvalstīs un sekmē Latvijas integrāciju pasaules kultūras procesos;</w:t>
            </w:r>
          </w:p>
          <w:p w14:paraId="54043C37" w14:textId="207506F0" w:rsidR="006E6D09" w:rsidRPr="00921CF9" w:rsidRDefault="006E6D09" w:rsidP="00921CF9">
            <w:pPr>
              <w:pStyle w:val="Sarakstarindkopa"/>
              <w:numPr>
                <w:ilvl w:val="0"/>
                <w:numId w:val="5"/>
              </w:numPr>
              <w:shd w:val="clear" w:color="auto" w:fill="FFFFFF"/>
              <w:ind w:left="284" w:hanging="284"/>
              <w:jc w:val="both"/>
              <w:rPr>
                <w:sz w:val="22"/>
                <w:szCs w:val="22"/>
              </w:rPr>
            </w:pPr>
            <w:r w:rsidRPr="00921CF9">
              <w:rPr>
                <w:sz w:val="22"/>
                <w:szCs w:val="22"/>
              </w:rPr>
              <w:t>veikt kultūrizglītojošo darbu;</w:t>
            </w:r>
          </w:p>
          <w:p w14:paraId="4186EAB7" w14:textId="4497E028" w:rsidR="006E6D09" w:rsidRPr="00921CF9" w:rsidRDefault="006E6D09" w:rsidP="00921CF9">
            <w:pPr>
              <w:pStyle w:val="Sarakstarindkopa"/>
              <w:numPr>
                <w:ilvl w:val="0"/>
                <w:numId w:val="5"/>
              </w:numPr>
              <w:shd w:val="clear" w:color="auto" w:fill="FFFFFF"/>
              <w:ind w:left="284" w:hanging="284"/>
              <w:jc w:val="both"/>
              <w:rPr>
                <w:sz w:val="22"/>
                <w:szCs w:val="22"/>
              </w:rPr>
            </w:pPr>
            <w:r w:rsidRPr="00921CF9">
              <w:rPr>
                <w:sz w:val="22"/>
                <w:szCs w:val="22"/>
              </w:rPr>
              <w:t>rosināt sabiedrībā interesi par operu un baletu;</w:t>
            </w:r>
          </w:p>
          <w:p w14:paraId="6FE7350F" w14:textId="117F3680" w:rsidR="006E6D09" w:rsidRPr="00921CF9" w:rsidRDefault="006E6D09" w:rsidP="00921CF9">
            <w:pPr>
              <w:pStyle w:val="Sarakstarindkopa"/>
              <w:numPr>
                <w:ilvl w:val="0"/>
                <w:numId w:val="5"/>
              </w:numPr>
              <w:shd w:val="clear" w:color="auto" w:fill="FFFFFF"/>
              <w:ind w:left="284" w:hanging="284"/>
              <w:jc w:val="both"/>
              <w:rPr>
                <w:sz w:val="22"/>
                <w:szCs w:val="22"/>
              </w:rPr>
            </w:pPr>
            <w:r w:rsidRPr="00921CF9">
              <w:rPr>
                <w:sz w:val="22"/>
                <w:szCs w:val="22"/>
              </w:rPr>
              <w:t>vākt, uzkrāt un vērtēt kultūras informāciju un nodrošināt tās pieejamību sabiedrībai;</w:t>
            </w:r>
          </w:p>
          <w:p w14:paraId="13EB84B3" w14:textId="585A896A" w:rsidR="006E6D09" w:rsidRPr="00921CF9" w:rsidRDefault="006E6D09" w:rsidP="00921CF9">
            <w:pPr>
              <w:pStyle w:val="Sarakstarindkopa"/>
              <w:numPr>
                <w:ilvl w:val="0"/>
                <w:numId w:val="5"/>
              </w:numPr>
              <w:shd w:val="clear" w:color="auto" w:fill="FFFFFF"/>
              <w:ind w:left="425" w:hanging="425"/>
              <w:jc w:val="both"/>
              <w:rPr>
                <w:sz w:val="22"/>
                <w:szCs w:val="22"/>
              </w:rPr>
            </w:pPr>
            <w:r w:rsidRPr="00921CF9">
              <w:rPr>
                <w:sz w:val="22"/>
                <w:szCs w:val="22"/>
              </w:rPr>
              <w:t>veikt cita veida darbību, kas nav pretrunā ar šajā likumā noteikto Nacionālās operas darbības mērķi.</w:t>
            </w:r>
          </w:p>
          <w:p w14:paraId="5A2E10F6" w14:textId="31F910A8" w:rsidR="006E6D09" w:rsidRPr="00D8116D" w:rsidRDefault="006E6D09" w:rsidP="00221AEB">
            <w:pPr>
              <w:ind w:firstLine="567"/>
              <w:jc w:val="both"/>
              <w:rPr>
                <w:sz w:val="22"/>
                <w:szCs w:val="22"/>
              </w:rPr>
            </w:pPr>
            <w:r w:rsidRPr="00D8116D">
              <w:rPr>
                <w:kern w:val="3"/>
                <w:sz w:val="22"/>
                <w:szCs w:val="22"/>
              </w:rPr>
              <w:t xml:space="preserve">Kapitālsabiedrības vidēja termiņa darbības stratēģijas projektā </w:t>
            </w:r>
            <w:proofErr w:type="gramStart"/>
            <w:r w:rsidRPr="00D8116D">
              <w:rPr>
                <w:kern w:val="3"/>
                <w:sz w:val="22"/>
                <w:szCs w:val="22"/>
              </w:rPr>
              <w:t>2022</w:t>
            </w:r>
            <w:r w:rsidR="008A6586" w:rsidRPr="00D8116D">
              <w:rPr>
                <w:kern w:val="3"/>
                <w:sz w:val="22"/>
                <w:szCs w:val="22"/>
              </w:rPr>
              <w:t>.</w:t>
            </w:r>
            <w:r w:rsidR="008A6586">
              <w:rPr>
                <w:kern w:val="3"/>
                <w:sz w:val="22"/>
                <w:szCs w:val="22"/>
              </w:rPr>
              <w:t xml:space="preserve"> – </w:t>
            </w:r>
            <w:r w:rsidRPr="00D8116D">
              <w:rPr>
                <w:kern w:val="3"/>
                <w:sz w:val="22"/>
                <w:szCs w:val="22"/>
              </w:rPr>
              <w:t>2026.</w:t>
            </w:r>
            <w:proofErr w:type="gramEnd"/>
            <w:r w:rsidRPr="00D8116D">
              <w:rPr>
                <w:kern w:val="3"/>
                <w:sz w:val="22"/>
                <w:szCs w:val="22"/>
              </w:rPr>
              <w:t>gadam (šobrīd skaņošanas procesā) kapitālsabiedrība paredz veikt būtiskākos rekonstrukcijas projektus nekustamajā īpašumā a</w:t>
            </w:r>
            <w:r w:rsidRPr="00D8116D">
              <w:rPr>
                <w:sz w:val="22"/>
                <w:szCs w:val="22"/>
              </w:rPr>
              <w:t xml:space="preserve">tbilstoši 2019.gada rudenī veiktajam ēkas tehniskās </w:t>
            </w:r>
            <w:r w:rsidRPr="00D8116D">
              <w:rPr>
                <w:sz w:val="22"/>
                <w:szCs w:val="22"/>
              </w:rPr>
              <w:lastRenderedPageBreak/>
              <w:t xml:space="preserve">apsekošanas atzinumam (apsekojuma veicējs: </w:t>
            </w:r>
            <w:r w:rsidR="008A6586">
              <w:rPr>
                <w:sz w:val="22"/>
                <w:szCs w:val="22"/>
              </w:rPr>
              <w:t>akciju sabiedrība</w:t>
            </w:r>
            <w:r w:rsidR="008A6586" w:rsidRPr="00D8116D">
              <w:rPr>
                <w:sz w:val="22"/>
                <w:szCs w:val="22"/>
              </w:rPr>
              <w:t xml:space="preserve"> </w:t>
            </w:r>
            <w:r w:rsidR="001429F8" w:rsidRPr="00D8116D">
              <w:rPr>
                <w:sz w:val="22"/>
                <w:szCs w:val="22"/>
                <w:lang w:eastAsia="en-US"/>
              </w:rPr>
              <w:t>„</w:t>
            </w:r>
            <w:r w:rsidRPr="00D8116D">
              <w:rPr>
                <w:sz w:val="22"/>
                <w:szCs w:val="22"/>
              </w:rPr>
              <w:t xml:space="preserve">RERE GRUPA”, </w:t>
            </w:r>
            <w:r w:rsidR="008A6586">
              <w:rPr>
                <w:sz w:val="22"/>
                <w:szCs w:val="22"/>
              </w:rPr>
              <w:t>reģistrācijas Nr.</w:t>
            </w:r>
            <w:r w:rsidRPr="00D8116D">
              <w:rPr>
                <w:sz w:val="22"/>
                <w:szCs w:val="22"/>
              </w:rPr>
              <w:t>40103819319; apsekojuma vadītājs:</w:t>
            </w:r>
            <w:r w:rsidRPr="00921CF9">
              <w:rPr>
                <w:bCs/>
                <w:sz w:val="22"/>
                <w:szCs w:val="22"/>
              </w:rPr>
              <w:t xml:space="preserve"> </w:t>
            </w:r>
            <w:r w:rsidRPr="00D8116D">
              <w:rPr>
                <w:sz w:val="22"/>
                <w:szCs w:val="22"/>
              </w:rPr>
              <w:t xml:space="preserve">Vadims </w:t>
            </w:r>
            <w:proofErr w:type="spellStart"/>
            <w:r w:rsidRPr="00D8116D">
              <w:rPr>
                <w:sz w:val="22"/>
                <w:szCs w:val="22"/>
              </w:rPr>
              <w:t>Goremikins</w:t>
            </w:r>
            <w:proofErr w:type="spellEnd"/>
            <w:r w:rsidRPr="00D8116D">
              <w:rPr>
                <w:sz w:val="22"/>
                <w:szCs w:val="22"/>
              </w:rPr>
              <w:t xml:space="preserve"> (sertifikāta Nr.3-01560), kurā konstatēts, ka Latvijas Nacionālās operas ēka kopumā ir apmierinošā tehniskā stāvoklī ar vidēji svērto nolietojumu 40%, tomēr atsevišķi ēkas elementi un </w:t>
            </w:r>
            <w:proofErr w:type="spellStart"/>
            <w:r w:rsidRPr="00D8116D">
              <w:rPr>
                <w:sz w:val="22"/>
                <w:szCs w:val="22"/>
              </w:rPr>
              <w:t>inženiersistēmas</w:t>
            </w:r>
            <w:proofErr w:type="spellEnd"/>
            <w:r w:rsidRPr="00D8116D">
              <w:rPr>
                <w:sz w:val="22"/>
                <w:szCs w:val="22"/>
              </w:rPr>
              <w:t xml:space="preserve"> ir nepamierinošā tehniskā stāvoklī un ūdensapgāde, apkure un kanalizācija var jebkurā brīdī pilnībā vai daļēji zaudēt darbspēju. Apsekojumā konstatēto kritiskāko (nolietojums virs 50%) un pirmsavārijas stāvoklī esošo inženiersistēmu atjaunošanai kopumā nepieciešamie ieguldījumi pēc provizorisko </w:t>
            </w:r>
            <w:r w:rsidRPr="001124FF">
              <w:rPr>
                <w:sz w:val="22"/>
                <w:szCs w:val="22"/>
              </w:rPr>
              <w:t xml:space="preserve">izmaksu aplēses ir </w:t>
            </w:r>
            <w:r w:rsidRPr="00921CF9">
              <w:rPr>
                <w:sz w:val="22"/>
                <w:szCs w:val="22"/>
              </w:rPr>
              <w:t>apmēram 6,5</w:t>
            </w:r>
            <w:r w:rsidR="008A6586">
              <w:rPr>
                <w:sz w:val="22"/>
                <w:szCs w:val="22"/>
              </w:rPr>
              <w:t> </w:t>
            </w:r>
            <w:r w:rsidRPr="00921CF9">
              <w:rPr>
                <w:sz w:val="22"/>
                <w:szCs w:val="22"/>
              </w:rPr>
              <w:t xml:space="preserve">miljoni </w:t>
            </w:r>
            <w:r w:rsidR="001124FF" w:rsidRPr="00921CF9">
              <w:rPr>
                <w:i/>
                <w:iCs/>
                <w:sz w:val="22"/>
                <w:szCs w:val="22"/>
              </w:rPr>
              <w:t>euro</w:t>
            </w:r>
            <w:r w:rsidR="001124FF" w:rsidRPr="00921CF9">
              <w:rPr>
                <w:sz w:val="22"/>
                <w:szCs w:val="22"/>
              </w:rPr>
              <w:t xml:space="preserve"> </w:t>
            </w:r>
            <w:r w:rsidRPr="001124FF">
              <w:rPr>
                <w:sz w:val="22"/>
                <w:szCs w:val="22"/>
              </w:rPr>
              <w:t>(bez rezerves ārkārtas izdevumiem, kuru vēsturiskajam korpusam vēlams plānot vismaz 20%</w:t>
            </w:r>
            <w:r w:rsidRPr="00D8116D">
              <w:rPr>
                <w:sz w:val="22"/>
                <w:szCs w:val="22"/>
              </w:rPr>
              <w:t xml:space="preserve"> apmērā).</w:t>
            </w:r>
            <w:r w:rsidR="00921CF9">
              <w:rPr>
                <w:bCs/>
                <w:sz w:val="22"/>
                <w:szCs w:val="22"/>
              </w:rPr>
              <w:t xml:space="preserve"> </w:t>
            </w:r>
            <w:r w:rsidRPr="00D8116D">
              <w:rPr>
                <w:bCs/>
                <w:sz w:val="22"/>
                <w:szCs w:val="22"/>
              </w:rPr>
              <w:t xml:space="preserve">Apsekojumā konstatētās kritiskās sadaļas, kurām plānojami rekonstrukciju projekti un piesaistāmas investīcijas </w:t>
            </w:r>
            <w:r w:rsidRPr="00D8116D">
              <w:rPr>
                <w:sz w:val="22"/>
                <w:szCs w:val="22"/>
              </w:rPr>
              <w:t xml:space="preserve">(zemāk norādīti tikai pirmsavārijas stāvoklī esošie – nolietojums virs 60% un vairāk): </w:t>
            </w:r>
          </w:p>
          <w:p w14:paraId="344D8BB4" w14:textId="1C934B2E" w:rsidR="006E6D09" w:rsidRPr="00921CF9" w:rsidRDefault="006E6D09" w:rsidP="00921CF9">
            <w:pPr>
              <w:pStyle w:val="Sarakstarindkopa"/>
              <w:numPr>
                <w:ilvl w:val="0"/>
                <w:numId w:val="6"/>
              </w:numPr>
              <w:ind w:left="284" w:hanging="284"/>
              <w:jc w:val="both"/>
              <w:rPr>
                <w:sz w:val="22"/>
                <w:szCs w:val="22"/>
              </w:rPr>
            </w:pPr>
            <w:r w:rsidRPr="00921CF9">
              <w:rPr>
                <w:sz w:val="22"/>
                <w:szCs w:val="22"/>
              </w:rPr>
              <w:lastRenderedPageBreak/>
              <w:t>ūdensapgāde (aukstā ūdens un kanalizācijas cauruļvadi, ventiļi, krāni, sanitārtehniskās iekārtas, skaitītāji) – tehniskais nolietojums 70%;</w:t>
            </w:r>
          </w:p>
          <w:p w14:paraId="1DF5462B" w14:textId="59B7E5B9" w:rsidR="006E6D09" w:rsidRPr="00921CF9" w:rsidRDefault="006E6D09" w:rsidP="00921CF9">
            <w:pPr>
              <w:pStyle w:val="Sarakstarindkopa"/>
              <w:numPr>
                <w:ilvl w:val="0"/>
                <w:numId w:val="6"/>
              </w:numPr>
              <w:ind w:left="284" w:hanging="284"/>
              <w:jc w:val="both"/>
              <w:rPr>
                <w:sz w:val="22"/>
                <w:szCs w:val="22"/>
              </w:rPr>
            </w:pPr>
            <w:r w:rsidRPr="00921CF9">
              <w:rPr>
                <w:sz w:val="22"/>
                <w:szCs w:val="22"/>
              </w:rPr>
              <w:t>karstā ūdens apgāde (cauruļvadi, izolācija, ventiļi, krāni, ūdensmaisītāji, žāvētāji, ūdens sildītāji, skaitītāji) – tehniskais nolietojums 70%;</w:t>
            </w:r>
          </w:p>
          <w:p w14:paraId="6591A7ED" w14:textId="0F37305A" w:rsidR="006E6D09" w:rsidRPr="00921CF9" w:rsidRDefault="006E6D09" w:rsidP="00921CF9">
            <w:pPr>
              <w:pStyle w:val="Sarakstarindkopa"/>
              <w:numPr>
                <w:ilvl w:val="0"/>
                <w:numId w:val="6"/>
              </w:numPr>
              <w:ind w:left="284" w:hanging="284"/>
              <w:jc w:val="both"/>
              <w:rPr>
                <w:sz w:val="22"/>
                <w:szCs w:val="22"/>
              </w:rPr>
            </w:pPr>
            <w:r w:rsidRPr="00921CF9">
              <w:rPr>
                <w:sz w:val="22"/>
                <w:szCs w:val="22"/>
              </w:rPr>
              <w:t xml:space="preserve">ugunsdzēsības ūdensvads, automātiskās </w:t>
            </w:r>
            <w:r w:rsidR="008A6586" w:rsidRPr="00921CF9">
              <w:rPr>
                <w:sz w:val="22"/>
                <w:szCs w:val="22"/>
              </w:rPr>
              <w:t>ugu</w:t>
            </w:r>
            <w:r w:rsidR="008A6586">
              <w:rPr>
                <w:sz w:val="22"/>
                <w:szCs w:val="22"/>
              </w:rPr>
              <w:t>ns</w:t>
            </w:r>
            <w:r w:rsidR="008A6586" w:rsidRPr="00921CF9">
              <w:rPr>
                <w:sz w:val="22"/>
                <w:szCs w:val="22"/>
              </w:rPr>
              <w:t xml:space="preserve">dzēsības </w:t>
            </w:r>
            <w:r w:rsidRPr="00921CF9">
              <w:rPr>
                <w:sz w:val="22"/>
                <w:szCs w:val="22"/>
              </w:rPr>
              <w:t xml:space="preserve">sistēmas un dūmaizsardzības risinājumi; tehniskais nolietojums 70%; </w:t>
            </w:r>
          </w:p>
          <w:p w14:paraId="1FE413CE" w14:textId="5346B6F3" w:rsidR="006E6D09" w:rsidRPr="00921CF9" w:rsidRDefault="006E6D09" w:rsidP="00921CF9">
            <w:pPr>
              <w:pStyle w:val="Sarakstarindkopa"/>
              <w:numPr>
                <w:ilvl w:val="0"/>
                <w:numId w:val="6"/>
              </w:numPr>
              <w:ind w:left="284" w:hanging="284"/>
              <w:jc w:val="both"/>
              <w:rPr>
                <w:sz w:val="22"/>
                <w:szCs w:val="22"/>
              </w:rPr>
            </w:pPr>
            <w:r w:rsidRPr="00921CF9">
              <w:rPr>
                <w:sz w:val="22"/>
                <w:szCs w:val="22"/>
              </w:rPr>
              <w:t xml:space="preserve">apkures sistēma </w:t>
            </w:r>
            <w:proofErr w:type="gramStart"/>
            <w:r w:rsidRPr="00921CF9">
              <w:rPr>
                <w:sz w:val="22"/>
                <w:szCs w:val="22"/>
              </w:rPr>
              <w:t>(</w:t>
            </w:r>
            <w:proofErr w:type="gramEnd"/>
            <w:r w:rsidRPr="00921CF9">
              <w:rPr>
                <w:sz w:val="22"/>
                <w:szCs w:val="22"/>
              </w:rPr>
              <w:t xml:space="preserve">cauruļvadi, centrālapkures radiatori, kaloriferi, konvektori, stāvvadi, ventiļi, izolācija, siltummaiņi, mēraparāti, automātika u.c. elementi – tehniskais nolietojums 70%; </w:t>
            </w:r>
          </w:p>
          <w:p w14:paraId="0BD87E1C" w14:textId="5AE56257" w:rsidR="006E6D09" w:rsidRPr="00921CF9" w:rsidRDefault="006E6D09" w:rsidP="00921CF9">
            <w:pPr>
              <w:pStyle w:val="Sarakstarindkopa"/>
              <w:numPr>
                <w:ilvl w:val="0"/>
                <w:numId w:val="6"/>
              </w:numPr>
              <w:ind w:left="284" w:hanging="284"/>
              <w:jc w:val="both"/>
              <w:rPr>
                <w:sz w:val="22"/>
                <w:szCs w:val="22"/>
              </w:rPr>
            </w:pPr>
            <w:r w:rsidRPr="00921CF9">
              <w:rPr>
                <w:sz w:val="22"/>
                <w:szCs w:val="22"/>
              </w:rPr>
              <w:t>ventilācijas un gaisa kondicionēšanas iekārta</w:t>
            </w:r>
            <w:proofErr w:type="gramStart"/>
            <w:r w:rsidRPr="00921CF9">
              <w:rPr>
                <w:sz w:val="22"/>
                <w:szCs w:val="22"/>
              </w:rPr>
              <w:t xml:space="preserve">  </w:t>
            </w:r>
            <w:proofErr w:type="gramEnd"/>
            <w:r w:rsidRPr="00921CF9">
              <w:rPr>
                <w:sz w:val="22"/>
                <w:szCs w:val="22"/>
              </w:rPr>
              <w:t>– tehniskais nolietojums 70%;</w:t>
            </w:r>
          </w:p>
          <w:p w14:paraId="0B6ABB76" w14:textId="2293FA1A" w:rsidR="006E6D09" w:rsidRPr="00921CF9" w:rsidRDefault="006E6D09" w:rsidP="00921CF9">
            <w:pPr>
              <w:pStyle w:val="Sarakstarindkopa"/>
              <w:numPr>
                <w:ilvl w:val="0"/>
                <w:numId w:val="6"/>
              </w:numPr>
              <w:ind w:left="284" w:hanging="284"/>
              <w:jc w:val="both"/>
              <w:rPr>
                <w:sz w:val="22"/>
                <w:szCs w:val="22"/>
              </w:rPr>
            </w:pPr>
            <w:r w:rsidRPr="00921CF9">
              <w:rPr>
                <w:sz w:val="22"/>
                <w:szCs w:val="22"/>
              </w:rPr>
              <w:t xml:space="preserve">elektroapgādes sistēma un elektrotehniskās ietaises – tehniskais nolietojums 70%; </w:t>
            </w:r>
          </w:p>
          <w:p w14:paraId="18A655B1" w14:textId="21EE86CC" w:rsidR="006E6D09" w:rsidRPr="00921CF9" w:rsidRDefault="006E6D09" w:rsidP="00921CF9">
            <w:pPr>
              <w:pStyle w:val="Sarakstarindkopa"/>
              <w:numPr>
                <w:ilvl w:val="0"/>
                <w:numId w:val="6"/>
              </w:numPr>
              <w:ind w:left="284" w:hanging="284"/>
              <w:jc w:val="both"/>
              <w:rPr>
                <w:sz w:val="22"/>
                <w:szCs w:val="22"/>
              </w:rPr>
            </w:pPr>
            <w:r w:rsidRPr="00921CF9">
              <w:rPr>
                <w:sz w:val="22"/>
                <w:szCs w:val="22"/>
              </w:rPr>
              <w:t>apsardzes, signalizācijas, saziņas un citas iekārtas – tehniskais nolietojums 60%;</w:t>
            </w:r>
          </w:p>
          <w:p w14:paraId="743646F1" w14:textId="56B6014C" w:rsidR="00CF3971" w:rsidRPr="00921CF9" w:rsidRDefault="006E6D09" w:rsidP="00921CF9">
            <w:pPr>
              <w:pStyle w:val="Sarakstarindkopa"/>
              <w:numPr>
                <w:ilvl w:val="0"/>
                <w:numId w:val="6"/>
              </w:numPr>
              <w:ind w:left="284" w:hanging="284"/>
              <w:jc w:val="both"/>
              <w:rPr>
                <w:sz w:val="22"/>
                <w:szCs w:val="22"/>
              </w:rPr>
            </w:pPr>
            <w:r w:rsidRPr="00921CF9">
              <w:rPr>
                <w:sz w:val="22"/>
                <w:szCs w:val="22"/>
              </w:rPr>
              <w:t>vājstrāvas tīkli un ietaises – tehniskais nolietojums 60%.</w:t>
            </w:r>
          </w:p>
          <w:p w14:paraId="048C57D2" w14:textId="1F5C9B80" w:rsidR="001E7FD1" w:rsidRPr="00D8116D" w:rsidRDefault="001E7FD1" w:rsidP="00921CF9">
            <w:pPr>
              <w:ind w:firstLine="567"/>
              <w:jc w:val="both"/>
              <w:rPr>
                <w:sz w:val="22"/>
                <w:szCs w:val="22"/>
                <w:highlight w:val="yellow"/>
              </w:rPr>
            </w:pPr>
            <w:r w:rsidRPr="00D8116D">
              <w:rPr>
                <w:sz w:val="22"/>
                <w:szCs w:val="22"/>
              </w:rPr>
              <w:lastRenderedPageBreak/>
              <w:t xml:space="preserve">Nepieciešamos pārbūves un remonta darbus plānots segt no kapitālsabiedrības pašas ieņēmumiem, kā arī no piesaistītā Eiropas </w:t>
            </w:r>
            <w:proofErr w:type="spellStart"/>
            <w:r w:rsidR="00AC2749">
              <w:rPr>
                <w:sz w:val="22"/>
                <w:szCs w:val="22"/>
              </w:rPr>
              <w:t>Savienibas</w:t>
            </w:r>
            <w:proofErr w:type="spellEnd"/>
            <w:r w:rsidR="00AC2749">
              <w:rPr>
                <w:sz w:val="22"/>
                <w:szCs w:val="22"/>
              </w:rPr>
              <w:t xml:space="preserve"> </w:t>
            </w:r>
            <w:r w:rsidRPr="00D8116D">
              <w:rPr>
                <w:sz w:val="22"/>
                <w:szCs w:val="22"/>
              </w:rPr>
              <w:t>struktūrfondu finansējuma</w:t>
            </w:r>
            <w:r w:rsidR="001124FF">
              <w:rPr>
                <w:sz w:val="22"/>
                <w:szCs w:val="22"/>
              </w:rPr>
              <w:t>.</w:t>
            </w:r>
          </w:p>
        </w:tc>
      </w:tr>
      <w:tr w:rsidR="003060AC" w:rsidRPr="00D8116D" w14:paraId="1FA4631F" w14:textId="77777777" w:rsidTr="00D8116D">
        <w:trPr>
          <w:trHeight w:val="2673"/>
        </w:trPr>
        <w:tc>
          <w:tcPr>
            <w:tcW w:w="301" w:type="pct"/>
            <w:tcBorders>
              <w:top w:val="single" w:sz="6" w:space="0" w:color="000000"/>
              <w:left w:val="single" w:sz="6" w:space="0" w:color="000000"/>
              <w:bottom w:val="single" w:sz="6" w:space="0" w:color="000000"/>
              <w:right w:val="single" w:sz="6" w:space="0" w:color="000000"/>
            </w:tcBorders>
            <w:shd w:val="clear" w:color="auto" w:fill="auto"/>
          </w:tcPr>
          <w:p w14:paraId="1E28D437" w14:textId="77777777" w:rsidR="00ED578A" w:rsidRPr="00D8116D" w:rsidRDefault="00ED578A" w:rsidP="00D8116D">
            <w:pPr>
              <w:pStyle w:val="naisc"/>
              <w:numPr>
                <w:ilvl w:val="0"/>
                <w:numId w:val="2"/>
              </w:numPr>
              <w:tabs>
                <w:tab w:val="left" w:pos="284"/>
              </w:tabs>
              <w:spacing w:before="0" w:after="0"/>
              <w:ind w:left="528" w:hanging="284"/>
              <w:rPr>
                <w:sz w:val="22"/>
                <w:szCs w:val="22"/>
              </w:rPr>
            </w:pPr>
          </w:p>
        </w:tc>
        <w:tc>
          <w:tcPr>
            <w:tcW w:w="1266" w:type="pct"/>
            <w:tcBorders>
              <w:top w:val="single" w:sz="6" w:space="0" w:color="000000"/>
              <w:left w:val="single" w:sz="6" w:space="0" w:color="000000"/>
              <w:bottom w:val="single" w:sz="6" w:space="0" w:color="000000"/>
              <w:right w:val="single" w:sz="6" w:space="0" w:color="000000"/>
            </w:tcBorders>
            <w:shd w:val="clear" w:color="auto" w:fill="auto"/>
          </w:tcPr>
          <w:p w14:paraId="1F6210CF" w14:textId="4F9A4B6E" w:rsidR="00ED578A" w:rsidRPr="00D8116D" w:rsidRDefault="00442C45" w:rsidP="00D8116D">
            <w:pPr>
              <w:pStyle w:val="Parasts1"/>
              <w:spacing w:after="0" w:line="240" w:lineRule="auto"/>
              <w:jc w:val="both"/>
              <w:rPr>
                <w:rFonts w:ascii="Times New Roman" w:hAnsi="Times New Roman"/>
              </w:rPr>
            </w:pPr>
            <w:r w:rsidRPr="00D8116D">
              <w:rPr>
                <w:rFonts w:ascii="Times New Roman" w:hAnsi="Times New Roman"/>
              </w:rPr>
              <w:t>Projekta sākotnējās ietekmes novērtējuma ziņojums (anotācija).</w:t>
            </w:r>
          </w:p>
        </w:tc>
        <w:tc>
          <w:tcPr>
            <w:tcW w:w="1241" w:type="pct"/>
            <w:tcBorders>
              <w:top w:val="single" w:sz="6" w:space="0" w:color="000000"/>
              <w:left w:val="single" w:sz="6" w:space="0" w:color="000000"/>
              <w:bottom w:val="single" w:sz="6" w:space="0" w:color="000000"/>
              <w:right w:val="single" w:sz="6" w:space="0" w:color="000000"/>
            </w:tcBorders>
            <w:shd w:val="clear" w:color="auto" w:fill="auto"/>
          </w:tcPr>
          <w:p w14:paraId="73D6393F" w14:textId="77777777" w:rsidR="00ED578A" w:rsidRPr="00D8116D" w:rsidRDefault="00ED578A" w:rsidP="00D8116D">
            <w:pPr>
              <w:pStyle w:val="naisc"/>
              <w:spacing w:before="0" w:after="0"/>
              <w:jc w:val="both"/>
              <w:rPr>
                <w:b/>
                <w:bCs/>
                <w:sz w:val="22"/>
                <w:szCs w:val="22"/>
              </w:rPr>
            </w:pPr>
            <w:proofErr w:type="spellStart"/>
            <w:r w:rsidRPr="00D8116D">
              <w:rPr>
                <w:b/>
                <w:bCs/>
                <w:sz w:val="22"/>
                <w:szCs w:val="22"/>
              </w:rPr>
              <w:t>Finašu</w:t>
            </w:r>
            <w:proofErr w:type="spellEnd"/>
            <w:r w:rsidRPr="00D8116D">
              <w:rPr>
                <w:b/>
                <w:bCs/>
                <w:sz w:val="22"/>
                <w:szCs w:val="22"/>
              </w:rPr>
              <w:t xml:space="preserve"> ministrija:</w:t>
            </w:r>
          </w:p>
          <w:p w14:paraId="70AC7777" w14:textId="77777777" w:rsidR="00ED578A" w:rsidRPr="00D8116D" w:rsidRDefault="00ED578A" w:rsidP="00D8116D">
            <w:pPr>
              <w:shd w:val="clear" w:color="auto" w:fill="FFFFFF"/>
              <w:tabs>
                <w:tab w:val="left" w:pos="993"/>
                <w:tab w:val="left" w:pos="1276"/>
              </w:tabs>
              <w:suppressAutoHyphens/>
              <w:autoSpaceDN w:val="0"/>
              <w:jc w:val="both"/>
              <w:textAlignment w:val="baseline"/>
              <w:rPr>
                <w:kern w:val="3"/>
                <w:sz w:val="22"/>
                <w:szCs w:val="22"/>
              </w:rPr>
            </w:pPr>
            <w:r w:rsidRPr="00D8116D">
              <w:rPr>
                <w:kern w:val="3"/>
                <w:sz w:val="22"/>
                <w:szCs w:val="22"/>
              </w:rPr>
              <w:t xml:space="preserve">Ministru kabineta </w:t>
            </w:r>
            <w:proofErr w:type="gramStart"/>
            <w:r w:rsidRPr="00D8116D">
              <w:rPr>
                <w:kern w:val="3"/>
                <w:sz w:val="22"/>
                <w:szCs w:val="22"/>
              </w:rPr>
              <w:t>2020.gada</w:t>
            </w:r>
            <w:proofErr w:type="gramEnd"/>
            <w:r w:rsidRPr="00D8116D">
              <w:rPr>
                <w:kern w:val="3"/>
                <w:sz w:val="22"/>
                <w:szCs w:val="22"/>
              </w:rPr>
              <w:t xml:space="preserve"> 19.februāra rīkojuma Nr.64 “Par Rīgas pilsētas pašvaldībai piederošā nekustamā īpašuma Aspazijas bulvārī 3, Rīgā, pārņemšanu valsts īpašumā” sākotnējās ietekmes novērtējuma ziņojumā (anotācijā) norādīts: “</w:t>
            </w:r>
            <w:r w:rsidRPr="00D8116D">
              <w:rPr>
                <w:i/>
                <w:iCs/>
                <w:kern w:val="3"/>
                <w:sz w:val="22"/>
                <w:szCs w:val="22"/>
              </w:rPr>
              <w:t xml:space="preserve">Rīgas domes lēmuma 3.punktā norādīts, ka nepieciešams ņemt vērā, ka uz nekustamā īpašuma sastāvā esošās zemes vienības ar kadastra apzīmējumu 0100 005 0056 atrodas īslaicīgas lietošanas būve ar kadastra apzīmējumu 0100 005 0056 003, kas ar Rīgas pilsētas būvvaldes 2018.gada 28.februāra aktu nodota ekspluatācijā uz Operas vārda. Saskaņā ar Rīgas pilsētas būvvaldes 2018.gada 28.februāra aktu „Par Īslaicīgās lietošanas būve – pacēlājs ar nojumi pie Latvijas Nacionālās operas III kārta Aspazijas bulvārī 3, Rīgā” īslaicīgās lietošanas būves ar kadastra apzīmējumu 0100 005 0056 003 pasūtītājs ir Opera. Pacēlāja nojume ir īslaicīgas lietošanas būve, kuru Opera izmanto īslaicīgai dekorāciju un rekvizītu glabāšanai, to pacelšanai un nolaišanai līdz </w:t>
            </w:r>
            <w:r w:rsidRPr="00D8116D">
              <w:rPr>
                <w:i/>
                <w:iCs/>
                <w:kern w:val="3"/>
                <w:sz w:val="22"/>
                <w:szCs w:val="22"/>
              </w:rPr>
              <w:lastRenderedPageBreak/>
              <w:t>skatuves līmenim. Saskaņā ar Ministru kabineta 2014.gada 19.augusta noteikumu Nr.500 „Vispārīgie būvnoteikumi” 2.18.apakšpunktu īslaicīgas lietošanas būve ir būve, kuras ekspluatācijas laiks nav ilgāks par pieciem gadiem un kas jānojauc līdz minētā termiņa beigām. Ņemot vērā, ka būves ar kadastra apzīmējumu 0100 005 0056 003 atlikušais ekspluatācijas termiņš ir mazāks par pieciem gadiem un tā nojaucama līdz atļautā ekspluatācijas termiņa beigām, šāda objekta ierakstīšana zemesgrāmatā nav lietderīga. Pēc nekustamā īpašuma pārņemšanas valsts īpašumā Valsts zemes dienesta Nekustamā īpašuma valsts kadastra informācijas sistēmā tiks aktualizēti dati par īslaicīgās lietošanas būvi, reģistrējot to uz valsts vārda Kultūras ministrijas personā. Pacēlāja nojumes ekspluatācija tiks turpināta līdz normatīvajos aktos noteiktajam termiņam […]</w:t>
            </w:r>
            <w:r w:rsidRPr="00D8116D">
              <w:rPr>
                <w:kern w:val="3"/>
                <w:sz w:val="22"/>
                <w:szCs w:val="22"/>
              </w:rPr>
              <w:t>”.</w:t>
            </w:r>
          </w:p>
          <w:p w14:paraId="71A5A0D4" w14:textId="5778A32D" w:rsidR="00ED578A" w:rsidRPr="00D8116D" w:rsidRDefault="00ED578A" w:rsidP="00D8116D">
            <w:pPr>
              <w:shd w:val="clear" w:color="auto" w:fill="FFFFFF"/>
              <w:tabs>
                <w:tab w:val="left" w:pos="993"/>
                <w:tab w:val="left" w:pos="1276"/>
              </w:tabs>
              <w:ind w:firstLine="567"/>
              <w:jc w:val="both"/>
              <w:rPr>
                <w:kern w:val="3"/>
                <w:sz w:val="22"/>
                <w:szCs w:val="22"/>
              </w:rPr>
            </w:pPr>
            <w:r w:rsidRPr="00D8116D">
              <w:rPr>
                <w:kern w:val="3"/>
                <w:sz w:val="22"/>
                <w:szCs w:val="22"/>
              </w:rPr>
              <w:t>Lūdzam papildināt rīkojuma projekta anotāciju ar informāciju par būvi (kadastra apzīmējums 0100 005 0056 003), kura nav reģistrēta zemesgrāmatā, t.sk. informējot, vai to plānots ierakstīt zemesgrāmatā.</w:t>
            </w:r>
          </w:p>
        </w:tc>
        <w:tc>
          <w:tcPr>
            <w:tcW w:w="1082" w:type="pct"/>
            <w:tcBorders>
              <w:top w:val="single" w:sz="6" w:space="0" w:color="000000"/>
              <w:left w:val="single" w:sz="6" w:space="0" w:color="000000"/>
              <w:bottom w:val="single" w:sz="6" w:space="0" w:color="000000"/>
              <w:right w:val="single" w:sz="6" w:space="0" w:color="000000"/>
            </w:tcBorders>
            <w:shd w:val="clear" w:color="auto" w:fill="auto"/>
          </w:tcPr>
          <w:p w14:paraId="7A17C8E4" w14:textId="79AC84BA" w:rsidR="00ED578A" w:rsidRPr="00D8116D" w:rsidRDefault="00ED578A" w:rsidP="00D8116D">
            <w:pPr>
              <w:widowControl w:val="0"/>
              <w:autoSpaceDE w:val="0"/>
              <w:autoSpaceDN w:val="0"/>
              <w:adjustRightInd w:val="0"/>
              <w:jc w:val="center"/>
              <w:rPr>
                <w:b/>
                <w:bCs/>
                <w:sz w:val="22"/>
                <w:szCs w:val="22"/>
              </w:rPr>
            </w:pPr>
            <w:r w:rsidRPr="00D8116D">
              <w:rPr>
                <w:b/>
                <w:bCs/>
                <w:sz w:val="22"/>
                <w:szCs w:val="22"/>
              </w:rPr>
              <w:lastRenderedPageBreak/>
              <w:t>Ņemts vērā</w:t>
            </w:r>
          </w:p>
        </w:tc>
        <w:tc>
          <w:tcPr>
            <w:tcW w:w="1109" w:type="pct"/>
            <w:tcBorders>
              <w:top w:val="single" w:sz="4" w:space="0" w:color="auto"/>
              <w:left w:val="single" w:sz="4" w:space="0" w:color="auto"/>
              <w:bottom w:val="single" w:sz="4" w:space="0" w:color="auto"/>
            </w:tcBorders>
            <w:shd w:val="clear" w:color="auto" w:fill="auto"/>
          </w:tcPr>
          <w:p w14:paraId="66B6D667" w14:textId="59A318CB" w:rsidR="00CF3971" w:rsidRPr="00D8116D" w:rsidRDefault="006E6D09" w:rsidP="00D8116D">
            <w:pPr>
              <w:jc w:val="both"/>
              <w:rPr>
                <w:bCs/>
                <w:iCs/>
                <w:sz w:val="22"/>
                <w:szCs w:val="22"/>
                <w:lang w:val="sv-SE"/>
              </w:rPr>
            </w:pPr>
            <w:r w:rsidRPr="00D8116D">
              <w:rPr>
                <w:sz w:val="22"/>
                <w:szCs w:val="22"/>
              </w:rPr>
              <w:t xml:space="preserve">Papildināts rīkojuma projekta sākotnējās ietekmes novērtējuma ziņojuma (anotācijas) I sadaļas 2.punkts ar </w:t>
            </w:r>
            <w:r w:rsidRPr="00D8116D">
              <w:rPr>
                <w:bCs/>
                <w:iCs/>
                <w:sz w:val="22"/>
                <w:szCs w:val="22"/>
                <w:lang w:val="sv-SE"/>
              </w:rPr>
              <w:t>šādu informāciju:</w:t>
            </w:r>
          </w:p>
          <w:p w14:paraId="60FAFCC3" w14:textId="77777777" w:rsidR="006E6D09" w:rsidRPr="00D8116D" w:rsidRDefault="006E6D09" w:rsidP="00D8116D">
            <w:pPr>
              <w:jc w:val="both"/>
              <w:rPr>
                <w:sz w:val="22"/>
                <w:szCs w:val="22"/>
                <w:highlight w:val="yellow"/>
              </w:rPr>
            </w:pPr>
          </w:p>
          <w:p w14:paraId="7D82D7F9" w14:textId="2A9B7AB0" w:rsidR="007769C1" w:rsidRPr="00D8116D" w:rsidRDefault="001429F8" w:rsidP="008A6586">
            <w:pPr>
              <w:jc w:val="both"/>
              <w:rPr>
                <w:sz w:val="22"/>
                <w:szCs w:val="22"/>
                <w:highlight w:val="yellow"/>
              </w:rPr>
            </w:pPr>
            <w:r w:rsidRPr="00D8116D">
              <w:rPr>
                <w:sz w:val="22"/>
                <w:szCs w:val="22"/>
                <w:lang w:eastAsia="en-US"/>
              </w:rPr>
              <w:t>„</w:t>
            </w:r>
            <w:r w:rsidRPr="00D8116D">
              <w:rPr>
                <w:sz w:val="22"/>
                <w:szCs w:val="22"/>
              </w:rPr>
              <w:t xml:space="preserve">Īslaicīgās lietošanas būvi ar kadastra apzīmējumu </w:t>
            </w:r>
            <w:r w:rsidRPr="00D8116D">
              <w:rPr>
                <w:kern w:val="3"/>
                <w:sz w:val="22"/>
                <w:szCs w:val="22"/>
              </w:rPr>
              <w:t>0100 005 0056 003 (kapitālsabiedrības dekorāciju un rekvizītu glabāšanai) nav šobrīd plānots ierakstīt zemesgrāmatā</w:t>
            </w:r>
            <w:r w:rsidR="008A6586">
              <w:rPr>
                <w:kern w:val="3"/>
                <w:sz w:val="22"/>
                <w:szCs w:val="22"/>
              </w:rPr>
              <w:t xml:space="preserve"> un a</w:t>
            </w:r>
            <w:r w:rsidRPr="00D8116D">
              <w:rPr>
                <w:kern w:val="3"/>
                <w:sz w:val="22"/>
                <w:szCs w:val="22"/>
              </w:rPr>
              <w:t xml:space="preserve">tbilstoši Ministru kabineta </w:t>
            </w:r>
            <w:proofErr w:type="gramStart"/>
            <w:r w:rsidRPr="00D8116D">
              <w:rPr>
                <w:kern w:val="3"/>
                <w:sz w:val="22"/>
                <w:szCs w:val="22"/>
              </w:rPr>
              <w:t>2014.gada</w:t>
            </w:r>
            <w:proofErr w:type="gramEnd"/>
            <w:r w:rsidRPr="00D8116D">
              <w:rPr>
                <w:kern w:val="3"/>
                <w:sz w:val="22"/>
                <w:szCs w:val="22"/>
              </w:rPr>
              <w:t xml:space="preserve"> 19.augusta noteikumu Nr.500 „Vispārīgie būvnoteikumi” 10.punktam ir paredzēts pagarināt tās ekspluatāciju, </w:t>
            </w:r>
            <w:r w:rsidR="001E7FD1" w:rsidRPr="00D8116D">
              <w:rPr>
                <w:kern w:val="3"/>
                <w:sz w:val="22"/>
                <w:szCs w:val="22"/>
              </w:rPr>
              <w:t xml:space="preserve">kopā </w:t>
            </w:r>
            <w:r w:rsidRPr="00D8116D">
              <w:rPr>
                <w:kern w:val="3"/>
                <w:sz w:val="22"/>
                <w:szCs w:val="22"/>
              </w:rPr>
              <w:t xml:space="preserve">nepārsniedzot </w:t>
            </w:r>
            <w:r w:rsidR="008A6586">
              <w:rPr>
                <w:kern w:val="3"/>
                <w:sz w:val="22"/>
                <w:szCs w:val="22"/>
              </w:rPr>
              <w:t>10</w:t>
            </w:r>
            <w:r w:rsidR="008A6586" w:rsidRPr="00D8116D">
              <w:rPr>
                <w:kern w:val="3"/>
                <w:sz w:val="22"/>
                <w:szCs w:val="22"/>
              </w:rPr>
              <w:t xml:space="preserve"> </w:t>
            </w:r>
            <w:r w:rsidRPr="00D8116D">
              <w:rPr>
                <w:kern w:val="3"/>
                <w:sz w:val="22"/>
                <w:szCs w:val="22"/>
              </w:rPr>
              <w:t>gadu termiņu.”</w:t>
            </w:r>
          </w:p>
        </w:tc>
      </w:tr>
      <w:tr w:rsidR="008A6586" w:rsidRPr="00D8116D" w14:paraId="149247BE" w14:textId="77777777" w:rsidTr="00535612">
        <w:tc>
          <w:tcPr>
            <w:tcW w:w="301" w:type="pct"/>
            <w:tcBorders>
              <w:top w:val="single" w:sz="6" w:space="0" w:color="000000"/>
              <w:left w:val="single" w:sz="6" w:space="0" w:color="000000"/>
              <w:bottom w:val="single" w:sz="6" w:space="0" w:color="000000"/>
              <w:right w:val="single" w:sz="6" w:space="0" w:color="000000"/>
            </w:tcBorders>
          </w:tcPr>
          <w:p w14:paraId="0ABCBADB" w14:textId="77777777" w:rsidR="008A6586" w:rsidRPr="00D8116D" w:rsidRDefault="008A6586" w:rsidP="00921CF9">
            <w:pPr>
              <w:pStyle w:val="naisc"/>
              <w:numPr>
                <w:ilvl w:val="0"/>
                <w:numId w:val="2"/>
              </w:numPr>
              <w:spacing w:before="0" w:after="0"/>
              <w:jc w:val="left"/>
              <w:rPr>
                <w:sz w:val="22"/>
                <w:szCs w:val="22"/>
              </w:rPr>
            </w:pPr>
          </w:p>
        </w:tc>
        <w:tc>
          <w:tcPr>
            <w:tcW w:w="1266" w:type="pct"/>
            <w:tcBorders>
              <w:top w:val="single" w:sz="6" w:space="0" w:color="000000"/>
              <w:left w:val="single" w:sz="6" w:space="0" w:color="000000"/>
              <w:bottom w:val="single" w:sz="6" w:space="0" w:color="000000"/>
              <w:right w:val="single" w:sz="6" w:space="0" w:color="000000"/>
            </w:tcBorders>
            <w:shd w:val="clear" w:color="auto" w:fill="auto"/>
          </w:tcPr>
          <w:p w14:paraId="0559091A" w14:textId="419A6130" w:rsidR="008A6586" w:rsidRPr="00D8116D" w:rsidRDefault="008A6586" w:rsidP="00535612">
            <w:pPr>
              <w:pStyle w:val="naisc"/>
              <w:spacing w:before="0" w:after="0"/>
              <w:jc w:val="both"/>
              <w:rPr>
                <w:sz w:val="22"/>
                <w:szCs w:val="22"/>
              </w:rPr>
            </w:pPr>
            <w:r w:rsidRPr="00D8116D">
              <w:rPr>
                <w:sz w:val="22"/>
                <w:szCs w:val="22"/>
              </w:rPr>
              <w:t>Projekts</w:t>
            </w:r>
            <w:r>
              <w:rPr>
                <w:sz w:val="22"/>
                <w:szCs w:val="22"/>
              </w:rPr>
              <w:t>.</w:t>
            </w:r>
          </w:p>
        </w:tc>
        <w:tc>
          <w:tcPr>
            <w:tcW w:w="1241" w:type="pct"/>
            <w:tcBorders>
              <w:top w:val="single" w:sz="6" w:space="0" w:color="000000"/>
              <w:left w:val="single" w:sz="6" w:space="0" w:color="000000"/>
              <w:bottom w:val="single" w:sz="6" w:space="0" w:color="000000"/>
              <w:right w:val="single" w:sz="6" w:space="0" w:color="000000"/>
            </w:tcBorders>
            <w:shd w:val="clear" w:color="auto" w:fill="auto"/>
          </w:tcPr>
          <w:p w14:paraId="43BEDDFF" w14:textId="77777777" w:rsidR="008A6586" w:rsidRPr="00D8116D" w:rsidRDefault="008A6586" w:rsidP="00535612">
            <w:pPr>
              <w:pStyle w:val="naisc"/>
              <w:spacing w:before="0" w:after="0"/>
              <w:jc w:val="both"/>
              <w:rPr>
                <w:b/>
                <w:bCs/>
                <w:sz w:val="22"/>
                <w:szCs w:val="22"/>
              </w:rPr>
            </w:pPr>
            <w:r w:rsidRPr="00D8116D">
              <w:rPr>
                <w:b/>
                <w:bCs/>
                <w:sz w:val="22"/>
                <w:szCs w:val="22"/>
              </w:rPr>
              <w:t>Tieslietu ministrija:</w:t>
            </w:r>
          </w:p>
          <w:p w14:paraId="0C575848" w14:textId="77777777" w:rsidR="008A6586" w:rsidRPr="00D8116D" w:rsidRDefault="008A6586" w:rsidP="00643CBF">
            <w:pPr>
              <w:pStyle w:val="naisc"/>
              <w:widowControl w:val="0"/>
              <w:spacing w:before="0" w:after="0"/>
              <w:jc w:val="both"/>
              <w:rPr>
                <w:sz w:val="22"/>
                <w:szCs w:val="22"/>
              </w:rPr>
            </w:pPr>
            <w:r w:rsidRPr="00D8116D">
              <w:rPr>
                <w:sz w:val="22"/>
                <w:szCs w:val="22"/>
              </w:rPr>
              <w:t xml:space="preserve">Informējam, ka atbilstoši Ministru kabineta </w:t>
            </w:r>
            <w:proofErr w:type="gramStart"/>
            <w:r w:rsidRPr="00D8116D">
              <w:rPr>
                <w:sz w:val="22"/>
                <w:szCs w:val="22"/>
              </w:rPr>
              <w:t>2009.gada</w:t>
            </w:r>
            <w:proofErr w:type="gramEnd"/>
            <w:r w:rsidRPr="00D8116D">
              <w:rPr>
                <w:sz w:val="22"/>
                <w:szCs w:val="22"/>
              </w:rPr>
              <w:t xml:space="preserve"> 7.aprīļa noteikumu Nr.300 </w:t>
            </w:r>
            <w:r w:rsidRPr="00D8116D">
              <w:rPr>
                <w:kern w:val="3"/>
                <w:sz w:val="22"/>
                <w:szCs w:val="22"/>
              </w:rPr>
              <w:t>“</w:t>
            </w:r>
            <w:r w:rsidRPr="00D8116D">
              <w:rPr>
                <w:sz w:val="22"/>
                <w:szCs w:val="22"/>
              </w:rPr>
              <w:t xml:space="preserve">Ministru </w:t>
            </w:r>
            <w:r w:rsidRPr="00D8116D">
              <w:rPr>
                <w:sz w:val="22"/>
                <w:szCs w:val="22"/>
              </w:rPr>
              <w:lastRenderedPageBreak/>
              <w:t>kabineta kārtības rullis” 76.punktam projektam nepieciešams pievienot dokumentus, kas apliecina projektā regulējamo tiesisko attiecību likumību, kā, piemēram, īpašuma tiesību apliecinošos dokumentus un nekustamā īpašuma vērtētāja atskaiti par pamatkapitālā ieguldāmo nekustamo īpašumu novērtējumu. Ņemot vērā minēto, lūdzam pievienot projektam dokumentus, kas apliecina projektā regulējamo tiesisko attiecību likumību.</w:t>
            </w:r>
          </w:p>
        </w:tc>
        <w:tc>
          <w:tcPr>
            <w:tcW w:w="1082" w:type="pct"/>
            <w:tcBorders>
              <w:top w:val="single" w:sz="6" w:space="0" w:color="000000"/>
              <w:left w:val="single" w:sz="6" w:space="0" w:color="000000"/>
              <w:bottom w:val="single" w:sz="6" w:space="0" w:color="000000"/>
              <w:right w:val="single" w:sz="6" w:space="0" w:color="000000"/>
            </w:tcBorders>
            <w:shd w:val="clear" w:color="auto" w:fill="auto"/>
          </w:tcPr>
          <w:p w14:paraId="0DE27111" w14:textId="77777777" w:rsidR="008A6586" w:rsidRPr="00D8116D" w:rsidRDefault="008A6586" w:rsidP="00535612">
            <w:pPr>
              <w:pStyle w:val="naisc"/>
              <w:spacing w:before="0" w:after="0"/>
              <w:rPr>
                <w:sz w:val="22"/>
                <w:szCs w:val="22"/>
              </w:rPr>
            </w:pPr>
            <w:r w:rsidRPr="00D8116D">
              <w:rPr>
                <w:b/>
                <w:bCs/>
                <w:sz w:val="22"/>
                <w:szCs w:val="22"/>
              </w:rPr>
              <w:lastRenderedPageBreak/>
              <w:t>Ņemts vērā</w:t>
            </w:r>
          </w:p>
        </w:tc>
        <w:tc>
          <w:tcPr>
            <w:tcW w:w="1109" w:type="pct"/>
            <w:tcBorders>
              <w:top w:val="single" w:sz="4" w:space="0" w:color="auto"/>
              <w:left w:val="single" w:sz="4" w:space="0" w:color="auto"/>
              <w:bottom w:val="single" w:sz="4" w:space="0" w:color="auto"/>
            </w:tcBorders>
          </w:tcPr>
          <w:p w14:paraId="4318416A" w14:textId="29852317" w:rsidR="008A6586" w:rsidRPr="00D8116D" w:rsidRDefault="008A6586" w:rsidP="00535612">
            <w:pPr>
              <w:jc w:val="both"/>
              <w:rPr>
                <w:sz w:val="22"/>
                <w:szCs w:val="22"/>
              </w:rPr>
            </w:pPr>
            <w:r w:rsidRPr="00D8116D">
              <w:rPr>
                <w:sz w:val="22"/>
                <w:szCs w:val="22"/>
              </w:rPr>
              <w:t>Projektam pievienot</w:t>
            </w:r>
            <w:r w:rsidR="00A05472">
              <w:rPr>
                <w:sz w:val="22"/>
                <w:szCs w:val="22"/>
              </w:rPr>
              <w:t>a</w:t>
            </w:r>
            <w:r w:rsidRPr="00D8116D">
              <w:rPr>
                <w:sz w:val="22"/>
                <w:szCs w:val="22"/>
              </w:rPr>
              <w:t xml:space="preserve"> sabiedrības ar ierobežotu atbildību „</w:t>
            </w:r>
            <w:proofErr w:type="spellStart"/>
            <w:r w:rsidRPr="00D8116D">
              <w:rPr>
                <w:sz w:val="22"/>
                <w:szCs w:val="22"/>
              </w:rPr>
              <w:t>Ober</w:t>
            </w:r>
            <w:proofErr w:type="spellEnd"/>
            <w:r w:rsidRPr="00D8116D">
              <w:rPr>
                <w:sz w:val="22"/>
                <w:szCs w:val="22"/>
              </w:rPr>
              <w:t xml:space="preserve"> </w:t>
            </w:r>
            <w:proofErr w:type="spellStart"/>
            <w:r w:rsidRPr="00D8116D">
              <w:rPr>
                <w:sz w:val="22"/>
                <w:szCs w:val="22"/>
              </w:rPr>
              <w:t>Haus</w:t>
            </w:r>
            <w:proofErr w:type="spellEnd"/>
            <w:r w:rsidRPr="00D8116D">
              <w:rPr>
                <w:sz w:val="22"/>
                <w:szCs w:val="22"/>
              </w:rPr>
              <w:t xml:space="preserve"> Vērtēšanas serviss” </w:t>
            </w:r>
            <w:proofErr w:type="gramStart"/>
            <w:r w:rsidRPr="00D8116D">
              <w:rPr>
                <w:sz w:val="22"/>
                <w:szCs w:val="22"/>
              </w:rPr>
              <w:t>2021.gada</w:t>
            </w:r>
            <w:proofErr w:type="gramEnd"/>
            <w:r w:rsidRPr="00D8116D">
              <w:rPr>
                <w:sz w:val="22"/>
                <w:szCs w:val="22"/>
              </w:rPr>
              <w:t xml:space="preserve"> 12.aprīļa </w:t>
            </w:r>
            <w:r w:rsidRPr="00D8116D">
              <w:rPr>
                <w:sz w:val="22"/>
                <w:szCs w:val="22"/>
              </w:rPr>
              <w:lastRenderedPageBreak/>
              <w:t>vērtējuma atskaite „Atskaite par nekustamā īpašuma Aspazijas bulvārī 3, Rīgā tirgus vērtību”, kurā iekļauti dokumenti, kas apliecina Projektā regulējamo tiesisko attiecību likumību, tai skaitā pievienoti īpašuma tiesību apliecinoši dokumenti.</w:t>
            </w:r>
          </w:p>
        </w:tc>
      </w:tr>
    </w:tbl>
    <w:p w14:paraId="5E59A0E7" w14:textId="73A00211" w:rsidR="00830B96" w:rsidRDefault="00830B96" w:rsidP="00D8116D">
      <w:pPr>
        <w:rPr>
          <w:sz w:val="22"/>
          <w:szCs w:val="22"/>
          <w:u w:val="single"/>
        </w:rPr>
      </w:pPr>
    </w:p>
    <w:p w14:paraId="5C7C48C6" w14:textId="2700C4D9" w:rsidR="00A05472" w:rsidRDefault="00A05472" w:rsidP="00D8116D">
      <w:pPr>
        <w:rPr>
          <w:sz w:val="22"/>
          <w:szCs w:val="22"/>
          <w:u w:val="single"/>
        </w:rPr>
      </w:pPr>
    </w:p>
    <w:p w14:paraId="638C8867" w14:textId="77777777" w:rsidR="00A05472" w:rsidRPr="00D8116D" w:rsidRDefault="00A05472" w:rsidP="00D8116D">
      <w:pPr>
        <w:rPr>
          <w:sz w:val="22"/>
          <w:szCs w:val="22"/>
          <w:u w:val="single"/>
        </w:rPr>
      </w:pPr>
    </w:p>
    <w:p w14:paraId="3FE5E4C9" w14:textId="3E2E4546" w:rsidR="00B8307E" w:rsidRPr="00D8116D" w:rsidRDefault="00B8307E" w:rsidP="00D8116D">
      <w:pPr>
        <w:rPr>
          <w:sz w:val="20"/>
          <w:szCs w:val="20"/>
        </w:rPr>
      </w:pPr>
      <w:r w:rsidRPr="00D8116D">
        <w:rPr>
          <w:sz w:val="20"/>
          <w:szCs w:val="20"/>
        </w:rPr>
        <w:t>M</w:t>
      </w:r>
      <w:r w:rsidR="00830B96" w:rsidRPr="00D8116D">
        <w:rPr>
          <w:sz w:val="20"/>
          <w:szCs w:val="20"/>
        </w:rPr>
        <w:t xml:space="preserve">ārcis </w:t>
      </w:r>
      <w:r w:rsidRPr="00D8116D">
        <w:rPr>
          <w:sz w:val="20"/>
          <w:szCs w:val="20"/>
        </w:rPr>
        <w:t>Katajs</w:t>
      </w:r>
    </w:p>
    <w:p w14:paraId="173F32EC" w14:textId="77777777" w:rsidR="00B8307E" w:rsidRPr="00D8116D" w:rsidRDefault="00B8307E" w:rsidP="00D8116D">
      <w:pPr>
        <w:rPr>
          <w:sz w:val="20"/>
          <w:szCs w:val="20"/>
        </w:rPr>
      </w:pPr>
      <w:r w:rsidRPr="00D8116D">
        <w:rPr>
          <w:sz w:val="20"/>
          <w:szCs w:val="20"/>
        </w:rPr>
        <w:t>Kultūras ministrijas</w:t>
      </w:r>
    </w:p>
    <w:p w14:paraId="7186C091" w14:textId="36868E18" w:rsidR="00B8307E" w:rsidRPr="00D8116D" w:rsidRDefault="00B8307E" w:rsidP="00D8116D">
      <w:pPr>
        <w:rPr>
          <w:sz w:val="20"/>
          <w:szCs w:val="20"/>
        </w:rPr>
      </w:pPr>
      <w:r w:rsidRPr="00D8116D">
        <w:rPr>
          <w:sz w:val="20"/>
          <w:szCs w:val="20"/>
        </w:rPr>
        <w:t xml:space="preserve">Kultūrpolitikas departamenta </w:t>
      </w:r>
    </w:p>
    <w:p w14:paraId="59967ACD" w14:textId="77777777" w:rsidR="00B8307E" w:rsidRPr="00D8116D" w:rsidRDefault="00B8307E" w:rsidP="00D8116D">
      <w:pPr>
        <w:rPr>
          <w:sz w:val="20"/>
          <w:szCs w:val="20"/>
        </w:rPr>
      </w:pPr>
      <w:r w:rsidRPr="00D8116D">
        <w:rPr>
          <w:sz w:val="20"/>
          <w:szCs w:val="20"/>
        </w:rPr>
        <w:t>Nozaru politikas nodaļas vecākais referents</w:t>
      </w:r>
    </w:p>
    <w:p w14:paraId="7BBD82B6" w14:textId="3864BB40" w:rsidR="00533060" w:rsidRPr="00D8116D" w:rsidRDefault="00B8307E" w:rsidP="00D8116D">
      <w:pPr>
        <w:rPr>
          <w:sz w:val="20"/>
          <w:szCs w:val="20"/>
          <w:u w:val="single"/>
        </w:rPr>
      </w:pPr>
      <w:r w:rsidRPr="00D8116D">
        <w:rPr>
          <w:sz w:val="20"/>
          <w:szCs w:val="20"/>
        </w:rPr>
        <w:t xml:space="preserve">Tālr.67330327; </w:t>
      </w:r>
      <w:hyperlink r:id="rId14" w:history="1">
        <w:r w:rsidRPr="00D8116D">
          <w:rPr>
            <w:rStyle w:val="Hipersaite"/>
            <w:sz w:val="20"/>
            <w:szCs w:val="20"/>
          </w:rPr>
          <w:t>Marcis.Katajs@km.gov.lv</w:t>
        </w:r>
      </w:hyperlink>
    </w:p>
    <w:sectPr w:rsidR="00533060" w:rsidRPr="00D8116D" w:rsidSect="00533060">
      <w:headerReference w:type="default" r:id="rId15"/>
      <w:footerReference w:type="default" r:id="rId16"/>
      <w:footerReference w:type="first" r:id="rId17"/>
      <w:pgSz w:w="16840" w:h="11907" w:orient="landscape"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F509" w14:textId="77777777" w:rsidR="009E2AE8" w:rsidRDefault="009E2AE8" w:rsidP="00BF3E77">
      <w:r>
        <w:separator/>
      </w:r>
    </w:p>
  </w:endnote>
  <w:endnote w:type="continuationSeparator" w:id="0">
    <w:p w14:paraId="7D55CFE0" w14:textId="77777777" w:rsidR="009E2AE8" w:rsidRDefault="009E2AE8"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2221" w14:textId="5335625F" w:rsidR="005863BE" w:rsidRPr="00A76FB3" w:rsidRDefault="00A76FB3" w:rsidP="00A76FB3">
    <w:pPr>
      <w:pStyle w:val="Kjene"/>
    </w:pPr>
    <w:r w:rsidRPr="00A76FB3">
      <w:rPr>
        <w:sz w:val="20"/>
        <w:szCs w:val="20"/>
      </w:rPr>
      <w:t>KMIzz_</w:t>
    </w:r>
    <w:r w:rsidR="00785B0A">
      <w:rPr>
        <w:sz w:val="20"/>
        <w:szCs w:val="20"/>
      </w:rPr>
      <w:t>0709</w:t>
    </w:r>
    <w:r w:rsidRPr="00A76FB3">
      <w:rPr>
        <w:sz w:val="20"/>
        <w:szCs w:val="20"/>
      </w:rPr>
      <w:t>21_pamatkap_LNOB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9B09" w14:textId="3EAF3960" w:rsidR="005863BE" w:rsidRPr="00A76FB3" w:rsidRDefault="00A76FB3" w:rsidP="00A76FB3">
    <w:pPr>
      <w:pStyle w:val="Kjene"/>
    </w:pPr>
    <w:r w:rsidRPr="00A76FB3">
      <w:rPr>
        <w:sz w:val="20"/>
        <w:szCs w:val="20"/>
      </w:rPr>
      <w:t>KMIzz_</w:t>
    </w:r>
    <w:r w:rsidR="00785B0A">
      <w:rPr>
        <w:sz w:val="20"/>
        <w:szCs w:val="20"/>
      </w:rPr>
      <w:t>0709</w:t>
    </w:r>
    <w:r w:rsidRPr="00A76FB3">
      <w:rPr>
        <w:sz w:val="20"/>
        <w:szCs w:val="20"/>
      </w:rPr>
      <w:t>21_pamatkap_LNOB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CA378" w14:textId="77777777" w:rsidR="009E2AE8" w:rsidRDefault="009E2AE8" w:rsidP="00BF3E77">
      <w:r>
        <w:separator/>
      </w:r>
    </w:p>
  </w:footnote>
  <w:footnote w:type="continuationSeparator" w:id="0">
    <w:p w14:paraId="4FE2E3B6" w14:textId="77777777" w:rsidR="009E2AE8" w:rsidRDefault="009E2AE8"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55842"/>
      <w:docPartObj>
        <w:docPartGallery w:val="Page Numbers (Top of Page)"/>
        <w:docPartUnique/>
      </w:docPartObj>
    </w:sdtPr>
    <w:sdtEndPr/>
    <w:sdtContent>
      <w:p w14:paraId="2162CC08" w14:textId="77777777" w:rsidR="005863BE" w:rsidRPr="00C50A68" w:rsidRDefault="005863BE">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Pr>
            <w:noProof/>
            <w:sz w:val="22"/>
            <w:szCs w:val="22"/>
          </w:rPr>
          <w:t>25</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967D4"/>
    <w:multiLevelType w:val="hybridMultilevel"/>
    <w:tmpl w:val="F92CD0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B0139E"/>
    <w:multiLevelType w:val="hybridMultilevel"/>
    <w:tmpl w:val="6CA22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D63476"/>
    <w:multiLevelType w:val="hybridMultilevel"/>
    <w:tmpl w:val="2C1A4A3E"/>
    <w:lvl w:ilvl="0" w:tplc="441652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A673CB"/>
    <w:multiLevelType w:val="hybridMultilevel"/>
    <w:tmpl w:val="02D2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D96D02"/>
    <w:multiLevelType w:val="hybridMultilevel"/>
    <w:tmpl w:val="EAD6B3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E9636B"/>
    <w:multiLevelType w:val="hybridMultilevel"/>
    <w:tmpl w:val="72A6B310"/>
    <w:lvl w:ilvl="0" w:tplc="42E6025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61A251B8"/>
    <w:multiLevelType w:val="hybridMultilevel"/>
    <w:tmpl w:val="477EF8D4"/>
    <w:lvl w:ilvl="0" w:tplc="1EAC23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88630B"/>
    <w:multiLevelType w:val="hybridMultilevel"/>
    <w:tmpl w:val="E646D25A"/>
    <w:lvl w:ilvl="0" w:tplc="441652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3"/>
  </w:num>
  <w:num w:numId="6">
    <w:abstractNumId w:val="1"/>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0"/>
    <w:rsid w:val="00000268"/>
    <w:rsid w:val="00000F11"/>
    <w:rsid w:val="000011EE"/>
    <w:rsid w:val="000019D0"/>
    <w:rsid w:val="000025BD"/>
    <w:rsid w:val="00002E5E"/>
    <w:rsid w:val="00003520"/>
    <w:rsid w:val="0000357D"/>
    <w:rsid w:val="00003735"/>
    <w:rsid w:val="00004088"/>
    <w:rsid w:val="00005650"/>
    <w:rsid w:val="000063F9"/>
    <w:rsid w:val="0000640E"/>
    <w:rsid w:val="00006814"/>
    <w:rsid w:val="00006A29"/>
    <w:rsid w:val="00007046"/>
    <w:rsid w:val="00007FFC"/>
    <w:rsid w:val="000105D9"/>
    <w:rsid w:val="00011054"/>
    <w:rsid w:val="00011A9A"/>
    <w:rsid w:val="00011CED"/>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3E"/>
    <w:rsid w:val="00041A77"/>
    <w:rsid w:val="000422CA"/>
    <w:rsid w:val="000438AA"/>
    <w:rsid w:val="00043F7E"/>
    <w:rsid w:val="000441EF"/>
    <w:rsid w:val="00044661"/>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4678"/>
    <w:rsid w:val="0005510F"/>
    <w:rsid w:val="0005518A"/>
    <w:rsid w:val="00056653"/>
    <w:rsid w:val="000566B6"/>
    <w:rsid w:val="000570C9"/>
    <w:rsid w:val="000570E3"/>
    <w:rsid w:val="00057486"/>
    <w:rsid w:val="000576B2"/>
    <w:rsid w:val="00060557"/>
    <w:rsid w:val="00061586"/>
    <w:rsid w:val="00062655"/>
    <w:rsid w:val="00062C18"/>
    <w:rsid w:val="00062F25"/>
    <w:rsid w:val="00063471"/>
    <w:rsid w:val="00063619"/>
    <w:rsid w:val="00063C40"/>
    <w:rsid w:val="00063FD9"/>
    <w:rsid w:val="0006620F"/>
    <w:rsid w:val="000665A9"/>
    <w:rsid w:val="0006660A"/>
    <w:rsid w:val="00066C5A"/>
    <w:rsid w:val="00067018"/>
    <w:rsid w:val="000672B8"/>
    <w:rsid w:val="00067984"/>
    <w:rsid w:val="00067B65"/>
    <w:rsid w:val="00067C38"/>
    <w:rsid w:val="00071362"/>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1AD"/>
    <w:rsid w:val="000856DA"/>
    <w:rsid w:val="00086A56"/>
    <w:rsid w:val="00090138"/>
    <w:rsid w:val="0009106B"/>
    <w:rsid w:val="000919C2"/>
    <w:rsid w:val="00091A8B"/>
    <w:rsid w:val="000923E1"/>
    <w:rsid w:val="00092B3A"/>
    <w:rsid w:val="000936D6"/>
    <w:rsid w:val="000939ED"/>
    <w:rsid w:val="00095BA6"/>
    <w:rsid w:val="00095CD2"/>
    <w:rsid w:val="00095FFF"/>
    <w:rsid w:val="00096719"/>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4C"/>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5EDA"/>
    <w:rsid w:val="000C64FE"/>
    <w:rsid w:val="000C65D6"/>
    <w:rsid w:val="000C66E8"/>
    <w:rsid w:val="000D016B"/>
    <w:rsid w:val="000D135D"/>
    <w:rsid w:val="000D1859"/>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1BDD"/>
    <w:rsid w:val="000F21DE"/>
    <w:rsid w:val="000F2F4C"/>
    <w:rsid w:val="000F3518"/>
    <w:rsid w:val="000F4C12"/>
    <w:rsid w:val="000F5152"/>
    <w:rsid w:val="000F55FD"/>
    <w:rsid w:val="000F562A"/>
    <w:rsid w:val="000F5682"/>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4FF"/>
    <w:rsid w:val="001125EB"/>
    <w:rsid w:val="001128EC"/>
    <w:rsid w:val="00113832"/>
    <w:rsid w:val="00113BB9"/>
    <w:rsid w:val="00113F06"/>
    <w:rsid w:val="001142AC"/>
    <w:rsid w:val="0011455A"/>
    <w:rsid w:val="00115474"/>
    <w:rsid w:val="001158FE"/>
    <w:rsid w:val="001204A1"/>
    <w:rsid w:val="00121DD9"/>
    <w:rsid w:val="001223FE"/>
    <w:rsid w:val="001228A8"/>
    <w:rsid w:val="00122F4F"/>
    <w:rsid w:val="00124423"/>
    <w:rsid w:val="00124934"/>
    <w:rsid w:val="00124F48"/>
    <w:rsid w:val="00125AE7"/>
    <w:rsid w:val="001263CD"/>
    <w:rsid w:val="001265ED"/>
    <w:rsid w:val="00126D20"/>
    <w:rsid w:val="00127412"/>
    <w:rsid w:val="00127840"/>
    <w:rsid w:val="001301B8"/>
    <w:rsid w:val="00130280"/>
    <w:rsid w:val="00130463"/>
    <w:rsid w:val="00131204"/>
    <w:rsid w:val="00132ABB"/>
    <w:rsid w:val="0013353B"/>
    <w:rsid w:val="00133EC5"/>
    <w:rsid w:val="00135140"/>
    <w:rsid w:val="001351A5"/>
    <w:rsid w:val="00135CF2"/>
    <w:rsid w:val="00136AA8"/>
    <w:rsid w:val="00137EDF"/>
    <w:rsid w:val="001401A8"/>
    <w:rsid w:val="00142200"/>
    <w:rsid w:val="0014229B"/>
    <w:rsid w:val="00142659"/>
    <w:rsid w:val="001429F8"/>
    <w:rsid w:val="00143A87"/>
    <w:rsid w:val="00144215"/>
    <w:rsid w:val="00144A25"/>
    <w:rsid w:val="00145908"/>
    <w:rsid w:val="00146434"/>
    <w:rsid w:val="00146701"/>
    <w:rsid w:val="001472A6"/>
    <w:rsid w:val="001478D5"/>
    <w:rsid w:val="001503EF"/>
    <w:rsid w:val="00150A59"/>
    <w:rsid w:val="00152194"/>
    <w:rsid w:val="00152F45"/>
    <w:rsid w:val="00152F89"/>
    <w:rsid w:val="00153115"/>
    <w:rsid w:val="0015331E"/>
    <w:rsid w:val="00153409"/>
    <w:rsid w:val="00153C39"/>
    <w:rsid w:val="00153D42"/>
    <w:rsid w:val="001544B0"/>
    <w:rsid w:val="0015468F"/>
    <w:rsid w:val="00154772"/>
    <w:rsid w:val="00154904"/>
    <w:rsid w:val="00155FE3"/>
    <w:rsid w:val="00157576"/>
    <w:rsid w:val="00160665"/>
    <w:rsid w:val="0016126A"/>
    <w:rsid w:val="00161A51"/>
    <w:rsid w:val="00161BA9"/>
    <w:rsid w:val="0016221F"/>
    <w:rsid w:val="0016275A"/>
    <w:rsid w:val="00162957"/>
    <w:rsid w:val="00162B80"/>
    <w:rsid w:val="00163338"/>
    <w:rsid w:val="001642F3"/>
    <w:rsid w:val="001642F7"/>
    <w:rsid w:val="0016475F"/>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16A"/>
    <w:rsid w:val="00184600"/>
    <w:rsid w:val="00184FC6"/>
    <w:rsid w:val="00185D03"/>
    <w:rsid w:val="001863C6"/>
    <w:rsid w:val="001865E2"/>
    <w:rsid w:val="001872EB"/>
    <w:rsid w:val="00190474"/>
    <w:rsid w:val="00191204"/>
    <w:rsid w:val="00192178"/>
    <w:rsid w:val="00192295"/>
    <w:rsid w:val="00192D63"/>
    <w:rsid w:val="00194044"/>
    <w:rsid w:val="001942EC"/>
    <w:rsid w:val="001947BD"/>
    <w:rsid w:val="00196BE3"/>
    <w:rsid w:val="001A08AC"/>
    <w:rsid w:val="001A0ADA"/>
    <w:rsid w:val="001A1A0C"/>
    <w:rsid w:val="001A2229"/>
    <w:rsid w:val="001A2A70"/>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9BD"/>
    <w:rsid w:val="001B3E39"/>
    <w:rsid w:val="001B4546"/>
    <w:rsid w:val="001B49FF"/>
    <w:rsid w:val="001B56E0"/>
    <w:rsid w:val="001B5A52"/>
    <w:rsid w:val="001B5E72"/>
    <w:rsid w:val="001B68BB"/>
    <w:rsid w:val="001B7A10"/>
    <w:rsid w:val="001B7D12"/>
    <w:rsid w:val="001C0647"/>
    <w:rsid w:val="001C06B1"/>
    <w:rsid w:val="001C16A5"/>
    <w:rsid w:val="001C21BF"/>
    <w:rsid w:val="001C3800"/>
    <w:rsid w:val="001C38A4"/>
    <w:rsid w:val="001C4982"/>
    <w:rsid w:val="001C4A11"/>
    <w:rsid w:val="001C4A8E"/>
    <w:rsid w:val="001C585B"/>
    <w:rsid w:val="001C59F7"/>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82E"/>
    <w:rsid w:val="001D1A08"/>
    <w:rsid w:val="001D34E5"/>
    <w:rsid w:val="001D35A8"/>
    <w:rsid w:val="001D41A8"/>
    <w:rsid w:val="001D450D"/>
    <w:rsid w:val="001D52B5"/>
    <w:rsid w:val="001D53C3"/>
    <w:rsid w:val="001D5CBE"/>
    <w:rsid w:val="001D607C"/>
    <w:rsid w:val="001D67DD"/>
    <w:rsid w:val="001D694D"/>
    <w:rsid w:val="001D6B58"/>
    <w:rsid w:val="001D75DA"/>
    <w:rsid w:val="001D77C5"/>
    <w:rsid w:val="001E00F0"/>
    <w:rsid w:val="001E0661"/>
    <w:rsid w:val="001E15E9"/>
    <w:rsid w:val="001E18A8"/>
    <w:rsid w:val="001E1A09"/>
    <w:rsid w:val="001E253B"/>
    <w:rsid w:val="001E31C2"/>
    <w:rsid w:val="001E323C"/>
    <w:rsid w:val="001E381C"/>
    <w:rsid w:val="001E3CBA"/>
    <w:rsid w:val="001E566D"/>
    <w:rsid w:val="001E59E2"/>
    <w:rsid w:val="001E5BFB"/>
    <w:rsid w:val="001E771B"/>
    <w:rsid w:val="001E773B"/>
    <w:rsid w:val="001E7A1B"/>
    <w:rsid w:val="001E7FD1"/>
    <w:rsid w:val="001F0382"/>
    <w:rsid w:val="001F1791"/>
    <w:rsid w:val="001F1C2C"/>
    <w:rsid w:val="001F264F"/>
    <w:rsid w:val="001F27EC"/>
    <w:rsid w:val="001F3928"/>
    <w:rsid w:val="001F3A6F"/>
    <w:rsid w:val="001F4675"/>
    <w:rsid w:val="001F472C"/>
    <w:rsid w:val="001F4972"/>
    <w:rsid w:val="001F62DB"/>
    <w:rsid w:val="001F6A08"/>
    <w:rsid w:val="001F7B20"/>
    <w:rsid w:val="001F7CFA"/>
    <w:rsid w:val="0020017B"/>
    <w:rsid w:val="00201013"/>
    <w:rsid w:val="002011A2"/>
    <w:rsid w:val="002019B4"/>
    <w:rsid w:val="00201DC7"/>
    <w:rsid w:val="0020282F"/>
    <w:rsid w:val="0020372B"/>
    <w:rsid w:val="00203750"/>
    <w:rsid w:val="00204DC0"/>
    <w:rsid w:val="002052E6"/>
    <w:rsid w:val="00205F63"/>
    <w:rsid w:val="002062D2"/>
    <w:rsid w:val="00207994"/>
    <w:rsid w:val="00207D98"/>
    <w:rsid w:val="00210ABE"/>
    <w:rsid w:val="002113D0"/>
    <w:rsid w:val="00211D58"/>
    <w:rsid w:val="00211D96"/>
    <w:rsid w:val="00212170"/>
    <w:rsid w:val="00212ABA"/>
    <w:rsid w:val="00212B62"/>
    <w:rsid w:val="0021330A"/>
    <w:rsid w:val="002135DB"/>
    <w:rsid w:val="002136EB"/>
    <w:rsid w:val="002149E1"/>
    <w:rsid w:val="00214EBC"/>
    <w:rsid w:val="002151EA"/>
    <w:rsid w:val="002159D3"/>
    <w:rsid w:val="00215F1B"/>
    <w:rsid w:val="00216154"/>
    <w:rsid w:val="002163C5"/>
    <w:rsid w:val="00221317"/>
    <w:rsid w:val="00221AEB"/>
    <w:rsid w:val="00222544"/>
    <w:rsid w:val="002228BF"/>
    <w:rsid w:val="0022297A"/>
    <w:rsid w:val="0022327A"/>
    <w:rsid w:val="002256D3"/>
    <w:rsid w:val="00226999"/>
    <w:rsid w:val="00226E9C"/>
    <w:rsid w:val="00226ECB"/>
    <w:rsid w:val="00227327"/>
    <w:rsid w:val="00227FD4"/>
    <w:rsid w:val="00230EA3"/>
    <w:rsid w:val="00230F6D"/>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1ECF"/>
    <w:rsid w:val="002526C2"/>
    <w:rsid w:val="00252818"/>
    <w:rsid w:val="00252821"/>
    <w:rsid w:val="0025329C"/>
    <w:rsid w:val="00253868"/>
    <w:rsid w:val="00254127"/>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2E43"/>
    <w:rsid w:val="0026325D"/>
    <w:rsid w:val="00263D72"/>
    <w:rsid w:val="002645CA"/>
    <w:rsid w:val="0026493D"/>
    <w:rsid w:val="002664DA"/>
    <w:rsid w:val="00267605"/>
    <w:rsid w:val="00271233"/>
    <w:rsid w:val="002712FE"/>
    <w:rsid w:val="00271ADE"/>
    <w:rsid w:val="00272160"/>
    <w:rsid w:val="002725A2"/>
    <w:rsid w:val="0027265D"/>
    <w:rsid w:val="00272E01"/>
    <w:rsid w:val="00273144"/>
    <w:rsid w:val="002733B4"/>
    <w:rsid w:val="002743A9"/>
    <w:rsid w:val="00274726"/>
    <w:rsid w:val="0027477E"/>
    <w:rsid w:val="00274CA0"/>
    <w:rsid w:val="00276C76"/>
    <w:rsid w:val="00280739"/>
    <w:rsid w:val="002807CC"/>
    <w:rsid w:val="00281990"/>
    <w:rsid w:val="00281FDC"/>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0B9"/>
    <w:rsid w:val="00293500"/>
    <w:rsid w:val="00293F3B"/>
    <w:rsid w:val="002941BE"/>
    <w:rsid w:val="00294327"/>
    <w:rsid w:val="00294C0A"/>
    <w:rsid w:val="0029561F"/>
    <w:rsid w:val="0029659B"/>
    <w:rsid w:val="002966DD"/>
    <w:rsid w:val="00296CD0"/>
    <w:rsid w:val="00297D68"/>
    <w:rsid w:val="002A0556"/>
    <w:rsid w:val="002A094B"/>
    <w:rsid w:val="002A1631"/>
    <w:rsid w:val="002A1673"/>
    <w:rsid w:val="002A1ED7"/>
    <w:rsid w:val="002A4D1B"/>
    <w:rsid w:val="002A5412"/>
    <w:rsid w:val="002A5608"/>
    <w:rsid w:val="002A5701"/>
    <w:rsid w:val="002A7D0E"/>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C30"/>
    <w:rsid w:val="002B7F04"/>
    <w:rsid w:val="002C0E8D"/>
    <w:rsid w:val="002C1E3E"/>
    <w:rsid w:val="002C2EB9"/>
    <w:rsid w:val="002C33B6"/>
    <w:rsid w:val="002C35A2"/>
    <w:rsid w:val="002C35EB"/>
    <w:rsid w:val="002C4C74"/>
    <w:rsid w:val="002C5567"/>
    <w:rsid w:val="002C68E4"/>
    <w:rsid w:val="002C6D39"/>
    <w:rsid w:val="002C6E37"/>
    <w:rsid w:val="002D0189"/>
    <w:rsid w:val="002D19F5"/>
    <w:rsid w:val="002D1FEB"/>
    <w:rsid w:val="002D208B"/>
    <w:rsid w:val="002D2228"/>
    <w:rsid w:val="002D23A6"/>
    <w:rsid w:val="002D3171"/>
    <w:rsid w:val="002D4B36"/>
    <w:rsid w:val="002D4E5A"/>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07"/>
    <w:rsid w:val="002E65D4"/>
    <w:rsid w:val="002E687A"/>
    <w:rsid w:val="002E690F"/>
    <w:rsid w:val="002E732B"/>
    <w:rsid w:val="002F05FC"/>
    <w:rsid w:val="002F07DD"/>
    <w:rsid w:val="002F152E"/>
    <w:rsid w:val="002F1DC7"/>
    <w:rsid w:val="002F39F1"/>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0AC"/>
    <w:rsid w:val="00306821"/>
    <w:rsid w:val="0030690F"/>
    <w:rsid w:val="00306AF6"/>
    <w:rsid w:val="00306D0F"/>
    <w:rsid w:val="003070C8"/>
    <w:rsid w:val="003077F0"/>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704"/>
    <w:rsid w:val="00325DD4"/>
    <w:rsid w:val="003276F2"/>
    <w:rsid w:val="0032778D"/>
    <w:rsid w:val="00327AF9"/>
    <w:rsid w:val="00330B73"/>
    <w:rsid w:val="0033138D"/>
    <w:rsid w:val="00332EC8"/>
    <w:rsid w:val="00332ECB"/>
    <w:rsid w:val="003339BE"/>
    <w:rsid w:val="00333B52"/>
    <w:rsid w:val="003344A4"/>
    <w:rsid w:val="00334D23"/>
    <w:rsid w:val="00335232"/>
    <w:rsid w:val="003356B5"/>
    <w:rsid w:val="00335885"/>
    <w:rsid w:val="00337229"/>
    <w:rsid w:val="003375BB"/>
    <w:rsid w:val="00337678"/>
    <w:rsid w:val="00337AF1"/>
    <w:rsid w:val="0034075B"/>
    <w:rsid w:val="0034082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839"/>
    <w:rsid w:val="003478C4"/>
    <w:rsid w:val="00347EBB"/>
    <w:rsid w:val="00347F92"/>
    <w:rsid w:val="003517EE"/>
    <w:rsid w:val="00351866"/>
    <w:rsid w:val="00353AE1"/>
    <w:rsid w:val="00353E89"/>
    <w:rsid w:val="00355E48"/>
    <w:rsid w:val="00355EA3"/>
    <w:rsid w:val="003569E5"/>
    <w:rsid w:val="00357C6A"/>
    <w:rsid w:val="00360772"/>
    <w:rsid w:val="00360B6F"/>
    <w:rsid w:val="00360EFE"/>
    <w:rsid w:val="003611F5"/>
    <w:rsid w:val="003612C3"/>
    <w:rsid w:val="0036215D"/>
    <w:rsid w:val="00362AA8"/>
    <w:rsid w:val="00362D55"/>
    <w:rsid w:val="00364C25"/>
    <w:rsid w:val="00366425"/>
    <w:rsid w:val="00366E72"/>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3E0C"/>
    <w:rsid w:val="003840D5"/>
    <w:rsid w:val="00385185"/>
    <w:rsid w:val="00385B0D"/>
    <w:rsid w:val="00386FAF"/>
    <w:rsid w:val="0038704C"/>
    <w:rsid w:val="00387091"/>
    <w:rsid w:val="00387555"/>
    <w:rsid w:val="00387564"/>
    <w:rsid w:val="0039020C"/>
    <w:rsid w:val="00390A3D"/>
    <w:rsid w:val="00390DA2"/>
    <w:rsid w:val="00390F4B"/>
    <w:rsid w:val="00391090"/>
    <w:rsid w:val="003910C4"/>
    <w:rsid w:val="00391DA9"/>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83"/>
    <w:rsid w:val="003A4BBD"/>
    <w:rsid w:val="003A4E98"/>
    <w:rsid w:val="003A5346"/>
    <w:rsid w:val="003A5963"/>
    <w:rsid w:val="003A5E86"/>
    <w:rsid w:val="003A5FD2"/>
    <w:rsid w:val="003A61CF"/>
    <w:rsid w:val="003A638D"/>
    <w:rsid w:val="003A669E"/>
    <w:rsid w:val="003A792F"/>
    <w:rsid w:val="003B09D5"/>
    <w:rsid w:val="003B10AA"/>
    <w:rsid w:val="003B1559"/>
    <w:rsid w:val="003B27ED"/>
    <w:rsid w:val="003B2CF0"/>
    <w:rsid w:val="003B2E5E"/>
    <w:rsid w:val="003B306C"/>
    <w:rsid w:val="003B307F"/>
    <w:rsid w:val="003B356F"/>
    <w:rsid w:val="003B3AFE"/>
    <w:rsid w:val="003B3CEC"/>
    <w:rsid w:val="003B4385"/>
    <w:rsid w:val="003B447B"/>
    <w:rsid w:val="003B46A0"/>
    <w:rsid w:val="003B4908"/>
    <w:rsid w:val="003B500A"/>
    <w:rsid w:val="003B550F"/>
    <w:rsid w:val="003B5E27"/>
    <w:rsid w:val="003B6DDD"/>
    <w:rsid w:val="003B7D80"/>
    <w:rsid w:val="003C034B"/>
    <w:rsid w:val="003C04A9"/>
    <w:rsid w:val="003C0DDB"/>
    <w:rsid w:val="003C0F68"/>
    <w:rsid w:val="003C10D4"/>
    <w:rsid w:val="003C1131"/>
    <w:rsid w:val="003C15C2"/>
    <w:rsid w:val="003C23DD"/>
    <w:rsid w:val="003C2AC9"/>
    <w:rsid w:val="003C2B95"/>
    <w:rsid w:val="003C3610"/>
    <w:rsid w:val="003C3842"/>
    <w:rsid w:val="003C3A4A"/>
    <w:rsid w:val="003C40E0"/>
    <w:rsid w:val="003C4C1F"/>
    <w:rsid w:val="003C4C30"/>
    <w:rsid w:val="003C5678"/>
    <w:rsid w:val="003C5B61"/>
    <w:rsid w:val="003C6763"/>
    <w:rsid w:val="003C708F"/>
    <w:rsid w:val="003C795B"/>
    <w:rsid w:val="003D090C"/>
    <w:rsid w:val="003D0D5C"/>
    <w:rsid w:val="003D1F86"/>
    <w:rsid w:val="003D2A8D"/>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E78F4"/>
    <w:rsid w:val="003F1167"/>
    <w:rsid w:val="003F14F4"/>
    <w:rsid w:val="003F1EDF"/>
    <w:rsid w:val="003F206C"/>
    <w:rsid w:val="003F2333"/>
    <w:rsid w:val="003F27E6"/>
    <w:rsid w:val="003F349A"/>
    <w:rsid w:val="003F3F7F"/>
    <w:rsid w:val="003F46CD"/>
    <w:rsid w:val="003F64E9"/>
    <w:rsid w:val="003F6806"/>
    <w:rsid w:val="003F69F0"/>
    <w:rsid w:val="003F7089"/>
    <w:rsid w:val="003F7169"/>
    <w:rsid w:val="003F7218"/>
    <w:rsid w:val="003F7D20"/>
    <w:rsid w:val="003F7D3B"/>
    <w:rsid w:val="003F7E0D"/>
    <w:rsid w:val="004006E4"/>
    <w:rsid w:val="00400D76"/>
    <w:rsid w:val="00400EB1"/>
    <w:rsid w:val="00401A75"/>
    <w:rsid w:val="00402D62"/>
    <w:rsid w:val="0040359E"/>
    <w:rsid w:val="00403BB3"/>
    <w:rsid w:val="00404363"/>
    <w:rsid w:val="0040459B"/>
    <w:rsid w:val="004047E0"/>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0215"/>
    <w:rsid w:val="00421484"/>
    <w:rsid w:val="004214A6"/>
    <w:rsid w:val="00421847"/>
    <w:rsid w:val="00422243"/>
    <w:rsid w:val="00423100"/>
    <w:rsid w:val="00423B2F"/>
    <w:rsid w:val="00423DC4"/>
    <w:rsid w:val="00423FE9"/>
    <w:rsid w:val="00425232"/>
    <w:rsid w:val="00425A0B"/>
    <w:rsid w:val="00426340"/>
    <w:rsid w:val="0042688C"/>
    <w:rsid w:val="00427C37"/>
    <w:rsid w:val="004301CD"/>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1AB3"/>
    <w:rsid w:val="00441D00"/>
    <w:rsid w:val="0044292F"/>
    <w:rsid w:val="00442C45"/>
    <w:rsid w:val="004433B8"/>
    <w:rsid w:val="00443476"/>
    <w:rsid w:val="004450CD"/>
    <w:rsid w:val="00445172"/>
    <w:rsid w:val="00446BAF"/>
    <w:rsid w:val="00446FF2"/>
    <w:rsid w:val="004474BD"/>
    <w:rsid w:val="0044785F"/>
    <w:rsid w:val="004508D1"/>
    <w:rsid w:val="00450A75"/>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463"/>
    <w:rsid w:val="0046463E"/>
    <w:rsid w:val="0046543E"/>
    <w:rsid w:val="004655B1"/>
    <w:rsid w:val="00466419"/>
    <w:rsid w:val="00467B0B"/>
    <w:rsid w:val="00467D5C"/>
    <w:rsid w:val="00467DCA"/>
    <w:rsid w:val="00470194"/>
    <w:rsid w:val="004709C4"/>
    <w:rsid w:val="00470F73"/>
    <w:rsid w:val="00472310"/>
    <w:rsid w:val="004728E2"/>
    <w:rsid w:val="00472BED"/>
    <w:rsid w:val="00472D6E"/>
    <w:rsid w:val="00473312"/>
    <w:rsid w:val="0047372D"/>
    <w:rsid w:val="00473914"/>
    <w:rsid w:val="004739CF"/>
    <w:rsid w:val="00474081"/>
    <w:rsid w:val="00474731"/>
    <w:rsid w:val="00474DAD"/>
    <w:rsid w:val="00474E20"/>
    <w:rsid w:val="00474EAD"/>
    <w:rsid w:val="00475249"/>
    <w:rsid w:val="0047576B"/>
    <w:rsid w:val="00476B16"/>
    <w:rsid w:val="00476B30"/>
    <w:rsid w:val="004773D8"/>
    <w:rsid w:val="0048044F"/>
    <w:rsid w:val="004804CC"/>
    <w:rsid w:val="00480C7F"/>
    <w:rsid w:val="00480D80"/>
    <w:rsid w:val="00480FFE"/>
    <w:rsid w:val="00481267"/>
    <w:rsid w:val="004812ED"/>
    <w:rsid w:val="004826CE"/>
    <w:rsid w:val="00484522"/>
    <w:rsid w:val="00485253"/>
    <w:rsid w:val="0048627B"/>
    <w:rsid w:val="004864A8"/>
    <w:rsid w:val="00487053"/>
    <w:rsid w:val="004874E9"/>
    <w:rsid w:val="004906E4"/>
    <w:rsid w:val="004907A8"/>
    <w:rsid w:val="00490C70"/>
    <w:rsid w:val="00491C62"/>
    <w:rsid w:val="0049246D"/>
    <w:rsid w:val="00492D05"/>
    <w:rsid w:val="00492D3D"/>
    <w:rsid w:val="00492F29"/>
    <w:rsid w:val="00493E66"/>
    <w:rsid w:val="0049416F"/>
    <w:rsid w:val="0049469E"/>
    <w:rsid w:val="00494B4C"/>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65FD"/>
    <w:rsid w:val="004C663A"/>
    <w:rsid w:val="004C6697"/>
    <w:rsid w:val="004C6D4D"/>
    <w:rsid w:val="004C6DD9"/>
    <w:rsid w:val="004C7158"/>
    <w:rsid w:val="004C7587"/>
    <w:rsid w:val="004D072D"/>
    <w:rsid w:val="004D1A8A"/>
    <w:rsid w:val="004D234B"/>
    <w:rsid w:val="004D2BA4"/>
    <w:rsid w:val="004D2C46"/>
    <w:rsid w:val="004D4278"/>
    <w:rsid w:val="004D4650"/>
    <w:rsid w:val="004D5038"/>
    <w:rsid w:val="004D5064"/>
    <w:rsid w:val="004D5AF1"/>
    <w:rsid w:val="004D6305"/>
    <w:rsid w:val="004D6C16"/>
    <w:rsid w:val="004D6D2E"/>
    <w:rsid w:val="004D75A1"/>
    <w:rsid w:val="004E0B49"/>
    <w:rsid w:val="004E10D4"/>
    <w:rsid w:val="004E206B"/>
    <w:rsid w:val="004E21F4"/>
    <w:rsid w:val="004E24B7"/>
    <w:rsid w:val="004E311F"/>
    <w:rsid w:val="004E3CBA"/>
    <w:rsid w:val="004E41FB"/>
    <w:rsid w:val="004E42EC"/>
    <w:rsid w:val="004E49FC"/>
    <w:rsid w:val="004E52D5"/>
    <w:rsid w:val="004E67D3"/>
    <w:rsid w:val="004E7776"/>
    <w:rsid w:val="004F0987"/>
    <w:rsid w:val="004F1F64"/>
    <w:rsid w:val="004F223A"/>
    <w:rsid w:val="004F2DFF"/>
    <w:rsid w:val="004F2FDB"/>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0753E"/>
    <w:rsid w:val="00510C93"/>
    <w:rsid w:val="00511D85"/>
    <w:rsid w:val="005127F7"/>
    <w:rsid w:val="005131BD"/>
    <w:rsid w:val="00513446"/>
    <w:rsid w:val="00513460"/>
    <w:rsid w:val="00513461"/>
    <w:rsid w:val="005135AB"/>
    <w:rsid w:val="0051497A"/>
    <w:rsid w:val="00514ADD"/>
    <w:rsid w:val="00514B92"/>
    <w:rsid w:val="00515128"/>
    <w:rsid w:val="0051539E"/>
    <w:rsid w:val="00515A39"/>
    <w:rsid w:val="0051653C"/>
    <w:rsid w:val="0051714F"/>
    <w:rsid w:val="00517FBC"/>
    <w:rsid w:val="005202C2"/>
    <w:rsid w:val="0052079C"/>
    <w:rsid w:val="005215DB"/>
    <w:rsid w:val="00521682"/>
    <w:rsid w:val="00521FB8"/>
    <w:rsid w:val="0052397A"/>
    <w:rsid w:val="00523E9B"/>
    <w:rsid w:val="0052409E"/>
    <w:rsid w:val="00525528"/>
    <w:rsid w:val="00526149"/>
    <w:rsid w:val="00526DDA"/>
    <w:rsid w:val="005271A6"/>
    <w:rsid w:val="00527FA7"/>
    <w:rsid w:val="005301C9"/>
    <w:rsid w:val="005313D4"/>
    <w:rsid w:val="005315B9"/>
    <w:rsid w:val="00532BA5"/>
    <w:rsid w:val="00532F47"/>
    <w:rsid w:val="00533060"/>
    <w:rsid w:val="0053389C"/>
    <w:rsid w:val="00533E5A"/>
    <w:rsid w:val="00534AD5"/>
    <w:rsid w:val="005352F6"/>
    <w:rsid w:val="005366E4"/>
    <w:rsid w:val="00537190"/>
    <w:rsid w:val="0053743A"/>
    <w:rsid w:val="005376F1"/>
    <w:rsid w:val="00537A96"/>
    <w:rsid w:val="00537B01"/>
    <w:rsid w:val="00540409"/>
    <w:rsid w:val="0054067A"/>
    <w:rsid w:val="005409F1"/>
    <w:rsid w:val="00540FDB"/>
    <w:rsid w:val="00541ED4"/>
    <w:rsid w:val="0054204B"/>
    <w:rsid w:val="00542148"/>
    <w:rsid w:val="00544538"/>
    <w:rsid w:val="005445F9"/>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92"/>
    <w:rsid w:val="00554AF0"/>
    <w:rsid w:val="00555411"/>
    <w:rsid w:val="00556C99"/>
    <w:rsid w:val="005579E8"/>
    <w:rsid w:val="00557D93"/>
    <w:rsid w:val="00560D62"/>
    <w:rsid w:val="0056142B"/>
    <w:rsid w:val="00561B88"/>
    <w:rsid w:val="00561CF0"/>
    <w:rsid w:val="00563023"/>
    <w:rsid w:val="005636B0"/>
    <w:rsid w:val="00563721"/>
    <w:rsid w:val="00563EED"/>
    <w:rsid w:val="005646E1"/>
    <w:rsid w:val="00564F47"/>
    <w:rsid w:val="00565376"/>
    <w:rsid w:val="0056575E"/>
    <w:rsid w:val="0056600F"/>
    <w:rsid w:val="00566103"/>
    <w:rsid w:val="0056690D"/>
    <w:rsid w:val="00566A9B"/>
    <w:rsid w:val="00566BBD"/>
    <w:rsid w:val="005676C7"/>
    <w:rsid w:val="00567789"/>
    <w:rsid w:val="00570A8A"/>
    <w:rsid w:val="00570C0F"/>
    <w:rsid w:val="00570E8E"/>
    <w:rsid w:val="005721EE"/>
    <w:rsid w:val="00572488"/>
    <w:rsid w:val="00572D0F"/>
    <w:rsid w:val="00574134"/>
    <w:rsid w:val="005743DA"/>
    <w:rsid w:val="005747CC"/>
    <w:rsid w:val="00576874"/>
    <w:rsid w:val="00576E7E"/>
    <w:rsid w:val="0058147E"/>
    <w:rsid w:val="0058320A"/>
    <w:rsid w:val="0058366C"/>
    <w:rsid w:val="00583B5E"/>
    <w:rsid w:val="00583C6C"/>
    <w:rsid w:val="005845FE"/>
    <w:rsid w:val="00584902"/>
    <w:rsid w:val="0058551F"/>
    <w:rsid w:val="005856CA"/>
    <w:rsid w:val="00585C1D"/>
    <w:rsid w:val="005863BE"/>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99"/>
    <w:rsid w:val="005948D8"/>
    <w:rsid w:val="00595092"/>
    <w:rsid w:val="00596A5A"/>
    <w:rsid w:val="00596F7B"/>
    <w:rsid w:val="005973A4"/>
    <w:rsid w:val="005A08E0"/>
    <w:rsid w:val="005A103A"/>
    <w:rsid w:val="005A1E6D"/>
    <w:rsid w:val="005A20F7"/>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56E"/>
    <w:rsid w:val="005B49E7"/>
    <w:rsid w:val="005B4C38"/>
    <w:rsid w:val="005B5ADB"/>
    <w:rsid w:val="005B5B85"/>
    <w:rsid w:val="005B5BC9"/>
    <w:rsid w:val="005B61C4"/>
    <w:rsid w:val="005B671F"/>
    <w:rsid w:val="005B7561"/>
    <w:rsid w:val="005B776A"/>
    <w:rsid w:val="005B7D62"/>
    <w:rsid w:val="005B7D75"/>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1CA"/>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BB0"/>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385"/>
    <w:rsid w:val="00601DAF"/>
    <w:rsid w:val="00602A98"/>
    <w:rsid w:val="00602E1F"/>
    <w:rsid w:val="006033C3"/>
    <w:rsid w:val="006042B3"/>
    <w:rsid w:val="00605CD1"/>
    <w:rsid w:val="00605D88"/>
    <w:rsid w:val="006065BF"/>
    <w:rsid w:val="00606BAC"/>
    <w:rsid w:val="0060747E"/>
    <w:rsid w:val="00607487"/>
    <w:rsid w:val="00610874"/>
    <w:rsid w:val="00610ED2"/>
    <w:rsid w:val="006111F8"/>
    <w:rsid w:val="006115EA"/>
    <w:rsid w:val="00611897"/>
    <w:rsid w:val="0061201F"/>
    <w:rsid w:val="0061205B"/>
    <w:rsid w:val="00612D5C"/>
    <w:rsid w:val="00612F1B"/>
    <w:rsid w:val="006132AC"/>
    <w:rsid w:val="006137E8"/>
    <w:rsid w:val="00613922"/>
    <w:rsid w:val="0061398A"/>
    <w:rsid w:val="00613D36"/>
    <w:rsid w:val="00613E4C"/>
    <w:rsid w:val="00614506"/>
    <w:rsid w:val="0061504B"/>
    <w:rsid w:val="00615A9E"/>
    <w:rsid w:val="00617DCF"/>
    <w:rsid w:val="00617F50"/>
    <w:rsid w:val="006205E1"/>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02B"/>
    <w:rsid w:val="00635329"/>
    <w:rsid w:val="00635410"/>
    <w:rsid w:val="00635A61"/>
    <w:rsid w:val="00637A1F"/>
    <w:rsid w:val="00641A5D"/>
    <w:rsid w:val="00642376"/>
    <w:rsid w:val="006423E6"/>
    <w:rsid w:val="0064253E"/>
    <w:rsid w:val="00642604"/>
    <w:rsid w:val="00642A1D"/>
    <w:rsid w:val="006430F3"/>
    <w:rsid w:val="0064335A"/>
    <w:rsid w:val="0064354F"/>
    <w:rsid w:val="0064396E"/>
    <w:rsid w:val="00643CBF"/>
    <w:rsid w:val="00643D1E"/>
    <w:rsid w:val="00644D20"/>
    <w:rsid w:val="00645286"/>
    <w:rsid w:val="006461BE"/>
    <w:rsid w:val="0064696D"/>
    <w:rsid w:val="00647668"/>
    <w:rsid w:val="0065005E"/>
    <w:rsid w:val="006507F9"/>
    <w:rsid w:val="00650C98"/>
    <w:rsid w:val="00650CE9"/>
    <w:rsid w:val="006524C8"/>
    <w:rsid w:val="00652CFF"/>
    <w:rsid w:val="00652F80"/>
    <w:rsid w:val="006531A0"/>
    <w:rsid w:val="00653DDB"/>
    <w:rsid w:val="00654165"/>
    <w:rsid w:val="00654A9D"/>
    <w:rsid w:val="00655472"/>
    <w:rsid w:val="00655A81"/>
    <w:rsid w:val="00656A31"/>
    <w:rsid w:val="00656EA8"/>
    <w:rsid w:val="006570BB"/>
    <w:rsid w:val="0065717E"/>
    <w:rsid w:val="006577DD"/>
    <w:rsid w:val="006579F3"/>
    <w:rsid w:val="00657A87"/>
    <w:rsid w:val="00657D9F"/>
    <w:rsid w:val="00660B4F"/>
    <w:rsid w:val="0066177E"/>
    <w:rsid w:val="00661F82"/>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9"/>
    <w:rsid w:val="00676E5B"/>
    <w:rsid w:val="006775ED"/>
    <w:rsid w:val="0067794A"/>
    <w:rsid w:val="00680703"/>
    <w:rsid w:val="006819AE"/>
    <w:rsid w:val="00681DCC"/>
    <w:rsid w:val="00681FA1"/>
    <w:rsid w:val="0068267C"/>
    <w:rsid w:val="006831A3"/>
    <w:rsid w:val="006831CC"/>
    <w:rsid w:val="0068326D"/>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00C"/>
    <w:rsid w:val="006903F1"/>
    <w:rsid w:val="00691398"/>
    <w:rsid w:val="0069141B"/>
    <w:rsid w:val="00692A63"/>
    <w:rsid w:val="00692AD5"/>
    <w:rsid w:val="00694556"/>
    <w:rsid w:val="00694701"/>
    <w:rsid w:val="006948B1"/>
    <w:rsid w:val="00694D0A"/>
    <w:rsid w:val="00694F5B"/>
    <w:rsid w:val="0069517E"/>
    <w:rsid w:val="00695C8D"/>
    <w:rsid w:val="006960D6"/>
    <w:rsid w:val="00696689"/>
    <w:rsid w:val="00696892"/>
    <w:rsid w:val="00697468"/>
    <w:rsid w:val="00697F6C"/>
    <w:rsid w:val="006A014A"/>
    <w:rsid w:val="006A08DF"/>
    <w:rsid w:val="006A118C"/>
    <w:rsid w:val="006A1782"/>
    <w:rsid w:val="006A233B"/>
    <w:rsid w:val="006A29F6"/>
    <w:rsid w:val="006A2DDD"/>
    <w:rsid w:val="006A38EF"/>
    <w:rsid w:val="006A3C85"/>
    <w:rsid w:val="006A3F7C"/>
    <w:rsid w:val="006A4116"/>
    <w:rsid w:val="006A422F"/>
    <w:rsid w:val="006A4468"/>
    <w:rsid w:val="006A47B2"/>
    <w:rsid w:val="006A4D77"/>
    <w:rsid w:val="006A60BC"/>
    <w:rsid w:val="006A6AC0"/>
    <w:rsid w:val="006A6D3E"/>
    <w:rsid w:val="006A70D2"/>
    <w:rsid w:val="006A7A3A"/>
    <w:rsid w:val="006B00A1"/>
    <w:rsid w:val="006B02A9"/>
    <w:rsid w:val="006B0A91"/>
    <w:rsid w:val="006B0C3C"/>
    <w:rsid w:val="006B0D7D"/>
    <w:rsid w:val="006B0DD7"/>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44A"/>
    <w:rsid w:val="006D367C"/>
    <w:rsid w:val="006D38A5"/>
    <w:rsid w:val="006D3966"/>
    <w:rsid w:val="006D3F04"/>
    <w:rsid w:val="006D4036"/>
    <w:rsid w:val="006D4153"/>
    <w:rsid w:val="006D5322"/>
    <w:rsid w:val="006D6430"/>
    <w:rsid w:val="006D64C2"/>
    <w:rsid w:val="006D64FB"/>
    <w:rsid w:val="006D69DE"/>
    <w:rsid w:val="006D6E62"/>
    <w:rsid w:val="006D768E"/>
    <w:rsid w:val="006E09AC"/>
    <w:rsid w:val="006E133E"/>
    <w:rsid w:val="006E15D4"/>
    <w:rsid w:val="006E16BA"/>
    <w:rsid w:val="006E2496"/>
    <w:rsid w:val="006E284A"/>
    <w:rsid w:val="006E3A4C"/>
    <w:rsid w:val="006E3E68"/>
    <w:rsid w:val="006E4D08"/>
    <w:rsid w:val="006E6806"/>
    <w:rsid w:val="006E6BA4"/>
    <w:rsid w:val="006E6D09"/>
    <w:rsid w:val="006F0145"/>
    <w:rsid w:val="006F0CCC"/>
    <w:rsid w:val="006F0D44"/>
    <w:rsid w:val="006F1065"/>
    <w:rsid w:val="006F1247"/>
    <w:rsid w:val="006F1F67"/>
    <w:rsid w:val="006F249C"/>
    <w:rsid w:val="006F2C27"/>
    <w:rsid w:val="006F2E0C"/>
    <w:rsid w:val="006F3B58"/>
    <w:rsid w:val="006F5EF4"/>
    <w:rsid w:val="006F738C"/>
    <w:rsid w:val="006F76AC"/>
    <w:rsid w:val="006F7DE1"/>
    <w:rsid w:val="00700C99"/>
    <w:rsid w:val="00701871"/>
    <w:rsid w:val="00701D90"/>
    <w:rsid w:val="007022E3"/>
    <w:rsid w:val="0070260E"/>
    <w:rsid w:val="00702B5A"/>
    <w:rsid w:val="00702C00"/>
    <w:rsid w:val="00703851"/>
    <w:rsid w:val="007049FD"/>
    <w:rsid w:val="00704D64"/>
    <w:rsid w:val="00706264"/>
    <w:rsid w:val="007069F7"/>
    <w:rsid w:val="00706B4B"/>
    <w:rsid w:val="00706BD2"/>
    <w:rsid w:val="0070756C"/>
    <w:rsid w:val="00707CAE"/>
    <w:rsid w:val="00710011"/>
    <w:rsid w:val="0071017D"/>
    <w:rsid w:val="0071035A"/>
    <w:rsid w:val="00710B9B"/>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3EA"/>
    <w:rsid w:val="00723682"/>
    <w:rsid w:val="00723AE1"/>
    <w:rsid w:val="007241D5"/>
    <w:rsid w:val="00724D28"/>
    <w:rsid w:val="007251AE"/>
    <w:rsid w:val="00727113"/>
    <w:rsid w:val="00727569"/>
    <w:rsid w:val="00727624"/>
    <w:rsid w:val="0073034D"/>
    <w:rsid w:val="007305D8"/>
    <w:rsid w:val="00730873"/>
    <w:rsid w:val="00730CE6"/>
    <w:rsid w:val="0073277E"/>
    <w:rsid w:val="00732EEC"/>
    <w:rsid w:val="00734668"/>
    <w:rsid w:val="00734676"/>
    <w:rsid w:val="00734A51"/>
    <w:rsid w:val="00735A15"/>
    <w:rsid w:val="00735E8E"/>
    <w:rsid w:val="00736131"/>
    <w:rsid w:val="00736744"/>
    <w:rsid w:val="007374E1"/>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69C1"/>
    <w:rsid w:val="00777831"/>
    <w:rsid w:val="00777B6E"/>
    <w:rsid w:val="00777C1D"/>
    <w:rsid w:val="00780316"/>
    <w:rsid w:val="00780455"/>
    <w:rsid w:val="007804BB"/>
    <w:rsid w:val="00780C85"/>
    <w:rsid w:val="00780FCD"/>
    <w:rsid w:val="00781EFC"/>
    <w:rsid w:val="00782682"/>
    <w:rsid w:val="0078343C"/>
    <w:rsid w:val="00783AD7"/>
    <w:rsid w:val="00783C4C"/>
    <w:rsid w:val="00783DCC"/>
    <w:rsid w:val="007843D4"/>
    <w:rsid w:val="00785086"/>
    <w:rsid w:val="007856F9"/>
    <w:rsid w:val="007857FA"/>
    <w:rsid w:val="00785B0A"/>
    <w:rsid w:val="00785B53"/>
    <w:rsid w:val="007864F6"/>
    <w:rsid w:val="00786B03"/>
    <w:rsid w:val="00786C1F"/>
    <w:rsid w:val="00786C4B"/>
    <w:rsid w:val="00787518"/>
    <w:rsid w:val="007909BE"/>
    <w:rsid w:val="00791F46"/>
    <w:rsid w:val="007925F4"/>
    <w:rsid w:val="00792A51"/>
    <w:rsid w:val="0079327B"/>
    <w:rsid w:val="00793400"/>
    <w:rsid w:val="0079415F"/>
    <w:rsid w:val="0079430C"/>
    <w:rsid w:val="007951E4"/>
    <w:rsid w:val="00795522"/>
    <w:rsid w:val="0079594C"/>
    <w:rsid w:val="00796157"/>
    <w:rsid w:val="0079661C"/>
    <w:rsid w:val="00796800"/>
    <w:rsid w:val="00796BB2"/>
    <w:rsid w:val="00797C35"/>
    <w:rsid w:val="007A31C3"/>
    <w:rsid w:val="007A4607"/>
    <w:rsid w:val="007A5137"/>
    <w:rsid w:val="007A5211"/>
    <w:rsid w:val="007A5358"/>
    <w:rsid w:val="007A5F6D"/>
    <w:rsid w:val="007A647F"/>
    <w:rsid w:val="007A7555"/>
    <w:rsid w:val="007A7AB3"/>
    <w:rsid w:val="007B0A25"/>
    <w:rsid w:val="007B1718"/>
    <w:rsid w:val="007B1FCF"/>
    <w:rsid w:val="007B1FDD"/>
    <w:rsid w:val="007B4203"/>
    <w:rsid w:val="007B436F"/>
    <w:rsid w:val="007B4678"/>
    <w:rsid w:val="007B657C"/>
    <w:rsid w:val="007B68D8"/>
    <w:rsid w:val="007B6E49"/>
    <w:rsid w:val="007B715D"/>
    <w:rsid w:val="007B7E89"/>
    <w:rsid w:val="007C0278"/>
    <w:rsid w:val="007C1748"/>
    <w:rsid w:val="007C180A"/>
    <w:rsid w:val="007C2D7D"/>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4077"/>
    <w:rsid w:val="007D510B"/>
    <w:rsid w:val="007D53D9"/>
    <w:rsid w:val="007D60F7"/>
    <w:rsid w:val="007D673B"/>
    <w:rsid w:val="007D7489"/>
    <w:rsid w:val="007E0F00"/>
    <w:rsid w:val="007E0F54"/>
    <w:rsid w:val="007E3368"/>
    <w:rsid w:val="007E4626"/>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10A"/>
    <w:rsid w:val="0080771B"/>
    <w:rsid w:val="00807C61"/>
    <w:rsid w:val="0081034C"/>
    <w:rsid w:val="00810942"/>
    <w:rsid w:val="00811ABE"/>
    <w:rsid w:val="00811FA2"/>
    <w:rsid w:val="0081201A"/>
    <w:rsid w:val="008121CD"/>
    <w:rsid w:val="00813394"/>
    <w:rsid w:val="00813F58"/>
    <w:rsid w:val="00814693"/>
    <w:rsid w:val="00814AFE"/>
    <w:rsid w:val="00815191"/>
    <w:rsid w:val="00815237"/>
    <w:rsid w:val="00815D9D"/>
    <w:rsid w:val="008202C8"/>
    <w:rsid w:val="00820538"/>
    <w:rsid w:val="008210E7"/>
    <w:rsid w:val="00821567"/>
    <w:rsid w:val="00821A01"/>
    <w:rsid w:val="00821C30"/>
    <w:rsid w:val="0082262D"/>
    <w:rsid w:val="00823F68"/>
    <w:rsid w:val="00824160"/>
    <w:rsid w:val="00824C60"/>
    <w:rsid w:val="008255C1"/>
    <w:rsid w:val="0082629D"/>
    <w:rsid w:val="0082664D"/>
    <w:rsid w:val="00826EDC"/>
    <w:rsid w:val="00827587"/>
    <w:rsid w:val="008304D1"/>
    <w:rsid w:val="00830B96"/>
    <w:rsid w:val="00830C6B"/>
    <w:rsid w:val="00830F27"/>
    <w:rsid w:val="0083134B"/>
    <w:rsid w:val="00832BF6"/>
    <w:rsid w:val="00832E4C"/>
    <w:rsid w:val="008339B9"/>
    <w:rsid w:val="00834598"/>
    <w:rsid w:val="0083489E"/>
    <w:rsid w:val="00834C33"/>
    <w:rsid w:val="00835D06"/>
    <w:rsid w:val="00835F33"/>
    <w:rsid w:val="00836275"/>
    <w:rsid w:val="00836EB3"/>
    <w:rsid w:val="00837C77"/>
    <w:rsid w:val="008403A4"/>
    <w:rsid w:val="0084069D"/>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311"/>
    <w:rsid w:val="0086076D"/>
    <w:rsid w:val="00860976"/>
    <w:rsid w:val="00860D45"/>
    <w:rsid w:val="008611DA"/>
    <w:rsid w:val="00862287"/>
    <w:rsid w:val="00863199"/>
    <w:rsid w:val="00863514"/>
    <w:rsid w:val="008639A6"/>
    <w:rsid w:val="00863C6D"/>
    <w:rsid w:val="00865766"/>
    <w:rsid w:val="00867A92"/>
    <w:rsid w:val="00867F8A"/>
    <w:rsid w:val="00871186"/>
    <w:rsid w:val="00871310"/>
    <w:rsid w:val="00871383"/>
    <w:rsid w:val="0087257E"/>
    <w:rsid w:val="008726AD"/>
    <w:rsid w:val="008726D7"/>
    <w:rsid w:val="00872B21"/>
    <w:rsid w:val="00872CA7"/>
    <w:rsid w:val="00872EE3"/>
    <w:rsid w:val="00873C22"/>
    <w:rsid w:val="0087408E"/>
    <w:rsid w:val="008751A1"/>
    <w:rsid w:val="00875BE2"/>
    <w:rsid w:val="00875F22"/>
    <w:rsid w:val="00877D39"/>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3C"/>
    <w:rsid w:val="008951E8"/>
    <w:rsid w:val="008952F8"/>
    <w:rsid w:val="00895860"/>
    <w:rsid w:val="008962D4"/>
    <w:rsid w:val="00896D3D"/>
    <w:rsid w:val="00896D79"/>
    <w:rsid w:val="00897536"/>
    <w:rsid w:val="008A017A"/>
    <w:rsid w:val="008A0427"/>
    <w:rsid w:val="008A1138"/>
    <w:rsid w:val="008A199F"/>
    <w:rsid w:val="008A2194"/>
    <w:rsid w:val="008A25A4"/>
    <w:rsid w:val="008A27B0"/>
    <w:rsid w:val="008A3CDB"/>
    <w:rsid w:val="008A4EBB"/>
    <w:rsid w:val="008A51DC"/>
    <w:rsid w:val="008A5566"/>
    <w:rsid w:val="008A5D89"/>
    <w:rsid w:val="008A6586"/>
    <w:rsid w:val="008A6D1E"/>
    <w:rsid w:val="008A6D47"/>
    <w:rsid w:val="008A7215"/>
    <w:rsid w:val="008A7655"/>
    <w:rsid w:val="008B0A09"/>
    <w:rsid w:val="008B0F3A"/>
    <w:rsid w:val="008B17E2"/>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6406"/>
    <w:rsid w:val="008C6C9C"/>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083"/>
    <w:rsid w:val="008E1F6D"/>
    <w:rsid w:val="008E29F1"/>
    <w:rsid w:val="008E2EED"/>
    <w:rsid w:val="008E2F4F"/>
    <w:rsid w:val="008E3113"/>
    <w:rsid w:val="008E38A0"/>
    <w:rsid w:val="008E55F4"/>
    <w:rsid w:val="008E5766"/>
    <w:rsid w:val="008E5921"/>
    <w:rsid w:val="008E5F9A"/>
    <w:rsid w:val="008E6D84"/>
    <w:rsid w:val="008E7AF6"/>
    <w:rsid w:val="008E7DD6"/>
    <w:rsid w:val="008E7E2B"/>
    <w:rsid w:val="008F09CC"/>
    <w:rsid w:val="008F0DD0"/>
    <w:rsid w:val="008F10E9"/>
    <w:rsid w:val="008F23D1"/>
    <w:rsid w:val="008F2860"/>
    <w:rsid w:val="008F2906"/>
    <w:rsid w:val="008F2B83"/>
    <w:rsid w:val="008F2BB4"/>
    <w:rsid w:val="008F3C6D"/>
    <w:rsid w:val="008F45F4"/>
    <w:rsid w:val="008F4637"/>
    <w:rsid w:val="008F4A5D"/>
    <w:rsid w:val="008F5D4F"/>
    <w:rsid w:val="008F5F33"/>
    <w:rsid w:val="008F6273"/>
    <w:rsid w:val="008F6372"/>
    <w:rsid w:val="008F7335"/>
    <w:rsid w:val="009004E0"/>
    <w:rsid w:val="009006A9"/>
    <w:rsid w:val="00900D6C"/>
    <w:rsid w:val="00901F12"/>
    <w:rsid w:val="0090361A"/>
    <w:rsid w:val="00903733"/>
    <w:rsid w:val="00903BC5"/>
    <w:rsid w:val="0090431F"/>
    <w:rsid w:val="009046ED"/>
    <w:rsid w:val="00905159"/>
    <w:rsid w:val="009055F9"/>
    <w:rsid w:val="0090586F"/>
    <w:rsid w:val="00906729"/>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508"/>
    <w:rsid w:val="009157CF"/>
    <w:rsid w:val="00916251"/>
    <w:rsid w:val="009209D2"/>
    <w:rsid w:val="00920B18"/>
    <w:rsid w:val="00921CF9"/>
    <w:rsid w:val="00923A4A"/>
    <w:rsid w:val="00923D7B"/>
    <w:rsid w:val="00923D9D"/>
    <w:rsid w:val="00924069"/>
    <w:rsid w:val="009245F8"/>
    <w:rsid w:val="009249BF"/>
    <w:rsid w:val="00924A5D"/>
    <w:rsid w:val="0092551E"/>
    <w:rsid w:val="00926949"/>
    <w:rsid w:val="00926DFB"/>
    <w:rsid w:val="009272BF"/>
    <w:rsid w:val="00927712"/>
    <w:rsid w:val="00927C63"/>
    <w:rsid w:val="00931CA6"/>
    <w:rsid w:val="00932AE0"/>
    <w:rsid w:val="00932D7A"/>
    <w:rsid w:val="00933C30"/>
    <w:rsid w:val="009346AD"/>
    <w:rsid w:val="009349F6"/>
    <w:rsid w:val="00934EBA"/>
    <w:rsid w:val="00935110"/>
    <w:rsid w:val="00935FAF"/>
    <w:rsid w:val="009373E6"/>
    <w:rsid w:val="00940DF1"/>
    <w:rsid w:val="00941266"/>
    <w:rsid w:val="00942745"/>
    <w:rsid w:val="00942CFD"/>
    <w:rsid w:val="0094328C"/>
    <w:rsid w:val="00943B04"/>
    <w:rsid w:val="009445A8"/>
    <w:rsid w:val="00946323"/>
    <w:rsid w:val="00946AD4"/>
    <w:rsid w:val="00946D98"/>
    <w:rsid w:val="00947531"/>
    <w:rsid w:val="00950AAD"/>
    <w:rsid w:val="00950CE1"/>
    <w:rsid w:val="00952381"/>
    <w:rsid w:val="00952767"/>
    <w:rsid w:val="00953127"/>
    <w:rsid w:val="009533CC"/>
    <w:rsid w:val="00953558"/>
    <w:rsid w:val="00953A4C"/>
    <w:rsid w:val="00953D0E"/>
    <w:rsid w:val="009543C1"/>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60AD"/>
    <w:rsid w:val="009671B4"/>
    <w:rsid w:val="009674CF"/>
    <w:rsid w:val="00967B6E"/>
    <w:rsid w:val="009700AA"/>
    <w:rsid w:val="00970739"/>
    <w:rsid w:val="00970B32"/>
    <w:rsid w:val="00970D6D"/>
    <w:rsid w:val="00970F47"/>
    <w:rsid w:val="009713C5"/>
    <w:rsid w:val="009718EC"/>
    <w:rsid w:val="00972241"/>
    <w:rsid w:val="00972A46"/>
    <w:rsid w:val="00973ED7"/>
    <w:rsid w:val="00975B7A"/>
    <w:rsid w:val="00975C97"/>
    <w:rsid w:val="009769A6"/>
    <w:rsid w:val="00976E37"/>
    <w:rsid w:val="009771EC"/>
    <w:rsid w:val="009774C7"/>
    <w:rsid w:val="00977B07"/>
    <w:rsid w:val="0098031C"/>
    <w:rsid w:val="009808E9"/>
    <w:rsid w:val="00982BB9"/>
    <w:rsid w:val="00982D6E"/>
    <w:rsid w:val="00983A11"/>
    <w:rsid w:val="00983D91"/>
    <w:rsid w:val="00983E4B"/>
    <w:rsid w:val="009840C0"/>
    <w:rsid w:val="00984C7A"/>
    <w:rsid w:val="00984F78"/>
    <w:rsid w:val="00985128"/>
    <w:rsid w:val="00985155"/>
    <w:rsid w:val="009858B8"/>
    <w:rsid w:val="00986414"/>
    <w:rsid w:val="00986AA3"/>
    <w:rsid w:val="00987B29"/>
    <w:rsid w:val="00990302"/>
    <w:rsid w:val="00990A61"/>
    <w:rsid w:val="00990BBA"/>
    <w:rsid w:val="00990C94"/>
    <w:rsid w:val="009912CA"/>
    <w:rsid w:val="009923B8"/>
    <w:rsid w:val="00992B49"/>
    <w:rsid w:val="009932A5"/>
    <w:rsid w:val="00993512"/>
    <w:rsid w:val="00993C25"/>
    <w:rsid w:val="009946E1"/>
    <w:rsid w:val="00994A9C"/>
    <w:rsid w:val="00994AB3"/>
    <w:rsid w:val="00994C65"/>
    <w:rsid w:val="00995165"/>
    <w:rsid w:val="00995DB6"/>
    <w:rsid w:val="00995E13"/>
    <w:rsid w:val="009964A7"/>
    <w:rsid w:val="00996BE0"/>
    <w:rsid w:val="009A08C7"/>
    <w:rsid w:val="009A124B"/>
    <w:rsid w:val="009A237E"/>
    <w:rsid w:val="009A3065"/>
    <w:rsid w:val="009A42AB"/>
    <w:rsid w:val="009A4366"/>
    <w:rsid w:val="009A5495"/>
    <w:rsid w:val="009A54F4"/>
    <w:rsid w:val="009A55CB"/>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BEE"/>
    <w:rsid w:val="009B7E5D"/>
    <w:rsid w:val="009C0F30"/>
    <w:rsid w:val="009C18CB"/>
    <w:rsid w:val="009C201B"/>
    <w:rsid w:val="009C2656"/>
    <w:rsid w:val="009C3A4F"/>
    <w:rsid w:val="009C3B96"/>
    <w:rsid w:val="009C3FF6"/>
    <w:rsid w:val="009C42FF"/>
    <w:rsid w:val="009C5273"/>
    <w:rsid w:val="009C5498"/>
    <w:rsid w:val="009C6B42"/>
    <w:rsid w:val="009D06D0"/>
    <w:rsid w:val="009D06EE"/>
    <w:rsid w:val="009D08DB"/>
    <w:rsid w:val="009D0ADF"/>
    <w:rsid w:val="009D0C1C"/>
    <w:rsid w:val="009D0FF6"/>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2AE8"/>
    <w:rsid w:val="009E35BE"/>
    <w:rsid w:val="009E3EBA"/>
    <w:rsid w:val="009E49C5"/>
    <w:rsid w:val="009E5104"/>
    <w:rsid w:val="009E74CB"/>
    <w:rsid w:val="009E7898"/>
    <w:rsid w:val="009E79FB"/>
    <w:rsid w:val="009E7EF4"/>
    <w:rsid w:val="009F0134"/>
    <w:rsid w:val="009F0A20"/>
    <w:rsid w:val="009F0DE8"/>
    <w:rsid w:val="009F1158"/>
    <w:rsid w:val="009F130B"/>
    <w:rsid w:val="009F148B"/>
    <w:rsid w:val="009F1593"/>
    <w:rsid w:val="009F5A39"/>
    <w:rsid w:val="009F679B"/>
    <w:rsid w:val="009F6873"/>
    <w:rsid w:val="009F7209"/>
    <w:rsid w:val="009F7E6A"/>
    <w:rsid w:val="00A01B00"/>
    <w:rsid w:val="00A01BE5"/>
    <w:rsid w:val="00A02AB6"/>
    <w:rsid w:val="00A02D48"/>
    <w:rsid w:val="00A02E29"/>
    <w:rsid w:val="00A03991"/>
    <w:rsid w:val="00A04782"/>
    <w:rsid w:val="00A053EB"/>
    <w:rsid w:val="00A05412"/>
    <w:rsid w:val="00A05472"/>
    <w:rsid w:val="00A061A9"/>
    <w:rsid w:val="00A0660D"/>
    <w:rsid w:val="00A06F95"/>
    <w:rsid w:val="00A07D4E"/>
    <w:rsid w:val="00A10E59"/>
    <w:rsid w:val="00A119FD"/>
    <w:rsid w:val="00A1234E"/>
    <w:rsid w:val="00A1274C"/>
    <w:rsid w:val="00A129D2"/>
    <w:rsid w:val="00A137BE"/>
    <w:rsid w:val="00A14293"/>
    <w:rsid w:val="00A14687"/>
    <w:rsid w:val="00A14707"/>
    <w:rsid w:val="00A14BDB"/>
    <w:rsid w:val="00A14CD9"/>
    <w:rsid w:val="00A14E0E"/>
    <w:rsid w:val="00A15AC2"/>
    <w:rsid w:val="00A15E01"/>
    <w:rsid w:val="00A209BE"/>
    <w:rsid w:val="00A225D1"/>
    <w:rsid w:val="00A225F7"/>
    <w:rsid w:val="00A22877"/>
    <w:rsid w:val="00A23117"/>
    <w:rsid w:val="00A23160"/>
    <w:rsid w:val="00A2324A"/>
    <w:rsid w:val="00A23AC6"/>
    <w:rsid w:val="00A242DF"/>
    <w:rsid w:val="00A24588"/>
    <w:rsid w:val="00A249B5"/>
    <w:rsid w:val="00A250B6"/>
    <w:rsid w:val="00A260BA"/>
    <w:rsid w:val="00A262BA"/>
    <w:rsid w:val="00A268CC"/>
    <w:rsid w:val="00A26952"/>
    <w:rsid w:val="00A27818"/>
    <w:rsid w:val="00A27E36"/>
    <w:rsid w:val="00A31616"/>
    <w:rsid w:val="00A321F9"/>
    <w:rsid w:val="00A34258"/>
    <w:rsid w:val="00A34589"/>
    <w:rsid w:val="00A34685"/>
    <w:rsid w:val="00A347BC"/>
    <w:rsid w:val="00A3537D"/>
    <w:rsid w:val="00A3597B"/>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68BE"/>
    <w:rsid w:val="00A46F60"/>
    <w:rsid w:val="00A47509"/>
    <w:rsid w:val="00A47ACF"/>
    <w:rsid w:val="00A47DB1"/>
    <w:rsid w:val="00A47E3D"/>
    <w:rsid w:val="00A50602"/>
    <w:rsid w:val="00A506CF"/>
    <w:rsid w:val="00A50E1A"/>
    <w:rsid w:val="00A517AF"/>
    <w:rsid w:val="00A52450"/>
    <w:rsid w:val="00A52B66"/>
    <w:rsid w:val="00A53A2C"/>
    <w:rsid w:val="00A53CAD"/>
    <w:rsid w:val="00A53F00"/>
    <w:rsid w:val="00A5410A"/>
    <w:rsid w:val="00A541BB"/>
    <w:rsid w:val="00A54202"/>
    <w:rsid w:val="00A54B10"/>
    <w:rsid w:val="00A54C67"/>
    <w:rsid w:val="00A5505E"/>
    <w:rsid w:val="00A559CF"/>
    <w:rsid w:val="00A5666E"/>
    <w:rsid w:val="00A576AB"/>
    <w:rsid w:val="00A57940"/>
    <w:rsid w:val="00A57D12"/>
    <w:rsid w:val="00A57FF9"/>
    <w:rsid w:val="00A6009B"/>
    <w:rsid w:val="00A6086C"/>
    <w:rsid w:val="00A620EE"/>
    <w:rsid w:val="00A62D5A"/>
    <w:rsid w:val="00A62FA9"/>
    <w:rsid w:val="00A63395"/>
    <w:rsid w:val="00A63877"/>
    <w:rsid w:val="00A638C1"/>
    <w:rsid w:val="00A63975"/>
    <w:rsid w:val="00A63F5E"/>
    <w:rsid w:val="00A64BDD"/>
    <w:rsid w:val="00A64DD9"/>
    <w:rsid w:val="00A65ECD"/>
    <w:rsid w:val="00A67333"/>
    <w:rsid w:val="00A675E5"/>
    <w:rsid w:val="00A67649"/>
    <w:rsid w:val="00A70285"/>
    <w:rsid w:val="00A706B9"/>
    <w:rsid w:val="00A70833"/>
    <w:rsid w:val="00A70D04"/>
    <w:rsid w:val="00A71C53"/>
    <w:rsid w:val="00A72843"/>
    <w:rsid w:val="00A72EC9"/>
    <w:rsid w:val="00A737FB"/>
    <w:rsid w:val="00A747EB"/>
    <w:rsid w:val="00A74A66"/>
    <w:rsid w:val="00A74B69"/>
    <w:rsid w:val="00A754FF"/>
    <w:rsid w:val="00A75D69"/>
    <w:rsid w:val="00A763E9"/>
    <w:rsid w:val="00A765EB"/>
    <w:rsid w:val="00A76FB3"/>
    <w:rsid w:val="00A8080B"/>
    <w:rsid w:val="00A81C6C"/>
    <w:rsid w:val="00A82401"/>
    <w:rsid w:val="00A83BB6"/>
    <w:rsid w:val="00A84AC5"/>
    <w:rsid w:val="00A8624B"/>
    <w:rsid w:val="00A8690B"/>
    <w:rsid w:val="00A8747A"/>
    <w:rsid w:val="00A87B71"/>
    <w:rsid w:val="00A9063D"/>
    <w:rsid w:val="00A9099C"/>
    <w:rsid w:val="00A90B14"/>
    <w:rsid w:val="00A91538"/>
    <w:rsid w:val="00A9171C"/>
    <w:rsid w:val="00A92ECF"/>
    <w:rsid w:val="00A92F12"/>
    <w:rsid w:val="00A94450"/>
    <w:rsid w:val="00A9477C"/>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344"/>
    <w:rsid w:val="00AB3457"/>
    <w:rsid w:val="00AB3A2F"/>
    <w:rsid w:val="00AB45E3"/>
    <w:rsid w:val="00AB47E4"/>
    <w:rsid w:val="00AB4862"/>
    <w:rsid w:val="00AB495D"/>
    <w:rsid w:val="00AB4AE6"/>
    <w:rsid w:val="00AB4E50"/>
    <w:rsid w:val="00AB4EAE"/>
    <w:rsid w:val="00AB5478"/>
    <w:rsid w:val="00AB680A"/>
    <w:rsid w:val="00AB6974"/>
    <w:rsid w:val="00AB7883"/>
    <w:rsid w:val="00AB7D11"/>
    <w:rsid w:val="00AC2749"/>
    <w:rsid w:val="00AC2C76"/>
    <w:rsid w:val="00AC2D80"/>
    <w:rsid w:val="00AC2EE9"/>
    <w:rsid w:val="00AC4293"/>
    <w:rsid w:val="00AC4664"/>
    <w:rsid w:val="00AC4A20"/>
    <w:rsid w:val="00AC4B39"/>
    <w:rsid w:val="00AC5128"/>
    <w:rsid w:val="00AC610B"/>
    <w:rsid w:val="00AC67BC"/>
    <w:rsid w:val="00AC6894"/>
    <w:rsid w:val="00AC708A"/>
    <w:rsid w:val="00AC72CB"/>
    <w:rsid w:val="00AC7C00"/>
    <w:rsid w:val="00AD089B"/>
    <w:rsid w:val="00AD1077"/>
    <w:rsid w:val="00AD4268"/>
    <w:rsid w:val="00AD455A"/>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9A5"/>
    <w:rsid w:val="00AE3FFB"/>
    <w:rsid w:val="00AE4396"/>
    <w:rsid w:val="00AE4D5F"/>
    <w:rsid w:val="00AE5A84"/>
    <w:rsid w:val="00AE5DE7"/>
    <w:rsid w:val="00AE6FD6"/>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0FA7"/>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177D8"/>
    <w:rsid w:val="00B20A9B"/>
    <w:rsid w:val="00B2144F"/>
    <w:rsid w:val="00B219BF"/>
    <w:rsid w:val="00B21C16"/>
    <w:rsid w:val="00B22F72"/>
    <w:rsid w:val="00B23AAB"/>
    <w:rsid w:val="00B25451"/>
    <w:rsid w:val="00B25561"/>
    <w:rsid w:val="00B25C5D"/>
    <w:rsid w:val="00B260AA"/>
    <w:rsid w:val="00B269FE"/>
    <w:rsid w:val="00B26F25"/>
    <w:rsid w:val="00B274FD"/>
    <w:rsid w:val="00B275AA"/>
    <w:rsid w:val="00B2798D"/>
    <w:rsid w:val="00B308A0"/>
    <w:rsid w:val="00B31787"/>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48E"/>
    <w:rsid w:val="00B4582E"/>
    <w:rsid w:val="00B45978"/>
    <w:rsid w:val="00B45981"/>
    <w:rsid w:val="00B462B5"/>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61C"/>
    <w:rsid w:val="00B62653"/>
    <w:rsid w:val="00B631DF"/>
    <w:rsid w:val="00B659FC"/>
    <w:rsid w:val="00B65C31"/>
    <w:rsid w:val="00B65E59"/>
    <w:rsid w:val="00B6618C"/>
    <w:rsid w:val="00B66844"/>
    <w:rsid w:val="00B67267"/>
    <w:rsid w:val="00B6798E"/>
    <w:rsid w:val="00B67E8C"/>
    <w:rsid w:val="00B7099D"/>
    <w:rsid w:val="00B70C04"/>
    <w:rsid w:val="00B72E18"/>
    <w:rsid w:val="00B7676F"/>
    <w:rsid w:val="00B76E12"/>
    <w:rsid w:val="00B77734"/>
    <w:rsid w:val="00B77C73"/>
    <w:rsid w:val="00B806AF"/>
    <w:rsid w:val="00B809B0"/>
    <w:rsid w:val="00B810AB"/>
    <w:rsid w:val="00B81CA9"/>
    <w:rsid w:val="00B81D53"/>
    <w:rsid w:val="00B82B4F"/>
    <w:rsid w:val="00B82ED8"/>
    <w:rsid w:val="00B8307E"/>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6C6"/>
    <w:rsid w:val="00BA0CE5"/>
    <w:rsid w:val="00BA1700"/>
    <w:rsid w:val="00BA19CC"/>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52EC"/>
    <w:rsid w:val="00BB5D49"/>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06F"/>
    <w:rsid w:val="00BF32D4"/>
    <w:rsid w:val="00BF34A5"/>
    <w:rsid w:val="00BF3BEF"/>
    <w:rsid w:val="00BF3C2D"/>
    <w:rsid w:val="00BF3DBC"/>
    <w:rsid w:val="00BF3E77"/>
    <w:rsid w:val="00BF5804"/>
    <w:rsid w:val="00BF5ABC"/>
    <w:rsid w:val="00BF74D0"/>
    <w:rsid w:val="00C008C3"/>
    <w:rsid w:val="00C008F1"/>
    <w:rsid w:val="00C00AC5"/>
    <w:rsid w:val="00C013FD"/>
    <w:rsid w:val="00C0223C"/>
    <w:rsid w:val="00C02269"/>
    <w:rsid w:val="00C02568"/>
    <w:rsid w:val="00C0298B"/>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07CC0"/>
    <w:rsid w:val="00C103E8"/>
    <w:rsid w:val="00C110B1"/>
    <w:rsid w:val="00C116D4"/>
    <w:rsid w:val="00C11928"/>
    <w:rsid w:val="00C11D22"/>
    <w:rsid w:val="00C1209A"/>
    <w:rsid w:val="00C12B60"/>
    <w:rsid w:val="00C135A8"/>
    <w:rsid w:val="00C13A83"/>
    <w:rsid w:val="00C13F3D"/>
    <w:rsid w:val="00C153DE"/>
    <w:rsid w:val="00C156C0"/>
    <w:rsid w:val="00C159AA"/>
    <w:rsid w:val="00C15A37"/>
    <w:rsid w:val="00C15DBA"/>
    <w:rsid w:val="00C16AE5"/>
    <w:rsid w:val="00C175BC"/>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E7E"/>
    <w:rsid w:val="00C351FD"/>
    <w:rsid w:val="00C354B1"/>
    <w:rsid w:val="00C359CA"/>
    <w:rsid w:val="00C35D8F"/>
    <w:rsid w:val="00C36A84"/>
    <w:rsid w:val="00C36AA6"/>
    <w:rsid w:val="00C37EBE"/>
    <w:rsid w:val="00C4044C"/>
    <w:rsid w:val="00C40F2D"/>
    <w:rsid w:val="00C410FA"/>
    <w:rsid w:val="00C4157E"/>
    <w:rsid w:val="00C41D7A"/>
    <w:rsid w:val="00C420F9"/>
    <w:rsid w:val="00C422D3"/>
    <w:rsid w:val="00C4250F"/>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433"/>
    <w:rsid w:val="00C56B3A"/>
    <w:rsid w:val="00C571BF"/>
    <w:rsid w:val="00C57A5A"/>
    <w:rsid w:val="00C606BE"/>
    <w:rsid w:val="00C60A54"/>
    <w:rsid w:val="00C60AFC"/>
    <w:rsid w:val="00C63E18"/>
    <w:rsid w:val="00C64ED4"/>
    <w:rsid w:val="00C65ABA"/>
    <w:rsid w:val="00C66523"/>
    <w:rsid w:val="00C66B3E"/>
    <w:rsid w:val="00C67582"/>
    <w:rsid w:val="00C677E5"/>
    <w:rsid w:val="00C71EBE"/>
    <w:rsid w:val="00C72184"/>
    <w:rsid w:val="00C735A3"/>
    <w:rsid w:val="00C73F5C"/>
    <w:rsid w:val="00C74218"/>
    <w:rsid w:val="00C7479D"/>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2D72"/>
    <w:rsid w:val="00C937D0"/>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EE5"/>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03E9"/>
    <w:rsid w:val="00CC1617"/>
    <w:rsid w:val="00CC306C"/>
    <w:rsid w:val="00CC39CF"/>
    <w:rsid w:val="00CC438C"/>
    <w:rsid w:val="00CC4A41"/>
    <w:rsid w:val="00CC4B86"/>
    <w:rsid w:val="00CC53F4"/>
    <w:rsid w:val="00CC5DFC"/>
    <w:rsid w:val="00CC67BF"/>
    <w:rsid w:val="00CC719C"/>
    <w:rsid w:val="00CD090F"/>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3971"/>
    <w:rsid w:val="00CF415B"/>
    <w:rsid w:val="00CF44CA"/>
    <w:rsid w:val="00CF4723"/>
    <w:rsid w:val="00CF4966"/>
    <w:rsid w:val="00CF49F3"/>
    <w:rsid w:val="00CF4D4F"/>
    <w:rsid w:val="00CF5C7A"/>
    <w:rsid w:val="00CF61FF"/>
    <w:rsid w:val="00CF68BA"/>
    <w:rsid w:val="00CF7275"/>
    <w:rsid w:val="00D01A30"/>
    <w:rsid w:val="00D02746"/>
    <w:rsid w:val="00D02D1E"/>
    <w:rsid w:val="00D03082"/>
    <w:rsid w:val="00D038FA"/>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3DC4"/>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6A1"/>
    <w:rsid w:val="00D33EC0"/>
    <w:rsid w:val="00D348A6"/>
    <w:rsid w:val="00D35047"/>
    <w:rsid w:val="00D35866"/>
    <w:rsid w:val="00D35BB9"/>
    <w:rsid w:val="00D37E5A"/>
    <w:rsid w:val="00D4083A"/>
    <w:rsid w:val="00D42031"/>
    <w:rsid w:val="00D423FC"/>
    <w:rsid w:val="00D42442"/>
    <w:rsid w:val="00D433F5"/>
    <w:rsid w:val="00D43754"/>
    <w:rsid w:val="00D43E9C"/>
    <w:rsid w:val="00D440EC"/>
    <w:rsid w:val="00D44894"/>
    <w:rsid w:val="00D44E65"/>
    <w:rsid w:val="00D454E4"/>
    <w:rsid w:val="00D45FD7"/>
    <w:rsid w:val="00D4668C"/>
    <w:rsid w:val="00D466B7"/>
    <w:rsid w:val="00D467A1"/>
    <w:rsid w:val="00D46A11"/>
    <w:rsid w:val="00D47172"/>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0BCC"/>
    <w:rsid w:val="00D61A4B"/>
    <w:rsid w:val="00D62265"/>
    <w:rsid w:val="00D62571"/>
    <w:rsid w:val="00D629E1"/>
    <w:rsid w:val="00D62EBB"/>
    <w:rsid w:val="00D63A4C"/>
    <w:rsid w:val="00D64058"/>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63F2"/>
    <w:rsid w:val="00D7678C"/>
    <w:rsid w:val="00D77CD1"/>
    <w:rsid w:val="00D8090E"/>
    <w:rsid w:val="00D80DEE"/>
    <w:rsid w:val="00D80F79"/>
    <w:rsid w:val="00D8116D"/>
    <w:rsid w:val="00D811AE"/>
    <w:rsid w:val="00D81B4A"/>
    <w:rsid w:val="00D8200D"/>
    <w:rsid w:val="00D82697"/>
    <w:rsid w:val="00D83964"/>
    <w:rsid w:val="00D83DE2"/>
    <w:rsid w:val="00D85F74"/>
    <w:rsid w:val="00D86368"/>
    <w:rsid w:val="00D876AA"/>
    <w:rsid w:val="00D87754"/>
    <w:rsid w:val="00D9119E"/>
    <w:rsid w:val="00D91FF4"/>
    <w:rsid w:val="00D93FF0"/>
    <w:rsid w:val="00D93FF7"/>
    <w:rsid w:val="00D94CBD"/>
    <w:rsid w:val="00D95087"/>
    <w:rsid w:val="00D9573E"/>
    <w:rsid w:val="00D95DDE"/>
    <w:rsid w:val="00D975D9"/>
    <w:rsid w:val="00DA0786"/>
    <w:rsid w:val="00DA1665"/>
    <w:rsid w:val="00DA1C72"/>
    <w:rsid w:val="00DA2175"/>
    <w:rsid w:val="00DA29B9"/>
    <w:rsid w:val="00DA392C"/>
    <w:rsid w:val="00DA3B6F"/>
    <w:rsid w:val="00DA3E8C"/>
    <w:rsid w:val="00DA470C"/>
    <w:rsid w:val="00DA47C5"/>
    <w:rsid w:val="00DA573E"/>
    <w:rsid w:val="00DA6465"/>
    <w:rsid w:val="00DA655A"/>
    <w:rsid w:val="00DA7C27"/>
    <w:rsid w:val="00DB01D7"/>
    <w:rsid w:val="00DB04C0"/>
    <w:rsid w:val="00DB08BD"/>
    <w:rsid w:val="00DB0E5A"/>
    <w:rsid w:val="00DB15D4"/>
    <w:rsid w:val="00DB20BE"/>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6F10"/>
    <w:rsid w:val="00DB7A87"/>
    <w:rsid w:val="00DB7C49"/>
    <w:rsid w:val="00DC095C"/>
    <w:rsid w:val="00DC15AA"/>
    <w:rsid w:val="00DC1B46"/>
    <w:rsid w:val="00DC2855"/>
    <w:rsid w:val="00DC3044"/>
    <w:rsid w:val="00DC30AF"/>
    <w:rsid w:val="00DC3A06"/>
    <w:rsid w:val="00DC406D"/>
    <w:rsid w:val="00DC410B"/>
    <w:rsid w:val="00DC5F26"/>
    <w:rsid w:val="00DC7412"/>
    <w:rsid w:val="00DD002C"/>
    <w:rsid w:val="00DD0512"/>
    <w:rsid w:val="00DD0A64"/>
    <w:rsid w:val="00DD0D7E"/>
    <w:rsid w:val="00DD132E"/>
    <w:rsid w:val="00DD188D"/>
    <w:rsid w:val="00DD1CFB"/>
    <w:rsid w:val="00DD1FAA"/>
    <w:rsid w:val="00DD2319"/>
    <w:rsid w:val="00DD2F22"/>
    <w:rsid w:val="00DD34FA"/>
    <w:rsid w:val="00DD35CC"/>
    <w:rsid w:val="00DD3EC9"/>
    <w:rsid w:val="00DD48AB"/>
    <w:rsid w:val="00DD4C63"/>
    <w:rsid w:val="00DD4C92"/>
    <w:rsid w:val="00DD562D"/>
    <w:rsid w:val="00DD57FE"/>
    <w:rsid w:val="00DD5869"/>
    <w:rsid w:val="00DD5CFE"/>
    <w:rsid w:val="00DD6A8C"/>
    <w:rsid w:val="00DD6DFB"/>
    <w:rsid w:val="00DE05BF"/>
    <w:rsid w:val="00DE1B5A"/>
    <w:rsid w:val="00DE1E3D"/>
    <w:rsid w:val="00DE1FAE"/>
    <w:rsid w:val="00DE26E1"/>
    <w:rsid w:val="00DE2FEF"/>
    <w:rsid w:val="00DE35A0"/>
    <w:rsid w:val="00DE4A11"/>
    <w:rsid w:val="00DE523A"/>
    <w:rsid w:val="00DE58E4"/>
    <w:rsid w:val="00DE5DEE"/>
    <w:rsid w:val="00DE64B6"/>
    <w:rsid w:val="00DE6795"/>
    <w:rsid w:val="00DE7368"/>
    <w:rsid w:val="00DE77BF"/>
    <w:rsid w:val="00DE7A89"/>
    <w:rsid w:val="00DF10EC"/>
    <w:rsid w:val="00DF14A4"/>
    <w:rsid w:val="00DF2DBF"/>
    <w:rsid w:val="00DF31D8"/>
    <w:rsid w:val="00DF3B3D"/>
    <w:rsid w:val="00DF549E"/>
    <w:rsid w:val="00DF582C"/>
    <w:rsid w:val="00DF74F1"/>
    <w:rsid w:val="00DF75D9"/>
    <w:rsid w:val="00DF7C79"/>
    <w:rsid w:val="00E00689"/>
    <w:rsid w:val="00E00FE2"/>
    <w:rsid w:val="00E01742"/>
    <w:rsid w:val="00E020A1"/>
    <w:rsid w:val="00E03321"/>
    <w:rsid w:val="00E03A76"/>
    <w:rsid w:val="00E041B5"/>
    <w:rsid w:val="00E04452"/>
    <w:rsid w:val="00E06ADC"/>
    <w:rsid w:val="00E07428"/>
    <w:rsid w:val="00E0752E"/>
    <w:rsid w:val="00E1032A"/>
    <w:rsid w:val="00E10AC7"/>
    <w:rsid w:val="00E10E6E"/>
    <w:rsid w:val="00E1133B"/>
    <w:rsid w:val="00E116A6"/>
    <w:rsid w:val="00E12CBC"/>
    <w:rsid w:val="00E1308C"/>
    <w:rsid w:val="00E13090"/>
    <w:rsid w:val="00E13E9C"/>
    <w:rsid w:val="00E14A96"/>
    <w:rsid w:val="00E15532"/>
    <w:rsid w:val="00E16BB7"/>
    <w:rsid w:val="00E172E5"/>
    <w:rsid w:val="00E1759F"/>
    <w:rsid w:val="00E20464"/>
    <w:rsid w:val="00E21BD9"/>
    <w:rsid w:val="00E21DAE"/>
    <w:rsid w:val="00E226C2"/>
    <w:rsid w:val="00E22812"/>
    <w:rsid w:val="00E2310C"/>
    <w:rsid w:val="00E23637"/>
    <w:rsid w:val="00E236D2"/>
    <w:rsid w:val="00E258CB"/>
    <w:rsid w:val="00E261C8"/>
    <w:rsid w:val="00E26D7E"/>
    <w:rsid w:val="00E26EDB"/>
    <w:rsid w:val="00E270CE"/>
    <w:rsid w:val="00E30CA9"/>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54DB"/>
    <w:rsid w:val="00E462BC"/>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15"/>
    <w:rsid w:val="00E56BA4"/>
    <w:rsid w:val="00E56C34"/>
    <w:rsid w:val="00E604C0"/>
    <w:rsid w:val="00E61D6F"/>
    <w:rsid w:val="00E622E6"/>
    <w:rsid w:val="00E62E2C"/>
    <w:rsid w:val="00E651CC"/>
    <w:rsid w:val="00E65B2B"/>
    <w:rsid w:val="00E660B8"/>
    <w:rsid w:val="00E66B54"/>
    <w:rsid w:val="00E66C0C"/>
    <w:rsid w:val="00E6799F"/>
    <w:rsid w:val="00E70E78"/>
    <w:rsid w:val="00E71584"/>
    <w:rsid w:val="00E71864"/>
    <w:rsid w:val="00E726AC"/>
    <w:rsid w:val="00E72D58"/>
    <w:rsid w:val="00E7326C"/>
    <w:rsid w:val="00E74085"/>
    <w:rsid w:val="00E7560D"/>
    <w:rsid w:val="00E75636"/>
    <w:rsid w:val="00E758C4"/>
    <w:rsid w:val="00E75BCD"/>
    <w:rsid w:val="00E769A7"/>
    <w:rsid w:val="00E805C7"/>
    <w:rsid w:val="00E808A7"/>
    <w:rsid w:val="00E80B32"/>
    <w:rsid w:val="00E80E11"/>
    <w:rsid w:val="00E8171B"/>
    <w:rsid w:val="00E81FB6"/>
    <w:rsid w:val="00E82066"/>
    <w:rsid w:val="00E83488"/>
    <w:rsid w:val="00E8420E"/>
    <w:rsid w:val="00E8427F"/>
    <w:rsid w:val="00E84C9F"/>
    <w:rsid w:val="00E8510E"/>
    <w:rsid w:val="00E85CF4"/>
    <w:rsid w:val="00E86AD5"/>
    <w:rsid w:val="00E87A45"/>
    <w:rsid w:val="00E90214"/>
    <w:rsid w:val="00E902A4"/>
    <w:rsid w:val="00E90486"/>
    <w:rsid w:val="00E90FCC"/>
    <w:rsid w:val="00E92E9A"/>
    <w:rsid w:val="00E9378F"/>
    <w:rsid w:val="00E93ABF"/>
    <w:rsid w:val="00E93AE4"/>
    <w:rsid w:val="00E93CC5"/>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1A4"/>
    <w:rsid w:val="00EB0E2E"/>
    <w:rsid w:val="00EB139D"/>
    <w:rsid w:val="00EB18B6"/>
    <w:rsid w:val="00EB19E5"/>
    <w:rsid w:val="00EB2021"/>
    <w:rsid w:val="00EB243C"/>
    <w:rsid w:val="00EB3101"/>
    <w:rsid w:val="00EB4124"/>
    <w:rsid w:val="00EB5563"/>
    <w:rsid w:val="00EB6302"/>
    <w:rsid w:val="00EB63AF"/>
    <w:rsid w:val="00EB6FCF"/>
    <w:rsid w:val="00EB7205"/>
    <w:rsid w:val="00EB7211"/>
    <w:rsid w:val="00EB7973"/>
    <w:rsid w:val="00EC0689"/>
    <w:rsid w:val="00EC083A"/>
    <w:rsid w:val="00EC1045"/>
    <w:rsid w:val="00EC1389"/>
    <w:rsid w:val="00EC1935"/>
    <w:rsid w:val="00EC244A"/>
    <w:rsid w:val="00EC24C1"/>
    <w:rsid w:val="00EC293C"/>
    <w:rsid w:val="00EC2AA9"/>
    <w:rsid w:val="00EC2D6B"/>
    <w:rsid w:val="00EC3BB0"/>
    <w:rsid w:val="00EC5010"/>
    <w:rsid w:val="00EC5250"/>
    <w:rsid w:val="00EC5724"/>
    <w:rsid w:val="00EC7266"/>
    <w:rsid w:val="00EC75EE"/>
    <w:rsid w:val="00ED022D"/>
    <w:rsid w:val="00ED0DC0"/>
    <w:rsid w:val="00ED11E1"/>
    <w:rsid w:val="00ED14A9"/>
    <w:rsid w:val="00ED2B2C"/>
    <w:rsid w:val="00ED3509"/>
    <w:rsid w:val="00ED384B"/>
    <w:rsid w:val="00ED4803"/>
    <w:rsid w:val="00ED5306"/>
    <w:rsid w:val="00ED578A"/>
    <w:rsid w:val="00ED6ED4"/>
    <w:rsid w:val="00ED70FD"/>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5C2"/>
    <w:rsid w:val="00F0275F"/>
    <w:rsid w:val="00F02B16"/>
    <w:rsid w:val="00F0343C"/>
    <w:rsid w:val="00F0400C"/>
    <w:rsid w:val="00F04155"/>
    <w:rsid w:val="00F04A4C"/>
    <w:rsid w:val="00F053A0"/>
    <w:rsid w:val="00F05787"/>
    <w:rsid w:val="00F0673C"/>
    <w:rsid w:val="00F068C1"/>
    <w:rsid w:val="00F072EC"/>
    <w:rsid w:val="00F07622"/>
    <w:rsid w:val="00F07686"/>
    <w:rsid w:val="00F10115"/>
    <w:rsid w:val="00F1050B"/>
    <w:rsid w:val="00F10D30"/>
    <w:rsid w:val="00F10FD1"/>
    <w:rsid w:val="00F1122A"/>
    <w:rsid w:val="00F11D3D"/>
    <w:rsid w:val="00F11D68"/>
    <w:rsid w:val="00F12697"/>
    <w:rsid w:val="00F12A99"/>
    <w:rsid w:val="00F12CA4"/>
    <w:rsid w:val="00F130DC"/>
    <w:rsid w:val="00F14A6A"/>
    <w:rsid w:val="00F15A09"/>
    <w:rsid w:val="00F15B0A"/>
    <w:rsid w:val="00F15EEC"/>
    <w:rsid w:val="00F16A60"/>
    <w:rsid w:val="00F16D8F"/>
    <w:rsid w:val="00F202FE"/>
    <w:rsid w:val="00F20AAD"/>
    <w:rsid w:val="00F21835"/>
    <w:rsid w:val="00F22095"/>
    <w:rsid w:val="00F22C8F"/>
    <w:rsid w:val="00F23D60"/>
    <w:rsid w:val="00F23F9C"/>
    <w:rsid w:val="00F241FE"/>
    <w:rsid w:val="00F24700"/>
    <w:rsid w:val="00F25A78"/>
    <w:rsid w:val="00F25F95"/>
    <w:rsid w:val="00F263B9"/>
    <w:rsid w:val="00F26DCA"/>
    <w:rsid w:val="00F26DF2"/>
    <w:rsid w:val="00F3060F"/>
    <w:rsid w:val="00F31E70"/>
    <w:rsid w:val="00F32111"/>
    <w:rsid w:val="00F323F2"/>
    <w:rsid w:val="00F330A1"/>
    <w:rsid w:val="00F333DB"/>
    <w:rsid w:val="00F333E4"/>
    <w:rsid w:val="00F33605"/>
    <w:rsid w:val="00F33F72"/>
    <w:rsid w:val="00F3475F"/>
    <w:rsid w:val="00F34D0D"/>
    <w:rsid w:val="00F34E9A"/>
    <w:rsid w:val="00F35715"/>
    <w:rsid w:val="00F35A2E"/>
    <w:rsid w:val="00F35E4A"/>
    <w:rsid w:val="00F360C4"/>
    <w:rsid w:val="00F364A7"/>
    <w:rsid w:val="00F365EA"/>
    <w:rsid w:val="00F36909"/>
    <w:rsid w:val="00F36BBE"/>
    <w:rsid w:val="00F36D1D"/>
    <w:rsid w:val="00F36F68"/>
    <w:rsid w:val="00F37057"/>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63DB"/>
    <w:rsid w:val="00F5736D"/>
    <w:rsid w:val="00F601EF"/>
    <w:rsid w:val="00F608A4"/>
    <w:rsid w:val="00F61DD8"/>
    <w:rsid w:val="00F6210A"/>
    <w:rsid w:val="00F621D5"/>
    <w:rsid w:val="00F63F3B"/>
    <w:rsid w:val="00F64DDA"/>
    <w:rsid w:val="00F66329"/>
    <w:rsid w:val="00F6782F"/>
    <w:rsid w:val="00F67AF6"/>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AE6"/>
    <w:rsid w:val="00F86D57"/>
    <w:rsid w:val="00F90824"/>
    <w:rsid w:val="00F90988"/>
    <w:rsid w:val="00F916ED"/>
    <w:rsid w:val="00F920FA"/>
    <w:rsid w:val="00F92144"/>
    <w:rsid w:val="00F93389"/>
    <w:rsid w:val="00F934B3"/>
    <w:rsid w:val="00F9498D"/>
    <w:rsid w:val="00F94A49"/>
    <w:rsid w:val="00F9534F"/>
    <w:rsid w:val="00F95387"/>
    <w:rsid w:val="00F95F45"/>
    <w:rsid w:val="00F9617F"/>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0A03"/>
    <w:rsid w:val="00FC2A4A"/>
    <w:rsid w:val="00FC2D12"/>
    <w:rsid w:val="00FC2E87"/>
    <w:rsid w:val="00FC3026"/>
    <w:rsid w:val="00FC3597"/>
    <w:rsid w:val="00FC3AEF"/>
    <w:rsid w:val="00FC4E4A"/>
    <w:rsid w:val="00FC523D"/>
    <w:rsid w:val="00FC5502"/>
    <w:rsid w:val="00FC569F"/>
    <w:rsid w:val="00FC608A"/>
    <w:rsid w:val="00FC6BFB"/>
    <w:rsid w:val="00FC6F94"/>
    <w:rsid w:val="00FC7709"/>
    <w:rsid w:val="00FC7CBD"/>
    <w:rsid w:val="00FC7DCC"/>
    <w:rsid w:val="00FD14F5"/>
    <w:rsid w:val="00FD14F6"/>
    <w:rsid w:val="00FD1DF0"/>
    <w:rsid w:val="00FD2E16"/>
    <w:rsid w:val="00FD3EA6"/>
    <w:rsid w:val="00FD4D45"/>
    <w:rsid w:val="00FD5F47"/>
    <w:rsid w:val="00FD6A22"/>
    <w:rsid w:val="00FD7101"/>
    <w:rsid w:val="00FD7368"/>
    <w:rsid w:val="00FE0207"/>
    <w:rsid w:val="00FE0907"/>
    <w:rsid w:val="00FE107F"/>
    <w:rsid w:val="00FE1BF9"/>
    <w:rsid w:val="00FE1FBF"/>
    <w:rsid w:val="00FE2F32"/>
    <w:rsid w:val="00FE303E"/>
    <w:rsid w:val="00FE5F58"/>
    <w:rsid w:val="00FE6F87"/>
    <w:rsid w:val="00FE7A4B"/>
    <w:rsid w:val="00FF0AB8"/>
    <w:rsid w:val="00FF0D8C"/>
    <w:rsid w:val="00FF0F41"/>
    <w:rsid w:val="00FF13A8"/>
    <w:rsid w:val="00FF1E9B"/>
    <w:rsid w:val="00FF3168"/>
    <w:rsid w:val="00FF3753"/>
    <w:rsid w:val="00FF375C"/>
    <w:rsid w:val="00FF378D"/>
    <w:rsid w:val="00FF3870"/>
    <w:rsid w:val="00FF4ED5"/>
    <w:rsid w:val="00FF5891"/>
    <w:rsid w:val="00FF710A"/>
    <w:rsid w:val="00FF7496"/>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9DF66D"/>
  <w15:docId w15:val="{42FD541A-1089-469E-80D9-6E92083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uiPriority w:val="99"/>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s"/>
    <w:link w:val="SarakstarindkopaRakstz"/>
    <w:qFormat/>
    <w:rsid w:val="00736744"/>
    <w:pPr>
      <w:ind w:left="720"/>
      <w:contextualSpacing/>
    </w:pPr>
  </w:style>
  <w:style w:type="paragraph" w:styleId="Komentrateksts">
    <w:name w:val="annotation text"/>
    <w:basedOn w:val="Parast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qFormat/>
    <w:rsid w:val="00C06774"/>
    <w:rPr>
      <w:vertAlign w:val="superscript"/>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
    <w:basedOn w:val="Parasts"/>
    <w:link w:val="VrestekstsRakstz"/>
    <w:uiPriority w:val="99"/>
    <w:unhideWhenUsed/>
    <w:rsid w:val="00C06774"/>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s"/>
    <w:rsid w:val="00611897"/>
    <w:pPr>
      <w:spacing w:before="75" w:after="75"/>
      <w:jc w:val="right"/>
    </w:pPr>
  </w:style>
  <w:style w:type="paragraph" w:customStyle="1" w:styleId="paragraph">
    <w:name w:val="paragraph"/>
    <w:basedOn w:val="Parasts"/>
    <w:uiPriority w:val="99"/>
    <w:rsid w:val="00A27E36"/>
    <w:pPr>
      <w:spacing w:before="100" w:beforeAutospacing="1" w:after="100" w:afterAutospacing="1"/>
    </w:pPr>
    <w:rPr>
      <w:rFonts w:eastAsiaTheme="minorHAnsi"/>
      <w:lang w:val="en-US" w:eastAsia="en-US"/>
    </w:rPr>
  </w:style>
  <w:style w:type="character" w:customStyle="1" w:styleId="normaltextrun">
    <w:name w:val="normaltextrun"/>
    <w:basedOn w:val="Noklusjumarindkopasfonts"/>
    <w:rsid w:val="00A27E36"/>
  </w:style>
  <w:style w:type="paragraph" w:customStyle="1" w:styleId="CharCharCharChar">
    <w:name w:val="Char Char Char Char"/>
    <w:aliases w:val="Char2"/>
    <w:basedOn w:val="Parasts"/>
    <w:next w:val="Parasts"/>
    <w:link w:val="Vresatsauce"/>
    <w:uiPriority w:val="99"/>
    <w:rsid w:val="00D7678C"/>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character" w:customStyle="1" w:styleId="Neatrisintapieminana1">
    <w:name w:val="Neatrisināta pieminēšana1"/>
    <w:basedOn w:val="Noklusjumarindkopasfonts"/>
    <w:uiPriority w:val="99"/>
    <w:semiHidden/>
    <w:unhideWhenUsed/>
    <w:rsid w:val="00DE1B5A"/>
    <w:rPr>
      <w:color w:val="605E5C"/>
      <w:shd w:val="clear" w:color="auto" w:fill="E1DFDD"/>
    </w:rPr>
  </w:style>
  <w:style w:type="character" w:styleId="Neatrisintapieminana">
    <w:name w:val="Unresolved Mention"/>
    <w:basedOn w:val="Noklusjumarindkopasfonts"/>
    <w:uiPriority w:val="99"/>
    <w:semiHidden/>
    <w:unhideWhenUsed/>
    <w:rsid w:val="00A76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04275499">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5146357">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75447596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22166730">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11066416">
      <w:bodyDiv w:val="1"/>
      <w:marLeft w:val="0"/>
      <w:marRight w:val="0"/>
      <w:marTop w:val="0"/>
      <w:marBottom w:val="0"/>
      <w:divBdr>
        <w:top w:val="none" w:sz="0" w:space="0" w:color="auto"/>
        <w:left w:val="none" w:sz="0" w:space="0" w:color="auto"/>
        <w:bottom w:val="none" w:sz="0" w:space="0" w:color="auto"/>
        <w:right w:val="none" w:sz="0" w:space="0" w:color="auto"/>
      </w:divBdr>
    </w:div>
    <w:div w:id="1212771012">
      <w:bodyDiv w:val="1"/>
      <w:marLeft w:val="0"/>
      <w:marRight w:val="0"/>
      <w:marTop w:val="0"/>
      <w:marBottom w:val="0"/>
      <w:divBdr>
        <w:top w:val="none" w:sz="0" w:space="0" w:color="auto"/>
        <w:left w:val="none" w:sz="0" w:space="0" w:color="auto"/>
        <w:bottom w:val="none" w:sz="0" w:space="0" w:color="auto"/>
        <w:right w:val="none" w:sz="0" w:space="0" w:color="auto"/>
      </w:divBdr>
    </w:div>
    <w:div w:id="1217160812">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68536814">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3093">
      <w:bodyDiv w:val="1"/>
      <w:marLeft w:val="0"/>
      <w:marRight w:val="0"/>
      <w:marTop w:val="0"/>
      <w:marBottom w:val="0"/>
      <w:divBdr>
        <w:top w:val="none" w:sz="0" w:space="0" w:color="auto"/>
        <w:left w:val="none" w:sz="0" w:space="0" w:color="auto"/>
        <w:bottom w:val="none" w:sz="0" w:space="0" w:color="auto"/>
        <w:right w:val="none" w:sz="0" w:space="0" w:color="auto"/>
      </w:divBdr>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590692452">
      <w:bodyDiv w:val="1"/>
      <w:marLeft w:val="0"/>
      <w:marRight w:val="0"/>
      <w:marTop w:val="0"/>
      <w:marBottom w:val="0"/>
      <w:divBdr>
        <w:top w:val="none" w:sz="0" w:space="0" w:color="auto"/>
        <w:left w:val="none" w:sz="0" w:space="0" w:color="auto"/>
        <w:bottom w:val="none" w:sz="0" w:space="0" w:color="auto"/>
        <w:right w:val="none" w:sz="0" w:space="0" w:color="auto"/>
      </w:divBdr>
    </w:div>
    <w:div w:id="1601447821">
      <w:bodyDiv w:val="1"/>
      <w:marLeft w:val="0"/>
      <w:marRight w:val="0"/>
      <w:marTop w:val="0"/>
      <w:marBottom w:val="0"/>
      <w:divBdr>
        <w:top w:val="none" w:sz="0" w:space="0" w:color="auto"/>
        <w:left w:val="none" w:sz="0" w:space="0" w:color="auto"/>
        <w:bottom w:val="none" w:sz="0" w:space="0" w:color="auto"/>
        <w:right w:val="none" w:sz="0" w:space="0" w:color="auto"/>
      </w:divBdr>
    </w:div>
    <w:div w:id="1622035452">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3927986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778406649">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895579276">
      <w:bodyDiv w:val="1"/>
      <w:marLeft w:val="0"/>
      <w:marRight w:val="0"/>
      <w:marTop w:val="0"/>
      <w:marBottom w:val="0"/>
      <w:divBdr>
        <w:top w:val="none" w:sz="0" w:space="0" w:color="auto"/>
        <w:left w:val="none" w:sz="0" w:space="0" w:color="auto"/>
        <w:bottom w:val="none" w:sz="0" w:space="0" w:color="auto"/>
        <w:right w:val="none" w:sz="0" w:space="0" w:color="auto"/>
      </w:divBdr>
    </w:div>
    <w:div w:id="1972395180">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068913195">
      <w:bodyDiv w:val="1"/>
      <w:marLeft w:val="0"/>
      <w:marRight w:val="0"/>
      <w:marTop w:val="0"/>
      <w:marBottom w:val="0"/>
      <w:divBdr>
        <w:top w:val="none" w:sz="0" w:space="0" w:color="auto"/>
        <w:left w:val="none" w:sz="0" w:space="0" w:color="auto"/>
        <w:bottom w:val="none" w:sz="0" w:space="0" w:color="auto"/>
        <w:right w:val="none" w:sz="0" w:space="0" w:color="auto"/>
      </w:divBdr>
    </w:div>
    <w:div w:id="212900517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68490-publiskas-personas-mantas-atsavinasanas-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68490-publiskas-personas-mantas-atsavinasanas-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cis.Katajs@k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8D626-5385-4C44-B0B5-CD1B809FB8BE}">
  <ds:schemaRefs>
    <ds:schemaRef ds:uri="http://schemas.openxmlformats.org/officeDocument/2006/bibliography"/>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5.xml><?xml version="1.0" encoding="utf-8"?>
<ds:datastoreItem xmlns:ds="http://schemas.openxmlformats.org/officeDocument/2006/customXml" ds:itemID="{61050A41-7378-46B3-A9A0-B7DCEED6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14933</Words>
  <Characters>8513</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Paula Feldmane</dc:creator>
  <cp:keywords>KMIzz_081118_groz_474</cp:keywords>
  <dc:description>B.Valentinoviča
Tālr.67229272
Baiba.Valentinovica@mantojums.lv</dc:description>
  <cp:lastModifiedBy>Inese Duļķe</cp:lastModifiedBy>
  <cp:revision>5</cp:revision>
  <cp:lastPrinted>2020-03-09T07:13:00Z</cp:lastPrinted>
  <dcterms:created xsi:type="dcterms:W3CDTF">2021-09-07T13:15:00Z</dcterms:created>
  <dcterms:modified xsi:type="dcterms:W3CDTF">2021-09-07T14:12:00Z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