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22-TA-1274: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2011. gada 22. marta noteikumos Nr. 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Noteikumi stājas spēkā 2022. gada 1. jūlijā.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grozījumi noteikumu projektā pārņem Eiropas Parlamenta un Padomes 2019.gada 20.jūnija direktīvas 2019/1152 par pārredzamiem un paredzamiem darba apstākļiem Eiropas Savienībā prasības, lūdzam projekta beigās ietvert informatīvo atsauci uz šo direktīvu.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papildināt ar 9.</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- 18.05.2022.)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Koplīgums reglamentē plašu jautājumu loku (ne tikai darba un atpūtas laiku), līdz ar to aicinām to ietvert to atsevišķā apakšpunktā, līdzīgi kā tas tiek paredzēts attiecīgajā ES direktīvā.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noteikumus izstrādā uz likumā ietvertā pilnvarojuma pamata. Līdz ar to Ministru kabineta noteikumu normas var stāties spēkā tikai līdz ar pilnvarojošā likuma normu spēkā stāšanos vai vēlāk par tām. Lai MK noteikumu projektā noteiktās normas būtu iespējams ieviest esošajā tiesību sistēmā un līdz ar to arī parņemt Eiropas Parlamenta un Padomes 2019. gada 20. jūnija Direktīvas (ES) 2019/1152 par pārredzamiem un paredzamiem darba apstākļiem Eiropas Savienībā 7. panta prasības, ir izstrādāti Grozījumi Valsts un pašvaldību institūciju amatpersonu un darbinieku atlīdzības likumā (reģ. Nr. 1321/Lp13) (turpmāk - likumprojekts), kas otrajā lasījumā Saeimā izskatīti šī gada 3. maijā. Ievērojot minēto un to ka likumprojekts šobrīd atrodas izskatīšanas stadijā Saeimā, lūdzam virzīt projektu izskatīšanai Ministru kabinetā ne ātrāk kā attiecīgais likumprojekts ir izskatīts Saeimā galīgajā lasījumā, nodrošinot MK noteikumu projekta spēkā stāšanos vienlaikus ar likumprojekta normām.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ka noteikumu projektā ietvertais regulējums būtu saskaņots un stātos spēkā 1.jūlijā, nepieciešama savlaicīga projekta izstrāde un skaņošana.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Saeimas Valsts pārvaldes un pašvaldības komisijā 2022. gada 18. maijā likumprojekts "Grozījumi Valsts un pašvaldību institūciju amatpersonu un darbinieku atlīdzības likumā" (reģ. Nr. 1321/Lp13) skatīts pirms trešā lasījuma.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Ar nacionālo ekspertu par norīkošanu dienestā (darbā) starptautiskajā organizācijā vai tās dalībvalsts institūcijā ārvalstīs slēdz līgumu. Līgumā norāda: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- 10.05.2022.)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projekta 1.1. apakšpunktā ietvertā Ministru kabineta 2011. gada 22. marta noteikumu Nr. 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 (turpmāk – Noteikumi Nr. 219) 9.</w:t>
            </w:r>
            <w:r w:rsidR="00000000" w:rsidRPr="00000000" w:rsidDel="00000000">
              <w:rPr>
                <w:vertAlign w:val="superscript"/>
                <w:rtl w:val="0"/>
              </w:rPr>
              <w:t xml:space="preserve">1</w:t>
            </w:r>
            <w:r w:rsidR="00000000" w:rsidRPr="00000000" w:rsidDel="00000000">
              <w:rPr>
                <w:rtl w:val="0"/>
              </w:rPr>
              <w:t xml:space="preserve"> punkta, kā arī no projekta anotācijā norādītā nav viennozīmīgi saprotams, kurš tiesību subjekts slēgs līgumu ar nacionālo ekspertu par norīkošanu dienestā (darbā) starptautiskajā organizācijā vai tās dalībvalsts institūcijā ārvalstīs.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nepieciešams papildināt projekta 1.1. apakšpunktā ietverto Noteikumu Nr. 219 9.</w:t>
            </w:r>
            <w:r w:rsidR="00000000" w:rsidRPr="00000000" w:rsidDel="00000000">
              <w:rPr>
                <w:vertAlign w:val="superscript"/>
                <w:rtl w:val="0"/>
              </w:rPr>
              <w:t xml:space="preserve">1</w:t>
            </w:r>
            <w:r w:rsidR="00000000" w:rsidRPr="00000000" w:rsidDel="00000000">
              <w:rPr>
                <w:rtl w:val="0"/>
              </w:rPr>
              <w:t xml:space="preserve"> punktu ar tiesību subjektu, kurš slēgs attiecīgo līgumu ar nacionālo ekspertu.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Norma precizēta, līgumu slēdz nosūtītājiestāde, tāpat kā šobrīd atbilstoši noteikumu 13. punktam - par atlīdzības apmēru, izmaksas kārtību un nacionālā eksperta saistībām nosūtītājiestāde ar nacionālo ekspertu vienojas, slēdzot attiecīgu līgumu.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Nosūtītājiestāde ar nacionālo ekspertu par norīkošanu dienestā (darbā) starptautiskajā organizācijā vai tās dalībvalsts institūcijā ārvalstīs slēdz līgumu. Līgumā norāda: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Ar nacionālo ekspertu par norīkošanu dienestā (darbā) starptautiskajā organizācijā vai tās dalībvalsts institūcijā ārvalstīs slēdz līgumu. Līgumā norāda: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(LBAS - 10.05.2022.)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LBAS ieskatā, personai, kura tiek norīkota dienestā (darbā) starptautiskajās organizācijās ārvalstīs, slēdzot līgumu ir tiesības saņemt pilnu un skaidru informāciju par nodarbinātības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nodrošināt MK noteikumu 9.</w:t>
            </w:r>
            <w:r w:rsidR="00000000" w:rsidRPr="00000000" w:rsidDel="00000000">
              <w:rPr>
                <w:vertAlign w:val="superscript"/>
                <w:rtl w:val="0"/>
              </w:rPr>
              <w:t xml:space="preserve">1</w:t>
            </w:r>
            <w:r w:rsidR="00000000" w:rsidRPr="00000000" w:rsidDel="00000000">
              <w:rPr>
                <w:rtl w:val="0"/>
              </w:rPr>
              <w:t xml:space="preserve"> punkta atbilstību Direktīvas 4.pantā noteiktajām prasībām.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punktu nosakot, ka līgumā norāda arī šos Direktīvas 4.panta 2.punktā minētos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h)  tiesības uz darba devēja sniegtu apmācību, ja tādas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  procedūru, tostarp formālās prasības un paziņošanas termiņus, kas jāievēro darba devējam un darba ņēmējam, ja viņu darba attiecības tiek pārtrauktas, vai, ja paziņošanas termiņus nevar norādīt informācijas sniegšanas brīdī, – metodi šādu paziņošanas termiņu noteikšanai;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  ja darba režīms ir pilnīgi vai lielākoties paredzams, darba ņēmēja parastās darba dienas vai nedēļas ilgumu un noteikumus par virsstundu darbu un atalgojumu, un attiecīgā gadījumā noteikumus par darbu maiņās;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  ja darba režīms ir pilnīgi vai lielākoties neparedzams, darba devējs informē darba ņēmēju par: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  principu, ka darba grafiks ir mainīgs, garantēto apmaksāto stundu skaitu un atlīdzību par darbu, kas veikts papildus minētajām garantētajām stundām;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  atsauces stundas un dienas, kurās darba ņēmējam var būt jāstrādā;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minimālo paziņošanas termiņu, kādā darba ņēmējam jāsaņem iepriekšējs paziņojums pirms darba uzdevuma sākšanas, un attiecīgā gadījumā termiņu 10. panta 3. punktā minētajai darba atcelšanai;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  koplīgumus, kas reglamentē darba ņēmēja darba apstākļus, vai gadījumā, ja koplīgumus ir noslēgušas īpašas kopīgas struktūras vai iestādes ārpus uzņēmuma, – šādu struktūru vai iestāžu nosaukumu, kurā līgumi noslēgti;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  gadījumā, ja par to ir atbildīgs darba devējs – to sociālā nodrošinājuma iestāžu identitāti, kuras saņem sociālās iemaksas, kas saistītas ar darba attiecībām, un jebkādu aizsardzību attiecībā uz sociālo nodrošinājumu, ko nodrošina darba devējs.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projekts un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noteikumu 10. punktā ir noteikts, kad nacionālo ekspertu nosūtītājiestādes vadītājs atsauc no dienesta (darba) starptautiskā organizācijā vai tās dalībvalsts institūcijā. Tādējādi nodrošinot Direktīvas 4. panta 2. punkta "j" apakšpunktā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Nosūtītājiestāde ar nacionālo ekspertu par norīkošanu dienestā (darbā) starptautiskajā organizācijā vai tās dalībvalsts institūcijā ārvalstīs slēdz līgumu. Līgumā norāda: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5. ikgadējā apmaksātā atvaļinājuma ilgumu;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(ĀM - 09.05.2022.)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uz šo punktu skatīties plašāk, lai nepieciešamības gadījumā darbiniekam būtu iespēja izmantot arī papildatvaļinājumu.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5. apmaksātā atvaļinājuma ilgumu;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8. apmaksātā atvaļinājuma ilgumu;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6. repatriācijas iespēju un tās kārtību, ja tā tiek nodrošināta.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Eiropas Parlamenta un Padomes 2019. gada 20. jūnija Direktīvas (ES) 2019/1152 par pārredzamiem un paredzamiem darba apstākļiem Eiropas Savienībā 7. panta 1. punkta d) apakšpunktā noteikto līgumā (dokumentos) ar nacionālo ekspertu ietver informāciju par to, vai ir paredzēta repatriācija, un, ja ir, nosacījumus, kas reglamentē darba ņēmēja repatriāciju. No minētā secināms, ka informācija par repatriācijas nodrošināšanas iespējamību ir obligāta līguma sastāvdaļa. Līdz ar to lūdzam precizēt noteikumu projekta 9.</w:t>
            </w:r>
            <w:r w:rsidR="00000000" w:rsidRPr="00000000" w:rsidDel="00000000">
              <w:rPr>
                <w:vertAlign w:val="superscript"/>
                <w:rtl w:val="0"/>
              </w:rPr>
              <w:t xml:space="preserve">1</w:t>
            </w:r>
            <w:r w:rsidR="00000000" w:rsidRPr="00000000" w:rsidDel="00000000">
              <w:rPr>
                <w:rtl w:val="0"/>
              </w:rPr>
              <w:t xml:space="preserve">6. apakšpunktu, nosakot par oblogātu informācijas sniegšanu par repatriācijas pieejamību vai nepieejamību un tās pieejamības gadījumā paredzot līgumā atrunāt repatriācijas nodrošināšanas kārtību.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10. informāciju par to, vai ir paredzēta repatriācija, un tās kārtību, ja tā tiek nodrošināta.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- 05.05.2022.)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tiek norādīts, ka daži Eiropas Parlamenta un Padomes 2019.gada 20.jūnija direktīvas 2019/1152 par pārredzamiem un paredzamiem darba apstākļiem Eiropas Savienībā noteikumi tiek pārņemti ar Ministru kabineta 2011.gada 22.marta noteikumu Nr.219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Minētais noteikumu projekts var attiekties gan uz civildienestā esošām personām, gan arī uz darbiniekiem (personām, ar kurām ir noslēgti darba līgumi).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Jūsu uzmanību uz to, ka atbilstoši vispārīgajam regulējumam, kas izriet no Darba likuma 13.pantā darbinieks un darba devējs var vienoties par darba līgumam un darba tiesiskajām attiecībām piemērojamo likumu. Šāda izvēle nevar darbiniekam atņemt vai ierobežot aizsardzību, kas noteikta ar tās valsts likuma pavēlošajām vai aizliedzošajām normām, kuras likums būtu piemērojams atbilstoši šā panta otrajai, trešajai, ceturtajai vai piektajai daļai. Ja darbinieks un darba devējs nav izvēlējušies piemērojamo likumu, darba līgumam un darba tiesiskajām attiecībām piemērojams Latvijas likums, ciktāl šā likuma 13.panta trešajā un ceturtajā daļā nav noteikts citādi. Ja darbinieks un darba devējs nav izvēlējušies piemērojamo likumu un darbinieks atbilstoši darba līgumam parasti veic savu darbu citā valstī, darba līgumam un darba tiesiskajām attiecībām piemērojams šīs citas valsts likums. Ja darbinieks un darba devējs nav izvēlējušies piemērojamo likumu un darbinieks atbilstoši darba līgumam savu darbu neveic vienā un tajā pašā valstī, darba līgumam un darba tiesiskajām attiecībām piemērojams tā uzņēmuma atrašanās vietas valsts likums, kurā darbinieks tika pieņemts darbā. Vienlaikus šajā pantā tiek uzsvērts, ka būtiski ir noteikt, vai no lietas apstākļiem izriet, ka darba līgums vai darba tiesiskās attiecības ir ciešāk saistītas ar citu valsti. Ja tā tas ir, tad šādā gadījumā piemērojams šīs citas valsts 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šajos Ministru kabineta noteikumos netiek nekas minēts par darba attiecībām piemērojamiem noteikumiem, tad lūgums ir anotācijā detalizētāk paskaidrot to, vai tā katru reizi būs atsevišķa vienošanās par darba attiecībām piemērojamo likumu, vai pēc noklusējuma tiks piemērots t.s. uzņemošās valsts 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r w:rsidR="00000000" w:rsidRPr="00000000" w:rsidDel="00000000">
              <w:rPr>
                <w:rtl w:val="0"/>
              </w:rPr>
              <w:t xml:space="preserve">Valsts un pašvaldību institūciju amatpersonu un </w:t>
            </w:r>
            <w:r w:rsidR="00000000" w:rsidRPr="00000000" w:rsidDel="00000000">
              <w:rPr>
                <w:rtl w:val="0"/>
              </w:rPr>
              <w:t xml:space="preserve">darbinieku atlīdzības likuma</w:t>
            </w:r>
            <w:r w:rsidR="00000000" w:rsidRPr="00000000" w:rsidDel="00000000">
              <w:rPr>
                <w:rtl w:val="0"/>
              </w:rPr>
              <w:t xml:space="preserve"> 36.panta vienpadsmito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un </w:t>
            </w:r>
            <w:r w:rsidR="00000000" w:rsidRPr="00000000" w:rsidDel="00000000">
              <w:rPr>
                <w:rtl w:val="0"/>
              </w:rPr>
              <w:t xml:space="preserve">Valsts civildienesta likuma</w:t>
            </w:r>
            <w:r w:rsidR="00000000" w:rsidRPr="00000000" w:rsidDel="00000000">
              <w:rPr>
                <w:rtl w:val="0"/>
              </w:rPr>
              <w:t xml:space="preserve"> 37.</w:t>
            </w:r>
            <w:r w:rsidR="00000000" w:rsidRPr="00000000" w:rsidDel="00000000">
              <w:rPr>
                <w:vertAlign w:val="superscript"/>
                <w:rtl w:val="0"/>
              </w:rPr>
              <w:t xml:space="preserve">1</w:t>
            </w:r>
            <w:r w:rsidR="00000000" w:rsidRPr="00000000" w:rsidDel="00000000">
              <w:rPr>
                <w:rtl w:val="0"/>
              </w:rPr>
              <w:t xml:space="preserve">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teksta uztveramībai lūdzam izmantot TAP portāla tehniskās teksta noformēšanas iespējas un izveidot saites uz pilnvarojošo likumu pantiem.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Izmantojot TAP portāla tehniskās teksta noformēšanas iespējas un izveidojot saites uz pilnvarojošo likumu pantiem, tiks automātiski izveidots papildu grozījumu punkts - grozījums par tiesību akta izdošanas pamatojuma norādes redakcijas izteikšanu jaunā redakcijā, kas neatšķirsies no spēkā esošās norādes par izdošanas pamatojumu.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saites uz pilnvarojošo likumu pantiem netiek veidotas.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r w:rsidR="00000000" w:rsidRPr="00000000" w:rsidDel="00000000">
              <w:rPr>
                <w:rtl w:val="0"/>
              </w:rPr>
              <w:t xml:space="preserve">Valsts un pašvaldību institūciju amatpersonu un</w:t>
            </w:r>
            <w:r w:rsidR="00000000" w:rsidRPr="00000000" w:rsidDel="00000000">
              <w:rPr>
                <w:rtl w:val="0"/>
              </w:rPr>
              <w:t xml:space="preserve">darbinieku atlīdzības likuma</w:t>
            </w:r>
            <w:r w:rsidR="00000000" w:rsidRPr="00000000" w:rsidDel="00000000">
              <w:rPr>
                <w:rtl w:val="0"/>
              </w:rPr>
              <w:t xml:space="preserve"> 36.panta vienpadsmito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un </w:t>
            </w:r>
            <w:r w:rsidR="00000000" w:rsidRPr="00000000" w:rsidDel="00000000">
              <w:rPr>
                <w:rtl w:val="0"/>
              </w:rPr>
              <w:t xml:space="preserve">Valsts civildienesta likuma</w:t>
            </w:r>
            <w:r w:rsidR="00000000" w:rsidRPr="00000000" w:rsidDel="00000000">
              <w:rPr>
                <w:rtl w:val="0"/>
              </w:rPr>
              <w:t xml:space="preserve"> 37.</w:t>
            </w:r>
            <w:r w:rsidR="00000000" w:rsidRPr="00000000" w:rsidDel="00000000">
              <w:rPr>
                <w:vertAlign w:val="superscript"/>
                <w:rtl w:val="0"/>
              </w:rPr>
              <w:t xml:space="preserve">1</w:t>
            </w:r>
            <w:r w:rsidR="00000000" w:rsidRPr="00000000" w:rsidDel="00000000">
              <w:rPr>
                <w:rtl w:val="0"/>
              </w:rPr>
              <w:t xml:space="preserve"> pantu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projekta 1.1. apakšpunktā ietvertajā Noteikumu Nr. 219 9.</w:t>
            </w:r>
            <w:r w:rsidR="00000000" w:rsidRPr="00000000" w:rsidDel="00000000">
              <w:rPr>
                <w:vertAlign w:val="superscript"/>
                <w:rtl w:val="0"/>
              </w:rPr>
              <w:t xml:space="preserve">1</w:t>
            </w:r>
            <w:r w:rsidR="00000000" w:rsidRPr="00000000" w:rsidDel="00000000">
              <w:rPr>
                <w:rtl w:val="0"/>
              </w:rPr>
              <w:t xml:space="preserve">3. apakšpunktā vārdu “saistībām” ar vārdu “saistības”.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un izmaksas kārtību, kā arī informāciju par valsts sociālās apdrošināšanas obligāto iemaksu veikšanu;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9.</w:t>
            </w:r>
            <w:r w:rsidR="00000000" w:rsidRPr="00000000" w:rsidDel="00000000">
              <w:rPr>
                <w:vertAlign w:val="superscript"/>
                <w:rtl w:val="0"/>
              </w:rPr>
              <w:t xml:space="preserve">1</w:t>
            </w:r>
            <w:r w:rsidR="00000000" w:rsidRPr="00000000" w:rsidDel="00000000">
              <w:rPr>
                <w:rtl w:val="0"/>
              </w:rPr>
              <w:t xml:space="preserve">3. apakšpunktā ietverto normu, loģiski sadalot finanšu jautājumus un ekspertu saistības, kā arī precizējot drukas kļūdu.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un izmaksas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4. nacionālā eksperta saistīb</w:t>
            </w:r>
            <w:r w:rsidR="00000000" w:rsidRPr="00000000" w:rsidDel="00000000">
              <w:rPr>
                <w:u w:val="single"/>
                <w:rtl w:val="0"/>
              </w:rPr>
              <w:t xml:space="preserve">as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un izmaksas kārtību, kā arī informāciju par valsts sociālās apdrošināšanas obligāto iemaksu veikšanu;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- 09.05.2022.)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redakcionāli.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un izmaksas kārtību, kā arī informāciju par valsts sociālās apdrošināšanas obligāto iemaksu veikšanu;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izmaksas kārtību un nacionālā eksperta saistībām;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9.</w:t>
            </w:r>
            <w:r w:rsidR="00000000" w:rsidRPr="00000000" w:rsidDel="00000000">
              <w:rPr>
                <w:vertAlign w:val="superscript"/>
                <w:rtl w:val="0"/>
              </w:rPr>
              <w:t xml:space="preserve">1</w:t>
            </w:r>
            <w:r w:rsidR="00000000" w:rsidRPr="00000000" w:rsidDel="00000000">
              <w:rPr>
                <w:rtl w:val="0"/>
              </w:rPr>
              <w:t xml:space="preserve">3. apakšpunktu vieglākai uztveramībai sadalīt divos apakšpunktos, atsevišķi nodalot atlīdzības apmēru un tās  izmaksas kārtību, un atsevišķi - nacionālā eksperta saistības, attiecīgi pārnumurējot pārējos apakšpunktus.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nacionālā eksperta saistības;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4. atlīdzības apmēru un tās izmaksas kārtību;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3. atlīdzības apmēru un izmaksas kārtību, kā arī informāciju par valsts sociālās apdrošināšanas obligāto iemaksu veikšanu;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22-TA-1274</w:t>
    </w:r>
    <w:r>
      <w:br/>
    </w:r>
    <w:r w:rsidR="00000000" w:rsidRPr="00000000" w:rsidDel="00000000">
      <w:rPr>
        <w:rtl w:val="0"/>
      </w:rPr>
      <w:t xml:space="preserve">07.06.2022. 13.48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22-TA-1274</w:t>
    </w:r>
    <w:r>
      <w:br/>
    </w:r>
    <w:r w:rsidR="00000000" w:rsidRPr="00000000" w:rsidDel="00000000">
      <w:rPr>
        <w:rtl w:val="0"/>
      </w:rPr>
      <w:t xml:space="preserve">07.06.2022. 13.48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Izziņa_22-TA-1274.docx</dc:title>
</cp:coreProperties>
</file>

<file path=docProps/custom.xml><?xml version="1.0" encoding="utf-8"?>
<Properties xmlns="http://schemas.openxmlformats.org/officeDocument/2006/custom-properties" xmlns:vt="http://schemas.openxmlformats.org/officeDocument/2006/docPropsVTypes"/>
</file>