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25-TA-1814: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Ķīmisko vielu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13.07.2026. 16:51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"Regulas (EK) Nr. 1907/2006 33. panta 1. punktā noteiktais pienākums nav attiecināms uz izstrādājumiem, kurus piegādā Nacionālajiem bruņotajiem spēkiem valsts aizsardzības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aicinām ievērot iepriekš likumā atrunāto saīsinājumu, izslēdzot - "(EK)".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"Darbību veicējs, ja tas ir izstrādājuma piegādātājs atbilstoši regulas 1907/2006 3. panta 33. punktā minētajai definīcijai, sniedz informāciju Eiropas Ķimikāliju aģentūrai saskaņā ar regulas 1907/2006 33. panta 1. punktu, izņemot attiecībā uz izstrādājumiem, kurus piegādā Nacionālajiem bruņotajiem spēkiem valsts aizsardzības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šajā sadaļā sniegtās informācijas nepieciešamību un atbilstību. Anotācijas sadaļā "Tiesību akta projekta ietekme uz spēkā esošo tiesību normu sistēmu"</w:t>
            </w:r>
            <w:r w:rsidR="00000000" w:rsidRPr="00000000" w:rsidDel="00000000">
              <w:rPr>
                <w:rtl w:val="0"/>
              </w:rPr>
              <w:t xml:space="preserve"> norāda, kādi papildu tiesību akti (likumi, Ministru kabineta noteikumi vai saistošie noteikumi) ir jāizstrādā, jāgroza vai jāatzīst par spēku zaudējušiem</w:t>
            </w:r>
            <w:r w:rsidR="00000000" w:rsidRPr="00000000" w:rsidDel="00000000">
              <w:rPr>
                <w:rtl w:val="0"/>
              </w:rPr>
              <w:t xml:space="preserve">, lai jaunais regulējums pilnvērtīgi darbotos un nekonfliktētu ar citiem likumiem.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Norādot to, ka Ķīmisko vielu likuma 11. panta otrajā daļā ietvertais deleģējums pašreizējā redakcijā attiecināms uz rūpniecisko avārijas risku novērtēšanas kārtību un riska samazināšanas pasākumiem VANM ražotnēs un glabātavās, jo tās ir daļa no subjektiem, kas varētu veikt saimniecisko darbību ar bīstamām ķīmiskajām vielām un bīstamajiem maisījumiem, vedina izdarīt secinājumu, ka nekādi papildu grozījumi normatīvajos aktos nav nepieciešami. Tas savukārt ir pretrunā ar anotācijas 1.3. sadaļā "Risinājuma apraksts" norādīto, ka ir nepieciešams izstrādāt jaunus Ministru kabineta noteikumus, kam pilnvarojums ir noteikts Ķīmisko vielu likuma 11. panta otrajā daļā. No iepriekš minētā teksta un Ministru kabineta protokollēmumā norādītā izriet, ka ir rosināts grozīt pašreizējo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ja pašreizējais Ķīmisko vielu likuma 11. panta otrajā daļā ietvertais pilnvarojums ir pietiekams, būtu risināms jautājums par Ministru kabineta 2016. gada 1. marta noteikumu Nr. 131 "Rūpniecisko avāriju riska novērtēšanas kārtība un riska samazināšanas pasākumi" 4.1.</w:t>
            </w:r>
            <w:r w:rsidR="00000000" w:rsidRPr="00000000" w:rsidDel="00000000">
              <w:rPr>
                <w:vertAlign w:val="superscript"/>
                <w:rtl w:val="0"/>
              </w:rPr>
              <w:t xml:space="preserve">1</w:t>
            </w:r>
            <w:r w:rsidR="00000000" w:rsidRPr="00000000" w:rsidDel="00000000">
              <w:rPr>
                <w:rtl w:val="0"/>
              </w:rPr>
              <w:t xml:space="preserve"> apakšpunkta nepieciešamību, jo tieši šī norma nosaka, ka noteikumos Nr. 131 noteiktā kārtība nav attiecināma uz valsts aizsardzībai nozīmīgām militārām ražotnēm vai glabātavām, kuras par tādām atzinusi Aizsardzības ministrija, ja jānodrošina valsts noslēpuma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anotāciju un likumprojektu, lai nodrošinātu tiesiskā regulējuma skaidrību.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ministrijai sadarbībā ar Iekšlietu ministriju un Klimata un enerģētikas ministriju līdz 2027. gada 31. decembrim izstrādāt Ministru kabineta noteikumus, kuros nosakāma darbību ar bīstamām ķīmiskām vielām un maisījumiem saistīto rūpniecisko avārijas risku novērtēšanas kārtība un riska samazināšanas pasākumi valsts aizsardzībai nozīmīgās militārajās ražotnēs un glabātavās, kuras par tādām atzinusi Aizsardzības ministrija, kad jānodrošina valsts noslēpuma aizsardzība.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ir ārējs normatīvs akts, kas izdots kādā no Ministru kabineta iekārtas likuma 31. panta pirmajā daļā noteiktajiem gadījumiem, ja likums Ministru kabinetu tam īpaši pilnvarojis.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var ietvert pilnvarojumu likuma izpildes nodrošināšanai, vienlaikus ievērojot, ka visi galvenie jautājumi ir jāatrisina pašā likumā un ka deleģēt vēlams tikai pakārtotas nozīmes jautājumu regulēšanu.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svītrot Ministru kabineta protokollēmuma 3. punktu un pilnvarojumu Ministru kabinetam, ja tāds nepieciešams, ietvert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Ķīmisko vielu likuma 11. panta otrajā daļā jau ir ietverts pilnvarojums Ministru kabinetam noteikt ar bīstamajām ķīmiskajām vielām un bīstamajiem maisījumiem saistīto rūpniecisko avāriju riska novērtēšanas kārtību un riska samazināšanas pasākumus. Attiecīgi izdoti Ministru kabineta 2016. gada 1. marta noteikumi Nr. 131 "Rūpniecisko avāriju riska novērtēšanas kārtība un riska samazināšanas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3. punkts svītrots, Likumprojekts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ministrijai sadarbībā ar Iekšlietu ministriju un Klimata un enerģētikas ministriju izstrādāt un aizsardzības ministram līdz 2027. gada 31. decembrim noteiktā kārtībā iesniegt izskatīšanai Ministru kabinetā noteikumu projektu, kas nosaka darbību ar bīstamām ķīmiskām vielām un maisījumiem saistīto rūpniecisko avāriju riska novērtēšanas kārtību un riska samazināšanas pasākumus valsts aizsardzībai nozīmīgās militārajās ražotnēs un glabātavās, kuras par tādām atzinusi Aizsardzības ministrija, ja jānodrošina valsts noslēpuma aizsardzība.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ministrijai sadarbībā ar Iekšlietu ministriju un Klimata un enerģētikas ministriju līdz 2027. gada 31. decembrim izstrādāt Ministru kabineta noteikumus, kuros nosakāma darbību ar bīstamām ķīmiskām vielām un maisījumiem saistīto rūpniecisko avārijas risku novērtēšanas kārtība un riska samazināšanas pasākumi valsts aizsardzībai nozīmīgās militārajās ražotnēs un glabātavās, kuras par tādām atzinusi Aizsardzības ministrija, kad jānodrošina valsts noslēpuma aizsardzība.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lēmuma projekta 3. punktu. Vēršam uzmanību, ja paredzēta jaunu Ministru kabineta noteikumu sagatavošana, pilnvarojums to izdošanai nosakāms likumprojektā, nevis Ministru kabineta sēdes protokollēmumā. Arī gadījumā, ja pilnvarojums jau izriet no likuma, pārejas kārtība Ministru kabineta noteikumu izdošanai nosakāma tieši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minētā pārejas kārtība ir nepieciešama, lūdzam likumprojekta anotācijā arī skaidrot, vai likumprojekta 1. pants var efektīvi tikt piemērots līdz 2027. gada 31. decembrim bez attiecīgiem Ministru kabineta noteikumiem, bet pretējā gadījumā ierosinām likumprojektā paredzēt likumprojekta 1. panta spēkā stāšanos 2027. gada 31. decembrī.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3. punkts svītrots, Likumprojekts papildināts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ministrijai sadarbībā ar Iekšlietu ministriju un Klimata un enerģētikas ministriju izstrādāt un aizsardzības ministram līdz 2027. gada 31. decembrim noteiktā kārtībā iesniegt izskatīšanai Ministru kabinetā noteikumu projektu, kas nosaka darbību ar bīstamām ķīmiskām vielām un maisījumiem saistīto rūpniecisko avāriju riska novērtēšanas kārtību un riska samazināšanas pasākumus valsts aizsardzībai nozīmīgās militārajās ražotnēs un glabātavās, kuras par tādām atzinusi Aizsardzības ministrija, ja jānodrošina valsts noslēpuma aizsardzība.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12.06.2026. 18:36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"(10) Pienākums sniegt informāciju Eiropas Ķimikāliju aģentūrai atbilstoši regulas 1907/2006 33. panta 1. punktam nav attiecināms uz Nacionālajiem bruņotajiem spēkiem piegādāto militāro tehniku un ekipējumu."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redakcijā izmantotais formulējums “militārā tehnika un ekipējums” neatbilst Regulas (EK) Nr. 1907/2006 (turpmāk - REACH) 33. panta 1. punktā lietotajam terminam “izstrādājums” un var radīt interpretācijas neskaidrības attiecībā uz izņēmuma piemērošanas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REACH 33. panta 1. punktā noteiktais informācijas sniegšanas pienākums attiecas uz izstrādājumiem, kuru sastāvā ir īpaši bīstamas vielas noteiktā koncentrācijā. Savukārt jēdziens “izstrādājums” REACH regulā definēts plaši: “objekts, kam izgatavošanā piešķir īpašu formu, virsmu vai struktūru, kas nosaka tā funkcijas vairāk nekā ķīmiskais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Turpretim termini “militārā tehnika” un “ekipējums” nav definēti REACH regulā un var tikt interpretēti šaurāk, neaptverot visus Nacionālajiem bruņotajiem spēkiem piegādājamos izstrādājumus, piemēram, rezerves daļas, individuālos aizsardzības līdzekļus, sakaru aprīkojuma komponentes un citus izstrādājumus.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skaidrs, vai piedāvātais izņēmums attiektos uz visiem izstrādājumiem, uz kuriem attiecas REACH regulas 33. panta 1. punkts, vai tikai uz daļu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aicinām izvērtēt nepieciešamību saskaņot likumprojekta terminoloģiju ar REACH regulā lietoto terminoloģiju, izmantojot terminu “izstrādājumi”. Papildus aicinām precizēt Anotāciju, ietverot konkrētus izstrādājumu piemērus.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(EK) Nr. 1907/2006 33. panta 1. punktā noteiktais pienākums nav attiecināms uz izstrādājumiem, kurus piegādā Nacionālajiem bruņotajiem spēkiem valsts aizsardzības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"Darbību veicējs, ja tas ir izstrādājuma piegādātājs atbilstoši regulas 1907/2006 3. panta 33. punktā minētajai definīcijai, sniedz informāciju Eiropas Ķimikāliju aģentūrai saskaņā ar regulas 1907/2006 33. panta 1. punktu, izņemot attiecībā uz izstrādājumiem, kurus piegādā Nacionālajiem bruņotajiem spēkiem valsts aizsardzības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Ķīmisko vielu likumā (Latvijas Republikas Saeimas un Ministru Kabineta Ziņotājs, 1998, 10. nr.; 2001, 3., 22. nr.; 2003, 23. nr.; 2005, 15. nr.; 2007, 24. nr.; Latvijas Vēstnesis, 2009, 182., 194. nr.; 2010, 178., 205. nr.; 2012, 92. nr.; 2014, 189. nr.; 2017, 222. nr.; 2020, 106. nr.; 2021, 12A nr.; 2026, 79A 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papildināt Ķīmisko vielu likuma 24.pantu, paredzot Aizsardzības ministrijas kompetenci administratīvo pārkāpumu procesā.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likuma grozījumiem nav paredzēts ieviest Aizsardzības ministrijas kompetenci administratīvo pārkāpumu procesu ierosināšanā, veikšanā un noslēgšanā nosakot sodu vai izbeidzot procesu, ņemot vērā, ka tam šobrīd nav paredzēts administratīvais resurss, kā arī jau šobrīd šo funkciju veic citas valsts iestādes un dienesti, kā Valsts vides dienests. Saglabājot esošo panta redakciju un katras iestādes un dienesta kompetenci un uzdevumus, tiek saglabāta tiesiskā noteiktība un novērsta jaunu funkciju un kompetenču noteikšana, kas varētu dublēt un pārklāties ar jau pastāvošām citu iestāžu un dienestu funkcijām.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Ķīmisko vielu likumā (Latvijas Republikas Saeimas un Ministru Kabineta Ziņotājs, 1998, 10. nr.; 2001, 3., 22. nr.; 2003, 23. nr.; 2005, 15. nr.; 2007, 24. nr.; Latvijas Vēstnesis, 2009, 182., 194. nr.; 2010, 178., 205. nr.; 2012, 92. nr.; 2014, 189. nr.; 2017, 222. nr.; 2020, 106. nr.; 2021, 12A nr.; 2026, 79A 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iesniegto likumprojektu.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MK sēdes protokollēmumā ietvert Likumprojekta anotācijā minēto Ministru kabineta noteikumu izstrādes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protokollēmums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iesniegto likumprojektu.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01.08.2025. 14:30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Informācijas sniegšana ražotājam (darbību veicējam) Eiropas Ķimikāliju aģentūrai atbilstoši regulas 1907/2006 33. panta 1. punktam netiek attiecināta uz Nacionālajiem bruņotajiem spēkiem piegādāto militāro tehniku un ekipējumu".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izslēgt norādi uz ražotāju vai darbību veicēju. Alternatīvi lūdzam norādes "ražotājam (darbību veicējam)" vietā lietot minētos vārdus apvienojošu terminu, kas atbilst attiecīgajai regulai, proti, terminu "piegādātājs". Skaidrojam, ka atbilstoši juridiskās tehnikas prasībām normatīvajā aktā nelieto sinonīmus un vienu lietu konsekventi sauc vienā un tajā pašā vārdā. Tāpat atbilstoši juridiskās tehnikas prasībām, termins ir jālieto vienā nozīmē, un tas nav aizstājams ar sinonīmiem.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Informācijas sniegšana ražotājam (darbību veicējam) Eiropas Ķimikāliju aģentūrai atbilstoši regulas 1907/2006 33. panta 1. punktam netiek attiecināta uz Nacionālajiem bruņotajiem spēkiem piegādāto militāro tehniku un ekipējumu".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KEM vērš uzmanību uz REACH regulas 3. panta 33. punktā noteikto "izstrādājuma piegādātājs" definīciju, kas noteic, ka izstrādājuma piegādātājs ir jebkurš izstrādājuma izgatavotājs vai importētājs, izplatītājs vai cits piegādes ķēdes dalībnieks, kas laiž izstrādājumu tirgū. Savukārt “ražotājs” ir jebkura ES reģistrēta fiziska vai juridiska persona, kas ES ražo kādu vielu (REACH regulas 3. panta 9. punkts). Kā arī REACH regulas kontekstā vielu vai maisījumu importētājiem ir līdzvērtīga atbildība kā ražotājiem. Norādām, ka saskaņā ar Ķīmisko vielu likuma 1. panta 2) apakšpunktā noteikto definīciju “darbību veicējs”, ir jebkura fiziskā vai juridiskā persona, kas veic darbības ar ķīmiskajām vielām vai maisījumiem (t.i. gan ražotāji, gan importētāji, gan citi piegādes ķēdes dalībnieki - kas var piegādāt izstrādājumu) un šī likumā 1. panta 1) apakšpunktā ir uzskaitītas darbības ar ķīmiskajām vielām vai maisījumiem, t.sk. ražošana un importēšana. Atbilstoši ECHA 2020. gada oktobra vadlīnijām “Prasības SCIP paziņojumiem”, SCIP paziņošanas pienākums ECHA jāsniedz šādiem izstrādājumu piegādātājiem: ES izgatavotājiem un komplektētājiem, ES importētājiem, ES izstrādājumu izplatītājiem un citiem dalībniekiem, kas laiž izstrādājumus tirgū, kā arī sniegts skaidrojums. Kā arī skaidrojums par pieļaujamo atbrīvojumu no REACH 33. panta 1. punkta ir sniegts https://qnapublic.echa.europa.eu/QnA/QnA?id=6857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KEM lūdz precizēt 9. panta desmitajā daļā terminu "ražotājam (darbību veicējam)" aizstājot ar citu terminu, ņemot vērā to, ka 9. panta devītajā daļā noteiktā informācijas sniegšanas prasība ECHA saskaņā ar REACH regulas 33. panta 1. punktu (Pienākums paziņot informāciju par vielām izstrādājumos) ir attiecināma uz darbību veicēju, ja tas ir izstrādājuma piegādātājs atbilstoši regulas 1907/2006 3. panta 33. punktā minētajai definīcijai: jebkurš izstrādājuma izgatavotājs vai importētājs, izplatītājs vai cits piegādes ķēdes dalībnieks, kas laiž izstrādājumu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1. punktā minēto, lūdzam attiecīgi precizēt anotācijas tekstu. Lūdzam papildus skaidrot izņēmuma tvērumu, jo likumprojekta grozījumā tas tiek attiecināts tikai uz NBS piegādāto militāro tehniku un ekipējumu. Aicinām izvērtēt un anotācijā papildināt par  izņēmuma neattiecināšanu uz tiem gadījumiem, kad Latvijā ražots militārais ekipējums netiks piegādāts Latvijas NBS, jo šādā gadījumā paziņošanas pienākums būs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aizpildīšanas tehniskās prasības ir noteiktas Ministru kabineta 2021. gada 7. septembra noteikumos Nr. 617 "Tiesību akta projekta sākotnējās ietekmes izvērtēšanas kārtība".  Minēto noteikumu 15. punkts paredz tās anotācijas sadaļas, kas ir aizpildāmas visiem projektiem. No projekta anotācijas var secināt, ka ir aizpildīta tikai tā 1. sadaļa, no kā grūti izdarīt secinājumus par projekta ietekmi uz sabiedrību, starptautisko un nacionālo normatīvo regulējumu un citu institūciju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noformēt anotāciju atbilstoši Ministru kabineta 2021. gada 7. septembra noteikumu Nr. 617 "Tiesību akta projekta sākotnējās ietekmes izvērtēšanas kārtība"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Ķīmisko vielu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nosaukumu, ņemot vērā, ka netiek izdots jauns Ķīmisko vielu likums, bet gan veikts grozījums tajā.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Ķīmisko vielu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Ķīmisko vielu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Ķīmisko vielu likumā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tiek virzīti Grozījumi Ministru kabineta 2016. gada 1. marta noteikumos Nr. 131 "Rūpniecisko avāriju riska novērtēšanas kārtība un riska samazināšanas pasākumi" (Tiesību akta lietas ID 25-TA-741), lai papildinātu ar izņēmumu uz ko noteikumi neattiecas, konkrēti, valsts aizsardzībai nozīmīgām militārām ražotnēm vai glabātavām, kuras par tādām atzinusi Aizsardzības ministrija, gadījumos, kad jānodrošina valsts noslēpuma aizsardzība. Valsts aizsardzībai nozīmīgās militārās ražotnes vai glabātavas tiek izslēgtas no MK noteikumiem Nr. 131, jo to iekļaušana varētu radīt informācijas atklāšanu, kas varētu nelabvēlīgi ietekmēt sabiedrisko drošību vai valsts aizsardzību. Ievērojot, ka Ķīmisko vielu likuma 4. panta ceturtā daļa nosaka, ka Aizsardzības ministrija uzrauga darbības ar ķīmiskajām vielām vai maisījumiem NBS, ir nepieciešams izdarīt grozījumus šajā likumā, lai papildinātu Aizsardzības ministrijas kompetenci arī par tāda veida objektu uzraudzību kā valsts aizsardzībai nozīmīgās militārās ražotnes un  glabātavas. Ievērojot iepriekš minēto, KEM aicina Aizsardzības ministriju veikt atbilstošos grozījumus Ķīmisko vielu likuma 4. panta ceturtā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likumprojekts ar grozījumu Ķīmisko vielu likuma 4. panta ceturtajā daļā un attiecīgi papildināta likumprojekta anotācija ar informāciju par grozījumu Ķīmisko vielu likuma 4. 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Ķīmisko vielu likumā (Latvijas Republikas Saeimas un Ministru Kabineta Ziņotājs, 1998, 10. nr.; 2001, 3., 22. nr.; 2003, 23. nr.; 2005, 15. nr.; 2007, 24. nr.; Latvijas Vēstnesis, 2009, 182., 194. nr.; 2010, 178., 205. nr.; 2012, 92. nr.; 2014, 189. nr.; 2017, 222. nr.; 2020, 106. nr.; 2021, 12A nr.; 2026, 79A 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Informācijas sniegšana ražotājam (darbību veicējam) Eiropas Ķimikāliju aģentūrai atbilstoši regulas 1907/2006 33. panta 1. punktam netiek attiecināta uz Nacionālajiem bruņotajiem spēkiem piegādāto militāro tehniku un ekipējumu".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Pienākums sniegt informāciju Eiropas Ķimikāliju aģentūrai atbilstoši regulas 1907/2006 33. panta 1. punktam nav attiecināms uz Nacionālajiem bruņotajiem spēkiem piegādāto militāro tehniku un ekipējumu”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Informācijas sniegšana ražotājam (darbību veicējam) Eiropas Ķimikāliju aģentūrai atbilstoši regulas 1907/2006 33. panta 1. punktam netiek attiecināta uz Nacionālajiem bruņotajiem spēkiem piegādāto militāro tehniku un ekipējumu".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likumprojekta anotācijas 5. sadaļu papildināt ar skaidrojumu par Eiropas Parlamenta un Padomes Regulas (EK) Nr. 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2. panta 3. punktā ietvertās rīcības brīvības izmantošanu likumprojektā, skaidrojot šajā sadaļā arī apsvērumus rīcības brīvības izmantošanai.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likuma spēkā stāšanās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stājas spēkā vispārējā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grozījumu sagatavošanas tehniskās prasības ir noteiktas Ministru kabineta 2009.gada 3.februāra noteikumos Nr. 108 "Normatīvo aktu projektu sagatavošanas noteikumi" 2.9. apakšnodaļā. Tā kā likumprojektā nav norādīts korekts nosaukums (nav norādīts, ka tie ir grozījumi), nav norādes uz likuma un tā grozījumu publikācijām laikrakstā "Latvijas Vēstnesis" (laikraksta nosaukums, attiecīgo laikraksta numuru izdošanas gadu un numuru uzskaitījums) (68.3.apakšpunkts), lūdzam precizēt likumprojektu atbilstoši minētajām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25-TA-1814</w:t>
    </w:r>
    <w:r>
      <w:br/>
    </w:r>
    <w:r w:rsidR="00000000" w:rsidRPr="00000000" w:rsidDel="00000000">
      <w:rPr>
        <w:rtl w:val="0"/>
      </w:rPr>
      <w:t xml:space="preserve">11.08.2026. 12.14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25-TA-1814</w:t>
    </w:r>
    <w:r>
      <w:br/>
    </w:r>
    <w:r w:rsidR="00000000" w:rsidRPr="00000000" w:rsidDel="00000000">
      <w:rPr>
        <w:rtl w:val="0"/>
      </w:rPr>
      <w:t xml:space="preserve">11.08.2026. 12.14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Izziņa_25-TA-1814.docx</dc:title>
</cp:coreProperties>
</file>

<file path=docProps/custom.xml><?xml version="1.0" encoding="utf-8"?>
<Properties xmlns="http://schemas.openxmlformats.org/officeDocument/2006/custom-properties" xmlns:vt="http://schemas.openxmlformats.org/officeDocument/2006/docPropsVTypes"/>
</file>