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14. maija noteikumos Nr. 289 "Noteikumi par valsts metroloģiskajai kontrolei pakļauto mērīšanas līdzekļu sarakstu"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Ekonomikas ministrijas (turpmāk tekstā - EM) sagatavoto normatīvā akta projektu “Noteikumi par valsts metroloģiskajai kontrolei pakļauto mērīšanas līdzekļu sarakstu” (turpmāk tekstā - Projekts) un konceptuāli atbalsta EM priekšlikumu daudzdzīvokļu dzīvojamās mājas dzīvokļos uzstādīto mērierīču, kuras izmanto iekšējai dzīvojamās mājas dzīvokļu maksājumu sadalei verifikācijas nosacījumu noteikšanu pārcelt dzīvokļu īpašnieku kopības kompetencē. Vienlaikus LDDK izsaka iebildumu pret Noteikumu Pielikuma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7.punkta nosacījumiem atbilstīgas mērīšanas ierīces var tikt izmantotas gan norēķiniem starp siltumenerģijas piegādātāju un daudzdzīvokļu māju, kā vienotu patērētāju, gan tikt izmantotas tikai savstarpējo norēķinu sadalījuma funkcijai starp dzīvokļiem. LDDK ieskatā dzīvojamo māju ievadā uzstādītajām mērīšanas ierīcēm obligātās prasības var būt atbilstīgas Projektā paredzētajām, savukārt dzīvokļos uzstādīto mērīšanas ierīču verificēšanas nosacījumu noteikšana būtu jānodod dzīvokļu īpašnieku kopības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tab/>
            </w:r>
            <w:r>
              <w:br/>
            </w:r>
            <w:r w:rsidR="00000000" w:rsidRPr="00000000" w:rsidDel="00000000">
              <w:rPr>
                <w:rtl w:val="0"/>
              </w:rPr>
              <w:t xml:space="preserve">Izteikt 7.punkta Mērīšanas līdzekļa nosaukuma sadaļu šādā redakcijā:</w:t>
            </w:r>
            <w:r>
              <w:tab/>
            </w:r>
            <w:r>
              <w:br/>
            </w:r>
            <w:r w:rsidR="00000000" w:rsidRPr="00000000" w:rsidDel="00000000">
              <w:rPr>
                <w:rtl w:val="0"/>
              </w:rPr>
              <w:t xml:space="preserve">“Siltumenerģijas skaitītāji atbilstoši to nominālajam diametram (DN), izņemot daudzdzīvokļu dzīvojamās mājas dzīvokļos uzstādītos skaitītājus”;</w:t>
            </w:r>
            <w:r>
              <w:tab/>
            </w:r>
            <w:r>
              <w:br/>
            </w:r>
            <w:r>
              <w:tab/>
            </w:r>
            <w:r>
              <w:br/>
            </w:r>
            <w:r w:rsidR="00000000" w:rsidRPr="00000000" w:rsidDel="00000000">
              <w:rPr>
                <w:b w:val="1"/>
                <w:rtl w:val="0"/>
              </w:rPr>
              <w:t xml:space="preserve">Priekšlikums</w:t>
            </w:r>
            <w:r>
              <w:tab/>
            </w:r>
            <w:r>
              <w:br/>
            </w:r>
            <w:r w:rsidR="00000000" w:rsidRPr="00000000" w:rsidDel="00000000">
              <w:rPr>
                <w:rtl w:val="0"/>
              </w:rPr>
              <w:t xml:space="preserve">7.1.punkta Mērīšanas līdzekļa nosaukuma sadaļu papildināt ar robežlielumiem;</w:t>
            </w:r>
            <w:r>
              <w:tab/>
            </w:r>
            <w:r>
              <w:br/>
            </w:r>
            <w:r>
              <w:tab/>
            </w:r>
            <w:r>
              <w:br/>
            </w:r>
            <w:r w:rsidR="00000000" w:rsidRPr="00000000" w:rsidDel="00000000">
              <w:rPr>
                <w:b w:val="1"/>
                <w:rtl w:val="0"/>
              </w:rPr>
              <w:t xml:space="preserve">Priekšlikums</w:t>
            </w:r>
            <w:r>
              <w:tab/>
            </w:r>
            <w:r>
              <w:br/>
            </w:r>
            <w:r w:rsidR="00000000" w:rsidRPr="00000000" w:rsidDel="00000000">
              <w:rPr>
                <w:rtl w:val="0"/>
              </w:rPr>
              <w:t xml:space="preserve">Izteikt 4.5.punkta Mērīšanas līdzekļa nosaukuma sadaļu šādā redakcijā:</w:t>
            </w:r>
            <w:r>
              <w:tab/>
            </w:r>
            <w:r>
              <w:br/>
            </w:r>
            <w:r w:rsidR="00000000" w:rsidRPr="00000000" w:rsidDel="00000000">
              <w:rPr>
                <w:rtl w:val="0"/>
              </w:rPr>
              <w:t xml:space="preserve">“mehāniskie ūdens patēriņa skaitītāji, izņemot daudzdzīvokļu dzīvojamās mājas dzīvokļos uzstādītos skaitītājus”</w:t>
            </w:r>
            <w:r>
              <w:tab/>
            </w:r>
            <w:r>
              <w:br/>
            </w:r>
            <w:r>
              <w:tab/>
            </w:r>
            <w:r>
              <w:br/>
            </w:r>
            <w:r w:rsidR="00000000" w:rsidRPr="00000000" w:rsidDel="00000000">
              <w:rPr>
                <w:b w:val="1"/>
                <w:rtl w:val="0"/>
              </w:rPr>
              <w:t xml:space="preserve">Priekšlikums</w:t>
            </w:r>
            <w:r>
              <w:tab/>
            </w:r>
            <w:r>
              <w:br/>
            </w:r>
            <w:r w:rsidR="00000000" w:rsidRPr="00000000" w:rsidDel="00000000">
              <w:rPr>
                <w:rtl w:val="0"/>
              </w:rPr>
              <w:t xml:space="preserve">Izteikt 4.6.punkta Mērīšanas līdzekļa nosaukuma sadaļu šādā redakcijā:</w:t>
            </w:r>
            <w:r>
              <w:tab/>
            </w:r>
            <w:r>
              <w:br/>
            </w:r>
            <w:r w:rsidR="00000000" w:rsidRPr="00000000" w:rsidDel="00000000">
              <w:rPr>
                <w:rtl w:val="0"/>
              </w:rPr>
              <w:t xml:space="preserve">“elektromagnētiskie un ultraskaņas ūdens patēriņa skaitītāji, izņemot daudzdzīvokļu dzīvojamās mājas dzīvokļos uzstādītos skaitītājus”;</w:t>
            </w:r>
            <w:r>
              <w:tab/>
            </w:r>
            <w:r>
              <w:br/>
            </w:r>
            <w:r>
              <w:tab/>
            </w:r>
            <w:r>
              <w:br/>
            </w:r>
            <w:r w:rsidR="00000000" w:rsidRPr="00000000" w:rsidDel="00000000">
              <w:rPr>
                <w:b w:val="1"/>
                <w:rtl w:val="0"/>
              </w:rPr>
              <w:t xml:space="preserve">Priekšlikums</w:t>
            </w:r>
            <w:r>
              <w:tab/>
            </w:r>
            <w:r>
              <w:br/>
            </w:r>
            <w:r w:rsidR="00000000" w:rsidRPr="00000000" w:rsidDel="00000000">
              <w:rPr>
                <w:rtl w:val="0"/>
              </w:rPr>
              <w:t xml:space="preserve">2.3. punkta Verificēšanas periodiskuma sadaļā skaitli “3” aizstāt ar skaitli “5”.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12.maija sanāksmē ar LDDK pārstāvi panākta vienošanās par LDDK izteikto iebildumu - anotācijā papildināts ar informāciju, ka alokatori nav mērīšanas līdzekļi, jo neuzrāda mērīšanas rezultātu mērvienībās un neveic patērētās siltumenerģijas uzskaiti, līdz ar to alokatori nepakļaujas valsts metroloģiskajai kontrolei un uz tiem nav attiecināma atkārtotās verificēšanas prasība.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"OB serviss" - 26.04.2025.)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Regulējuma atcelšana rada risku patērētāju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prasības atcelšana pēc būtības likvidē patlaban vienīgo kontroles mehānismu, kas nodrošina skaitītāju tehnisko atbilstību ilgtermiņā. PTAC konstatētie pārkāpumi nenorāda uz regulējuma bezjēdzību, bet uz nepietiekamu tā uzraudzību. Atceļot atkārtotās verificēšanas prasību, pastāv būtisks risks, ka daudzdzīvokļu māju dzīvokļos turpinās darboties nederīgi vai neprecīzi skaitītāji. Rezultātā patērētāji var tikt pakļauti neprecīziem ūdens norēķiniem, zaudējumiem un uzticības zudumam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Nevienlīdzīga pieeja dažāda veida mērīšanas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kāpēc tiek atcelta tikai dzīvokļu ūdens skaitītāju obligātā atkārtotā verifikācija, kamēr komercuzskaites skaitītājiem tā tiek saglabāta. Verificēšanas metodes abos gadījumos būtībā ir vienādas, tās atšķiras vienīgi pielietojamo plūsmu līmeņos. Turklāt, ja pastāv šaubas par laboratoriju kvalitāti, tad attiecīgie riski attiecas uz visiem skaitītājiem, neatkarīgi no to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Ekonomiskā ietekme uz laboratoriju nozari un tarifiem;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Laboratorijām paredzētais apjoma samazinājums (par ~90%) radīs neizbēgamu pakalpojumu cenu kāpumu, jo laboratorijām joprojām būs jāsaglabā infrastruktūra un speciālisti. Jau šobrīd tiek prognozēta aptuveni pieckārtīga tarifa palielināšanās komercuzskaites skaitītāju verificēšanai. Tas savukārt radīs situāciju, kurā ūdenssaimniecības uzņēmumi būs spiesti izvēlēties starp pārāk dārgu verifikāciju vai pilnīgi jauna skaitītāja iegādi. Abi scenāriji sadārdzinās ūdens pakalpojumu cenu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Nepietiekama alternatīvu izvērtēšana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apsvērti citi iespējamie risinājumi – piemēram, stingrāka uzraudzība, sankciju piemērošana pārkāpējiem vai moderno tehnoloģiju ieviešana precizitātes nodrošināšanai. Tā vietā tiek piedāvāts likvidēt kontroli pašos pamatos.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Pretruna ar ES normām un ilgtermiņa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Paredzamie regulējumi būtībā ļauj izmantot dzīvokļu individuālos skaitītājus bez laika ierobežojuma. Līdz ar to būtiski pasliktināsies ūdens uzskaite dzīvokļos, kas varētu arī ietekmēt Latvijas īstenotās aktivitātes ūdens resursu taupīšanā. Valstiski šis varētu arī iespējams radīt problēmas pret ES. Ir vismaz 3 direktīvas, kurās minēta ūdens resursu taupīšana: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pamatdirektīva (2000/60/EK)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Dzeramā ūdens direktīva (98/83/EK)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stratēģijas pamatdirektīva (2008/56/EK)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skaitītāji ir daļa no plašākas energoefektivitātes politikas un patērētāju aizsardzības mehānisma. Verifikācijas prasības atcelšana var būt pretrunā ar ES direktīvām un apdraudēt ilgtspējīgu attīstību, īpaši ņemot vērā Eiropas Zaļā kursa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Nepietiekams ietekmes novērtējums un datu neprecizitāte;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izmantotie ekonomiskie aprēķini ir apšaubāmi, jo nav veikta visaptveroša tirgus izpēte. Piemēram, verificēšanas izmaksas tirgū ir par vismaz 25% zemākas nekā anotācijā uzrādītās, kā arī neviens nav sniedzis apkopojumus par to, cik procentuāli lielu daļu sastāda skaitītāji kuriem nedrīkstētu tikt pešķirta atkārtotās verificēšanas atzīme, bet tā tika piešķirta, no visiem ekspluatācijā esošiem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Vienota nozares nostāja – priekšlikums pārsteidz un destabilizē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sabiedrība, gan nozares pārstāvji (ūdenssaimniecības pakalpojumu sniedzēji, apsaimniekotāji, komersanti, asociācijas,) pauž bažas par sagatavotā priekšlikuma pārsteidzīgumu un tā negatīvajām sekām uz nozares stabilitāti un pārredzamību. Tā vietā vajadzīga ilgtermiņā pārdomāta reforma.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atkārtotās verificēšanas atcelšana nerada risku patērētāju tiesību pārkāpumiem, bet aizsargā patērētāju no neefektīva verificēšanas pakalpojuma, atceļot obligātu verificēšanas veikšanu un samazinot administratīvās izmaksas.  No PTAC uzraudzības rezultātiem, izriet, ka iedzīvotāji lieto inspicēšanas institūcijām par derīgiem atzītus nederīgus ūdens patēriņa skaitītājus, līdz ar to iedzīvotāji lieto neatbilstošus ūdens patēriņa skaitītājus un saņem nekvalitatīvu pakalpojumu no inspicēšanas institūcijām. Iedzīvotājiem kopīgi vienojoties ir iespējams izvēlēties kā norēķināties par patērēto ūdens daudzumu, tieši neizmantojot ūdens patēriņa skaitītājus, piemēram, pēc atsevišķo īpašuma skaita, deklarēto personu skaita u.c. nosacījumi. Gadījumā, ja iedzīvotājs konstatē problēmas ar skaitītāja radījumu, tad iedzīvotājam ir tiesības aizvest skaitītāju uz ārpuskārtas verificēšanu, lai pārliecinātos par skaitītāja mērījumu precizitāti.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Daudzdzīvokļu dzīvojamās mājās iedzīvotāji šobrīd par patērēto ūdens daudzumu norēķinās gan pēc dzīvokļos esošajiem ūdens patēriņa skaitītājiem, gan pēc mājas ievadā esošā ūdens patēriņa skaitītāja. Dzīvokļos esošie skaitītāji veic savstarpēju norēķina sadalījuma funkciju starp dzīvokļiem, bet mājas ievadā esošais skaitītājs uzskaita visu dzīvojamās mājas kopējo ūdens patēriņu.  Turklāt dzīvokļu īpašnieku kopība var izvēlēties, kā norēķināties par patērēto ūdens daudzumu starp dzīvokļiem.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nav informācijas par cik samazināsies peļņa inspicēšanas institūcijām, atceļot atkārtoto verificēšanu. Kopumā ir 5 inspicēšanas institūcijas, kas nodarbojas ar ūdens skaitītāju atkārtoto verificēšanu, no kurām 4 institūcijas papildus nodarbojas ar citu mērīšanas līdzekļu atkārtoto verificēšanu vai kalibrēšanu un 1 institūcija papildus nodarbojas ar mērīšanas līdzekļu uzstādīšanu un alokatoru uzstādīšanu. Turklāt, ja palielināsies tarifs par mājas ievadā esošā skaitītāja atkārtoto verificēšanu, tad mājas iedzīvotāji un apsaimniekotāji ekonomiski izvērtē, vai ūdens skaitītājam veikt atkārtoto verificēšanu, vai iegādāties jaunu ūdens skaitītāju.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PTAC pārbaudes rezultātiem, nav nepieciešams anotācijā izvērtēt alternatīvus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Atceļot atkārtoto verificēšanu, Ekonomikas ministrija nesaskata pretrunu ar ES normām un ilgtermiņa mērķiem, jo katra ES dalībvalsts var brīvi noteikt, kurus mērīšanas līdzekļus pakļaut valsts metroloģiskajai kontrolei un attiecīgi arī atkārtotās verificēšanas periodiskumu. Mērīšanas līdzekļiem atkārtotās verificēšanas prasība ir nacionālā prasība. Turklāt ES direktīvās nav noteiktas normas saistībā ar atkārtotās verificēšanas periodiskumu.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Norādām, ka anotācijā veiktie aprēķini  ir aprēķināti, pamatojoties uz publiskajā vidē norādītajām izmaksām. Lai skaitītājam veiktu atkārtoto verificēšanu, skaitītājs ir jānoņem un jāuzstāda, tādēļ anotācijā kopējās izmaksas ir aprēķinātas, gan par atkārtoto verificēšanu, gan par skaitītāju noņemšanu, gan par uzstādīšanu.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Informējam, ka noteikumu projekta izstrādes procesā, Ekonomikas ministrija nav saņēmusi no iesaistītajām pusēm datos balstītu un argumentētu viedokli, lai kopīgi rastu iespējami optimālāko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"NĪP management"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ierosinātiem grozījumiem nav skaidrs, kas notiks jautājumā ar ūdens patēriņa starpību daudzdzīvokļu dzīvojamās mājās, ja šobrīd pārvaldniekiem / apsaimniekotājiem jau ir noskaidrojusies situācija un ir risinājumi, tad, kas notiks situācijā, kad skaitītāji netiks pārbaudīti / mainīti, kāds būs likumīgs rīks pārvaldniekam uzlikt dzīvokļa īpašniekam pienākumu veikt skaitītāja pārbaudi, ja starpība veidosies vairāk ne kā 20% no kopējā patēriņa un būs acīm redzams, ka kāds uz šīs normas mēģinās ekonomēt, tādējādi nodarot zaudējumus pārējiem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izprotami grozījumi, ja tiktu noteikts, ka apgrozībā nedrīkst lais skaitītājus, kas vecāki par noteiktu laiku vai jau ir darbojušies divus ciklus, bet pilnībā atcelt to pārbaudi, tad ir pilnībā jāatceļ aprēķina metodika patērētam ūdenim pēc skaitītāju rādījumiem un, piemēram, jānosaka, ka kopējā ievada skaitītāja patēriņš jāizdala uz dzīvokļu īpašumu skaitu, lai tad īpašnieki maksā uz pilnu jaudu, neatkarīgi cik kurš lieto.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darbiniekiem vajadzētu ieklausīties un aprunāties ar šājā nozarē strādājošiem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šajā </w:t>
            </w:r>
            <w:r w:rsidR="00000000" w:rsidRPr="00000000" w:rsidDel="00000000">
              <w:rPr>
                <w:u w:val="single"/>
                <w:rtl w:val="0"/>
              </w:rPr>
              <w:t xml:space="preserve">projektā paredzētie grozījumi attiecas tikai uz ūdens patēriņa skaitītāju atkārtotās verificēšanas periodiskuma atcelšanu</w:t>
            </w:r>
            <w:r w:rsidR="00000000" w:rsidRPr="00000000" w:rsidDel="00000000">
              <w:rPr>
                <w:rtl w:val="0"/>
              </w:rPr>
              <w:t xml:space="preserve"> nevis uz ūdens patēriņa starpību rašanās cēloņiem. Ūdens patēriņa starpībai var būt vairāki iemesli, piemēram, aizsērējis skaitītājs, neatbilstoša uzstādīšana, skaitītāju dažādais jūtības slieksnis, ūdensapgādes sistēmas sliktais tehniskais stāvoklis. Ņemot vērā, ka turpmāk ūdens patēriņa skaitītājiem nevajadzēs veikt atkārtoto verificēšanu, dzīvokļu īpašnieku kopība var vienoties kādā veidā norēķināties par patērēto ūdens daudzumu, piemēram, vai izmantos neverificētus ūdens patēriņa skaitītājus, vai jaunus skaitītājus, vai pēc deklarētā cilvēku skaita, vai pēc atsevišķa cilvēku skaita. Gadījumā, ja ūdens patēriņa starpība veidojas vairāk ne kā 20%, tad pārvaldnieks var pieprasīt veikt skaitītājiem ārpuskārtas verificēšanu vai nomainīt uz jaunu skaitītāju.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"House Manager"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Sekojot līdzi šiem likuma grozījumiem virzoties uz priekšu to redakcija paliek ar vien sliktāka lietotājiem. Tagad sanāk ka vispār tiek noņemta kontole no ūdens skaitītājiem cilvēki varēs atstāt vecos skaitītājus kurus var ietekmēt ar magnētiem un nemaksās par ūdeni. Ūdens skaitītāju būtībai ir jābūt ūdens pareizai uzskaite. Ūdens skaitītāji atrodas dzīvokļos un tos nav iespējams nokontrolēt. Antotācijā rakstīts ka esošie skaitītāji veicot atkārtotu verifikāciju liels % ir jāatdzīst par lietošai nederīgiem. Tagad likums paredz tos atstāt lietošanai bez kontroles. Kāds tam ir pamatojums? Tas būtu ka pa ielu varētu braukt ar automašīnu kura neatbilst nekādiem ceļu satiksmes noteikumiem.  Šie skaitītāji kaut kā griezīsies, bet skaitīs nepareizi. Prioritātei ir jābūt pareizai ūdens uzskaitei vienīgai problēma ūdens uzskaitē ir ūdens patēriņu starpība. Ūdens skaitītāji nerada slogu dzīvokļu īpašniekiem slogu (esošais slogs 0,60 eur/mēnesī), bet slogu radīs kaimiņi kuri zags ūdeni un par to maksās godīgie cilvēki pēc mūsu pieredzes viens dzīvoklis par ūdens starpību vidēji mēnesī maksā 1.50 eur/mēnesī noņemot kontroli no skaitītājiem šis slogs tikai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valsts nav izstrādājusi sistēmu kā labratorijām veikt skaitītāju verifikācija nav jāciešs gala patērētājiem. Tas ka skaitītāju verifikācija rada slogu iedzīvotājiem vispār neiztur nekādu kritiku. Kā jau iepriekš rakstītājām ir jāatstāj iespēju skaitītāju verificēt četras reizes un liekot jaunu skaitītāju nosakot astoņu kadu termiņu līdz verifikācijai tā no tirgus izslēdzot vecos fiziski nolietotos skaitītājus ar kuriem ir viss lielākās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laikā saņemti iebildumi no 7 fiziskām personām, 9 juridiskām personām un Latvijas namu pārvaldītāju un apsaimniekotāju asociācijas bija ļoti pamatoti, bet neesat tos ņēmuši vērā tikai vēl pasliktinājuši grozījumus. Nevienā no sabiedrības iesniegtajiem argumentiem nebija rakstīts par vispārīgas kontroles atcelšanas un atstāt esošos skaitītājus lietošanā bez termiņa. Kā vispār izlasot argumentus var nonākt pie tāda risinājuma? Mēraparāta būtība ir ka tas veic pareizu uzskaiti, tagad to vēlaties atcelt tam būs ļoti sliktas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Lūdzu kārtīgi izvērtēt plānotos grozījumus un ņemt vērā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rakstītājām ir jāatstāj iespēju skaitītāju verificēt četras reizes un liekot jaunu skaitītāju nosakot astoņu kadu termiņu līdz verifikācijai tā no tirgus izslēdzot vecos fiziski nolietotos skaitītājus ar kuriem ir viss lielākās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anotācijā norādīts, PTAC uzraudzības rezultāti liecina, ka dzīvokļos esošajiem skaitītājiem atkārtotās verificēšanas process ir neefektīvs un nav nepieciešams noteikt atkārtoto verificēšanu kā obligātu prasību dzīvokļos esošajiem skaitītājiem, kā arī iedzīvotājiem ir tiesības saņemt kvalitatīvu pakalpojumu. Ūdens patēriņa starpību rašanās iemesli var būt dažādi, piemēram, aizsērējis skaitītājs, neatbilstoša uzstādīšana, skaitītāju dažādais jūtības slieksnis, ūdensapgādes sistēmas sliktais tehniskais stāvoklis. Turklāt paredzētie grozījumi neatceļ prasību, ka dzīvokļu īpašnieku kopība var vienoties kādā veidā norēķināties par patērēto ūdens daudzumu, piemēram, vai izmantot neverificētu ūdens patēriņa skaitītāju, vai jaunu skaitītāju, vai pēc deklarētā cilvēku skaita, vai pēc atsevišķa cilvēku skaita, līdz ar to iedzīvotājiem dota brīva izvēle, kā norēķināties par patērēto ūdens daudzumu.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laikā iesniegtie iebildumi netika ņemti vērā, jo noteikumu projektā tika mainīts saturs un paredzētie grozījumi atceļ obligāto atkārtotās verificēšanas prasību nevis ūdens patēriņa starpības rašanās iemeslus.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"House Manager" - 11.04.2025.)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laikā saņemti iebildumi no 7 fiziskām personām, 9 juridiskām personām un Latvijas namu pārvaldītāju un apsaimniekotāju asociācijas bija ļoti pamatoti, bet neesat tos ņēmuši vērā tikai vēl pasliktinājuši grozījumus. Nevienā no sabiedrības iesniegtajiem argumentiem nebija rakstīts par vispārīgas kontroles atcelšanas un atstāt esošos skaitītājus lietošanā bez termiņa. Kā vispār izlasot argumentus var nonākt pie tāda risinājuma? Mēraparāta būtība ir ka tas veic pareizu uzskaiti, tagad to vēlaties atcelt tam būs ļoti sliktas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rakstītājām ir jāatstāj iespēju skaitītāju verificēt četras reizes un liekot jaunu skaitītāju nosakot astoņu kadu termiņu līdz verifikācijai tā no tirgus izslēdzot vecos fiziski nolietotos skaitītājus ar kuriem ir viss lielākās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EM viedokli izziņas 4.punktā.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2025.gada 1.maijā.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“Grozījums Ministru kabineta 2024. gada 14. maija noteikumos Nr.289 “Noteikumi par valsts metroloģiskajai kontrolei pakļauto mērīšanas līdzekļu sarakstu””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Ministru kabineta 2024. gada 14. maija noteikumu Nr.289 “Noteikumi par valsts metroloģiskajai kontrolei pakļauto mērīšanas līdzekļu sarakstu” (turpmāk – noteikumi) grozījumu spēkā stāšanās laiku piedāvājam izvērtēt un precizēt vai svītrot, lai projekts stātos spēkā parastajā kārtībā. Vēršam uzmanību, ka projektā paredzētā regulējuma spēkā stāšanās 2025. gada 1. maijā ir apšaubāma, ņemot vērā īso laika periodu līdz minētajam datumam un institūciju izteiktos iebildumus. Papildus norādām, ka projektā paredzētajiem grozījumiem nav būtisks konkrēta regulējuma par 4 gadu periodā veicamām darbībām vai šāda regulējuma atcelšanas spēkā stāšanās datums. Projekta spēkā stāšanās izmaiņu gadījumā piedāvājam vienlaikus precizēt projekta anotācijas 1.2.sadaļu.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"OB serviss" - 26.04.2025.)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Pastiprināt inspicēšanas institūciju uzraudzību, izveidojot efektīvus kontroles mehānismus un novēršot negodprātīgu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Izglītot sabiedrību par ūdens skaitītāju nozīmi, uzturēšanu un pareizu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detalizētu ietekmes novērtējumu, izvērtējot ne tikai ekonomiskos, bet arī sociālos un vides faktorus;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Samazināt slogu ar diferencētu pieeju, nosakot pārbaudēm elastīgāku biežumu atkarībā no skaitītāja veida, vecuma un stāvokļa;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starpinstitucionālu darba grupu, kurā būtu pārstāvēti nozares speciālisti, komersanti un patērētāju aizstāvji;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profesionālās atbildības sistēmu personām, kas veic verifikāciju un skaitītāju uzstādīšanu,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Stenda operatoru sertifikāciju un periodisku pārkvalifikāciju;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Licencētu uzstādītāju reģistru ar civiltiesiskās atbildības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Kontroles mehānismus kvalitātes uzraudzībai laboratorijās un objektos.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Ieviest vienotas pārbaudes metodes visām laboratorijām, lai novērstu metožu interpretācijas brīvību un veicinātu vienotu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Noteikt regulāras starplaboratoriju pārbaudes, piemēram,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Noteikt maksimālo atkārtoto verifikāciju skaitu, lai veicinātu skaitītāju atjaunošanu un mūsdienīgu tehnoloģiju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EM izvērtētu Sabiedrības iesniegtos priekšlikumus, nepieciešams datos balstīts un argumentēts viedoklis no Sabiedrības par to, kāpēc valstij būtu jāregulē Sabiedrības iesniegtie priekšlikumi.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25-TA-532</w:t>
    </w:r>
    <w:r>
      <w:br/>
    </w:r>
    <w:r w:rsidR="00000000" w:rsidRPr="00000000" w:rsidDel="00000000">
      <w:rPr>
        <w:rtl w:val="0"/>
      </w:rPr>
      <w:t xml:space="preserve">22.05.2025. 16.37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25-TA-532</w:t>
    </w:r>
    <w:r>
      <w:br/>
    </w:r>
    <w:r w:rsidR="00000000" w:rsidRPr="00000000" w:rsidDel="00000000">
      <w:rPr>
        <w:rtl w:val="0"/>
      </w:rPr>
      <w:t xml:space="preserve">22.05.2025. 16.37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Izziņa_25-TA-532.docx</dc:title>
</cp:coreProperties>
</file>

<file path=docProps/custom.xml><?xml version="1.0" encoding="utf-8"?>
<Properties xmlns="http://schemas.openxmlformats.org/officeDocument/2006/custom-properties" xmlns:vt="http://schemas.openxmlformats.org/officeDocument/2006/docPropsVTypes"/>
</file>