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204"/>
      </w:tblGrid>
      <w:tr w:rsidRPr="009012E8" w:rsidR="00C6250E" w:rsidTr="00F411BF" w14:paraId="0284F511" w14:textId="77777777">
        <w:trPr>
          <w:trHeight w:val="423"/>
        </w:trPr>
        <w:tc>
          <w:tcPr>
            <w:tcW w:w="675" w:type="dxa"/>
          </w:tcPr>
          <w:p w:rsidRPr="009012E8" w:rsidR="00C6250E" w:rsidP="00F411BF" w:rsidRDefault="00C6250E" w14:paraId="2872E499" w14:textId="77777777">
            <w:pPr>
              <w:spacing w:before="20"/>
              <w:ind w:right="-108"/>
            </w:pPr>
            <w:r w:rsidRPr="009012E8">
              <w:t>Rīgā</w:t>
            </w:r>
          </w:p>
        </w:tc>
        <w:tc>
          <w:tcPr>
            <w:tcW w:w="1701" w:type="dxa"/>
          </w:tcPr>
          <w:p w:rsidRPr="009012E8" w:rsidR="00C6250E" w:rsidP="00B874E2" w:rsidRDefault="00C6250E" w14:paraId="5AB89B7F" w14:textId="77777777">
            <w:pPr>
              <w:pBdr>
                <w:bottom w:val="single" w:color="auto" w:sz="4" w:space="1"/>
              </w:pBdr>
            </w:pPr>
            <w:r>
              <w:t>01.09.2021</w:t>
            </w:r>
            <w:bookmarkEnd w:id="0"/>
          </w:p>
        </w:tc>
        <w:tc>
          <w:tcPr>
            <w:tcW w:w="426" w:type="dxa"/>
          </w:tcPr>
          <w:p w:rsidRPr="009012E8" w:rsidR="00C6250E" w:rsidP="00F411BF" w:rsidRDefault="00C6250E" w14:paraId="77322FC6" w14:textId="77777777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:rsidRPr="009012E8" w:rsidR="00C6250E" w:rsidP="00B874E2" w:rsidRDefault="00C6250E" w14:paraId="5B5FBA8F" w14:textId="77777777">
            <w:pPr>
              <w:pBdr>
                <w:bottom w:val="single" w:color="auto" w:sz="4" w:space="1"/>
              </w:pBdr>
            </w:pPr>
            <w:r>
              <w:t>01-10/147</w:t>
            </w:r>
            <w:bookmarkEnd w:id="1"/>
          </w:p>
        </w:tc>
      </w:tr>
      <w:tr w:rsidRPr="009012E8" w:rsidR="00C6250E" w:rsidTr="00F411BF" w14:paraId="436E0B64" w14:textId="77777777">
        <w:trPr>
          <w:trHeight w:val="423"/>
        </w:trPr>
        <w:tc>
          <w:tcPr>
            <w:tcW w:w="675" w:type="dxa"/>
          </w:tcPr>
          <w:p w:rsidRPr="009012E8" w:rsidR="00C6250E" w:rsidP="00F411BF" w:rsidRDefault="00C6250E" w14:paraId="41BA3CFB" w14:textId="77777777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1701" w:type="dxa"/>
          </w:tcPr>
          <w:p w:rsidRPr="009012E8" w:rsidR="00C6250E" w:rsidP="00B874E2" w:rsidRDefault="00C6250E" w14:paraId="20C23EAE" w14:textId="77777777">
            <w:pPr>
              <w:pBdr>
                <w:bottom w:val="single" w:color="auto" w:sz="4" w:space="1"/>
              </w:pBdr>
            </w:pPr>
          </w:p>
        </w:tc>
        <w:tc>
          <w:tcPr>
            <w:tcW w:w="426" w:type="dxa"/>
          </w:tcPr>
          <w:p w:rsidRPr="009012E8" w:rsidR="00C6250E" w:rsidP="00F411BF" w:rsidRDefault="00C6250E" w14:paraId="56EB6D5B" w14:textId="77777777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:rsidRPr="009012E8" w:rsidR="00C6250E" w:rsidP="00B874E2" w:rsidRDefault="00C6250E" w14:paraId="20CF153A" w14:textId="77777777">
            <w:pPr>
              <w:pBdr>
                <w:bottom w:val="single" w:color="auto" w:sz="4" w:space="1"/>
              </w:pBdr>
            </w:pPr>
          </w:p>
        </w:tc>
      </w:tr>
    </w:tbl>
    <w:p w:rsidRPr="009012E8" w:rsidR="00C6250E" w:rsidP="00F85B8C" w:rsidRDefault="00C6250E" w14:paraId="6FB7D371" w14:textId="77777777">
      <w:pPr>
        <w:pStyle w:val="Header"/>
      </w:pPr>
    </w:p>
    <w:p w:rsidRPr="009012E8" w:rsidR="00632E67" w:rsidP="00632E67" w:rsidRDefault="00632E67" w14:paraId="7A378744" w14:textId="77777777">
      <w:pPr>
        <w:jc w:val="both"/>
      </w:pPr>
    </w:p>
    <w:p w:rsidRPr="009012E8" w:rsidR="00B260CE" w:rsidP="00632E67" w:rsidRDefault="00B260CE" w14:paraId="3F4D273A" w14:textId="77777777">
      <w:pPr>
        <w:jc w:val="both"/>
      </w:pPr>
    </w:p>
    <w:p w:rsidRPr="00541335" w:rsidR="00231FDD" w:rsidP="00231FDD" w:rsidRDefault="00231FDD" w14:paraId="23C31969" w14:textId="77777777">
      <w:pPr>
        <w:suppressAutoHyphens/>
        <w:spacing w:after="0" w:line="240" w:lineRule="auto"/>
        <w:ind w:right="296"/>
        <w:jc w:val="right"/>
        <w:rPr>
          <w:rFonts w:eastAsia="Arial"/>
          <w:bCs/>
          <w:kern w:val="1"/>
        </w:rPr>
      </w:pPr>
      <w:r w:rsidRPr="00541335">
        <w:rPr>
          <w:rFonts w:eastAsia="Arial"/>
          <w:bCs/>
          <w:kern w:val="1"/>
        </w:rPr>
        <w:t>STEIDZAMI</w:t>
      </w:r>
    </w:p>
    <w:p w:rsidRPr="009012E8" w:rsidR="001201F9" w:rsidP="008F5D2D" w:rsidRDefault="001201F9" w14:paraId="0DE6A8BA" w14:textId="77777777">
      <w:pPr>
        <w:spacing w:after="0" w:line="240" w:lineRule="auto"/>
        <w:jc w:val="both"/>
      </w:pPr>
    </w:p>
    <w:p w:rsidR="008E73F2" w:rsidP="008E73F2" w:rsidRDefault="008E73F2" w14:paraId="7F2AF953" w14:textId="77777777">
      <w:pPr>
        <w:widowControl/>
        <w:spacing w:after="0" w:line="240" w:lineRule="auto"/>
        <w:ind w:right="13" w:firstLine="300"/>
        <w:jc w:val="right"/>
        <w:rPr>
          <w:rFonts w:eastAsia="Times New Roman"/>
        </w:rPr>
      </w:pPr>
      <w:r>
        <w:rPr>
          <w:rFonts w:eastAsia="Times New Roman"/>
        </w:rPr>
        <w:t>Valsts kancelejai</w:t>
      </w:r>
    </w:p>
    <w:p w:rsidR="008E73F2" w:rsidP="008E73F2" w:rsidRDefault="008E73F2" w14:paraId="2EABD2C6" w14:textId="58F48E38">
      <w:pPr>
        <w:widowControl/>
        <w:spacing w:after="0" w:line="240" w:lineRule="auto"/>
        <w:ind w:right="13" w:firstLine="300"/>
        <w:jc w:val="right"/>
        <w:rPr>
          <w:rFonts w:eastAsia="Times New Roman"/>
        </w:rPr>
      </w:pPr>
    </w:p>
    <w:p w:rsidR="00A24A1C" w:rsidP="008E73F2" w:rsidRDefault="00A24A1C" w14:paraId="3900DDA0" w14:textId="542E6C01">
      <w:pPr>
        <w:widowControl/>
        <w:spacing w:after="0" w:line="240" w:lineRule="auto"/>
        <w:ind w:right="13" w:firstLine="300"/>
        <w:jc w:val="right"/>
        <w:rPr>
          <w:rFonts w:eastAsia="Times New Roman"/>
        </w:rPr>
      </w:pPr>
      <w:r>
        <w:rPr>
          <w:rFonts w:eastAsia="Times New Roman"/>
        </w:rPr>
        <w:t>Informācijai:</w:t>
      </w:r>
    </w:p>
    <w:p w:rsidRPr="00A24A1C" w:rsidR="00A24A1C" w:rsidP="00A24A1C" w:rsidRDefault="00A24A1C" w14:paraId="3256C031" w14:textId="410B845B">
      <w:pPr>
        <w:widowControl/>
        <w:spacing w:after="0" w:line="240" w:lineRule="auto"/>
        <w:ind w:right="13" w:firstLine="300"/>
        <w:jc w:val="right"/>
        <w:rPr>
          <w:rFonts w:eastAsia="Times New Roman"/>
        </w:rPr>
      </w:pPr>
      <w:r w:rsidRPr="00A24A1C">
        <w:rPr>
          <w:rFonts w:eastAsia="Times New Roman"/>
        </w:rPr>
        <w:t>Finanšu ministrija</w:t>
      </w:r>
      <w:r>
        <w:rPr>
          <w:rFonts w:eastAsia="Times New Roman"/>
        </w:rPr>
        <w:t>i</w:t>
      </w:r>
      <w:r w:rsidRPr="00A24A1C">
        <w:rPr>
          <w:rFonts w:eastAsia="Times New Roman"/>
        </w:rPr>
        <w:t xml:space="preserve"> </w:t>
      </w:r>
    </w:p>
    <w:p w:rsidR="00A24A1C" w:rsidP="00A24A1C" w:rsidRDefault="00A24A1C" w14:paraId="13F2359D" w14:textId="1A1D36B3">
      <w:pPr>
        <w:widowControl/>
        <w:spacing w:after="0" w:line="240" w:lineRule="auto"/>
        <w:ind w:right="13" w:firstLine="300"/>
        <w:jc w:val="right"/>
        <w:rPr>
          <w:rFonts w:eastAsia="Times New Roman"/>
        </w:rPr>
      </w:pPr>
      <w:r>
        <w:rPr>
          <w:rFonts w:eastAsia="Times New Roman"/>
        </w:rPr>
        <w:t>Kultūras</w:t>
      </w:r>
      <w:r w:rsidRPr="00A24A1C">
        <w:rPr>
          <w:rFonts w:eastAsia="Times New Roman"/>
        </w:rPr>
        <w:t xml:space="preserve"> ministrija</w:t>
      </w:r>
      <w:r>
        <w:rPr>
          <w:rFonts w:eastAsia="Times New Roman"/>
        </w:rPr>
        <w:t>i</w:t>
      </w:r>
    </w:p>
    <w:p w:rsidR="008E73F2" w:rsidP="008E73F2" w:rsidRDefault="008E73F2" w14:paraId="10C1C5E2" w14:textId="77777777">
      <w:pPr>
        <w:widowControl/>
        <w:spacing w:after="0" w:line="240" w:lineRule="auto"/>
        <w:ind w:right="13" w:firstLine="300"/>
        <w:jc w:val="right"/>
        <w:rPr>
          <w:rFonts w:eastAsia="Times New Roman"/>
        </w:rPr>
      </w:pPr>
    </w:p>
    <w:tbl>
      <w:tblPr>
        <w:tblStyle w:val="TableGrid2"/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8E73F2" w:rsidTr="00223A52" w14:paraId="5C4DD7C2" w14:textId="77777777">
        <w:tc>
          <w:tcPr>
            <w:tcW w:w="4786" w:type="dxa"/>
            <w:hideMark/>
          </w:tcPr>
          <w:p w:rsidRPr="00E75AA5" w:rsidR="00231FDD" w:rsidP="00E75AA5" w:rsidRDefault="008E73F2" w14:paraId="74D11B4E" w14:textId="116D89E2">
            <w:pPr>
              <w:widowControl/>
              <w:spacing w:after="0" w:line="240" w:lineRule="auto"/>
              <w:ind w:right="994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Par</w:t>
            </w:r>
            <w:r w:rsidR="00231FD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="00E75AA5">
              <w:rPr>
                <w:rFonts w:ascii="Times New Roman" w:hAnsi="Times New Roman" w:eastAsia="Times New Roman"/>
                <w:sz w:val="24"/>
                <w:szCs w:val="24"/>
              </w:rPr>
              <w:t xml:space="preserve">precizēto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likumprojektu</w:t>
            </w:r>
            <w:r w:rsidR="00E75AA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“Grozījumi Pasta likumā”</w:t>
            </w:r>
            <w:r w:rsidR="00E75AA5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231FDD" w:rsidR="00231FDD">
              <w:rPr>
                <w:rFonts w:ascii="Times New Roman" w:hAnsi="Times New Roman" w:eastAsia="Times New Roman"/>
                <w:bCs/>
                <w:sz w:val="24"/>
                <w:szCs w:val="24"/>
              </w:rPr>
              <w:t>(TA-1862)</w:t>
            </w:r>
          </w:p>
        </w:tc>
        <w:tc>
          <w:tcPr>
            <w:tcW w:w="4536" w:type="dxa"/>
          </w:tcPr>
          <w:p w:rsidR="008E73F2" w:rsidP="00223A52" w:rsidRDefault="008E73F2" w14:paraId="151185FC" w14:textId="77777777">
            <w:pPr>
              <w:widowControl/>
              <w:spacing w:after="0" w:line="240" w:lineRule="auto"/>
              <w:ind w:right="296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8E73F2" w:rsidP="008E73F2" w:rsidRDefault="008E73F2" w14:paraId="315B04B2" w14:textId="77777777">
      <w:pPr>
        <w:widowControl/>
        <w:spacing w:after="0" w:line="240" w:lineRule="auto"/>
        <w:ind w:firstLine="720"/>
        <w:jc w:val="both"/>
        <w:rPr>
          <w:rFonts w:eastAsia="Times New Roman"/>
        </w:rPr>
      </w:pPr>
    </w:p>
    <w:p w:rsidR="008E73F2" w:rsidP="008E73F2" w:rsidRDefault="008E73F2" w14:paraId="0BCFE4A1" w14:textId="53F6CF9B">
      <w:pPr>
        <w:widowControl/>
        <w:spacing w:after="0" w:line="240" w:lineRule="auto"/>
        <w:ind w:right="13" w:firstLine="720"/>
        <w:jc w:val="both"/>
        <w:rPr>
          <w:rFonts w:eastAsia="Times New Roman"/>
        </w:rPr>
      </w:pPr>
      <w:r>
        <w:rPr>
          <w:rFonts w:eastAsia="Times New Roman"/>
        </w:rPr>
        <w:t xml:space="preserve">Pamatojoties uz Ministru kabineta 2009. gada 7. aprīļa noteikumu Nr.300 “Ministru kabineta kārtības rullis” </w:t>
      </w:r>
      <w:r w:rsidRPr="00231FDD" w:rsidR="00231FDD">
        <w:rPr>
          <w:rFonts w:eastAsia="Times New Roman"/>
        </w:rPr>
        <w:t>164.3.apakšpunktu</w:t>
      </w:r>
      <w:r>
        <w:rPr>
          <w:rFonts w:eastAsia="Times New Roman"/>
        </w:rPr>
        <w:t>, iesniedzu izskatīšanai Ministru kabineta sēdē</w:t>
      </w:r>
      <w:r w:rsidRPr="0002503F">
        <w:rPr>
          <w:rFonts w:eastAsia="Times New Roman"/>
        </w:rPr>
        <w:t xml:space="preserve"> </w:t>
      </w:r>
      <w:r w:rsidR="00231FDD">
        <w:rPr>
          <w:rFonts w:eastAsia="Times New Roman"/>
          <w:iCs/>
          <w:kern w:val="1"/>
        </w:rPr>
        <w:t>steidzamības kārtībā</w:t>
      </w:r>
      <w:r w:rsidRPr="000E7D31" w:rsidR="00231FDD">
        <w:rPr>
          <w:rFonts w:eastAsia="Times New Roman"/>
          <w:iCs/>
          <w:kern w:val="1"/>
        </w:rPr>
        <w:t xml:space="preserve"> </w:t>
      </w:r>
      <w:r w:rsidR="00E75AA5">
        <w:rPr>
          <w:rFonts w:eastAsia="Times New Roman"/>
          <w:iCs/>
          <w:kern w:val="1"/>
        </w:rPr>
        <w:t xml:space="preserve">precizēto </w:t>
      </w:r>
      <w:r>
        <w:rPr>
          <w:rFonts w:eastAsia="Times New Roman"/>
        </w:rPr>
        <w:t>likumprojektu “Grozījumi Pasta likumā”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(turpmāk - likumprojekts). </w:t>
      </w:r>
    </w:p>
    <w:p w:rsidR="00231FDD" w:rsidP="005F6D65" w:rsidRDefault="00231FDD" w14:paraId="645CBFC6" w14:textId="50B8C428">
      <w:pPr>
        <w:suppressAutoHyphens/>
        <w:spacing w:after="0" w:line="240" w:lineRule="auto"/>
        <w:ind w:right="12" w:firstLine="709"/>
        <w:jc w:val="both"/>
        <w:rPr>
          <w:rFonts w:eastAsia="Times New Roman"/>
          <w:iCs/>
          <w:kern w:val="1"/>
        </w:rPr>
      </w:pPr>
      <w:r w:rsidRPr="000E7D31">
        <w:rPr>
          <w:rFonts w:eastAsia="Times New Roman"/>
          <w:iCs/>
          <w:kern w:val="1"/>
        </w:rPr>
        <w:tab/>
        <w:t xml:space="preserve">Lūdzu iekļaut </w:t>
      </w:r>
      <w:r>
        <w:rPr>
          <w:rFonts w:eastAsia="Times New Roman"/>
          <w:iCs/>
          <w:kern w:val="1"/>
        </w:rPr>
        <w:t>likumprojektu</w:t>
      </w:r>
      <w:r w:rsidRPr="00260C89">
        <w:rPr>
          <w:rFonts w:eastAsia="Times New Roman"/>
          <w:iCs/>
          <w:kern w:val="1"/>
        </w:rPr>
        <w:t xml:space="preserve"> </w:t>
      </w:r>
      <w:r w:rsidRPr="000E7D31">
        <w:rPr>
          <w:rFonts w:eastAsia="Times New Roman"/>
          <w:iCs/>
          <w:kern w:val="1"/>
        </w:rPr>
        <w:t xml:space="preserve">izskatīšanai Ministru kabineta </w:t>
      </w:r>
      <w:r w:rsidRPr="009F594B">
        <w:rPr>
          <w:rFonts w:eastAsia="Times New Roman"/>
          <w:b/>
          <w:bCs/>
          <w:iCs/>
          <w:kern w:val="1"/>
          <w:u w:val="single"/>
        </w:rPr>
        <w:t>2021.gada 7. septembra</w:t>
      </w:r>
      <w:r w:rsidRPr="000E7D31">
        <w:rPr>
          <w:rFonts w:eastAsia="Times New Roman"/>
          <w:iCs/>
          <w:kern w:val="1"/>
        </w:rPr>
        <w:t xml:space="preserve"> sēdes darba kārtībā.</w:t>
      </w:r>
    </w:p>
    <w:p w:rsidR="008E73F2" w:rsidP="008E73F2" w:rsidRDefault="008E73F2" w14:paraId="4AFFB116" w14:textId="77777777">
      <w:pPr>
        <w:widowControl/>
        <w:spacing w:after="0" w:line="240" w:lineRule="auto"/>
        <w:ind w:firstLine="720"/>
        <w:jc w:val="both"/>
        <w:rPr>
          <w:rFonts w:eastAsia="Times New Roman"/>
        </w:rPr>
      </w:pP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534"/>
        <w:gridCol w:w="2977"/>
        <w:gridCol w:w="5669"/>
      </w:tblGrid>
      <w:tr w:rsidR="008E73F2" w:rsidTr="00231FDD" w14:paraId="4BEC4B84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4E396CE9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0C141145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Iesniegšanas pamatojums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F6D65" w:rsidP="00223A52" w:rsidRDefault="005F6D65" w14:paraId="410A8924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231FDD">
              <w:rPr>
                <w:rFonts w:eastAsia="Times New Roman"/>
              </w:rPr>
              <w:t xml:space="preserve">Valsts sekretāru 2021.gada </w:t>
            </w:r>
            <w:r>
              <w:rPr>
                <w:rFonts w:eastAsia="Times New Roman"/>
              </w:rPr>
              <w:t>19.augusta</w:t>
            </w:r>
            <w:r w:rsidRPr="00231FDD">
              <w:rPr>
                <w:rFonts w:eastAsia="Times New Roman"/>
              </w:rPr>
              <w:t xml:space="preserve"> sanāksmes </w:t>
            </w:r>
            <w:proofErr w:type="spellStart"/>
            <w:r w:rsidRPr="00231FDD">
              <w:rPr>
                <w:rFonts w:eastAsia="Times New Roman"/>
              </w:rPr>
              <w:t>protokollēmuma</w:t>
            </w:r>
            <w:proofErr w:type="spellEnd"/>
            <w:r w:rsidRPr="00231FDD">
              <w:rPr>
                <w:rFonts w:eastAsia="Times New Roman"/>
              </w:rPr>
              <w:t xml:space="preserve"> (prot.Nr.2</w:t>
            </w:r>
            <w:r>
              <w:rPr>
                <w:rFonts w:eastAsia="Times New Roman"/>
              </w:rPr>
              <w:t>9</w:t>
            </w:r>
            <w:r w:rsidRPr="00231FDD">
              <w:rPr>
                <w:rFonts w:eastAsia="Times New Roman"/>
              </w:rPr>
              <w:t>, 3</w:t>
            </w:r>
            <w:r>
              <w:rPr>
                <w:rFonts w:eastAsia="Times New Roman"/>
              </w:rPr>
              <w:t>6</w:t>
            </w:r>
            <w:r w:rsidRPr="00231FDD">
              <w:rPr>
                <w:rFonts w:eastAsia="Times New Roman"/>
              </w:rPr>
              <w:t xml:space="preserve">.§) </w:t>
            </w:r>
            <w:r>
              <w:rPr>
                <w:rFonts w:eastAsia="Times New Roman"/>
              </w:rPr>
              <w:t>2.</w:t>
            </w:r>
            <w:r w:rsidRPr="00231FDD">
              <w:rPr>
                <w:rFonts w:eastAsia="Times New Roman"/>
              </w:rPr>
              <w:t>punkts.</w:t>
            </w:r>
          </w:p>
          <w:p w:rsidRPr="005F6D65" w:rsidR="00231FDD" w:rsidP="00223A52" w:rsidRDefault="008E73F2" w14:paraId="5C0521BE" w14:textId="7B5C9AA0">
            <w:pPr>
              <w:widowControl/>
              <w:spacing w:after="0" w:line="240" w:lineRule="auto"/>
              <w:jc w:val="both"/>
              <w:rPr>
                <w:rFonts w:eastAsia="SimSun"/>
                <w:bCs/>
                <w:color w:val="0D0D0D"/>
                <w:kern w:val="3"/>
                <w:lang w:eastAsia="zh-CN" w:bidi="hi-IN"/>
              </w:rPr>
            </w:pPr>
            <w:r w:rsidRPr="00471A5A">
              <w:rPr>
                <w:rFonts w:eastAsia="Times New Roman"/>
                <w:bCs/>
                <w:color w:val="0D0D0D"/>
              </w:rPr>
              <w:t>Ministru kabineta 2020.</w:t>
            </w:r>
            <w:r>
              <w:rPr>
                <w:rFonts w:eastAsia="Times New Roman"/>
                <w:bCs/>
                <w:color w:val="0D0D0D"/>
              </w:rPr>
              <w:t> </w:t>
            </w:r>
            <w:r w:rsidRPr="00471A5A">
              <w:rPr>
                <w:rFonts w:eastAsia="Times New Roman"/>
                <w:bCs/>
                <w:color w:val="0D0D0D"/>
              </w:rPr>
              <w:t>gada 17.</w:t>
            </w:r>
            <w:r>
              <w:rPr>
                <w:rFonts w:eastAsia="Times New Roman"/>
                <w:bCs/>
                <w:color w:val="0D0D0D"/>
              </w:rPr>
              <w:t> </w:t>
            </w:r>
            <w:r w:rsidRPr="00471A5A">
              <w:rPr>
                <w:rFonts w:eastAsia="Times New Roman"/>
                <w:bCs/>
                <w:color w:val="0D0D0D"/>
              </w:rPr>
              <w:t>jūlija rīkojum</w:t>
            </w:r>
            <w:r>
              <w:rPr>
                <w:rFonts w:eastAsia="Times New Roman"/>
                <w:bCs/>
                <w:color w:val="0D0D0D"/>
              </w:rPr>
              <w:t>a</w:t>
            </w:r>
            <w:r w:rsidRPr="00471A5A">
              <w:rPr>
                <w:rFonts w:eastAsia="Times New Roman"/>
                <w:bCs/>
                <w:color w:val="0D0D0D"/>
              </w:rPr>
              <w:t xml:space="preserve"> Nr. 397 “Par konceptuālo ziņojumu “Abonētās preses izdevumu piegādes nodrošināšanas un drukāto mediju atbalsta pilnveides iespējas””</w:t>
            </w:r>
            <w:r>
              <w:rPr>
                <w:rFonts w:eastAsia="Times New Roman"/>
                <w:bCs/>
                <w:color w:val="0D0D0D"/>
              </w:rPr>
              <w:t xml:space="preserve"> (turpmāk -</w:t>
            </w:r>
            <w:r w:rsidR="009F594B">
              <w:rPr>
                <w:rFonts w:eastAsia="Times New Roman"/>
                <w:bCs/>
                <w:color w:val="0D0D0D"/>
              </w:rPr>
              <w:t xml:space="preserve"> </w:t>
            </w:r>
            <w:r>
              <w:rPr>
                <w:rFonts w:eastAsia="Times New Roman"/>
                <w:bCs/>
                <w:color w:val="0D0D0D"/>
              </w:rPr>
              <w:t>Rīkojums Nr.397)</w:t>
            </w:r>
            <w:r w:rsidRPr="00471A5A">
              <w:rPr>
                <w:rFonts w:eastAsia="Times New Roman"/>
                <w:bCs/>
                <w:color w:val="0D0D0D"/>
              </w:rPr>
              <w:t xml:space="preserve"> 1. un 2. punkts.</w:t>
            </w:r>
            <w:r w:rsidRPr="007110D8">
              <w:rPr>
                <w:rFonts w:eastAsia="SimSun"/>
                <w:bCs/>
                <w:color w:val="0D0D0D"/>
                <w:kern w:val="3"/>
                <w:lang w:eastAsia="zh-CN" w:bidi="hi-IN"/>
              </w:rPr>
              <w:t xml:space="preserve"> </w:t>
            </w:r>
          </w:p>
        </w:tc>
      </w:tr>
      <w:tr w:rsidR="008E73F2" w:rsidTr="00231FDD" w14:paraId="5212A1B9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4319EA75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54446CBC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Valsts sekretāru sanāksmes datums un numurs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A24A1C" w:rsidP="00223A52" w:rsidRDefault="00A24A1C" w14:paraId="1BF1C8B8" w14:textId="3AA91A04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ED27D4">
              <w:rPr>
                <w:rFonts w:eastAsia="Times New Roman"/>
              </w:rPr>
              <w:t>2021.gada 25.februāris, VSS-148 (prot.Nr.8, 11.§)</w:t>
            </w:r>
            <w:r>
              <w:rPr>
                <w:rFonts w:eastAsia="Times New Roman"/>
              </w:rPr>
              <w:t>.</w:t>
            </w:r>
          </w:p>
          <w:p w:rsidRPr="00ED27D4" w:rsidR="008E73F2" w:rsidP="00223A52" w:rsidRDefault="008E73F2" w14:paraId="600C4728" w14:textId="0457E2AC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E73F2" w:rsidTr="00231FDD" w14:paraId="12D46624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2FD30808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4DE7DBDE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Informācija par saskaņojumiem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10D8" w:rsidR="008E73F2" w:rsidP="00223A52" w:rsidRDefault="00A24A1C" w14:paraId="52EABFFE" w14:textId="3A9FA472">
            <w:pPr>
              <w:widowControl/>
              <w:spacing w:after="0" w:line="240" w:lineRule="auto"/>
              <w:jc w:val="both"/>
              <w:rPr>
                <w:rFonts w:eastAsia="Times New Roman"/>
                <w:iCs/>
                <w:highlight w:val="yellow"/>
              </w:rPr>
            </w:pPr>
            <w:r>
              <w:rPr>
                <w:rFonts w:eastAsia="Times New Roman"/>
                <w:iCs/>
              </w:rPr>
              <w:t xml:space="preserve">Atbilstoši </w:t>
            </w:r>
            <w:r w:rsidRPr="00A24A1C">
              <w:rPr>
                <w:rFonts w:eastAsia="Times New Roman"/>
                <w:iCs/>
              </w:rPr>
              <w:t xml:space="preserve">Valsts sekretāru 2021.gada 19.augusta sanāksmes </w:t>
            </w:r>
            <w:proofErr w:type="spellStart"/>
            <w:r w:rsidRPr="00A24A1C">
              <w:rPr>
                <w:rFonts w:eastAsia="Times New Roman"/>
                <w:iCs/>
              </w:rPr>
              <w:t>protokollēmuma</w:t>
            </w:r>
            <w:proofErr w:type="spellEnd"/>
            <w:r w:rsidRPr="00A24A1C">
              <w:rPr>
                <w:rFonts w:eastAsia="Times New Roman"/>
                <w:iCs/>
              </w:rPr>
              <w:t xml:space="preserve"> (prot.Nr.29, 36.§) 2.</w:t>
            </w:r>
            <w:r>
              <w:rPr>
                <w:rFonts w:eastAsia="Times New Roman"/>
                <w:iCs/>
              </w:rPr>
              <w:t>3</w:t>
            </w:r>
            <w:r w:rsidRPr="00A24A1C">
              <w:rPr>
                <w:rFonts w:eastAsia="Times New Roman"/>
                <w:iCs/>
              </w:rPr>
              <w:t>.punkt</w:t>
            </w:r>
            <w:r>
              <w:rPr>
                <w:rFonts w:eastAsia="Times New Roman"/>
                <w:iCs/>
              </w:rPr>
              <w:t>am p</w:t>
            </w:r>
            <w:r w:rsidR="00231FDD">
              <w:rPr>
                <w:rFonts w:eastAsia="Times New Roman"/>
                <w:iCs/>
              </w:rPr>
              <w:t>recizētais likumprojekts</w:t>
            </w:r>
            <w:r w:rsidR="001F54B5">
              <w:rPr>
                <w:rFonts w:eastAsia="Times New Roman"/>
                <w:iCs/>
              </w:rPr>
              <w:t xml:space="preserve">, </w:t>
            </w:r>
            <w:r>
              <w:rPr>
                <w:rFonts w:eastAsia="Times New Roman"/>
                <w:iCs/>
              </w:rPr>
              <w:t>tā anotācija</w:t>
            </w:r>
            <w:r w:rsidR="001F54B5">
              <w:rPr>
                <w:rFonts w:eastAsia="Times New Roman"/>
                <w:iCs/>
              </w:rPr>
              <w:t xml:space="preserve"> un</w:t>
            </w:r>
            <w:r>
              <w:rPr>
                <w:rFonts w:eastAsia="Times New Roman"/>
                <w:iCs/>
              </w:rPr>
              <w:t xml:space="preserve"> </w:t>
            </w:r>
            <w:r w:rsidR="001F54B5">
              <w:rPr>
                <w:rFonts w:eastAsia="Times New Roman"/>
                <w:iCs/>
              </w:rPr>
              <w:t xml:space="preserve">Ministru kabineta sēdes protokollēmuma projekts </w:t>
            </w:r>
            <w:r w:rsidR="00231FDD">
              <w:rPr>
                <w:rFonts w:eastAsia="Times New Roman"/>
                <w:iCs/>
              </w:rPr>
              <w:t>saskaņots ar Finanšu ministriju bez iebildumiem</w:t>
            </w:r>
            <w:r w:rsidR="008E73F2">
              <w:rPr>
                <w:rFonts w:eastAsia="Times New Roman"/>
                <w:iCs/>
              </w:rPr>
              <w:t>.</w:t>
            </w:r>
          </w:p>
        </w:tc>
      </w:tr>
      <w:tr w:rsidR="008E73F2" w:rsidTr="00231FDD" w14:paraId="7AA9CB7C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795F3802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54F4A920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Informācija par saskaņojumu ar Eiropas Savienības institūcijām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490908F7" w14:textId="77777777">
            <w:pPr>
              <w:widowControl/>
              <w:spacing w:after="0" w:line="240" w:lineRule="auto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Nav attiecināms.</w:t>
            </w:r>
          </w:p>
        </w:tc>
      </w:tr>
      <w:tr w:rsidR="008E73F2" w:rsidTr="00231FDD" w14:paraId="389538EF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5EF0597E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45A623F2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Politikas joma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11BDC758" w14:textId="77777777">
            <w:pPr>
              <w:widowControl/>
              <w:spacing w:after="0" w:line="240" w:lineRule="auto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Transporta un sakaru politika.</w:t>
            </w:r>
          </w:p>
        </w:tc>
      </w:tr>
      <w:tr w:rsidR="008E73F2" w:rsidTr="00231FDD" w14:paraId="2F04DF6E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4FB60AFB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15D01714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Atbildīgā amatpersona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6B121036" w14:textId="77777777">
            <w:pPr>
              <w:widowControl/>
              <w:spacing w:after="0" w:line="240" w:lineRule="auto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Satiksmes ministrijas Sakaru departamenta direktora vietniece -</w:t>
            </w:r>
            <w:r>
              <w:t xml:space="preserve"> </w:t>
            </w:r>
            <w:r w:rsidRPr="00C248E3">
              <w:rPr>
                <w:rFonts w:eastAsia="Times New Roman"/>
                <w:iCs/>
              </w:rPr>
              <w:t>Elektronisko sakaru un pasta nodaļas vadītāja</w:t>
            </w:r>
            <w:r>
              <w:rPr>
                <w:rFonts w:eastAsia="Times New Roman"/>
                <w:iCs/>
              </w:rPr>
              <w:t xml:space="preserve">  – Dace Bankoviča.</w:t>
            </w:r>
          </w:p>
        </w:tc>
      </w:tr>
      <w:tr w:rsidR="008E73F2" w:rsidTr="00231FDD" w14:paraId="2CC92605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68FC4385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30B726E0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Uzaicināmās personas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7D5B25E1" w14:textId="77777777">
            <w:pPr>
              <w:widowControl/>
              <w:spacing w:after="0" w:line="240" w:lineRule="auto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Satiksmes ministrijas Sakaru departamenta direktora </w:t>
            </w:r>
            <w:r w:rsidRPr="00C248E3">
              <w:rPr>
                <w:rFonts w:eastAsia="Times New Roman"/>
                <w:iCs/>
              </w:rPr>
              <w:t>vietniece</w:t>
            </w:r>
            <w:r>
              <w:rPr>
                <w:rFonts w:eastAsia="Times New Roman"/>
                <w:iCs/>
              </w:rPr>
              <w:t xml:space="preserve"> - Elektronisko sakaru un pasta nodaļas vadītāja</w:t>
            </w:r>
            <w:r w:rsidRPr="00C248E3">
              <w:rPr>
                <w:rFonts w:eastAsia="Times New Roman"/>
                <w:iCs/>
              </w:rPr>
              <w:t xml:space="preserve"> – Dace Bankoviča</w:t>
            </w:r>
          </w:p>
        </w:tc>
      </w:tr>
      <w:tr w:rsidR="008E73F2" w:rsidTr="00231FDD" w14:paraId="4C26E323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3BC45C44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77147D5C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Projekta ierobežotas pieejamības statuss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681A1866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B83FCC">
              <w:rPr>
                <w:rFonts w:eastAsia="Times New Roman"/>
                <w:iCs/>
              </w:rPr>
              <w:t>Projektam nav piešķirts ierobežotas pieejamības statuss.</w:t>
            </w:r>
          </w:p>
        </w:tc>
      </w:tr>
      <w:tr w:rsidR="008E73F2" w:rsidTr="00231FDD" w14:paraId="0E5BB166" w14:textId="77777777"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0AE486A4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E73F2" w:rsidP="00223A52" w:rsidRDefault="008E73F2" w14:paraId="7C0DFBA5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Cita informācija</w:t>
            </w:r>
          </w:p>
        </w:tc>
        <w:tc>
          <w:tcPr>
            <w:tcW w:w="5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E73F2" w:rsidP="00223A52" w:rsidRDefault="008E73F2" w14:paraId="3F7BE061" w14:textId="5B869E64">
            <w:pPr>
              <w:widowControl/>
              <w:spacing w:after="0" w:line="240" w:lineRule="auto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Ņemot vērā ar </w:t>
            </w:r>
            <w:r w:rsidR="0082060F">
              <w:rPr>
                <w:rFonts w:eastAsia="Times New Roman"/>
                <w:iCs/>
              </w:rPr>
              <w:t>R</w:t>
            </w:r>
            <w:r w:rsidRPr="00430BD9">
              <w:rPr>
                <w:rFonts w:eastAsia="Times New Roman"/>
                <w:iCs/>
              </w:rPr>
              <w:t>īkojum</w:t>
            </w:r>
            <w:r>
              <w:rPr>
                <w:rFonts w:eastAsia="Times New Roman"/>
                <w:iCs/>
              </w:rPr>
              <w:t>a</w:t>
            </w:r>
            <w:r w:rsidRPr="00430BD9">
              <w:rPr>
                <w:rFonts w:eastAsia="Times New Roman"/>
                <w:iCs/>
              </w:rPr>
              <w:t xml:space="preserve"> Nr. 397 </w:t>
            </w:r>
            <w:r>
              <w:rPr>
                <w:rFonts w:eastAsia="Times New Roman"/>
                <w:iCs/>
              </w:rPr>
              <w:t xml:space="preserve">īstenošanu paredzēto darbību apjomu un nepieciešamību izdot vēl attiecīgus Ministru kabineta noteikumus, </w:t>
            </w:r>
            <w:r w:rsidRPr="00B83FCC">
              <w:rPr>
                <w:rFonts w:eastAsia="Times New Roman"/>
                <w:iCs/>
              </w:rPr>
              <w:t>likumprojektu ir nepieciešams pieņemt pēc iespējas ātrāk</w:t>
            </w:r>
            <w:r w:rsidR="000963DD">
              <w:rPr>
                <w:rFonts w:eastAsia="Times New Roman"/>
                <w:iCs/>
              </w:rPr>
              <w:t>, lai</w:t>
            </w:r>
            <w:r w:rsidR="000963DD">
              <w:t xml:space="preserve"> </w:t>
            </w:r>
            <w:r w:rsidRPr="000963DD" w:rsidR="000963DD">
              <w:rPr>
                <w:rFonts w:eastAsia="Times New Roman"/>
                <w:iCs/>
              </w:rPr>
              <w:t>abonēt</w:t>
            </w:r>
            <w:r w:rsidR="00C12400">
              <w:rPr>
                <w:rFonts w:eastAsia="Times New Roman"/>
                <w:iCs/>
              </w:rPr>
              <w:t>o</w:t>
            </w:r>
            <w:r w:rsidRPr="000963DD" w:rsidR="000963DD">
              <w:rPr>
                <w:rFonts w:eastAsia="Times New Roman"/>
                <w:iCs/>
              </w:rPr>
              <w:t xml:space="preserve"> preses </w:t>
            </w:r>
            <w:r w:rsidR="00C12400">
              <w:rPr>
                <w:rFonts w:eastAsia="Times New Roman"/>
                <w:iCs/>
              </w:rPr>
              <w:t xml:space="preserve">izdevumu </w:t>
            </w:r>
            <w:r w:rsidRPr="000963DD" w:rsidR="000963DD">
              <w:rPr>
                <w:rFonts w:eastAsia="Times New Roman"/>
                <w:iCs/>
              </w:rPr>
              <w:t>piegādes jautājumā rast</w:t>
            </w:r>
            <w:r w:rsidR="000963DD">
              <w:rPr>
                <w:rFonts w:eastAsia="Times New Roman"/>
                <w:iCs/>
              </w:rPr>
              <w:t>u</w:t>
            </w:r>
            <w:r w:rsidRPr="000963DD" w:rsidR="000963DD">
              <w:rPr>
                <w:rFonts w:eastAsia="Times New Roman"/>
                <w:iCs/>
              </w:rPr>
              <w:t xml:space="preserve"> tiesisko noteiktību līdz abonēšanas kampaņu sākumam</w:t>
            </w:r>
            <w:r w:rsidR="0082060F">
              <w:rPr>
                <w:rFonts w:eastAsia="Times New Roman"/>
                <w:iCs/>
              </w:rPr>
              <w:t>.</w:t>
            </w:r>
          </w:p>
        </w:tc>
      </w:tr>
      <w:tr w:rsidRPr="00AE7A39" w:rsidR="00231FDD" w:rsidTr="00231FDD" w14:paraId="6AD46FFF" w14:textId="77777777">
        <w:tc>
          <w:tcPr>
            <w:tcW w:w="534" w:type="dxa"/>
          </w:tcPr>
          <w:p w:rsidRPr="00AE7A39" w:rsidR="00231FDD" w:rsidP="00E030FA" w:rsidRDefault="00231FDD" w14:paraId="240AE406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AE7A39">
              <w:t>10.</w:t>
            </w:r>
          </w:p>
        </w:tc>
        <w:tc>
          <w:tcPr>
            <w:tcW w:w="2977" w:type="dxa"/>
          </w:tcPr>
          <w:p w:rsidRPr="00AE7A39" w:rsidR="00231FDD" w:rsidP="00E030FA" w:rsidRDefault="00231FDD" w14:paraId="50DA8E66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AE7A39">
              <w:t>Saistība ar ārkārtējās situācijas vai izņēmuma stāvokļa noteikšanu valstī</w:t>
            </w:r>
          </w:p>
        </w:tc>
        <w:tc>
          <w:tcPr>
            <w:tcW w:w="5669" w:type="dxa"/>
          </w:tcPr>
          <w:p w:rsidRPr="00AE7A39" w:rsidR="00231FDD" w:rsidP="00E030FA" w:rsidRDefault="00231FDD" w14:paraId="6B95BF2F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AE7A39">
              <w:t>Nav attiecināms.</w:t>
            </w:r>
          </w:p>
        </w:tc>
      </w:tr>
      <w:tr w:rsidRPr="00AE7A39" w:rsidR="00231FDD" w:rsidTr="00231FDD" w14:paraId="71D62B50" w14:textId="77777777">
        <w:tc>
          <w:tcPr>
            <w:tcW w:w="534" w:type="dxa"/>
          </w:tcPr>
          <w:p w:rsidRPr="00AE7A39" w:rsidR="00231FDD" w:rsidP="00E030FA" w:rsidRDefault="00231FDD" w14:paraId="72D988A3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AE7A39">
              <w:t>11.</w:t>
            </w:r>
          </w:p>
        </w:tc>
        <w:tc>
          <w:tcPr>
            <w:tcW w:w="2977" w:type="dxa"/>
          </w:tcPr>
          <w:p w:rsidRPr="00AE7A39" w:rsidR="00231FDD" w:rsidP="00E030FA" w:rsidRDefault="00231FDD" w14:paraId="1E5BD0ED" w14:textId="77777777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AE7A39">
              <w:t>Ministru kabineta lietas pamatojums</w:t>
            </w:r>
          </w:p>
        </w:tc>
        <w:tc>
          <w:tcPr>
            <w:tcW w:w="5669" w:type="dxa"/>
          </w:tcPr>
          <w:p w:rsidRPr="00AE7A39" w:rsidR="00231FDD" w:rsidP="00E030FA" w:rsidRDefault="00231FDD" w14:paraId="436AC361" w14:textId="77777777">
            <w:pPr>
              <w:widowControl/>
              <w:spacing w:after="0" w:line="240" w:lineRule="auto"/>
              <w:ind w:firstLine="34"/>
              <w:jc w:val="both"/>
              <w:rPr>
                <w:rFonts w:eastAsia="Times New Roman"/>
                <w:iCs/>
              </w:rPr>
            </w:pPr>
            <w:r w:rsidRPr="00F5529C">
              <w:rPr>
                <w:rFonts w:eastAsia="Times New Roman"/>
                <w:iCs/>
              </w:rPr>
              <w:t>Nav attiecināms.</w:t>
            </w:r>
          </w:p>
        </w:tc>
      </w:tr>
      <w:tr w:rsidRPr="00AE7A39" w:rsidR="00231FDD" w:rsidTr="00231FDD" w14:paraId="4298733A" w14:textId="77777777">
        <w:tc>
          <w:tcPr>
            <w:tcW w:w="534" w:type="dxa"/>
            <w:hideMark/>
          </w:tcPr>
          <w:p w:rsidRPr="00AE7A39" w:rsidR="00231FDD" w:rsidP="00E030FA" w:rsidRDefault="00231FDD" w14:paraId="40489C6A" w14:textId="77777777">
            <w:pPr>
              <w:widowControl/>
              <w:spacing w:after="0" w:line="240" w:lineRule="auto"/>
              <w:rPr>
                <w:rFonts w:eastAsia="Times New Roman"/>
              </w:rPr>
            </w:pPr>
            <w:r w:rsidRPr="00AE7A39">
              <w:rPr>
                <w:rFonts w:eastAsia="Times New Roman"/>
              </w:rPr>
              <w:t>12.</w:t>
            </w:r>
          </w:p>
        </w:tc>
        <w:tc>
          <w:tcPr>
            <w:tcW w:w="2977" w:type="dxa"/>
            <w:hideMark/>
          </w:tcPr>
          <w:p w:rsidRPr="00AE7A39" w:rsidR="00231FDD" w:rsidP="00E030FA" w:rsidRDefault="00231FDD" w14:paraId="3CA56E31" w14:textId="77777777">
            <w:pPr>
              <w:widowControl/>
              <w:spacing w:after="0" w:line="240" w:lineRule="auto"/>
              <w:rPr>
                <w:rFonts w:eastAsia="Times New Roman"/>
              </w:rPr>
            </w:pPr>
            <w:r w:rsidRPr="00AE7A39">
              <w:rPr>
                <w:rFonts w:eastAsia="Times New Roman"/>
              </w:rPr>
              <w:t>Steidzamības kārtības pamatojums</w:t>
            </w:r>
          </w:p>
        </w:tc>
        <w:tc>
          <w:tcPr>
            <w:tcW w:w="5669" w:type="dxa"/>
            <w:hideMark/>
          </w:tcPr>
          <w:p w:rsidR="000963DD" w:rsidP="000963DD" w:rsidRDefault="000963DD" w14:paraId="14AB1630" w14:textId="26949093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0963DD">
              <w:rPr>
                <w:rFonts w:eastAsia="Times New Roman"/>
              </w:rPr>
              <w:t xml:space="preserve">Ar Sabiedrisko pakalpojumu regulēšanas komisijas (turpmāk - </w:t>
            </w:r>
            <w:r w:rsidR="0082060F">
              <w:rPr>
                <w:rFonts w:eastAsia="Times New Roman"/>
              </w:rPr>
              <w:t>Regulators</w:t>
            </w:r>
            <w:r w:rsidRPr="000963DD">
              <w:rPr>
                <w:rFonts w:eastAsia="Times New Roman"/>
              </w:rPr>
              <w:t xml:space="preserve">) 2021.gada </w:t>
            </w:r>
            <w:r w:rsidR="0082060F">
              <w:rPr>
                <w:rFonts w:eastAsia="Times New Roman"/>
              </w:rPr>
              <w:t xml:space="preserve">22.jūlija lēmumu Nr.78 </w:t>
            </w:r>
            <w:r w:rsidRPr="000963DD">
              <w:rPr>
                <w:rFonts w:eastAsia="Times New Roman"/>
              </w:rPr>
              <w:t>izsludinātajā konkursā universālā pasta pakalpojuma sniedzēja noteikšanai par konkursa uzvarētāju tika noteikta VAS “Latvijas Pasts”</w:t>
            </w:r>
            <w:r w:rsidR="0082060F">
              <w:rPr>
                <w:rFonts w:eastAsia="Times New Roman"/>
              </w:rPr>
              <w:t>, kurai noteikts</w:t>
            </w:r>
            <w:r w:rsidRPr="0082060F" w:rsidR="0082060F">
              <w:rPr>
                <w:rFonts w:eastAsia="Times New Roman"/>
              </w:rPr>
              <w:t xml:space="preserve"> pienākum</w:t>
            </w:r>
            <w:r w:rsidR="0082060F">
              <w:rPr>
                <w:rFonts w:eastAsia="Times New Roman"/>
              </w:rPr>
              <w:t>s</w:t>
            </w:r>
            <w:r w:rsidRPr="0082060F" w:rsidR="0082060F">
              <w:rPr>
                <w:rFonts w:eastAsia="Times New Roman"/>
              </w:rPr>
              <w:t xml:space="preserve"> līdz 2021.gada 2.augustam aprēķināto universālā pasta pakalpojuma tarifu projektu iesniegt</w:t>
            </w:r>
            <w:r w:rsidR="0082060F">
              <w:rPr>
                <w:rFonts w:eastAsia="Times New Roman"/>
              </w:rPr>
              <w:t xml:space="preserve"> </w:t>
            </w:r>
            <w:r w:rsidRPr="0082060F" w:rsidR="0082060F">
              <w:rPr>
                <w:rFonts w:eastAsia="Times New Roman"/>
              </w:rPr>
              <w:t>Regulatoram</w:t>
            </w:r>
            <w:r w:rsidR="0082060F">
              <w:rPr>
                <w:rFonts w:eastAsia="Times New Roman"/>
              </w:rPr>
              <w:t>.</w:t>
            </w:r>
            <w:r w:rsidRPr="0082060F" w:rsidR="0082060F">
              <w:rPr>
                <w:rFonts w:eastAsia="Times New Roman"/>
              </w:rPr>
              <w:t xml:space="preserve"> </w:t>
            </w:r>
            <w:r w:rsidRPr="000963DD">
              <w:rPr>
                <w:rFonts w:eastAsia="Times New Roman"/>
              </w:rPr>
              <w:t xml:space="preserve">Šobrīd </w:t>
            </w:r>
            <w:r w:rsidR="0082060F">
              <w:rPr>
                <w:rFonts w:eastAsia="Times New Roman"/>
              </w:rPr>
              <w:t>turpinās</w:t>
            </w:r>
            <w:r w:rsidRPr="000963DD">
              <w:rPr>
                <w:rFonts w:eastAsia="Times New Roman"/>
              </w:rPr>
              <w:t xml:space="preserve"> iesniegto tarifu projektu izvērtēšana</w:t>
            </w:r>
            <w:r w:rsidR="0082060F">
              <w:rPr>
                <w:rFonts w:eastAsia="Times New Roman"/>
              </w:rPr>
              <w:t>.</w:t>
            </w:r>
          </w:p>
          <w:p w:rsidRPr="000963DD" w:rsidR="000963DD" w:rsidP="000963DD" w:rsidRDefault="000963DD" w14:paraId="056DBB2E" w14:textId="7080B4F5">
            <w:pPr>
              <w:widowControl/>
              <w:spacing w:after="0" w:line="240" w:lineRule="auto"/>
              <w:jc w:val="both"/>
              <w:rPr>
                <w:rFonts w:eastAsia="Times New Roman"/>
              </w:rPr>
            </w:pPr>
            <w:r w:rsidRPr="000963DD">
              <w:rPr>
                <w:rFonts w:eastAsia="Times New Roman"/>
              </w:rPr>
              <w:t xml:space="preserve">Tradicionāli preses izdevēji ar </w:t>
            </w:r>
            <w:r>
              <w:rPr>
                <w:rFonts w:eastAsia="Times New Roman"/>
              </w:rPr>
              <w:t>VAS “L</w:t>
            </w:r>
            <w:r w:rsidRPr="000963DD">
              <w:rPr>
                <w:rFonts w:eastAsia="Times New Roman"/>
              </w:rPr>
              <w:t>atvijas Past</w:t>
            </w:r>
            <w:r>
              <w:rPr>
                <w:rFonts w:eastAsia="Times New Roman"/>
              </w:rPr>
              <w:t>s”</w:t>
            </w:r>
            <w:r w:rsidRPr="000963DD">
              <w:rPr>
                <w:rFonts w:eastAsia="Times New Roman"/>
              </w:rPr>
              <w:t xml:space="preserve"> līdz augusta beigām noslēdz līgumus par preses piegādēm nākamajam gadam un rudenī uzsāk nākamā gada abonēšanas kampaņu, ņemot vērā piegāžu nosacījumus, kas neizbēgami ietekmē preses izdevumu abonementu cenu.</w:t>
            </w:r>
          </w:p>
          <w:p w:rsidRPr="00231FDD" w:rsidR="00231FDD" w:rsidP="000963DD" w:rsidRDefault="000963DD" w14:paraId="318125EB" w14:textId="2C7B0BC7">
            <w:pPr>
              <w:widowControl/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0963DD">
              <w:rPr>
                <w:rFonts w:eastAsia="Times New Roman"/>
              </w:rPr>
              <w:t xml:space="preserve">Ņemot vērā, ka </w:t>
            </w:r>
            <w:r w:rsidR="0082060F">
              <w:rPr>
                <w:rFonts w:eastAsia="Times New Roman"/>
              </w:rPr>
              <w:t xml:space="preserve">Regulators </w:t>
            </w:r>
            <w:r>
              <w:rPr>
                <w:rFonts w:eastAsia="Times New Roman"/>
              </w:rPr>
              <w:t xml:space="preserve">vēl </w:t>
            </w:r>
            <w:r w:rsidRPr="000963DD">
              <w:rPr>
                <w:rFonts w:eastAsia="Times New Roman"/>
              </w:rPr>
              <w:t>nav apstiprināj</w:t>
            </w:r>
            <w:r w:rsidR="0082060F">
              <w:rPr>
                <w:rFonts w:eastAsia="Times New Roman"/>
              </w:rPr>
              <w:t>is</w:t>
            </w:r>
            <w:r w:rsidRPr="000963DD">
              <w:rPr>
                <w:rFonts w:eastAsia="Times New Roman"/>
              </w:rPr>
              <w:t xml:space="preserve"> tarifus,</w:t>
            </w:r>
            <w:r w:rsidR="0082060F">
              <w:rPr>
                <w:rFonts w:eastAsia="Times New Roman"/>
              </w:rPr>
              <w:t xml:space="preserve"> un nav noteikts jauns regulējums saskaņā ar Rīkojumā Nr.397 noteikto, </w:t>
            </w:r>
            <w:r w:rsidRPr="000963DD">
              <w:rPr>
                <w:rFonts w:eastAsia="Times New Roman"/>
              </w:rPr>
              <w:t>nav iespējams</w:t>
            </w:r>
            <w:r>
              <w:rPr>
                <w:rFonts w:eastAsia="Times New Roman"/>
              </w:rPr>
              <w:t xml:space="preserve"> p</w:t>
            </w:r>
            <w:r w:rsidRPr="000963DD">
              <w:rPr>
                <w:rFonts w:eastAsia="Times New Roman"/>
              </w:rPr>
              <w:t xml:space="preserve">reses izdevējiem ar </w:t>
            </w:r>
            <w:r>
              <w:rPr>
                <w:rFonts w:eastAsia="Times New Roman"/>
              </w:rPr>
              <w:t>VAS “</w:t>
            </w:r>
            <w:r w:rsidRPr="000963DD">
              <w:rPr>
                <w:rFonts w:eastAsia="Times New Roman"/>
              </w:rPr>
              <w:t>Latvijas Past</w:t>
            </w:r>
            <w:r>
              <w:rPr>
                <w:rFonts w:eastAsia="Times New Roman"/>
              </w:rPr>
              <w:t>s”</w:t>
            </w:r>
            <w:r w:rsidRPr="000963DD">
              <w:rPr>
                <w:rFonts w:eastAsia="Times New Roman"/>
              </w:rPr>
              <w:t xml:space="preserve"> noslēgt līgumus par piegādēm 2022.gadam</w:t>
            </w:r>
            <w:r>
              <w:rPr>
                <w:rFonts w:eastAsia="Times New Roman"/>
              </w:rPr>
              <w:t xml:space="preserve"> un s</w:t>
            </w:r>
            <w:r w:rsidRPr="000963DD">
              <w:rPr>
                <w:rFonts w:eastAsia="Times New Roman"/>
              </w:rPr>
              <w:t>avlaicīgi uzsākt preses abonēšanas kampaņu</w:t>
            </w:r>
            <w:r>
              <w:rPr>
                <w:rFonts w:eastAsia="Times New Roman"/>
              </w:rPr>
              <w:t>.</w:t>
            </w:r>
          </w:p>
        </w:tc>
      </w:tr>
      <w:tr w:rsidRPr="00AE7A39" w:rsidR="00231FDD" w:rsidTr="00231FDD" w14:paraId="1F54F4DC" w14:textId="77777777">
        <w:tc>
          <w:tcPr>
            <w:tcW w:w="534" w:type="dxa"/>
            <w:hideMark/>
          </w:tcPr>
          <w:p w:rsidRPr="00AE7A39" w:rsidR="00231FDD" w:rsidP="00E030FA" w:rsidRDefault="00231FDD" w14:paraId="6D893D27" w14:textId="77777777">
            <w:pPr>
              <w:widowControl/>
              <w:spacing w:after="0" w:line="240" w:lineRule="auto"/>
              <w:rPr>
                <w:rFonts w:eastAsia="Times New Roman"/>
              </w:rPr>
            </w:pPr>
            <w:r w:rsidRPr="00AE7A39">
              <w:rPr>
                <w:rFonts w:eastAsia="Times New Roman"/>
              </w:rPr>
              <w:t>13.</w:t>
            </w:r>
          </w:p>
        </w:tc>
        <w:tc>
          <w:tcPr>
            <w:tcW w:w="2977" w:type="dxa"/>
            <w:hideMark/>
          </w:tcPr>
          <w:p w:rsidRPr="00AE7A39" w:rsidR="00231FDD" w:rsidP="00E030FA" w:rsidRDefault="00231FDD" w14:paraId="44FBED24" w14:textId="77777777">
            <w:pPr>
              <w:widowControl/>
              <w:spacing w:after="0" w:line="240" w:lineRule="auto"/>
              <w:rPr>
                <w:rFonts w:eastAsia="Times New Roman"/>
              </w:rPr>
            </w:pPr>
            <w:r w:rsidRPr="00AE7A39">
              <w:rPr>
                <w:rFonts w:eastAsia="Times New Roman"/>
              </w:rPr>
              <w:t>Jautājuma savlaicīgas neiesniegšanas iemesli</w:t>
            </w:r>
          </w:p>
        </w:tc>
        <w:tc>
          <w:tcPr>
            <w:tcW w:w="5669" w:type="dxa"/>
            <w:hideMark/>
          </w:tcPr>
          <w:p w:rsidRPr="00231FDD" w:rsidR="00231FDD" w:rsidP="00E030FA" w:rsidRDefault="00CE6981" w14:paraId="0FC54E2E" w14:textId="56F9ABF1">
            <w:pPr>
              <w:widowControl/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CE6981">
              <w:rPr>
                <w:rFonts w:eastAsia="Times New Roman"/>
              </w:rPr>
              <w:t>Satiksmes ministrija 2021.gada 1.februārī tīmekļvietnē publicēja likumprojektu un tā anotāciju ar mērķi nodrošināt sabiedrības līdzdalību par likumprojektu tā izstrādes stadijā.</w:t>
            </w:r>
            <w:r>
              <w:rPr>
                <w:rFonts w:eastAsia="Times New Roman"/>
              </w:rPr>
              <w:t xml:space="preserve"> Likumprojekts tika izsludināts </w:t>
            </w:r>
            <w:r w:rsidRPr="00CE6981">
              <w:rPr>
                <w:rFonts w:eastAsia="Times New Roman"/>
              </w:rPr>
              <w:t>2021.gada 25.februār</w:t>
            </w:r>
            <w:r>
              <w:rPr>
                <w:rFonts w:eastAsia="Times New Roman"/>
              </w:rPr>
              <w:t>ī, taču tā saskaņošanas process ievilkās, jo saskaņošanas dalībnieki sniedza savstarpēji nesavienojamus iebildumus, kā arī ilgstoši tika risināts jautājums par abonēto preses piegādes pakalpojumu apmaksas procentuālo daļu noteikšan</w:t>
            </w:r>
            <w:r w:rsidR="00C12400">
              <w:rPr>
                <w:rFonts w:eastAsia="Times New Roman"/>
              </w:rPr>
              <w:t>u</w:t>
            </w:r>
            <w:r>
              <w:rPr>
                <w:rFonts w:eastAsia="Times New Roman"/>
              </w:rPr>
              <w:t>, lai saskaņā ar Rīkojumu Nr.397 apstiprināto konceptuālo ziņojumu, ievērojami nepalielinātu preses izdevēju maksājumu apm</w:t>
            </w:r>
            <w:r w:rsidR="00F42802">
              <w:rPr>
                <w:rFonts w:eastAsia="Times New Roman"/>
              </w:rPr>
              <w:t>ē</w:t>
            </w:r>
            <w:r>
              <w:rPr>
                <w:rFonts w:eastAsia="Times New Roman"/>
              </w:rPr>
              <w:t>rus.</w:t>
            </w:r>
          </w:p>
        </w:tc>
      </w:tr>
      <w:tr w:rsidRPr="00AE7A39" w:rsidR="00231FDD" w:rsidTr="00231FDD" w14:paraId="0C6AF3BB" w14:textId="77777777">
        <w:tc>
          <w:tcPr>
            <w:tcW w:w="534" w:type="dxa"/>
            <w:hideMark/>
          </w:tcPr>
          <w:p w:rsidRPr="00AE7A39" w:rsidR="00231FDD" w:rsidP="00E030FA" w:rsidRDefault="00231FDD" w14:paraId="19424D9A" w14:textId="77777777">
            <w:pPr>
              <w:widowControl/>
              <w:spacing w:after="0" w:line="240" w:lineRule="auto"/>
              <w:rPr>
                <w:rFonts w:eastAsia="Times New Roman"/>
              </w:rPr>
            </w:pPr>
            <w:r w:rsidRPr="00AE7A39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977" w:type="dxa"/>
            <w:hideMark/>
          </w:tcPr>
          <w:p w:rsidRPr="00AE7A39" w:rsidR="00231FDD" w:rsidP="00E030FA" w:rsidRDefault="00231FDD" w14:paraId="1FA7D0D5" w14:textId="77777777">
            <w:pPr>
              <w:widowControl/>
              <w:spacing w:after="0" w:line="240" w:lineRule="auto"/>
              <w:rPr>
                <w:rFonts w:eastAsia="Times New Roman"/>
              </w:rPr>
            </w:pPr>
            <w:r w:rsidRPr="00AE7A39">
              <w:rPr>
                <w:rFonts w:eastAsia="Times New Roman"/>
              </w:rPr>
              <w:t>Lēmuma pieņemšanas galīgais termiņš</w:t>
            </w:r>
          </w:p>
        </w:tc>
        <w:tc>
          <w:tcPr>
            <w:tcW w:w="5669" w:type="dxa"/>
            <w:hideMark/>
          </w:tcPr>
          <w:p w:rsidRPr="00231FDD" w:rsidR="00231FDD" w:rsidP="00E030FA" w:rsidRDefault="00231FDD" w14:paraId="04034496" w14:textId="124B485B">
            <w:pPr>
              <w:widowControl/>
              <w:spacing w:after="0" w:line="240" w:lineRule="auto"/>
              <w:jc w:val="both"/>
              <w:rPr>
                <w:rFonts w:eastAsia="Times New Roman"/>
                <w:highlight w:val="yellow"/>
              </w:rPr>
            </w:pPr>
            <w:r w:rsidRPr="001F54B5">
              <w:rPr>
                <w:rFonts w:eastAsia="Times New Roman"/>
              </w:rPr>
              <w:t>Lēmumu nepieciešams pieņemt Ministru kabineta 2021</w:t>
            </w:r>
            <w:r w:rsidR="00B9018A">
              <w:rPr>
                <w:rFonts w:eastAsia="Times New Roman"/>
              </w:rPr>
              <w:t>.</w:t>
            </w:r>
            <w:r w:rsidRPr="001F54B5">
              <w:rPr>
                <w:rFonts w:eastAsia="Times New Roman"/>
              </w:rPr>
              <w:t xml:space="preserve">gada </w:t>
            </w:r>
            <w:r w:rsidRPr="001F54B5" w:rsidR="001F54B5">
              <w:rPr>
                <w:rFonts w:eastAsia="Times New Roman"/>
              </w:rPr>
              <w:t>7.septembra</w:t>
            </w:r>
            <w:r w:rsidRPr="001F54B5">
              <w:rPr>
                <w:rFonts w:eastAsia="Times New Roman"/>
              </w:rPr>
              <w:t xml:space="preserve"> sēdē, jo </w:t>
            </w:r>
            <w:r w:rsidR="001F54B5">
              <w:rPr>
                <w:rFonts w:eastAsia="Times New Roman"/>
              </w:rPr>
              <w:t>ir paredzēts</w:t>
            </w:r>
            <w:r w:rsidRPr="001F54B5" w:rsidR="001F54B5">
              <w:rPr>
                <w:rFonts w:eastAsia="Times New Roman"/>
              </w:rPr>
              <w:t xml:space="preserve">, </w:t>
            </w:r>
            <w:r w:rsidRPr="001F54B5">
              <w:rPr>
                <w:rFonts w:eastAsia="Times New Roman"/>
              </w:rPr>
              <w:t xml:space="preserve">ka likumprojekts </w:t>
            </w:r>
            <w:r w:rsidRPr="001F54B5" w:rsidR="001F54B5">
              <w:rPr>
                <w:rFonts w:eastAsia="Times New Roman"/>
              </w:rPr>
              <w:t xml:space="preserve">stāsies spēkā </w:t>
            </w:r>
            <w:r w:rsidRPr="001F54B5">
              <w:rPr>
                <w:rFonts w:eastAsia="Times New Roman"/>
              </w:rPr>
              <w:t xml:space="preserve">2021.gada </w:t>
            </w:r>
            <w:r w:rsidRPr="001F54B5" w:rsidR="001F54B5">
              <w:rPr>
                <w:rFonts w:eastAsia="Times New Roman"/>
              </w:rPr>
              <w:t>1</w:t>
            </w:r>
            <w:r w:rsidRPr="001F54B5">
              <w:rPr>
                <w:rFonts w:eastAsia="Times New Roman"/>
              </w:rPr>
              <w:t>.</w:t>
            </w:r>
            <w:r w:rsidRPr="001F54B5" w:rsidR="001F54B5">
              <w:rPr>
                <w:rFonts w:eastAsia="Times New Roman"/>
              </w:rPr>
              <w:t>oktobrī</w:t>
            </w:r>
            <w:r w:rsidR="0082060F">
              <w:rPr>
                <w:rFonts w:eastAsia="Times New Roman"/>
              </w:rPr>
              <w:t>, lai nodrošinātu juridisku noteiktību par jaunā abonēto preses izdevumu piegādes pakalpojumu valsts atbalsta mehānisma ieviešanu</w:t>
            </w:r>
            <w:r w:rsidRPr="001F54B5">
              <w:rPr>
                <w:rFonts w:eastAsia="Times New Roman"/>
              </w:rPr>
              <w:t>.</w:t>
            </w:r>
          </w:p>
        </w:tc>
      </w:tr>
    </w:tbl>
    <w:p w:rsidR="008E73F2" w:rsidP="008E73F2" w:rsidRDefault="008E73F2" w14:paraId="6EB14675" w14:textId="77777777">
      <w:pPr>
        <w:widowControl/>
        <w:spacing w:after="0" w:line="240" w:lineRule="auto"/>
        <w:rPr>
          <w:rFonts w:eastAsia="Times New Roman"/>
        </w:rPr>
      </w:pPr>
    </w:p>
    <w:p w:rsidR="008E73F2" w:rsidP="008E73F2" w:rsidRDefault="008E73F2" w14:paraId="21E8DD62" w14:textId="77777777">
      <w:pPr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Pielikumā:</w:t>
      </w:r>
    </w:p>
    <w:p w:rsidR="008E73F2" w:rsidP="008E73F2" w:rsidRDefault="008E73F2" w14:paraId="7D81BB36" w14:textId="77777777">
      <w:pPr>
        <w:spacing w:after="0" w:line="240" w:lineRule="auto"/>
        <w:ind w:firstLine="720"/>
        <w:jc w:val="both"/>
        <w:rPr>
          <w:rFonts w:eastAsia="Times New Roman"/>
        </w:rPr>
      </w:pPr>
    </w:p>
    <w:p w:rsidR="008E73F2" w:rsidP="008E73F2" w:rsidRDefault="008E73F2" w14:paraId="74F7F2D0" w14:textId="6A51B768">
      <w:pPr>
        <w:widowControl/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1. Likumprojekts „Grozījumi Pasta likumā”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(SMLik_310821_abonUP)</w:t>
      </w:r>
      <w:r w:rsidRPr="008B12A4" w:rsidR="008B12A4">
        <w:rPr>
          <w:rFonts w:eastAsia="Times New Roman"/>
        </w:rPr>
        <w:t xml:space="preserve"> </w:t>
      </w:r>
      <w:r w:rsidR="008B12A4">
        <w:rPr>
          <w:rFonts w:eastAsia="Times New Roman"/>
        </w:rPr>
        <w:t>uz 4 </w:t>
      </w:r>
      <w:proofErr w:type="spellStart"/>
      <w:r w:rsidR="008B12A4">
        <w:rPr>
          <w:rFonts w:eastAsia="Times New Roman"/>
        </w:rPr>
        <w:t>lp</w:t>
      </w:r>
      <w:proofErr w:type="spellEnd"/>
      <w:r w:rsidR="008B12A4">
        <w:rPr>
          <w:rFonts w:eastAsia="Times New Roman"/>
        </w:rPr>
        <w:t>.</w:t>
      </w:r>
      <w:r w:rsidR="008B12A4">
        <w:rPr>
          <w:rFonts w:eastAsia="Times New Roman"/>
        </w:rPr>
        <w:t>;</w:t>
      </w:r>
    </w:p>
    <w:p w:rsidR="008E73F2" w:rsidP="008E73F2" w:rsidRDefault="008E73F2" w14:paraId="672AFA7D" w14:textId="0546378B">
      <w:pPr>
        <w:widowControl/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 w:rsidRPr="00C248E3">
        <w:rPr>
          <w:rFonts w:eastAsia="Times New Roman"/>
          <w:bCs/>
          <w:lang w:eastAsia="en-US"/>
        </w:rPr>
        <w:t>2. Ministru kabineta sēdes protokollēmuma projekts (SMProt_</w:t>
      </w:r>
      <w:r>
        <w:rPr>
          <w:rFonts w:eastAsia="Times New Roman"/>
          <w:bCs/>
          <w:lang w:eastAsia="en-US"/>
        </w:rPr>
        <w:t>3108</w:t>
      </w:r>
      <w:r w:rsidRPr="00C248E3">
        <w:rPr>
          <w:rFonts w:eastAsia="Times New Roman"/>
          <w:bCs/>
          <w:lang w:eastAsia="en-US"/>
        </w:rPr>
        <w:t>21_</w:t>
      </w:r>
      <w:r>
        <w:rPr>
          <w:rFonts w:eastAsia="Times New Roman"/>
          <w:bCs/>
          <w:lang w:eastAsia="en-US"/>
        </w:rPr>
        <w:t>abon</w:t>
      </w:r>
      <w:r w:rsidRPr="00C248E3">
        <w:rPr>
          <w:rFonts w:eastAsia="Times New Roman"/>
          <w:bCs/>
          <w:lang w:eastAsia="en-US"/>
        </w:rPr>
        <w:t>UP)</w:t>
      </w:r>
      <w:r w:rsidRPr="008B12A4" w:rsidR="008B12A4">
        <w:rPr>
          <w:rFonts w:eastAsia="Times New Roman"/>
          <w:bCs/>
          <w:lang w:eastAsia="en-US"/>
        </w:rPr>
        <w:t xml:space="preserve"> </w:t>
      </w:r>
      <w:r w:rsidRPr="00C248E3" w:rsidR="008B12A4">
        <w:rPr>
          <w:rFonts w:eastAsia="Times New Roman"/>
          <w:bCs/>
          <w:lang w:eastAsia="en-US"/>
        </w:rPr>
        <w:t xml:space="preserve">uz </w:t>
      </w:r>
      <w:r w:rsidR="008B12A4">
        <w:rPr>
          <w:rFonts w:eastAsia="Times New Roman"/>
          <w:bCs/>
          <w:lang w:eastAsia="en-US"/>
        </w:rPr>
        <w:t>1 </w:t>
      </w:r>
      <w:proofErr w:type="spellStart"/>
      <w:r w:rsidRPr="00C248E3" w:rsidR="008B12A4">
        <w:rPr>
          <w:rFonts w:eastAsia="Times New Roman"/>
          <w:bCs/>
          <w:lang w:eastAsia="en-US"/>
        </w:rPr>
        <w:t>lp</w:t>
      </w:r>
      <w:proofErr w:type="spellEnd"/>
      <w:r w:rsidRPr="00C248E3" w:rsidR="008B12A4">
        <w:rPr>
          <w:rFonts w:eastAsia="Times New Roman"/>
          <w:bCs/>
          <w:lang w:eastAsia="en-US"/>
        </w:rPr>
        <w:t>.</w:t>
      </w:r>
      <w:r w:rsidR="008B12A4">
        <w:rPr>
          <w:rFonts w:eastAsia="Times New Roman"/>
          <w:bCs/>
          <w:lang w:eastAsia="en-US"/>
        </w:rPr>
        <w:t>;</w:t>
      </w:r>
    </w:p>
    <w:p w:rsidR="008E73F2" w:rsidP="008E73F2" w:rsidRDefault="008E73F2" w14:paraId="76D88106" w14:textId="15C6940D">
      <w:pPr>
        <w:widowControl/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3. Likumprojekta „Grozījumi Pasta likumā” sākotnējās ietekmes novērtējuma ziņojums (anotācija) (SMAnot_310821_abonUP)</w:t>
      </w:r>
      <w:r w:rsidR="008B12A4">
        <w:rPr>
          <w:rFonts w:eastAsia="Times New Roman"/>
          <w:bCs/>
          <w:lang w:eastAsia="en-US"/>
        </w:rPr>
        <w:t xml:space="preserve"> </w:t>
      </w:r>
      <w:r w:rsidR="008B12A4">
        <w:rPr>
          <w:rFonts w:eastAsia="Times New Roman"/>
          <w:bCs/>
          <w:lang w:eastAsia="en-US"/>
        </w:rPr>
        <w:t>uz 24 </w:t>
      </w:r>
      <w:proofErr w:type="spellStart"/>
      <w:r w:rsidR="008B12A4">
        <w:rPr>
          <w:rFonts w:eastAsia="Times New Roman"/>
          <w:bCs/>
          <w:lang w:eastAsia="en-US"/>
        </w:rPr>
        <w:t>lp</w:t>
      </w:r>
      <w:proofErr w:type="spellEnd"/>
      <w:r w:rsidR="008B12A4">
        <w:rPr>
          <w:rFonts w:eastAsia="Times New Roman"/>
          <w:bCs/>
          <w:lang w:eastAsia="en-US"/>
        </w:rPr>
        <w:t>.</w:t>
      </w:r>
      <w:r w:rsidR="008B12A4">
        <w:rPr>
          <w:rFonts w:eastAsia="Times New Roman"/>
          <w:bCs/>
          <w:lang w:eastAsia="en-US"/>
        </w:rPr>
        <w:t>;</w:t>
      </w:r>
    </w:p>
    <w:p w:rsidR="00231FDD" w:rsidP="008E73F2" w:rsidRDefault="00231FDD" w14:paraId="3883357B" w14:textId="5EC1FE78">
      <w:pPr>
        <w:widowControl/>
        <w:spacing w:after="0" w:line="240" w:lineRule="auto"/>
        <w:ind w:firstLine="7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4. Finanšu ministrijas 2021.gada 31.augusta e-pasta </w:t>
      </w:r>
      <w:r w:rsidR="008B12A4">
        <w:rPr>
          <w:rFonts w:eastAsia="Times New Roman"/>
          <w:bCs/>
          <w:lang w:eastAsia="en-US"/>
        </w:rPr>
        <w:t xml:space="preserve">ziņojums </w:t>
      </w:r>
      <w:r w:rsidRPr="00231FDD">
        <w:rPr>
          <w:rFonts w:eastAsia="Times New Roman"/>
          <w:bCs/>
          <w:lang w:eastAsia="en-US"/>
        </w:rPr>
        <w:t>Nr. 10.1-6/7-1/1057</w:t>
      </w:r>
      <w:r>
        <w:rPr>
          <w:rFonts w:eastAsia="Times New Roman"/>
          <w:bCs/>
          <w:lang w:eastAsia="en-US"/>
        </w:rPr>
        <w:t xml:space="preserve">  (Fmatz_310821el)</w:t>
      </w:r>
      <w:r w:rsidRPr="008B12A4" w:rsidR="008B12A4">
        <w:rPr>
          <w:rFonts w:eastAsia="Times New Roman"/>
          <w:bCs/>
          <w:lang w:eastAsia="en-US"/>
        </w:rPr>
        <w:t xml:space="preserve"> </w:t>
      </w:r>
      <w:r w:rsidR="008B12A4">
        <w:rPr>
          <w:rFonts w:eastAsia="Times New Roman"/>
          <w:bCs/>
          <w:lang w:eastAsia="en-US"/>
        </w:rPr>
        <w:t xml:space="preserve">uz 1 </w:t>
      </w:r>
      <w:proofErr w:type="spellStart"/>
      <w:r w:rsidR="008B12A4">
        <w:rPr>
          <w:rFonts w:eastAsia="Times New Roman"/>
          <w:bCs/>
          <w:lang w:eastAsia="en-US"/>
        </w:rPr>
        <w:t>lp</w:t>
      </w:r>
      <w:proofErr w:type="spellEnd"/>
      <w:r w:rsidR="008B12A4">
        <w:rPr>
          <w:rFonts w:eastAsia="Times New Roman"/>
          <w:bCs/>
          <w:lang w:eastAsia="en-US"/>
        </w:rPr>
        <w:t>.</w:t>
      </w:r>
    </w:p>
    <w:p w:rsidR="008E73F2" w:rsidP="008E73F2" w:rsidRDefault="008E73F2" w14:paraId="6ADAA76E" w14:textId="77777777">
      <w:pPr>
        <w:spacing w:after="0" w:line="240" w:lineRule="auto"/>
        <w:ind w:right="12"/>
        <w:jc w:val="both"/>
        <w:rPr>
          <w:rFonts w:eastAsia="Times New Roman"/>
        </w:rPr>
      </w:pPr>
    </w:p>
    <w:p w:rsidR="008E73F2" w:rsidP="008E73F2" w:rsidRDefault="008E73F2" w14:paraId="615628A9" w14:textId="77777777">
      <w:pPr>
        <w:spacing w:after="0" w:line="240" w:lineRule="auto"/>
        <w:ind w:right="12"/>
        <w:jc w:val="both"/>
        <w:rPr>
          <w:rFonts w:eastAsia="Times New Roman"/>
        </w:rPr>
      </w:pPr>
    </w:p>
    <w:p w:rsidR="008E73F2" w:rsidP="008E73F2" w:rsidRDefault="008E73F2" w14:paraId="4162C56B" w14:textId="77777777">
      <w:pPr>
        <w:spacing w:after="0" w:line="240" w:lineRule="auto"/>
        <w:ind w:right="12"/>
        <w:jc w:val="both"/>
        <w:rPr>
          <w:rFonts w:eastAsia="Times New Roman"/>
        </w:rPr>
      </w:pPr>
      <w:r>
        <w:rPr>
          <w:rFonts w:eastAsia="Times New Roman"/>
        </w:rPr>
        <w:t>Satiksmes ministrs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T.Linkaits</w:t>
      </w:r>
    </w:p>
    <w:p w:rsidR="008E73F2" w:rsidP="008E73F2" w:rsidRDefault="008E73F2" w14:paraId="7B4F7D5D" w14:textId="77777777">
      <w:pPr>
        <w:spacing w:after="0" w:line="240" w:lineRule="auto"/>
        <w:ind w:right="12"/>
        <w:jc w:val="both"/>
        <w:rPr>
          <w:rFonts w:eastAsia="Times New Roman"/>
        </w:rPr>
      </w:pPr>
    </w:p>
    <w:p w:rsidR="008E73F2" w:rsidP="008E73F2" w:rsidRDefault="008E73F2" w14:paraId="33895192" w14:textId="77777777">
      <w:pPr>
        <w:spacing w:after="0" w:line="240" w:lineRule="auto"/>
        <w:ind w:right="12"/>
        <w:jc w:val="both"/>
        <w:rPr>
          <w:rFonts w:eastAsia="Times New Roman"/>
        </w:rPr>
      </w:pPr>
    </w:p>
    <w:p w:rsidRPr="00C248E3" w:rsidR="008E73F2" w:rsidP="008E73F2" w:rsidRDefault="008E73F2" w14:paraId="360B2063" w14:textId="7777777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248E3">
        <w:rPr>
          <w:rFonts w:eastAsia="Times New Roman"/>
          <w:sz w:val="20"/>
          <w:szCs w:val="20"/>
        </w:rPr>
        <w:t>Pakule, 67028115</w:t>
      </w:r>
    </w:p>
    <w:p w:rsidRPr="00C248E3" w:rsidR="008E73F2" w:rsidP="008E73F2" w:rsidRDefault="008B12A4" w14:paraId="63E64157" w14:textId="77777777">
      <w:pPr>
        <w:spacing w:after="0" w:line="240" w:lineRule="auto"/>
        <w:jc w:val="both"/>
        <w:rPr>
          <w:rFonts w:eastAsia="Times New Roman"/>
          <w:sz w:val="20"/>
          <w:szCs w:val="20"/>
        </w:rPr>
      </w:pPr>
      <w:hyperlink w:history="1" r:id="rId7">
        <w:r w:rsidRPr="00C248E3" w:rsidR="008E73F2">
          <w:rPr>
            <w:rStyle w:val="Hyperlink"/>
            <w:rFonts w:eastAsia="Times New Roman"/>
            <w:sz w:val="20"/>
            <w:szCs w:val="20"/>
          </w:rPr>
          <w:t>Inese.Pakule@sam.gov.lv</w:t>
        </w:r>
      </w:hyperlink>
    </w:p>
    <w:p w:rsidR="008E73F2" w:rsidP="008E73F2" w:rsidRDefault="008E73F2" w14:paraId="13659C79" w14:textId="77777777">
      <w:pPr>
        <w:rPr>
          <w:sz w:val="20"/>
          <w:szCs w:val="20"/>
        </w:rPr>
      </w:pPr>
    </w:p>
    <w:p w:rsidRPr="00893625" w:rsidR="00893625" w:rsidP="00893625" w:rsidRDefault="00893625" w14:paraId="3E86710F" w14:textId="77777777">
      <w:pPr>
        <w:rPr>
          <w:sz w:val="20"/>
          <w:szCs w:val="20"/>
        </w:rPr>
      </w:pPr>
    </w:p>
    <w:p w:rsidRPr="00893625" w:rsidR="00893625" w:rsidP="00F6664B" w:rsidRDefault="00893625" w14:paraId="46AC3127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sz w:val="20"/>
          <w:szCs w:val="20"/>
        </w:rPr>
      </w:pPr>
      <w:r w:rsidRPr="00893625">
        <w:rPr>
          <w:sz w:val="20"/>
          <w:szCs w:val="20"/>
        </w:rPr>
        <w:t>DOKUMENTS IR PARAKSTĪTS AR DROŠU ELEKTRONISKO PARAKSTU UN SATUR LAIKA ZĪMOGU</w:t>
      </w:r>
    </w:p>
    <w:p w:rsidRPr="009012E8" w:rsidR="0031779D" w:rsidP="00B00CCD" w:rsidRDefault="0031779D" w14:paraId="56E683CD" w14:textId="77777777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sectPr w:rsidRPr="009012E8" w:rsidR="0031779D" w:rsidSect="00B00CCD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7749" w14:textId="77777777" w:rsidR="002B5396" w:rsidRDefault="002B5396">
      <w:pPr>
        <w:spacing w:after="0" w:line="240" w:lineRule="auto"/>
      </w:pPr>
      <w:r>
        <w:separator/>
      </w:r>
    </w:p>
  </w:endnote>
  <w:endnote w:type="continuationSeparator" w:id="0">
    <w:p w14:paraId="27775EB8" w14:textId="77777777" w:rsidR="002B5396" w:rsidRDefault="002B5396">
      <w:pPr>
        <w:spacing w:after="0" w:line="240" w:lineRule="auto"/>
      </w:pPr>
      <w:r>
        <w:continuationSeparator/>
      </w:r>
    </w:p>
  </w:endnote>
  <w:endnote w:type="continuationNotice" w:id="1">
    <w:p w14:paraId="03E336FF" w14:textId="77777777" w:rsidR="00DE3716" w:rsidRDefault="00DE3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CA715" w14:textId="77777777" w:rsidR="00B00CCD" w:rsidRDefault="00B00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2890C" w14:textId="77777777" w:rsidR="00B00CCD" w:rsidRDefault="00B0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9A0A" w14:textId="77777777" w:rsidR="002B5396" w:rsidRDefault="002B5396">
      <w:pPr>
        <w:spacing w:after="0" w:line="240" w:lineRule="auto"/>
      </w:pPr>
      <w:r>
        <w:separator/>
      </w:r>
    </w:p>
  </w:footnote>
  <w:footnote w:type="continuationSeparator" w:id="0">
    <w:p w14:paraId="2945B640" w14:textId="77777777" w:rsidR="002B5396" w:rsidRDefault="002B5396">
      <w:pPr>
        <w:spacing w:after="0" w:line="240" w:lineRule="auto"/>
      </w:pPr>
      <w:r>
        <w:continuationSeparator/>
      </w:r>
    </w:p>
  </w:footnote>
  <w:footnote w:type="continuationNotice" w:id="1">
    <w:p w14:paraId="0369B56C" w14:textId="77777777" w:rsidR="00DE3716" w:rsidRDefault="00DE3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81DC" w14:textId="77777777" w:rsidR="009D62CD" w:rsidRDefault="009D62CD" w:rsidP="009D62CD">
    <w:pPr>
      <w:pStyle w:val="Header"/>
    </w:pPr>
  </w:p>
  <w:p w14:paraId="7C1C9582" w14:textId="77777777" w:rsidR="009D62CD" w:rsidRDefault="009D62CD" w:rsidP="009D62CD">
    <w:pPr>
      <w:pStyle w:val="Header"/>
    </w:pPr>
  </w:p>
  <w:p w14:paraId="6FA08C18" w14:textId="77777777" w:rsidR="009D62CD" w:rsidRDefault="009D62CD" w:rsidP="009D62CD">
    <w:pPr>
      <w:pStyle w:val="Header"/>
    </w:pPr>
  </w:p>
  <w:p w14:paraId="7D2B55E6" w14:textId="77777777" w:rsidR="009D62CD" w:rsidRDefault="009D62CD" w:rsidP="009D62CD">
    <w:pPr>
      <w:pStyle w:val="Header"/>
    </w:pPr>
  </w:p>
  <w:p w14:paraId="028B4907" w14:textId="77777777" w:rsidR="009D62CD" w:rsidRDefault="009D62CD" w:rsidP="009D62CD">
    <w:pPr>
      <w:pStyle w:val="Header"/>
    </w:pPr>
  </w:p>
  <w:p w14:paraId="347D3762" w14:textId="77777777" w:rsidR="009D62CD" w:rsidRDefault="009D62CD" w:rsidP="009D62CD">
    <w:pPr>
      <w:pStyle w:val="Header"/>
    </w:pPr>
  </w:p>
  <w:p w14:paraId="42C27A07" w14:textId="77777777" w:rsidR="009D62CD" w:rsidRDefault="009D62CD" w:rsidP="009D62CD">
    <w:pPr>
      <w:pStyle w:val="Header"/>
    </w:pPr>
  </w:p>
  <w:p w14:paraId="39D03DB4" w14:textId="77777777" w:rsidR="009D62CD" w:rsidRDefault="009D62CD" w:rsidP="009D62CD">
    <w:pPr>
      <w:pStyle w:val="Header"/>
    </w:pPr>
  </w:p>
  <w:p w14:paraId="04DBF018" w14:textId="77777777" w:rsidR="009D62CD" w:rsidRDefault="009D62CD" w:rsidP="009D62CD">
    <w:pPr>
      <w:pStyle w:val="Header"/>
    </w:pPr>
  </w:p>
  <w:p w14:paraId="04968A0F" w14:textId="77777777" w:rsidR="009D62CD" w:rsidRDefault="009D62CD" w:rsidP="009D62CD">
    <w:pPr>
      <w:pStyle w:val="Header"/>
    </w:pPr>
  </w:p>
  <w:p w14:paraId="1E3B23EA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400FD" wp14:editId="3366A5B4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3EFC249" wp14:editId="1FFD2078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16045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67028210, fakss 67217180, e-pasts satiksmes.ministrija@sam.gov.lv,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FC24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4F916045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CD36D0A" wp14:editId="660B037B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40D8B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5DDD7FE7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E5"/>
    <w:rsid w:val="00006384"/>
    <w:rsid w:val="00030349"/>
    <w:rsid w:val="00032083"/>
    <w:rsid w:val="00061D30"/>
    <w:rsid w:val="000963DD"/>
    <w:rsid w:val="001201F9"/>
    <w:rsid w:val="00124173"/>
    <w:rsid w:val="00132CFB"/>
    <w:rsid w:val="00177080"/>
    <w:rsid w:val="001771E5"/>
    <w:rsid w:val="00180197"/>
    <w:rsid w:val="001A2125"/>
    <w:rsid w:val="001C0B01"/>
    <w:rsid w:val="001C50FC"/>
    <w:rsid w:val="001F54B5"/>
    <w:rsid w:val="0020635C"/>
    <w:rsid w:val="00231FDD"/>
    <w:rsid w:val="00262B83"/>
    <w:rsid w:val="00275B9E"/>
    <w:rsid w:val="002B3077"/>
    <w:rsid w:val="002B5396"/>
    <w:rsid w:val="002C57BC"/>
    <w:rsid w:val="002E1474"/>
    <w:rsid w:val="00300480"/>
    <w:rsid w:val="0031779D"/>
    <w:rsid w:val="00335032"/>
    <w:rsid w:val="003641B3"/>
    <w:rsid w:val="003952A2"/>
    <w:rsid w:val="003A090C"/>
    <w:rsid w:val="003F77CE"/>
    <w:rsid w:val="00493308"/>
    <w:rsid w:val="004D77F7"/>
    <w:rsid w:val="004E49D0"/>
    <w:rsid w:val="00527E96"/>
    <w:rsid w:val="00535564"/>
    <w:rsid w:val="0053651D"/>
    <w:rsid w:val="005F6D65"/>
    <w:rsid w:val="00612D42"/>
    <w:rsid w:val="00632E67"/>
    <w:rsid w:val="0065100D"/>
    <w:rsid w:val="00656CB4"/>
    <w:rsid w:val="00663C3A"/>
    <w:rsid w:val="006738C5"/>
    <w:rsid w:val="006C1639"/>
    <w:rsid w:val="006F47E8"/>
    <w:rsid w:val="00743F03"/>
    <w:rsid w:val="00747CCB"/>
    <w:rsid w:val="007704BD"/>
    <w:rsid w:val="007B3BA5"/>
    <w:rsid w:val="007B48EC"/>
    <w:rsid w:val="007D7AF5"/>
    <w:rsid w:val="007E4D1F"/>
    <w:rsid w:val="00815277"/>
    <w:rsid w:val="0082060F"/>
    <w:rsid w:val="00831A8F"/>
    <w:rsid w:val="008439E5"/>
    <w:rsid w:val="00850F03"/>
    <w:rsid w:val="00876C21"/>
    <w:rsid w:val="00893625"/>
    <w:rsid w:val="008B12A4"/>
    <w:rsid w:val="008B216A"/>
    <w:rsid w:val="008E73F2"/>
    <w:rsid w:val="008F5D2D"/>
    <w:rsid w:val="009012E8"/>
    <w:rsid w:val="00954D5A"/>
    <w:rsid w:val="00966F0D"/>
    <w:rsid w:val="009D62CD"/>
    <w:rsid w:val="009E4B94"/>
    <w:rsid w:val="009F31A3"/>
    <w:rsid w:val="009F594B"/>
    <w:rsid w:val="00A24A1C"/>
    <w:rsid w:val="00A705C1"/>
    <w:rsid w:val="00AC3BB9"/>
    <w:rsid w:val="00AF3A6E"/>
    <w:rsid w:val="00B00341"/>
    <w:rsid w:val="00B00CCD"/>
    <w:rsid w:val="00B01E37"/>
    <w:rsid w:val="00B03ABB"/>
    <w:rsid w:val="00B10C18"/>
    <w:rsid w:val="00B260CE"/>
    <w:rsid w:val="00B874E2"/>
    <w:rsid w:val="00B9018A"/>
    <w:rsid w:val="00C12400"/>
    <w:rsid w:val="00C1677F"/>
    <w:rsid w:val="00C47F57"/>
    <w:rsid w:val="00C5340B"/>
    <w:rsid w:val="00C6250E"/>
    <w:rsid w:val="00CE6981"/>
    <w:rsid w:val="00CF1D72"/>
    <w:rsid w:val="00CF2083"/>
    <w:rsid w:val="00D21FA6"/>
    <w:rsid w:val="00D55B4B"/>
    <w:rsid w:val="00D82EE0"/>
    <w:rsid w:val="00DC06F8"/>
    <w:rsid w:val="00DD33B8"/>
    <w:rsid w:val="00DE3716"/>
    <w:rsid w:val="00E365CE"/>
    <w:rsid w:val="00E44FC1"/>
    <w:rsid w:val="00E710CC"/>
    <w:rsid w:val="00E75AA5"/>
    <w:rsid w:val="00F01842"/>
    <w:rsid w:val="00F07B33"/>
    <w:rsid w:val="00F42802"/>
    <w:rsid w:val="00F60586"/>
    <w:rsid w:val="00F6664B"/>
    <w:rsid w:val="00F673D1"/>
    <w:rsid w:val="00F85B8C"/>
    <w:rsid w:val="00FE0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A9ECA"/>
  <w15:docId w15:val="{41C0D65E-E2E9-4FBC-AE72-0C3534B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3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8E73F2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ese.Paku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Pasta likumā" (TA-1862)</vt:lpstr>
    </vt:vector>
  </TitlesOfParts>
  <Company>Satiksmes ministrija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Pasta likumā" (TA-1862)</dc:title>
  <dc:subject>pavadvēstule</dc:subject>
  <dc:creator>Inese Pakule</dc:creator>
  <cp:keywords/>
  <dc:description>inese.pakule@sam.gov.lv;_x000d_
tālr. 67028115</dc:description>
  <cp:lastModifiedBy>Ineta Vula</cp:lastModifiedBy>
  <cp:revision>21</cp:revision>
  <cp:lastPrinted>2016-03-23T07:18:00Z</cp:lastPrinted>
  <dcterms:created xsi:type="dcterms:W3CDTF">2021-08-31T12:07:00Z</dcterms:created>
  <dcterms:modified xsi:type="dcterms:W3CDTF">2021-09-01T07:19:00Z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