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22-TA-1319: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2011. gada 7. jūnija noteikumos Nr. 439 "Noteikumi par kuģu karoga valsts uzraudzības īstenošanu"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- 08.06.2022.)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Anotācijā veikt šādus redakcionālus precizējumus: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noteikumu projekts “Grozījumi Ministru kabineta 2011.gada 7.jūnija noteikumos Nr.439 „Noteikumi par kuģu karoga valsts uzraudzības īstenošanu”” (turpmāk – Projekts) ir izstrādāts, lai pilnveidotu kuģu karoga valsts uzraudzības noteikumus atbilstoši starptautiskajiem normatīvajiem aktiem un praksē </w:t>
            </w:r>
            <w:r w:rsidR="00000000" w:rsidRPr="00000000" w:rsidDel="00000000">
              <w:rPr>
                <w:b w:val="1"/>
                <w:rtl w:val="0"/>
              </w:rPr>
              <w:t xml:space="preserve">konstatētajām nepieciešamībām</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noteikumu projekts “Grozījumi Ministru kabineta 2011.gada 7.jūnija noteikumos Nr.439 „Noteikumi par kuģu karoga valsts uzraudzības īstenošanu”” (turpmāk – Projekts) ir izstrādāts, lai pilnveidotu kuģu karoga valsts uzraudzības noteikumus atbilstoši starptautiskajiem normatīvajiem aktiem un praksē konstatēto nepieciešamību.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- 08.06.2022.)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w:t>
            </w:r>
            <w:r w:rsidR="00000000" w:rsidRPr="00000000" w:rsidDel="00000000">
              <w:rPr>
                <w:b w:val="1"/>
                <w:rtl w:val="0"/>
              </w:rPr>
              <w:t xml:space="preserve">LR Uzņēmuma</w:t>
            </w:r>
            <w:r w:rsidR="00000000" w:rsidRPr="00000000" w:rsidDel="00000000">
              <w:rPr>
                <w:rtl w:val="0"/>
              </w:rPr>
              <w:t xml:space="preserve"> reģistra 2020. gada 23. decembra lēmumu “Par reorganizācijas ierakstīšanu komercreģistrā” Nr.6-12/128017, nepieciešams precizēt MK 439 minēto </w:t>
            </w:r>
            <w:r w:rsidR="00000000" w:rsidRPr="00000000" w:rsidDel="00000000">
              <w:rPr>
                <w:b w:val="1"/>
                <w:rtl w:val="0"/>
              </w:rPr>
              <w:t xml:space="preserve">firmu</w:t>
            </w:r>
            <w:r w:rsidR="00000000" w:rsidRPr="00000000" w:rsidDel="00000000">
              <w:rPr>
                <w:rtl w:val="0"/>
              </w:rPr>
              <w:t xml:space="preserve"> no valsts akciju sabiedrība “Latvijas Jūras administrācija” uz valsts sabiedrība ar ierobežotu atbildību “Latvijas Jūras administrācija”.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Saīsinājums "LR" apzīmē Libērijas Republiku,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Uzņēmumu reģistrs,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"firma" Komerclikuma izpratnē ir komersanta nosaukums, kas paliek "Latvijas Jūras administrācija", bet mainīts tiek kapiltālsabiedrības veids.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Latvijas Republikas Uzņēmumu reģistra 2020. gada 23. decembra lēmumu “Par reorganizācijas ierakstīšanu komercreģistrā” Nr.6-12/128017, nepieciešams precizēt MK 439 minēto kapitālsabiedrības veidu no valsts akciju sabiedrība “Latvijas Jūras administrācija” uz valsts sabiedrība ar ierobežotu atbildību “Latvijas Jūras administrācija”.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- 08.06.2022.)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Pašreiz noteikumi nenosaka kārtību, ko darīt, ja tiek konstatēta patvaļīga kuģa pārbūve. Patvaļīgi pārbūvēti kuģi rada lielu apdraudējumu cilvēku dzīvībai, kā arī rada apdraudējumu kuģošanas drošībai un apkārtējai videi. Tāpēc MK </w:t>
            </w:r>
            <w:r w:rsidR="00000000" w:rsidRPr="00000000" w:rsidDel="00000000">
              <w:rPr>
                <w:b w:val="1"/>
                <w:rtl w:val="0"/>
              </w:rPr>
              <w:t xml:space="preserve">349</w:t>
            </w:r>
            <w:r w:rsidR="00000000" w:rsidRPr="00000000" w:rsidDel="00000000">
              <w:rPr>
                <w:rtl w:val="0"/>
              </w:rPr>
              <w:t xml:space="preserve"> ir jāparedz darbības, kas ir veicamas gadījumā, kad kuģis ir ticis patvaļīgi pārbūvēts, tas ir, ja KDI konstatē patvaļīgu kuģa modernizāciju vai pārbūvi, kuģa īpašnieka pienākums ir atgriezt kuģi tādā sākotnējā stāvoklī, kāda tas bija pirms šīs kuģa modernizācijas vai pārbūves darbu uzsākšanas, darbus veicot tiešā KDI vai atzītās organizācijas uzraudzībā.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Pašreiz noteikumi nenosaka kārtību, ko darīt, ja tiek konstatēta patvaļīga kuģa pārbūve. Patvaļīgi pārbūvēti kuģi rada lielu apdraudējumu cilvēku dzīvībai, kā arī rada apdraudējumu kuģošanas drošībai un apkārtējai videi. Tāpēc MK 439 ir jāparedz darbības, kas ir veicamas gadījumā, kad kuģis ir ticis patvaļīgi pārbūvēts, tas ir, ja KDI konstatē patvaļīgu kuģa modernizāciju vai pārbūvi, kuģa īpašnieka pienākums ir atgriezt kuģi tādā sākotnējā stāvoklī, kāda tas bija pirms šīs kuģa modernizācijas vai pārbūves darbu uzsākšanas, darbus veicot tiešā KDI vai atzītās organizācijas uzraudzībā.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Tiesību akta projekta atbilstība Latvijas Republikas starptautiskajām saistībām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- 08.06.2022.)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rast iespēju atsaukties uz starptautiskajiem tiesību aktiem, kas paredz karoga valsts tiesības noteikt kuģu tehniskā stāvokļa pārbaudes biežumu.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informācija par ANO jūras tiesību konvenciju anotācijas 1.3 apakšpunktā.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Tiesību akta projekta atbilstība Latvijas Republikas starptautiskajām saistībām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22-TA-1319</w:t>
    </w:r>
    <w:r>
      <w:br/>
    </w:r>
    <w:r w:rsidR="00000000" w:rsidRPr="00000000" w:rsidDel="00000000">
      <w:rPr>
        <w:rtl w:val="0"/>
      </w:rPr>
      <w:t xml:space="preserve">30.06.2022. 16.32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22-TA-1319</w:t>
    </w:r>
    <w:r>
      <w:br/>
    </w:r>
    <w:r w:rsidR="00000000" w:rsidRPr="00000000" w:rsidDel="00000000">
      <w:rPr>
        <w:rtl w:val="0"/>
      </w:rPr>
      <w:t xml:space="preserve">30.06.2022. 16.32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Izziņa_22-TA-1319.docx</dc:title>
</cp:coreProperties>
</file>

<file path=docProps/custom.xml><?xml version="1.0" encoding="utf-8"?>
<Properties xmlns="http://schemas.openxmlformats.org/officeDocument/2006/custom-properties" xmlns:vt="http://schemas.openxmlformats.org/officeDocument/2006/docPropsVTypes"/>
</file>