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167A4C" w14:textId="53493525" w:rsidR="00A31F36" w:rsidRPr="00383350" w:rsidRDefault="00383350" w:rsidP="00A31F36">
      <w:pPr>
        <w:jc w:val="right"/>
        <w:rPr>
          <w:rFonts w:ascii="Times New Roman" w:hAnsi="Times New Roman" w:cs="Times New Roman"/>
          <w:b/>
          <w:bCs/>
          <w:sz w:val="26"/>
          <w:szCs w:val="26"/>
        </w:rPr>
      </w:pPr>
      <w:r w:rsidRPr="00383350">
        <w:rPr>
          <w:rFonts w:ascii="Times New Roman" w:hAnsi="Times New Roman" w:cs="Times New Roman"/>
          <w:b/>
          <w:bCs/>
          <w:sz w:val="26"/>
          <w:szCs w:val="26"/>
        </w:rPr>
        <w:t>Satiksmes ministrijai</w:t>
      </w:r>
    </w:p>
    <w:p w14:paraId="2A1A12AB" w14:textId="24144AFF" w:rsidR="0038641D" w:rsidRPr="00383350" w:rsidRDefault="00000000" w:rsidP="00A31F36">
      <w:pPr>
        <w:jc w:val="right"/>
        <w:rPr>
          <w:rFonts w:ascii="Times New Roman" w:hAnsi="Times New Roman" w:cs="Times New Roman"/>
          <w:sz w:val="26"/>
          <w:szCs w:val="26"/>
        </w:rPr>
      </w:pPr>
      <w:hyperlink r:id="rId8" w:history="1">
        <w:r w:rsidR="00383350" w:rsidRPr="00383350">
          <w:rPr>
            <w:rStyle w:val="Hyperlink"/>
            <w:rFonts w:ascii="Times New Roman" w:hAnsi="Times New Roman" w:cs="Times New Roman"/>
            <w:sz w:val="26"/>
            <w:szCs w:val="26"/>
          </w:rPr>
          <w:t>satiksmes.ministrija@sam.gov.lv</w:t>
        </w:r>
      </w:hyperlink>
      <w:r w:rsidR="00383350" w:rsidRPr="00383350">
        <w:rPr>
          <w:rFonts w:ascii="Times New Roman" w:hAnsi="Times New Roman" w:cs="Times New Roman"/>
          <w:sz w:val="26"/>
          <w:szCs w:val="26"/>
        </w:rPr>
        <w:t xml:space="preserve"> </w:t>
      </w:r>
      <w:r w:rsidR="0038641D" w:rsidRPr="00383350">
        <w:rPr>
          <w:rFonts w:ascii="Times New Roman" w:hAnsi="Times New Roman" w:cs="Times New Roman"/>
          <w:sz w:val="26"/>
          <w:szCs w:val="26"/>
        </w:rPr>
        <w:t xml:space="preserve">  </w:t>
      </w:r>
    </w:p>
    <w:p w14:paraId="225E9A51" w14:textId="551EF7EF" w:rsidR="00A31F36" w:rsidRPr="00383350" w:rsidRDefault="00A31F36" w:rsidP="00A31F36">
      <w:pPr>
        <w:ind w:right="-147"/>
        <w:rPr>
          <w:rFonts w:ascii="Times New Roman" w:hAnsi="Times New Roman" w:cs="Times New Roman"/>
          <w:sz w:val="26"/>
          <w:szCs w:val="26"/>
        </w:rPr>
      </w:pPr>
      <w:r w:rsidRPr="00383350">
        <w:rPr>
          <w:rFonts w:ascii="Times New Roman" w:hAnsi="Times New Roman" w:cs="Times New Roman"/>
          <w:sz w:val="26"/>
          <w:szCs w:val="26"/>
        </w:rPr>
        <w:t>Rīgā, 202</w:t>
      </w:r>
      <w:r w:rsidR="00675192" w:rsidRPr="00383350">
        <w:rPr>
          <w:rFonts w:ascii="Times New Roman" w:hAnsi="Times New Roman" w:cs="Times New Roman"/>
          <w:sz w:val="26"/>
          <w:szCs w:val="26"/>
        </w:rPr>
        <w:t>3</w:t>
      </w:r>
      <w:r w:rsidRPr="00383350">
        <w:rPr>
          <w:rFonts w:ascii="Times New Roman" w:hAnsi="Times New Roman" w:cs="Times New Roman"/>
          <w:sz w:val="26"/>
          <w:szCs w:val="26"/>
        </w:rPr>
        <w:t xml:space="preserve">.gada </w:t>
      </w:r>
      <w:r w:rsidR="002E2487">
        <w:rPr>
          <w:rFonts w:ascii="Times New Roman" w:hAnsi="Times New Roman" w:cs="Times New Roman"/>
          <w:sz w:val="26"/>
          <w:szCs w:val="26"/>
        </w:rPr>
        <w:t>24</w:t>
      </w:r>
      <w:r w:rsidR="00383350" w:rsidRPr="00383350">
        <w:rPr>
          <w:rFonts w:ascii="Times New Roman" w:hAnsi="Times New Roman" w:cs="Times New Roman"/>
          <w:sz w:val="26"/>
          <w:szCs w:val="26"/>
        </w:rPr>
        <w:t>.jūlijā</w:t>
      </w:r>
    </w:p>
    <w:p w14:paraId="2252CDB3" w14:textId="30A991B2" w:rsidR="00A31F36" w:rsidRPr="00383350" w:rsidRDefault="00A31F36" w:rsidP="00A31F36">
      <w:pPr>
        <w:ind w:right="-147"/>
        <w:rPr>
          <w:rFonts w:ascii="Times New Roman" w:hAnsi="Times New Roman" w:cs="Times New Roman"/>
          <w:sz w:val="26"/>
          <w:szCs w:val="26"/>
        </w:rPr>
      </w:pPr>
      <w:r w:rsidRPr="00383350">
        <w:rPr>
          <w:rFonts w:ascii="Times New Roman" w:hAnsi="Times New Roman" w:cs="Times New Roman"/>
          <w:sz w:val="26"/>
          <w:szCs w:val="26"/>
        </w:rPr>
        <w:t>Nr. 0</w:t>
      </w:r>
      <w:r w:rsidR="002E2487">
        <w:rPr>
          <w:rFonts w:ascii="Times New Roman" w:hAnsi="Times New Roman" w:cs="Times New Roman"/>
          <w:sz w:val="26"/>
          <w:szCs w:val="26"/>
        </w:rPr>
        <w:t>2</w:t>
      </w:r>
      <w:r w:rsidRPr="00383350">
        <w:rPr>
          <w:rFonts w:ascii="Times New Roman" w:hAnsi="Times New Roman" w:cs="Times New Roman"/>
          <w:sz w:val="26"/>
          <w:szCs w:val="26"/>
        </w:rPr>
        <w:t>-</w:t>
      </w:r>
      <w:r w:rsidR="00675192" w:rsidRPr="00383350">
        <w:rPr>
          <w:rFonts w:ascii="Times New Roman" w:hAnsi="Times New Roman" w:cs="Times New Roman"/>
          <w:sz w:val="26"/>
          <w:szCs w:val="26"/>
        </w:rPr>
        <w:t>0</w:t>
      </w:r>
      <w:r w:rsidR="00383350" w:rsidRPr="00383350">
        <w:rPr>
          <w:rFonts w:ascii="Times New Roman" w:hAnsi="Times New Roman" w:cs="Times New Roman"/>
          <w:sz w:val="26"/>
          <w:szCs w:val="26"/>
        </w:rPr>
        <w:t>7</w:t>
      </w:r>
      <w:r w:rsidRPr="00383350">
        <w:rPr>
          <w:rFonts w:ascii="Times New Roman" w:hAnsi="Times New Roman" w:cs="Times New Roman"/>
          <w:sz w:val="26"/>
          <w:szCs w:val="26"/>
        </w:rPr>
        <w:t>/202</w:t>
      </w:r>
      <w:r w:rsidR="00675192" w:rsidRPr="00383350">
        <w:rPr>
          <w:rFonts w:ascii="Times New Roman" w:hAnsi="Times New Roman" w:cs="Times New Roman"/>
          <w:sz w:val="26"/>
          <w:szCs w:val="26"/>
        </w:rPr>
        <w:t>3</w:t>
      </w:r>
    </w:p>
    <w:p w14:paraId="5DAA0F50" w14:textId="77777777" w:rsidR="00A31F36" w:rsidRPr="00383350" w:rsidRDefault="00A31F36" w:rsidP="00A31F36">
      <w:pPr>
        <w:jc w:val="both"/>
        <w:rPr>
          <w:rFonts w:ascii="Times New Roman" w:hAnsi="Times New Roman" w:cs="Times New Roman"/>
          <w:b/>
          <w:sz w:val="26"/>
          <w:szCs w:val="26"/>
        </w:rPr>
      </w:pPr>
    </w:p>
    <w:p w14:paraId="1C0FBA71" w14:textId="7821C50F" w:rsidR="00593A2D" w:rsidRDefault="00593A2D" w:rsidP="002E2487">
      <w:pPr>
        <w:rPr>
          <w:rFonts w:ascii="Times New Roman" w:hAnsi="Times New Roman" w:cs="Times New Roman"/>
          <w:b/>
          <w:bCs/>
          <w:sz w:val="26"/>
          <w:szCs w:val="26"/>
        </w:rPr>
      </w:pPr>
      <w:r>
        <w:rPr>
          <w:rFonts w:ascii="Times New Roman" w:hAnsi="Times New Roman" w:cs="Times New Roman"/>
          <w:b/>
          <w:bCs/>
          <w:sz w:val="26"/>
          <w:szCs w:val="26"/>
        </w:rPr>
        <w:t xml:space="preserve">Par </w:t>
      </w:r>
      <w:r w:rsidRPr="00593A2D">
        <w:rPr>
          <w:rFonts w:ascii="Times New Roman" w:hAnsi="Times New Roman" w:cs="Times New Roman"/>
          <w:b/>
          <w:bCs/>
          <w:sz w:val="26"/>
          <w:szCs w:val="26"/>
        </w:rPr>
        <w:t>M</w:t>
      </w:r>
      <w:r>
        <w:rPr>
          <w:rFonts w:ascii="Times New Roman" w:hAnsi="Times New Roman" w:cs="Times New Roman"/>
          <w:b/>
          <w:bCs/>
          <w:sz w:val="26"/>
          <w:szCs w:val="26"/>
        </w:rPr>
        <w:t xml:space="preserve">inistru kabineta </w:t>
      </w:r>
      <w:r w:rsidRPr="00593A2D">
        <w:rPr>
          <w:rFonts w:ascii="Times New Roman" w:hAnsi="Times New Roman" w:cs="Times New Roman"/>
          <w:b/>
          <w:bCs/>
          <w:sz w:val="26"/>
          <w:szCs w:val="26"/>
        </w:rPr>
        <w:t xml:space="preserve">projektu </w:t>
      </w:r>
      <w:r w:rsidR="002E2487" w:rsidRPr="002E2487">
        <w:rPr>
          <w:rFonts w:ascii="Times New Roman" w:hAnsi="Times New Roman" w:cs="Times New Roman"/>
          <w:b/>
          <w:bCs/>
          <w:sz w:val="26"/>
          <w:szCs w:val="26"/>
        </w:rPr>
        <w:t>“Platjoslas pieejamības ģeogrāfiskās informācijas sistēmas noteikumi” (23-TA-894)</w:t>
      </w:r>
    </w:p>
    <w:p w14:paraId="4872337B" w14:textId="77777777" w:rsidR="002E2487" w:rsidRDefault="002E2487" w:rsidP="002E2487">
      <w:pPr>
        <w:shd w:val="clear" w:color="auto" w:fill="FFFFFF"/>
        <w:jc w:val="both"/>
        <w:rPr>
          <w:rFonts w:eastAsia="Times New Roman"/>
          <w:sz w:val="24"/>
          <w:szCs w:val="24"/>
          <w:lang w:eastAsia="lv-LV"/>
        </w:rPr>
      </w:pPr>
    </w:p>
    <w:p w14:paraId="602DDAAF" w14:textId="2FCE3CD1" w:rsidR="002E2487" w:rsidRPr="002E2487" w:rsidRDefault="002E2487" w:rsidP="002E2487">
      <w:pPr>
        <w:shd w:val="clear" w:color="auto" w:fill="FFFFFF"/>
        <w:ind w:firstLine="851"/>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Biedrība “Latvijas Interneta asociācija” (turpmāk-LIA)</w:t>
      </w:r>
      <w:r w:rsidRPr="002E2487">
        <w:rPr>
          <w:rFonts w:ascii="Times New Roman" w:eastAsia="Times New Roman" w:hAnsi="Times New Roman" w:cs="Times New Roman"/>
          <w:sz w:val="26"/>
          <w:szCs w:val="26"/>
          <w:lang w:eastAsia="lv-LV"/>
        </w:rPr>
        <w:t xml:space="preserve"> ir iepazinusies ar publiskai apspriešanai nodoto Ministru kabineta noteikumu projektu “</w:t>
      </w:r>
      <w:r w:rsidRPr="002E2487">
        <w:rPr>
          <w:rFonts w:ascii="Times New Roman" w:hAnsi="Times New Roman" w:cs="Times New Roman"/>
          <w:sz w:val="26"/>
          <w:szCs w:val="26"/>
          <w:shd w:val="clear" w:color="auto" w:fill="FFFFFF"/>
        </w:rPr>
        <w:t>Platjoslas pieejamības ģeogrāfiskās informācijas sistēmas noteikumi”</w:t>
      </w:r>
      <w:r>
        <w:rPr>
          <w:rFonts w:ascii="Times New Roman" w:hAnsi="Times New Roman" w:cs="Times New Roman"/>
          <w:sz w:val="26"/>
          <w:szCs w:val="26"/>
          <w:shd w:val="clear" w:color="auto" w:fill="FFFFFF"/>
        </w:rPr>
        <w:t xml:space="preserve"> </w:t>
      </w:r>
      <w:r w:rsidRPr="002E2487">
        <w:rPr>
          <w:rFonts w:ascii="Times New Roman" w:hAnsi="Times New Roman" w:cs="Times New Roman"/>
          <w:sz w:val="26"/>
          <w:szCs w:val="26"/>
          <w:shd w:val="clear" w:color="auto" w:fill="FFFFFF"/>
        </w:rPr>
        <w:t>(23-TA-894)</w:t>
      </w:r>
      <w:r w:rsidRPr="002E2487">
        <w:rPr>
          <w:rStyle w:val="FootnoteReference"/>
          <w:rFonts w:ascii="Times New Roman" w:hAnsi="Times New Roman" w:cs="Times New Roman"/>
          <w:sz w:val="26"/>
          <w:szCs w:val="26"/>
          <w:shd w:val="clear" w:color="auto" w:fill="FFFFFF"/>
        </w:rPr>
        <w:footnoteReference w:id="1"/>
      </w:r>
      <w:r w:rsidRPr="002E2487">
        <w:rPr>
          <w:rFonts w:ascii="Times New Roman" w:hAnsi="Times New Roman" w:cs="Times New Roman"/>
          <w:sz w:val="26"/>
          <w:szCs w:val="26"/>
          <w:shd w:val="clear" w:color="auto" w:fill="FFFFFF"/>
        </w:rPr>
        <w:t xml:space="preserve"> (turpmāk – Noteikumu projekts). </w:t>
      </w:r>
      <w:r w:rsidRPr="002E2487">
        <w:rPr>
          <w:rFonts w:ascii="Times New Roman" w:hAnsi="Times New Roman" w:cs="Times New Roman"/>
          <w:b/>
          <w:bCs/>
          <w:sz w:val="26"/>
          <w:szCs w:val="26"/>
          <w:u w:val="single"/>
          <w:shd w:val="clear" w:color="auto" w:fill="FFFFFF"/>
        </w:rPr>
        <w:t>LIA</w:t>
      </w:r>
      <w:r w:rsidRPr="002E2487">
        <w:rPr>
          <w:rFonts w:ascii="Times New Roman" w:hAnsi="Times New Roman" w:cs="Times New Roman"/>
          <w:b/>
          <w:bCs/>
          <w:sz w:val="26"/>
          <w:szCs w:val="26"/>
          <w:u w:val="single"/>
          <w:shd w:val="clear" w:color="auto" w:fill="FFFFFF"/>
        </w:rPr>
        <w:t xml:space="preserve"> iebilst pret tā tālāku virzību esošajā redakcijā</w:t>
      </w:r>
      <w:r w:rsidRPr="006C2F69">
        <w:rPr>
          <w:rFonts w:ascii="Times New Roman" w:hAnsi="Times New Roman" w:cs="Times New Roman"/>
          <w:sz w:val="26"/>
          <w:szCs w:val="26"/>
          <w:u w:val="single"/>
          <w:shd w:val="clear" w:color="auto" w:fill="FFFFFF"/>
        </w:rPr>
        <w:t xml:space="preserve"> </w:t>
      </w:r>
      <w:r w:rsidRPr="006C2F69">
        <w:rPr>
          <w:rFonts w:ascii="Times New Roman" w:hAnsi="Times New Roman" w:cs="Times New Roman"/>
          <w:b/>
          <w:bCs/>
          <w:sz w:val="26"/>
          <w:szCs w:val="26"/>
          <w:u w:val="single"/>
          <w:shd w:val="clear" w:color="auto" w:fill="FFFFFF"/>
        </w:rPr>
        <w:t xml:space="preserve">un ierosina veikt tajā </w:t>
      </w:r>
      <w:r w:rsidRPr="006C2F69">
        <w:rPr>
          <w:rFonts w:ascii="Times New Roman" w:hAnsi="Times New Roman" w:cs="Times New Roman"/>
          <w:b/>
          <w:bCs/>
          <w:sz w:val="26"/>
          <w:szCs w:val="26"/>
          <w:u w:val="single"/>
          <w:shd w:val="clear" w:color="auto" w:fill="FFFFFF"/>
        </w:rPr>
        <w:t>turpmāk</w:t>
      </w:r>
      <w:r w:rsidRPr="006C2F69">
        <w:rPr>
          <w:rFonts w:ascii="Times New Roman" w:hAnsi="Times New Roman" w:cs="Times New Roman"/>
          <w:b/>
          <w:bCs/>
          <w:sz w:val="26"/>
          <w:szCs w:val="26"/>
          <w:u w:val="single"/>
          <w:shd w:val="clear" w:color="auto" w:fill="FFFFFF"/>
        </w:rPr>
        <w:t xml:space="preserve"> norādītos precizējumus:</w:t>
      </w:r>
    </w:p>
    <w:p w14:paraId="5A2B6615" w14:textId="77777777" w:rsidR="002E2487" w:rsidRPr="002E2487" w:rsidRDefault="002E2487" w:rsidP="002E2487">
      <w:pPr>
        <w:shd w:val="clear" w:color="auto" w:fill="FFFFFF"/>
        <w:jc w:val="both"/>
        <w:rPr>
          <w:rFonts w:ascii="Times New Roman" w:hAnsi="Times New Roman" w:cs="Times New Roman"/>
          <w:sz w:val="26"/>
          <w:szCs w:val="26"/>
          <w:shd w:val="clear" w:color="auto" w:fill="FFFFFF"/>
        </w:rPr>
      </w:pPr>
    </w:p>
    <w:p w14:paraId="4DF80CCB" w14:textId="77777777" w:rsidR="002E2487" w:rsidRPr="002E2487" w:rsidRDefault="002E2487" w:rsidP="002E2487">
      <w:pPr>
        <w:shd w:val="clear" w:color="auto" w:fill="FFFFFF"/>
        <w:jc w:val="both"/>
        <w:rPr>
          <w:rFonts w:ascii="Times New Roman" w:eastAsia="Times New Roman" w:hAnsi="Times New Roman" w:cs="Times New Roman"/>
          <w:sz w:val="26"/>
          <w:szCs w:val="26"/>
          <w:lang w:eastAsia="lv-LV"/>
        </w:rPr>
      </w:pPr>
      <w:r w:rsidRPr="006F67FF">
        <w:rPr>
          <w:rFonts w:ascii="Times New Roman" w:eastAsia="Times New Roman" w:hAnsi="Times New Roman" w:cs="Times New Roman"/>
          <w:sz w:val="26"/>
          <w:szCs w:val="26"/>
          <w:lang w:eastAsia="lv-LV"/>
        </w:rPr>
        <w:t>Noteikumu projekta 12.punktā</w:t>
      </w:r>
      <w:r w:rsidRPr="002E2487">
        <w:rPr>
          <w:rFonts w:ascii="Times New Roman" w:eastAsia="Times New Roman" w:hAnsi="Times New Roman" w:cs="Times New Roman"/>
          <w:sz w:val="26"/>
          <w:szCs w:val="26"/>
          <w:lang w:eastAsia="lv-LV"/>
        </w:rPr>
        <w:t xml:space="preserve"> ir norādīts, ka:</w:t>
      </w:r>
    </w:p>
    <w:p w14:paraId="400FA76E" w14:textId="77777777" w:rsidR="002E2487" w:rsidRPr="002E2487" w:rsidRDefault="002E2487" w:rsidP="002E2487">
      <w:pPr>
        <w:shd w:val="clear" w:color="auto" w:fill="FFFFFF"/>
        <w:jc w:val="both"/>
        <w:rPr>
          <w:rFonts w:ascii="Times New Roman" w:eastAsia="Times New Roman" w:hAnsi="Times New Roman" w:cs="Times New Roman"/>
          <w:color w:val="525252"/>
          <w:sz w:val="26"/>
          <w:szCs w:val="26"/>
          <w:highlight w:val="yellow"/>
          <w:lang w:eastAsia="lv-LV"/>
        </w:rPr>
      </w:pPr>
    </w:p>
    <w:p w14:paraId="3396FF14" w14:textId="77777777" w:rsidR="002E2487" w:rsidRPr="002E2487" w:rsidRDefault="002E2487" w:rsidP="002E2487">
      <w:pPr>
        <w:shd w:val="clear" w:color="auto" w:fill="FFFFFF"/>
        <w:ind w:left="567"/>
        <w:jc w:val="both"/>
        <w:rPr>
          <w:rFonts w:ascii="Times New Roman" w:eastAsia="Times New Roman" w:hAnsi="Times New Roman" w:cs="Times New Roman"/>
          <w:i/>
          <w:iCs/>
          <w:sz w:val="26"/>
          <w:szCs w:val="26"/>
          <w:lang w:eastAsia="lv-LV"/>
        </w:rPr>
      </w:pPr>
      <w:r w:rsidRPr="002E2487">
        <w:rPr>
          <w:rFonts w:ascii="Times New Roman" w:eastAsia="Times New Roman" w:hAnsi="Times New Roman" w:cs="Times New Roman"/>
          <w:i/>
          <w:iCs/>
          <w:sz w:val="26"/>
          <w:szCs w:val="26"/>
          <w:lang w:eastAsia="lv-LV"/>
        </w:rPr>
        <w:t>“12. Elektronisko sakaru komersants, kas mazumtirdzniecībā sniedz interneta piekļuves pakalpojumu mobilā elektronisko sakaru tīklā, sniedz sistēmā informāciju par platjoslas interneta piekļuves pakalpojuma mobilā elektronisko sakaru tīklā pieejamību atbilstoši Regulatora informācijas iesniegšanas noteikumos elektronisko sakaru nozarē noteiktajam termiņam un kārtībai.”</w:t>
      </w:r>
    </w:p>
    <w:p w14:paraId="42C46D1F" w14:textId="77777777" w:rsidR="002E2487" w:rsidRPr="002E2487" w:rsidRDefault="002E2487" w:rsidP="002E2487">
      <w:pPr>
        <w:shd w:val="clear" w:color="auto" w:fill="FFFFFF"/>
        <w:jc w:val="both"/>
        <w:rPr>
          <w:rFonts w:ascii="Times New Roman" w:eastAsia="Times New Roman" w:hAnsi="Times New Roman" w:cs="Times New Roman"/>
          <w:i/>
          <w:iCs/>
          <w:sz w:val="26"/>
          <w:szCs w:val="26"/>
          <w:lang w:eastAsia="lv-LV"/>
        </w:rPr>
      </w:pPr>
    </w:p>
    <w:p w14:paraId="049B0359" w14:textId="0786CB27" w:rsidR="002E2487" w:rsidRPr="002E2487" w:rsidRDefault="002E2487" w:rsidP="002E2487">
      <w:pPr>
        <w:shd w:val="clear" w:color="auto" w:fill="FFFFFF"/>
        <w:jc w:val="both"/>
        <w:rPr>
          <w:rFonts w:ascii="Times New Roman" w:eastAsia="Times New Roman" w:hAnsi="Times New Roman" w:cs="Times New Roman"/>
          <w:sz w:val="26"/>
          <w:szCs w:val="26"/>
          <w:lang w:eastAsia="lv-LV"/>
        </w:rPr>
      </w:pPr>
      <w:r w:rsidRPr="002E2487">
        <w:rPr>
          <w:rFonts w:ascii="Times New Roman" w:eastAsia="Times New Roman" w:hAnsi="Times New Roman" w:cs="Times New Roman"/>
          <w:sz w:val="26"/>
          <w:szCs w:val="26"/>
          <w:lang w:eastAsia="lv-LV"/>
        </w:rPr>
        <w:t>Norādām, ka 2023. gada 29. jūnijā ar Regulatora padomes lēmumu</w:t>
      </w:r>
      <w:r w:rsidRPr="002E2487">
        <w:rPr>
          <w:rStyle w:val="FootnoteReference"/>
          <w:rFonts w:ascii="Times New Roman" w:eastAsia="Times New Roman" w:hAnsi="Times New Roman" w:cs="Times New Roman"/>
          <w:sz w:val="26"/>
          <w:szCs w:val="26"/>
          <w:lang w:eastAsia="lv-LV"/>
        </w:rPr>
        <w:footnoteReference w:id="2"/>
      </w:r>
      <w:r w:rsidRPr="002E2487">
        <w:rPr>
          <w:rFonts w:ascii="Times New Roman" w:eastAsia="Times New Roman" w:hAnsi="Times New Roman" w:cs="Times New Roman"/>
          <w:sz w:val="26"/>
          <w:szCs w:val="26"/>
          <w:lang w:eastAsia="lv-LV"/>
        </w:rPr>
        <w:t xml:space="preserve"> Nr. 1/6 ir stājušies spēkā grozījumi Regulatora noteikumos “Informācijas iesniegšanas noteikumi elektronisko sakaru nozarē”. Minētie Regulatora noteikumi ir papildināti ar prasību elektronisko sakaru komersantiem,</w:t>
      </w:r>
      <w:r w:rsidRPr="002E2487">
        <w:rPr>
          <w:rFonts w:ascii="Times New Roman" w:hAnsi="Times New Roman" w:cs="Times New Roman"/>
          <w:sz w:val="26"/>
          <w:szCs w:val="26"/>
        </w:rPr>
        <w:t xml:space="preserve"> </w:t>
      </w:r>
      <w:r w:rsidRPr="002E2487">
        <w:rPr>
          <w:rFonts w:ascii="Times New Roman" w:eastAsia="Times New Roman" w:hAnsi="Times New Roman" w:cs="Times New Roman"/>
          <w:sz w:val="26"/>
          <w:szCs w:val="26"/>
          <w:lang w:eastAsia="lv-LV"/>
        </w:rPr>
        <w:t>kas mazumtirdzniecībā sniedz interneta piekļuves pakalpojumu mobilā elektronisko sakaru tīklā, iesniegt Platjoslas pieejamības ģeogrāfiskās informācijas sistēmā informāciju par platjoslas interneta piekļuves pakalpojuma mobilā elektronisko sakaru tīklā pieejamību.</w:t>
      </w:r>
      <w:r>
        <w:rPr>
          <w:rFonts w:ascii="Times New Roman" w:eastAsia="Times New Roman" w:hAnsi="Times New Roman" w:cs="Times New Roman"/>
          <w:sz w:val="26"/>
          <w:szCs w:val="26"/>
          <w:lang w:eastAsia="lv-LV"/>
        </w:rPr>
        <w:br/>
      </w:r>
    </w:p>
    <w:p w14:paraId="49DC32F1" w14:textId="77777777" w:rsidR="002E2487" w:rsidRPr="002E2487" w:rsidRDefault="002E2487" w:rsidP="002E2487">
      <w:pPr>
        <w:shd w:val="clear" w:color="auto" w:fill="FFFFFF"/>
        <w:jc w:val="both"/>
        <w:rPr>
          <w:rFonts w:ascii="Times New Roman" w:eastAsia="Times New Roman" w:hAnsi="Times New Roman" w:cs="Times New Roman"/>
          <w:sz w:val="26"/>
          <w:szCs w:val="26"/>
          <w:lang w:eastAsia="lv-LV"/>
        </w:rPr>
      </w:pPr>
      <w:r w:rsidRPr="002E2487">
        <w:rPr>
          <w:rFonts w:ascii="Times New Roman" w:eastAsia="Times New Roman" w:hAnsi="Times New Roman" w:cs="Times New Roman"/>
          <w:sz w:val="26"/>
          <w:szCs w:val="26"/>
          <w:lang w:eastAsia="lv-LV"/>
        </w:rPr>
        <w:t>Šo Regulatora noteikumu 9.pielikums detalizēti nosaka iesniedzamās informācijas saturu, formātu un kritērijus. Savukārt Noteikumu projekta 9. un 10. punktā iekļautās prasības attiecībā uz rādītājiem mobilā tīklā atšķiras no Regulatora noteikumu 9. pielikumā noteiktā.</w:t>
      </w:r>
    </w:p>
    <w:p w14:paraId="1F9B1794" w14:textId="77777777" w:rsidR="002E2487" w:rsidRDefault="002E2487" w:rsidP="002E2487">
      <w:pPr>
        <w:shd w:val="clear" w:color="auto" w:fill="FFFFFF"/>
        <w:jc w:val="both"/>
        <w:rPr>
          <w:rFonts w:ascii="Times New Roman" w:eastAsia="Times New Roman" w:hAnsi="Times New Roman" w:cs="Times New Roman"/>
          <w:sz w:val="26"/>
          <w:szCs w:val="26"/>
        </w:rPr>
      </w:pPr>
      <w:r w:rsidRPr="002E2487">
        <w:rPr>
          <w:rFonts w:ascii="Times New Roman" w:eastAsia="Times New Roman" w:hAnsi="Times New Roman" w:cs="Times New Roman"/>
          <w:sz w:val="26"/>
          <w:szCs w:val="26"/>
        </w:rPr>
        <w:lastRenderedPageBreak/>
        <w:t>Tā piemēram, Noteikumu projekta 9.3.punktā ir paredzēts sistēmā sniegt datus par mobilo sakaru tīkla piekļuves tehnoloģiju:  “</w:t>
      </w:r>
      <w:r w:rsidRPr="002E2487">
        <w:rPr>
          <w:rFonts w:ascii="Times New Roman" w:eastAsia="Times New Roman" w:hAnsi="Times New Roman" w:cs="Times New Roman"/>
          <w:i/>
          <w:iCs/>
          <w:sz w:val="26"/>
          <w:szCs w:val="26"/>
        </w:rPr>
        <w:t xml:space="preserve">9.3. piekļuves tehnoloģija (3G; 4G; 5G non </w:t>
      </w:r>
      <w:proofErr w:type="spellStart"/>
      <w:r w:rsidRPr="002E2487">
        <w:rPr>
          <w:rFonts w:ascii="Times New Roman" w:eastAsia="Times New Roman" w:hAnsi="Times New Roman" w:cs="Times New Roman"/>
          <w:i/>
          <w:iCs/>
          <w:sz w:val="26"/>
          <w:szCs w:val="26"/>
        </w:rPr>
        <w:t>stand-alone</w:t>
      </w:r>
      <w:proofErr w:type="spellEnd"/>
      <w:r w:rsidRPr="002E2487">
        <w:rPr>
          <w:rFonts w:ascii="Times New Roman" w:eastAsia="Times New Roman" w:hAnsi="Times New Roman" w:cs="Times New Roman"/>
          <w:i/>
          <w:iCs/>
          <w:sz w:val="26"/>
          <w:szCs w:val="26"/>
        </w:rPr>
        <w:t xml:space="preserve">; 5G </w:t>
      </w:r>
      <w:proofErr w:type="spellStart"/>
      <w:r w:rsidRPr="002E2487">
        <w:rPr>
          <w:rFonts w:ascii="Times New Roman" w:eastAsia="Times New Roman" w:hAnsi="Times New Roman" w:cs="Times New Roman"/>
          <w:i/>
          <w:iCs/>
          <w:sz w:val="26"/>
          <w:szCs w:val="26"/>
        </w:rPr>
        <w:t>stand-alone</w:t>
      </w:r>
      <w:proofErr w:type="spellEnd"/>
      <w:r w:rsidRPr="002E2487">
        <w:rPr>
          <w:rFonts w:ascii="Times New Roman" w:eastAsia="Times New Roman" w:hAnsi="Times New Roman" w:cs="Times New Roman"/>
          <w:i/>
          <w:iCs/>
          <w:sz w:val="26"/>
          <w:szCs w:val="26"/>
        </w:rPr>
        <w:t>)</w:t>
      </w:r>
      <w:r w:rsidRPr="002E2487">
        <w:rPr>
          <w:rFonts w:ascii="Times New Roman" w:eastAsia="Times New Roman" w:hAnsi="Times New Roman" w:cs="Times New Roman"/>
          <w:sz w:val="26"/>
          <w:szCs w:val="26"/>
        </w:rPr>
        <w:t xml:space="preserve">”. Pirmkārt vēlamies norādīt, ka datu detalizācija pēc pamattīkla risinājuma – 5G non </w:t>
      </w:r>
      <w:proofErr w:type="spellStart"/>
      <w:r w:rsidRPr="002E2487">
        <w:rPr>
          <w:rFonts w:ascii="Times New Roman" w:eastAsia="Times New Roman" w:hAnsi="Times New Roman" w:cs="Times New Roman"/>
          <w:sz w:val="26"/>
          <w:szCs w:val="26"/>
        </w:rPr>
        <w:t>stand-alone</w:t>
      </w:r>
      <w:proofErr w:type="spellEnd"/>
      <w:r w:rsidRPr="002E2487">
        <w:rPr>
          <w:rFonts w:ascii="Times New Roman" w:eastAsia="Times New Roman" w:hAnsi="Times New Roman" w:cs="Times New Roman"/>
          <w:sz w:val="26"/>
          <w:szCs w:val="26"/>
        </w:rPr>
        <w:t xml:space="preserve"> un </w:t>
      </w:r>
      <w:proofErr w:type="spellStart"/>
      <w:r w:rsidRPr="002E2487">
        <w:rPr>
          <w:rFonts w:ascii="Times New Roman" w:eastAsia="Times New Roman" w:hAnsi="Times New Roman" w:cs="Times New Roman"/>
          <w:sz w:val="26"/>
          <w:szCs w:val="26"/>
        </w:rPr>
        <w:t>stand-alone</w:t>
      </w:r>
      <w:proofErr w:type="spellEnd"/>
      <w:r w:rsidRPr="002E2487">
        <w:rPr>
          <w:rFonts w:ascii="Times New Roman" w:eastAsia="Times New Roman" w:hAnsi="Times New Roman" w:cs="Times New Roman"/>
          <w:sz w:val="26"/>
          <w:szCs w:val="26"/>
        </w:rPr>
        <w:t xml:space="preserve">, nav objektīvi nepieciešama Elektronisko sakaru likuma 13.panta un Noteikumu projekta mērķiem un tā nekādi neraksturo mobilās platjoslas pieejamību. Otrkārt, augstāk norādītie Regulatora noteikumi nenosaka elektronisko sakaru komersantam pienākumu sniegt datus dalījumā “5G non </w:t>
      </w:r>
      <w:proofErr w:type="spellStart"/>
      <w:r w:rsidRPr="002E2487">
        <w:rPr>
          <w:rFonts w:ascii="Times New Roman" w:eastAsia="Times New Roman" w:hAnsi="Times New Roman" w:cs="Times New Roman"/>
          <w:sz w:val="26"/>
          <w:szCs w:val="26"/>
        </w:rPr>
        <w:t>stand-alone</w:t>
      </w:r>
      <w:proofErr w:type="spellEnd"/>
      <w:r w:rsidRPr="002E2487">
        <w:rPr>
          <w:rFonts w:ascii="Times New Roman" w:eastAsia="Times New Roman" w:hAnsi="Times New Roman" w:cs="Times New Roman"/>
          <w:sz w:val="26"/>
          <w:szCs w:val="26"/>
        </w:rPr>
        <w:t xml:space="preserve">” un “5G </w:t>
      </w:r>
      <w:proofErr w:type="spellStart"/>
      <w:r w:rsidRPr="002E2487">
        <w:rPr>
          <w:rFonts w:ascii="Times New Roman" w:eastAsia="Times New Roman" w:hAnsi="Times New Roman" w:cs="Times New Roman"/>
          <w:sz w:val="26"/>
          <w:szCs w:val="26"/>
        </w:rPr>
        <w:t>stand-alone</w:t>
      </w:r>
      <w:proofErr w:type="spellEnd"/>
      <w:r w:rsidRPr="002E2487">
        <w:rPr>
          <w:rFonts w:ascii="Times New Roman" w:eastAsia="Times New Roman" w:hAnsi="Times New Roman" w:cs="Times New Roman"/>
          <w:sz w:val="26"/>
          <w:szCs w:val="26"/>
        </w:rPr>
        <w:t>”. Tāpēc Noteikumu projekta 9.3.punktu ir pietiekami izteikt šādi: “</w:t>
      </w:r>
      <w:r w:rsidRPr="002E2487">
        <w:rPr>
          <w:rFonts w:ascii="Times New Roman" w:eastAsia="Times New Roman" w:hAnsi="Times New Roman" w:cs="Times New Roman"/>
          <w:i/>
          <w:iCs/>
          <w:sz w:val="26"/>
          <w:szCs w:val="26"/>
        </w:rPr>
        <w:t>9.3. piekļuves tehnoloģija (3G; 4G; 5G)”</w:t>
      </w:r>
      <w:r w:rsidRPr="002E2487">
        <w:rPr>
          <w:rFonts w:ascii="Times New Roman" w:eastAsia="Times New Roman" w:hAnsi="Times New Roman" w:cs="Times New Roman"/>
          <w:sz w:val="26"/>
          <w:szCs w:val="26"/>
        </w:rPr>
        <w:t>.</w:t>
      </w:r>
    </w:p>
    <w:p w14:paraId="20EE0C19" w14:textId="77777777" w:rsidR="002E2487" w:rsidRPr="00470712" w:rsidRDefault="002E2487" w:rsidP="002E2487">
      <w:pPr>
        <w:shd w:val="clear" w:color="auto" w:fill="FFFFFF"/>
        <w:jc w:val="both"/>
        <w:rPr>
          <w:rFonts w:ascii="Times New Roman" w:eastAsia="Times New Roman" w:hAnsi="Times New Roman" w:cs="Times New Roman"/>
          <w:sz w:val="26"/>
          <w:szCs w:val="26"/>
        </w:rPr>
      </w:pPr>
    </w:p>
    <w:p w14:paraId="1BE43BF2" w14:textId="77777777" w:rsidR="002E2487" w:rsidRPr="00470712" w:rsidRDefault="002E2487" w:rsidP="002E2487">
      <w:pPr>
        <w:shd w:val="clear" w:color="auto" w:fill="FFFFFF"/>
        <w:jc w:val="both"/>
        <w:rPr>
          <w:rFonts w:ascii="Times New Roman" w:eastAsia="Times New Roman" w:hAnsi="Times New Roman" w:cs="Times New Roman"/>
          <w:sz w:val="26"/>
          <w:szCs w:val="26"/>
        </w:rPr>
      </w:pPr>
      <w:r w:rsidRPr="00470712">
        <w:rPr>
          <w:rFonts w:ascii="Times New Roman" w:eastAsia="Times New Roman" w:hAnsi="Times New Roman" w:cs="Times New Roman"/>
          <w:sz w:val="26"/>
          <w:szCs w:val="26"/>
        </w:rPr>
        <w:t>Uzskatām, ka ir nepieciešams precizēt Noteikumu projekta 9.7. un 9.8. punktus, jo šobrīd nav saprotams, kāda platjoslas tehnoloģija ir jānorāda, jo 9.3. un 9.4.punktos jau ir paredzēti dati par piekļuves tehnoloģiju.</w:t>
      </w:r>
    </w:p>
    <w:p w14:paraId="7054E3E7" w14:textId="77777777" w:rsidR="002E2487" w:rsidRPr="002E2487" w:rsidRDefault="002E2487" w:rsidP="002E2487">
      <w:pPr>
        <w:shd w:val="clear" w:color="auto" w:fill="FFFFFF"/>
        <w:jc w:val="both"/>
        <w:rPr>
          <w:rFonts w:ascii="Times New Roman" w:eastAsia="Times New Roman" w:hAnsi="Times New Roman" w:cs="Times New Roman"/>
          <w:b/>
          <w:bCs/>
          <w:sz w:val="26"/>
          <w:szCs w:val="26"/>
        </w:rPr>
      </w:pPr>
    </w:p>
    <w:p w14:paraId="1DDC68B7" w14:textId="77777777" w:rsidR="002E2487" w:rsidRPr="002E2487" w:rsidRDefault="002E2487" w:rsidP="002E2487">
      <w:pPr>
        <w:shd w:val="clear" w:color="auto" w:fill="FFFFFF"/>
        <w:jc w:val="both"/>
        <w:rPr>
          <w:rFonts w:ascii="Times New Roman" w:eastAsia="Times New Roman" w:hAnsi="Times New Roman" w:cs="Times New Roman"/>
          <w:sz w:val="26"/>
          <w:szCs w:val="26"/>
        </w:rPr>
      </w:pPr>
      <w:r w:rsidRPr="002E2487">
        <w:rPr>
          <w:rFonts w:ascii="Times New Roman" w:eastAsia="Times New Roman" w:hAnsi="Times New Roman" w:cs="Times New Roman"/>
          <w:sz w:val="26"/>
          <w:szCs w:val="26"/>
        </w:rPr>
        <w:t>Noteikumu projekta 9.9.punktā “mobilo sakaru pārklājuma modelēšanas rezultāti” nepieciešams precizēt, ko ietver modelēšana un tās rezultāti kontekstā ar Regulatora noteikumu 9.pielikumu.</w:t>
      </w:r>
    </w:p>
    <w:p w14:paraId="2BA9F7FE" w14:textId="77777777" w:rsidR="002E2487" w:rsidRDefault="002E2487" w:rsidP="002E2487">
      <w:pPr>
        <w:shd w:val="clear" w:color="auto" w:fill="FFFFFF"/>
        <w:jc w:val="both"/>
        <w:rPr>
          <w:rFonts w:ascii="Times New Roman" w:eastAsia="Times New Roman" w:hAnsi="Times New Roman" w:cs="Times New Roman"/>
          <w:sz w:val="26"/>
          <w:szCs w:val="26"/>
        </w:rPr>
      </w:pPr>
      <w:r w:rsidRPr="002E2487">
        <w:rPr>
          <w:rFonts w:ascii="Times New Roman" w:eastAsia="Times New Roman" w:hAnsi="Times New Roman" w:cs="Times New Roman"/>
          <w:sz w:val="26"/>
          <w:szCs w:val="26"/>
        </w:rPr>
        <w:t>Noteikumu projekta 10. punktā ir noteikts:</w:t>
      </w:r>
    </w:p>
    <w:p w14:paraId="565F9687" w14:textId="77777777" w:rsidR="00470712" w:rsidRPr="002E2487" w:rsidRDefault="00470712" w:rsidP="002E2487">
      <w:pPr>
        <w:shd w:val="clear" w:color="auto" w:fill="FFFFFF"/>
        <w:jc w:val="both"/>
        <w:rPr>
          <w:rFonts w:ascii="Times New Roman" w:eastAsia="Times New Roman" w:hAnsi="Times New Roman" w:cs="Times New Roman"/>
          <w:sz w:val="26"/>
          <w:szCs w:val="26"/>
        </w:rPr>
      </w:pPr>
    </w:p>
    <w:p w14:paraId="329B9800" w14:textId="77777777" w:rsidR="002E2487" w:rsidRPr="002E2487" w:rsidRDefault="002E2487" w:rsidP="002E2487">
      <w:pPr>
        <w:shd w:val="clear" w:color="auto" w:fill="FFFFFF"/>
        <w:ind w:left="720"/>
        <w:jc w:val="both"/>
        <w:rPr>
          <w:rFonts w:ascii="Times New Roman" w:eastAsia="Times New Roman" w:hAnsi="Times New Roman" w:cs="Times New Roman"/>
          <w:i/>
          <w:iCs/>
          <w:sz w:val="26"/>
          <w:szCs w:val="26"/>
        </w:rPr>
      </w:pPr>
      <w:r w:rsidRPr="002E2487">
        <w:rPr>
          <w:rFonts w:ascii="Times New Roman" w:eastAsia="Times New Roman" w:hAnsi="Times New Roman" w:cs="Times New Roman"/>
          <w:i/>
          <w:iCs/>
          <w:sz w:val="26"/>
          <w:szCs w:val="26"/>
        </w:rPr>
        <w:t xml:space="preserve">“Sistēmas nodrošinātajā publiskajā tiešsaistes kartē tiek publicēta informācija par platjoslas interneta piekļuves pakalpojuma fiksētā elektronisko sakaru tīklā un </w:t>
      </w:r>
      <w:r w:rsidRPr="002E2487">
        <w:rPr>
          <w:rFonts w:ascii="Times New Roman" w:eastAsia="Times New Roman" w:hAnsi="Times New Roman" w:cs="Times New Roman"/>
          <w:i/>
          <w:iCs/>
          <w:sz w:val="26"/>
          <w:szCs w:val="26"/>
          <w:u w:val="single"/>
        </w:rPr>
        <w:t>mobilās interneta piekļuves pieejamību adreses</w:t>
      </w:r>
      <w:r w:rsidRPr="002E2487">
        <w:rPr>
          <w:rFonts w:ascii="Times New Roman" w:eastAsia="Times New Roman" w:hAnsi="Times New Roman" w:cs="Times New Roman"/>
          <w:i/>
          <w:iCs/>
          <w:sz w:val="26"/>
          <w:szCs w:val="26"/>
        </w:rPr>
        <w:t>, kā arī administratīvu teritoriju un mobilā sakaru tīkla gadījumā - poligona līmenī Latvijas teritorijā:</w:t>
      </w:r>
    </w:p>
    <w:p w14:paraId="162311D8" w14:textId="77777777" w:rsidR="002E2487" w:rsidRDefault="002E2487" w:rsidP="002E2487">
      <w:pPr>
        <w:shd w:val="clear" w:color="auto" w:fill="FFFFFF"/>
        <w:ind w:left="720"/>
        <w:jc w:val="both"/>
        <w:rPr>
          <w:rFonts w:ascii="Times New Roman" w:eastAsia="Times New Roman" w:hAnsi="Times New Roman" w:cs="Times New Roman"/>
          <w:i/>
          <w:iCs/>
          <w:sz w:val="26"/>
          <w:szCs w:val="26"/>
        </w:rPr>
      </w:pPr>
      <w:r w:rsidRPr="002E2487">
        <w:rPr>
          <w:rFonts w:ascii="Times New Roman" w:eastAsia="Times New Roman" w:hAnsi="Times New Roman" w:cs="Times New Roman"/>
          <w:i/>
          <w:iCs/>
          <w:sz w:val="26"/>
          <w:szCs w:val="26"/>
        </w:rPr>
        <w:t xml:space="preserve">10.1. atbilstoši operatoru sniegtajai informācijai </w:t>
      </w:r>
      <w:r w:rsidRPr="002E2487">
        <w:rPr>
          <w:rFonts w:ascii="Times New Roman" w:eastAsia="Times New Roman" w:hAnsi="Times New Roman" w:cs="Times New Roman"/>
          <w:i/>
          <w:iCs/>
          <w:sz w:val="26"/>
          <w:szCs w:val="26"/>
          <w:u w:val="single"/>
        </w:rPr>
        <w:t>konkrētā adresē</w:t>
      </w:r>
      <w:r w:rsidRPr="002E2487">
        <w:rPr>
          <w:rFonts w:ascii="Times New Roman" w:eastAsia="Times New Roman" w:hAnsi="Times New Roman" w:cs="Times New Roman"/>
          <w:i/>
          <w:iCs/>
          <w:sz w:val="26"/>
          <w:szCs w:val="26"/>
        </w:rPr>
        <w:t xml:space="preserve"> teorētiskais labākais pieejamais </w:t>
      </w:r>
      <w:proofErr w:type="spellStart"/>
      <w:r w:rsidRPr="002E2487">
        <w:rPr>
          <w:rFonts w:ascii="Times New Roman" w:eastAsia="Times New Roman" w:hAnsi="Times New Roman" w:cs="Times New Roman"/>
          <w:i/>
          <w:iCs/>
          <w:sz w:val="26"/>
          <w:szCs w:val="26"/>
        </w:rPr>
        <w:t>pieslēguma</w:t>
      </w:r>
      <w:proofErr w:type="spellEnd"/>
      <w:r w:rsidRPr="002E2487">
        <w:rPr>
          <w:rFonts w:ascii="Times New Roman" w:eastAsia="Times New Roman" w:hAnsi="Times New Roman" w:cs="Times New Roman"/>
          <w:i/>
          <w:iCs/>
          <w:sz w:val="26"/>
          <w:szCs w:val="26"/>
        </w:rPr>
        <w:t xml:space="preserve"> ātrums; “</w:t>
      </w:r>
    </w:p>
    <w:p w14:paraId="2EF8171E" w14:textId="77777777" w:rsidR="00470712" w:rsidRPr="002E2487" w:rsidRDefault="00470712" w:rsidP="002E2487">
      <w:pPr>
        <w:shd w:val="clear" w:color="auto" w:fill="FFFFFF"/>
        <w:ind w:left="720"/>
        <w:jc w:val="both"/>
        <w:rPr>
          <w:rFonts w:ascii="Times New Roman" w:eastAsia="Times New Roman" w:hAnsi="Times New Roman" w:cs="Times New Roman"/>
          <w:i/>
          <w:iCs/>
          <w:sz w:val="26"/>
          <w:szCs w:val="26"/>
        </w:rPr>
      </w:pPr>
    </w:p>
    <w:p w14:paraId="5A7036C7" w14:textId="77777777" w:rsidR="002E2487" w:rsidRDefault="002E2487" w:rsidP="002E2487">
      <w:pPr>
        <w:shd w:val="clear" w:color="auto" w:fill="FFFFFF"/>
        <w:jc w:val="both"/>
        <w:rPr>
          <w:rFonts w:ascii="Times New Roman" w:eastAsia="Times New Roman" w:hAnsi="Times New Roman" w:cs="Times New Roman"/>
          <w:sz w:val="26"/>
          <w:szCs w:val="26"/>
          <w:lang w:eastAsia="lv-LV"/>
        </w:rPr>
      </w:pPr>
      <w:r w:rsidRPr="002E2487">
        <w:rPr>
          <w:rFonts w:ascii="Times New Roman" w:eastAsia="Times New Roman" w:hAnsi="Times New Roman" w:cs="Times New Roman"/>
          <w:sz w:val="26"/>
          <w:szCs w:val="26"/>
          <w:lang w:eastAsia="lv-LV"/>
        </w:rPr>
        <w:t>Norādām, ka mobilo sakaru tīklu gadījumā, nav iespējams norādīt pieejamību konkrētā adresē, tāpēc atbilstoši Regulatora noteikumu 9.pielikumam teorētiskā pieejamība mobilā tīklā tiek noteikta 100x100m režģa pārklājumā.</w:t>
      </w:r>
    </w:p>
    <w:p w14:paraId="31B0A05B" w14:textId="77777777" w:rsidR="00470712" w:rsidRPr="002E2487" w:rsidRDefault="00470712" w:rsidP="002E2487">
      <w:pPr>
        <w:shd w:val="clear" w:color="auto" w:fill="FFFFFF"/>
        <w:jc w:val="both"/>
        <w:rPr>
          <w:rFonts w:ascii="Times New Roman" w:eastAsia="Times New Roman" w:hAnsi="Times New Roman" w:cs="Times New Roman"/>
          <w:sz w:val="26"/>
          <w:szCs w:val="26"/>
          <w:lang w:eastAsia="lv-LV"/>
        </w:rPr>
      </w:pPr>
    </w:p>
    <w:p w14:paraId="540F5D1F" w14:textId="3B49FF45" w:rsidR="002E2487" w:rsidRPr="00470712" w:rsidRDefault="002E2487" w:rsidP="00470712">
      <w:pPr>
        <w:shd w:val="clear" w:color="auto" w:fill="FFFFFF"/>
        <w:ind w:firstLine="851"/>
        <w:jc w:val="both"/>
        <w:rPr>
          <w:rFonts w:ascii="Times New Roman" w:eastAsia="Times New Roman" w:hAnsi="Times New Roman" w:cs="Times New Roman"/>
          <w:sz w:val="26"/>
          <w:szCs w:val="26"/>
        </w:rPr>
      </w:pPr>
      <w:r w:rsidRPr="002E2487">
        <w:rPr>
          <w:rFonts w:ascii="Times New Roman" w:eastAsia="Times New Roman" w:hAnsi="Times New Roman" w:cs="Times New Roman"/>
          <w:sz w:val="26"/>
          <w:szCs w:val="26"/>
          <w:lang w:eastAsia="lv-LV"/>
        </w:rPr>
        <w:t xml:space="preserve">Ņemot vērā augstāk minēto, lūdzam Noteikumu projektā svītrot 12. punktu, kā arī precizēt vai svītrot prasības Noteikumu projekta 9. un 10. punktos, kuras neatbilst Regulatora noteikumu 9.pielikumam.  </w:t>
      </w:r>
    </w:p>
    <w:p w14:paraId="0821F22F" w14:textId="77777777" w:rsidR="00A31F36" w:rsidRPr="002E2487" w:rsidRDefault="00A31F36" w:rsidP="003B49E0">
      <w:pPr>
        <w:jc w:val="both"/>
        <w:rPr>
          <w:rFonts w:ascii="Times New Roman" w:hAnsi="Times New Roman" w:cs="Times New Roman"/>
          <w:sz w:val="26"/>
          <w:szCs w:val="26"/>
        </w:rPr>
      </w:pPr>
    </w:p>
    <w:p w14:paraId="1954A2A2" w14:textId="77777777" w:rsidR="00A31F36" w:rsidRPr="00383350" w:rsidRDefault="00A31F36" w:rsidP="00A31F36">
      <w:pPr>
        <w:rPr>
          <w:rFonts w:ascii="Times New Roman" w:hAnsi="Times New Roman" w:cs="Times New Roman"/>
          <w:sz w:val="26"/>
          <w:szCs w:val="26"/>
        </w:rPr>
      </w:pPr>
      <w:r w:rsidRPr="00383350">
        <w:rPr>
          <w:rFonts w:ascii="Times New Roman" w:hAnsi="Times New Roman" w:cs="Times New Roman"/>
          <w:sz w:val="26"/>
          <w:szCs w:val="26"/>
        </w:rPr>
        <w:t>Latvijas Interneta asociācijas</w:t>
      </w:r>
    </w:p>
    <w:p w14:paraId="62C02EA9" w14:textId="2CD6F36A" w:rsidR="00A31F36" w:rsidRPr="00383350" w:rsidRDefault="001B726D" w:rsidP="00A31F36">
      <w:pPr>
        <w:rPr>
          <w:rFonts w:ascii="Times New Roman" w:hAnsi="Times New Roman" w:cs="Times New Roman"/>
          <w:sz w:val="26"/>
          <w:szCs w:val="26"/>
        </w:rPr>
      </w:pPr>
      <w:r w:rsidRPr="00383350">
        <w:rPr>
          <w:rFonts w:ascii="Times New Roman" w:hAnsi="Times New Roman" w:cs="Times New Roman"/>
          <w:sz w:val="26"/>
          <w:szCs w:val="26"/>
        </w:rPr>
        <w:t>Valdes priekšsēdētājs</w:t>
      </w:r>
      <w:r w:rsidR="00A31F36" w:rsidRPr="00383350">
        <w:rPr>
          <w:rFonts w:ascii="Times New Roman" w:hAnsi="Times New Roman" w:cs="Times New Roman"/>
          <w:sz w:val="26"/>
          <w:szCs w:val="26"/>
        </w:rPr>
        <w:tab/>
      </w:r>
      <w:r w:rsidR="00A31F36" w:rsidRPr="00383350">
        <w:rPr>
          <w:rFonts w:ascii="Times New Roman" w:hAnsi="Times New Roman" w:cs="Times New Roman"/>
          <w:sz w:val="26"/>
          <w:szCs w:val="26"/>
        </w:rPr>
        <w:tab/>
      </w:r>
      <w:r w:rsidR="00A31F36" w:rsidRPr="00383350">
        <w:rPr>
          <w:rFonts w:ascii="Times New Roman" w:hAnsi="Times New Roman" w:cs="Times New Roman"/>
          <w:sz w:val="26"/>
          <w:szCs w:val="26"/>
        </w:rPr>
        <w:tab/>
      </w:r>
      <w:r w:rsidR="00A31F36" w:rsidRPr="00383350">
        <w:rPr>
          <w:rFonts w:ascii="Times New Roman" w:hAnsi="Times New Roman" w:cs="Times New Roman"/>
          <w:sz w:val="26"/>
          <w:szCs w:val="26"/>
        </w:rPr>
        <w:tab/>
      </w:r>
      <w:r w:rsidR="00A31F36" w:rsidRPr="00383350">
        <w:rPr>
          <w:rFonts w:ascii="Times New Roman" w:hAnsi="Times New Roman" w:cs="Times New Roman"/>
          <w:sz w:val="26"/>
          <w:szCs w:val="26"/>
        </w:rPr>
        <w:tab/>
      </w:r>
      <w:r w:rsidR="00A31F36" w:rsidRPr="00383350">
        <w:rPr>
          <w:rFonts w:ascii="Times New Roman" w:hAnsi="Times New Roman" w:cs="Times New Roman"/>
          <w:sz w:val="26"/>
          <w:szCs w:val="26"/>
        </w:rPr>
        <w:tab/>
        <w:t>Andis Āriņš</w:t>
      </w:r>
    </w:p>
    <w:p w14:paraId="54DE6885" w14:textId="77777777" w:rsidR="00470712" w:rsidRPr="00383350" w:rsidRDefault="00470712" w:rsidP="00A31F36">
      <w:pPr>
        <w:rPr>
          <w:rFonts w:ascii="Times New Roman" w:hAnsi="Times New Roman" w:cs="Times New Roman"/>
          <w:i/>
          <w:iCs/>
        </w:rPr>
      </w:pPr>
    </w:p>
    <w:p w14:paraId="2E192B8B" w14:textId="7ED7993F" w:rsidR="00C64F08" w:rsidRPr="00383350" w:rsidRDefault="00A31F36" w:rsidP="005E0337">
      <w:pPr>
        <w:jc w:val="center"/>
        <w:rPr>
          <w:rFonts w:ascii="Times New Roman" w:hAnsi="Times New Roman" w:cs="Times New Roman"/>
          <w:sz w:val="26"/>
          <w:szCs w:val="26"/>
        </w:rPr>
      </w:pPr>
      <w:r w:rsidRPr="00383350">
        <w:rPr>
          <w:rFonts w:ascii="Times New Roman" w:hAnsi="Times New Roman" w:cs="Times New Roman"/>
          <w:sz w:val="26"/>
          <w:szCs w:val="26"/>
        </w:rPr>
        <w:t>ŠIS DOKUMENTS IR ELEKTRONISKI PARAKSTĪTS AR DROŠU ELEKTRONISKO PARAKSTU UN SATUR LAIKA ZĪMOGU</w:t>
      </w:r>
    </w:p>
    <w:sectPr w:rsidR="00C64F08" w:rsidRPr="00383350" w:rsidSect="003B49E0">
      <w:headerReference w:type="default" r:id="rId9"/>
      <w:footerReference w:type="default" r:id="rId10"/>
      <w:pgSz w:w="11906" w:h="16838"/>
      <w:pgMar w:top="3249" w:right="1797" w:bottom="709" w:left="1797" w:header="1701" w:footer="720" w:gutter="0"/>
      <w:cols w:space="720"/>
      <w:formProt w:val="0"/>
      <w:docGrid w:linePitch="24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8F3E5" w14:textId="77777777" w:rsidR="000508B2" w:rsidRDefault="000508B2">
      <w:r>
        <w:separator/>
      </w:r>
    </w:p>
  </w:endnote>
  <w:endnote w:type="continuationSeparator" w:id="0">
    <w:p w14:paraId="1B668118" w14:textId="77777777" w:rsidR="000508B2" w:rsidRDefault="00050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676590"/>
      <w:docPartObj>
        <w:docPartGallery w:val="Page Numbers (Bottom of Page)"/>
        <w:docPartUnique/>
      </w:docPartObj>
    </w:sdtPr>
    <w:sdtEndPr>
      <w:rPr>
        <w:noProof/>
      </w:rPr>
    </w:sdtEndPr>
    <w:sdtContent>
      <w:p w14:paraId="45AF4ADE" w14:textId="41F2F607" w:rsidR="00AB2331" w:rsidRDefault="00AB23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926F53" w14:textId="77777777" w:rsidR="00C64F08" w:rsidRDefault="00C64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9013C" w14:textId="77777777" w:rsidR="000508B2" w:rsidRDefault="000508B2">
      <w:r>
        <w:separator/>
      </w:r>
    </w:p>
  </w:footnote>
  <w:footnote w:type="continuationSeparator" w:id="0">
    <w:p w14:paraId="49FB6749" w14:textId="77777777" w:rsidR="000508B2" w:rsidRDefault="000508B2">
      <w:r>
        <w:continuationSeparator/>
      </w:r>
    </w:p>
  </w:footnote>
  <w:footnote w:id="1">
    <w:p w14:paraId="6C74561C" w14:textId="77777777" w:rsidR="002E2487" w:rsidRPr="00E61CAC" w:rsidRDefault="002E2487" w:rsidP="002E2487">
      <w:pPr>
        <w:pStyle w:val="FootnoteText"/>
        <w:rPr>
          <w:lang w:val="lv-LV"/>
        </w:rPr>
      </w:pPr>
      <w:r w:rsidRPr="00E61CAC">
        <w:rPr>
          <w:rStyle w:val="FootnoteReference"/>
          <w:lang w:val="lv-LV"/>
        </w:rPr>
        <w:footnoteRef/>
      </w:r>
      <w:r w:rsidRPr="00E61CAC">
        <w:rPr>
          <w:lang w:val="lv-LV"/>
        </w:rPr>
        <w:t xml:space="preserve"> Skat. </w:t>
      </w:r>
      <w:hyperlink r:id="rId1" w:history="1">
        <w:r w:rsidRPr="00E61CAC">
          <w:rPr>
            <w:rStyle w:val="Hyperlink"/>
            <w:lang w:val="lv-LV"/>
          </w:rPr>
          <w:t>Platjoslas pieejamības ģeogrāfiskās informācijas sistēmas noteikumi (mk.gov.lv)</w:t>
        </w:r>
      </w:hyperlink>
    </w:p>
    <w:p w14:paraId="461866EF" w14:textId="77777777" w:rsidR="002E2487" w:rsidRPr="00E61CAC" w:rsidRDefault="002E2487" w:rsidP="002E2487">
      <w:pPr>
        <w:pStyle w:val="FootnoteText"/>
        <w:rPr>
          <w:lang w:val="lv-LV"/>
        </w:rPr>
      </w:pPr>
    </w:p>
  </w:footnote>
  <w:footnote w:id="2">
    <w:p w14:paraId="3131B4EB" w14:textId="77777777" w:rsidR="002E2487" w:rsidRPr="004D4B40" w:rsidRDefault="002E2487" w:rsidP="002E2487">
      <w:pPr>
        <w:pStyle w:val="FootnoteText"/>
        <w:rPr>
          <w:lang w:val="lv-LV"/>
        </w:rPr>
      </w:pPr>
      <w:r w:rsidRPr="00E61CAC">
        <w:rPr>
          <w:rStyle w:val="FootnoteReference"/>
          <w:lang w:val="lv-LV"/>
        </w:rPr>
        <w:footnoteRef/>
      </w:r>
      <w:r w:rsidRPr="00E61CAC">
        <w:rPr>
          <w:lang w:val="lv-LV"/>
        </w:rPr>
        <w:t xml:space="preserve"> </w:t>
      </w:r>
      <w:hyperlink r:id="rId2" w:history="1">
        <w:r w:rsidRPr="00E61CAC">
          <w:rPr>
            <w:rStyle w:val="Hyperlink"/>
            <w:lang w:val="lv-LV"/>
          </w:rPr>
          <w:t>Grozījumi Sabiedrisko pakalpojumu regulēšanas komisijas 2022. gada 22. septembra lēmumā Nr. 1/29 "Informācijas iesniegšanas noteikumi elektronisko sakaru nozarē" (likumi.lv)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56E27" w14:textId="77777777" w:rsidR="00C64F08" w:rsidRDefault="00BC1CC0">
    <w:pPr>
      <w:pStyle w:val="Header"/>
      <w:rPr>
        <w:lang w:eastAsia="lv-LV"/>
      </w:rPr>
    </w:pPr>
    <w:r>
      <w:rPr>
        <w:noProof/>
        <w:lang w:eastAsia="lv-LV"/>
      </w:rPr>
      <w:drawing>
        <wp:anchor distT="0" distB="0" distL="0" distR="0" simplePos="0" relativeHeight="2" behindDoc="1" locked="0" layoutInCell="0" allowOverlap="1" wp14:anchorId="2EDA9B0E" wp14:editId="137B3D48">
          <wp:simplePos x="0" y="0"/>
          <wp:positionH relativeFrom="column">
            <wp:posOffset>-1140460</wp:posOffset>
          </wp:positionH>
          <wp:positionV relativeFrom="paragraph">
            <wp:posOffset>-1080135</wp:posOffset>
          </wp:positionV>
          <wp:extent cx="7559040" cy="10692130"/>
          <wp:effectExtent l="0" t="0" r="0" b="0"/>
          <wp:wrapNone/>
          <wp:docPr id="1562914057" name="Picture 1562914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19311192"/>
                  <pic:cNvPicPr>
                    <a:picLocks noChangeAspect="1" noChangeArrowheads="1"/>
                  </pic:cNvPicPr>
                </pic:nvPicPr>
                <pic:blipFill>
                  <a:blip r:embed="rId1"/>
                  <a:srcRect l="-4" t="-3" r="-4" b="-3"/>
                  <a:stretch>
                    <a:fillRect/>
                  </a:stretch>
                </pic:blipFill>
                <pic:spPr bwMode="auto">
                  <a:xfrm>
                    <a:off x="0" y="0"/>
                    <a:ext cx="7559040" cy="106921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11FF5"/>
    <w:multiLevelType w:val="hybridMultilevel"/>
    <w:tmpl w:val="52B67A6A"/>
    <w:lvl w:ilvl="0" w:tplc="0809000F">
      <w:start w:val="1"/>
      <w:numFmt w:val="decimal"/>
      <w:lvlText w:val="%1."/>
      <w:lvlJc w:val="left"/>
      <w:pPr>
        <w:ind w:left="2135" w:hanging="360"/>
      </w:pPr>
    </w:lvl>
    <w:lvl w:ilvl="1" w:tplc="08090019" w:tentative="1">
      <w:start w:val="1"/>
      <w:numFmt w:val="lowerLetter"/>
      <w:lvlText w:val="%2."/>
      <w:lvlJc w:val="left"/>
      <w:pPr>
        <w:ind w:left="2855" w:hanging="360"/>
      </w:pPr>
    </w:lvl>
    <w:lvl w:ilvl="2" w:tplc="0809001B" w:tentative="1">
      <w:start w:val="1"/>
      <w:numFmt w:val="lowerRoman"/>
      <w:lvlText w:val="%3."/>
      <w:lvlJc w:val="right"/>
      <w:pPr>
        <w:ind w:left="3575" w:hanging="180"/>
      </w:pPr>
    </w:lvl>
    <w:lvl w:ilvl="3" w:tplc="0809000F" w:tentative="1">
      <w:start w:val="1"/>
      <w:numFmt w:val="decimal"/>
      <w:lvlText w:val="%4."/>
      <w:lvlJc w:val="left"/>
      <w:pPr>
        <w:ind w:left="4295" w:hanging="360"/>
      </w:pPr>
    </w:lvl>
    <w:lvl w:ilvl="4" w:tplc="08090019" w:tentative="1">
      <w:start w:val="1"/>
      <w:numFmt w:val="lowerLetter"/>
      <w:lvlText w:val="%5."/>
      <w:lvlJc w:val="left"/>
      <w:pPr>
        <w:ind w:left="5015" w:hanging="360"/>
      </w:pPr>
    </w:lvl>
    <w:lvl w:ilvl="5" w:tplc="0809001B" w:tentative="1">
      <w:start w:val="1"/>
      <w:numFmt w:val="lowerRoman"/>
      <w:lvlText w:val="%6."/>
      <w:lvlJc w:val="right"/>
      <w:pPr>
        <w:ind w:left="5735" w:hanging="180"/>
      </w:pPr>
    </w:lvl>
    <w:lvl w:ilvl="6" w:tplc="0809000F" w:tentative="1">
      <w:start w:val="1"/>
      <w:numFmt w:val="decimal"/>
      <w:lvlText w:val="%7."/>
      <w:lvlJc w:val="left"/>
      <w:pPr>
        <w:ind w:left="6455" w:hanging="360"/>
      </w:pPr>
    </w:lvl>
    <w:lvl w:ilvl="7" w:tplc="08090019" w:tentative="1">
      <w:start w:val="1"/>
      <w:numFmt w:val="lowerLetter"/>
      <w:lvlText w:val="%8."/>
      <w:lvlJc w:val="left"/>
      <w:pPr>
        <w:ind w:left="7175" w:hanging="360"/>
      </w:pPr>
    </w:lvl>
    <w:lvl w:ilvl="8" w:tplc="0809001B" w:tentative="1">
      <w:start w:val="1"/>
      <w:numFmt w:val="lowerRoman"/>
      <w:lvlText w:val="%9."/>
      <w:lvlJc w:val="right"/>
      <w:pPr>
        <w:ind w:left="7895" w:hanging="180"/>
      </w:pPr>
    </w:lvl>
  </w:abstractNum>
  <w:abstractNum w:abstractNumId="1" w15:restartNumberingAfterBreak="0">
    <w:nsid w:val="23A10421"/>
    <w:multiLevelType w:val="hybridMultilevel"/>
    <w:tmpl w:val="31423EE2"/>
    <w:lvl w:ilvl="0" w:tplc="0809000F">
      <w:start w:val="1"/>
      <w:numFmt w:val="decimal"/>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5B8F5006"/>
    <w:multiLevelType w:val="hybridMultilevel"/>
    <w:tmpl w:val="569C1ECC"/>
    <w:lvl w:ilvl="0" w:tplc="0809000F">
      <w:start w:val="1"/>
      <w:numFmt w:val="decimal"/>
      <w:lvlText w:val="%1."/>
      <w:lvlJc w:val="left"/>
      <w:pPr>
        <w:ind w:left="2135" w:hanging="360"/>
      </w:pPr>
    </w:lvl>
    <w:lvl w:ilvl="1" w:tplc="08090019" w:tentative="1">
      <w:start w:val="1"/>
      <w:numFmt w:val="lowerLetter"/>
      <w:lvlText w:val="%2."/>
      <w:lvlJc w:val="left"/>
      <w:pPr>
        <w:ind w:left="2855" w:hanging="360"/>
      </w:pPr>
    </w:lvl>
    <w:lvl w:ilvl="2" w:tplc="0809001B" w:tentative="1">
      <w:start w:val="1"/>
      <w:numFmt w:val="lowerRoman"/>
      <w:lvlText w:val="%3."/>
      <w:lvlJc w:val="right"/>
      <w:pPr>
        <w:ind w:left="3575" w:hanging="180"/>
      </w:pPr>
    </w:lvl>
    <w:lvl w:ilvl="3" w:tplc="0809000F" w:tentative="1">
      <w:start w:val="1"/>
      <w:numFmt w:val="decimal"/>
      <w:lvlText w:val="%4."/>
      <w:lvlJc w:val="left"/>
      <w:pPr>
        <w:ind w:left="4295" w:hanging="360"/>
      </w:pPr>
    </w:lvl>
    <w:lvl w:ilvl="4" w:tplc="08090019" w:tentative="1">
      <w:start w:val="1"/>
      <w:numFmt w:val="lowerLetter"/>
      <w:lvlText w:val="%5."/>
      <w:lvlJc w:val="left"/>
      <w:pPr>
        <w:ind w:left="5015" w:hanging="360"/>
      </w:pPr>
    </w:lvl>
    <w:lvl w:ilvl="5" w:tplc="0809001B" w:tentative="1">
      <w:start w:val="1"/>
      <w:numFmt w:val="lowerRoman"/>
      <w:lvlText w:val="%6."/>
      <w:lvlJc w:val="right"/>
      <w:pPr>
        <w:ind w:left="5735" w:hanging="180"/>
      </w:pPr>
    </w:lvl>
    <w:lvl w:ilvl="6" w:tplc="0809000F" w:tentative="1">
      <w:start w:val="1"/>
      <w:numFmt w:val="decimal"/>
      <w:lvlText w:val="%7."/>
      <w:lvlJc w:val="left"/>
      <w:pPr>
        <w:ind w:left="6455" w:hanging="360"/>
      </w:pPr>
    </w:lvl>
    <w:lvl w:ilvl="7" w:tplc="08090019" w:tentative="1">
      <w:start w:val="1"/>
      <w:numFmt w:val="lowerLetter"/>
      <w:lvlText w:val="%8."/>
      <w:lvlJc w:val="left"/>
      <w:pPr>
        <w:ind w:left="7175" w:hanging="360"/>
      </w:pPr>
    </w:lvl>
    <w:lvl w:ilvl="8" w:tplc="0809001B" w:tentative="1">
      <w:start w:val="1"/>
      <w:numFmt w:val="lowerRoman"/>
      <w:lvlText w:val="%9."/>
      <w:lvlJc w:val="right"/>
      <w:pPr>
        <w:ind w:left="7895" w:hanging="180"/>
      </w:pPr>
    </w:lvl>
  </w:abstractNum>
  <w:abstractNum w:abstractNumId="3" w15:restartNumberingAfterBreak="0">
    <w:nsid w:val="75934F09"/>
    <w:multiLevelType w:val="hybridMultilevel"/>
    <w:tmpl w:val="1F404E0A"/>
    <w:lvl w:ilvl="0" w:tplc="401E41B4">
      <w:start w:val="1"/>
      <w:numFmt w:val="decimal"/>
      <w:lvlText w:val="%1)"/>
      <w:lvlJc w:val="left"/>
      <w:pPr>
        <w:ind w:left="1415" w:hanging="564"/>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num w:numId="1" w16cid:durableId="2047177130">
    <w:abstractNumId w:val="1"/>
  </w:num>
  <w:num w:numId="2" w16cid:durableId="1595481303">
    <w:abstractNumId w:val="3"/>
  </w:num>
  <w:num w:numId="3" w16cid:durableId="44187872">
    <w:abstractNumId w:val="0"/>
  </w:num>
  <w:num w:numId="4" w16cid:durableId="1277059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isplayBackgroundShape/>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F08"/>
    <w:rsid w:val="000508B2"/>
    <w:rsid w:val="00127D9E"/>
    <w:rsid w:val="0017234A"/>
    <w:rsid w:val="001B726D"/>
    <w:rsid w:val="002B1A71"/>
    <w:rsid w:val="002E2487"/>
    <w:rsid w:val="00383350"/>
    <w:rsid w:val="0038641D"/>
    <w:rsid w:val="003B49E0"/>
    <w:rsid w:val="003C6420"/>
    <w:rsid w:val="004636C8"/>
    <w:rsid w:val="00470712"/>
    <w:rsid w:val="004E1A09"/>
    <w:rsid w:val="004E5D98"/>
    <w:rsid w:val="00501EFE"/>
    <w:rsid w:val="00544E36"/>
    <w:rsid w:val="00593A2D"/>
    <w:rsid w:val="005E0337"/>
    <w:rsid w:val="006127ED"/>
    <w:rsid w:val="00630116"/>
    <w:rsid w:val="00675192"/>
    <w:rsid w:val="006B4EEF"/>
    <w:rsid w:val="006C2F69"/>
    <w:rsid w:val="006F67FF"/>
    <w:rsid w:val="00741E51"/>
    <w:rsid w:val="00755CE6"/>
    <w:rsid w:val="00897629"/>
    <w:rsid w:val="008A185F"/>
    <w:rsid w:val="009809CB"/>
    <w:rsid w:val="009A2EAA"/>
    <w:rsid w:val="00A31F36"/>
    <w:rsid w:val="00AB2331"/>
    <w:rsid w:val="00B139D3"/>
    <w:rsid w:val="00B17372"/>
    <w:rsid w:val="00B46769"/>
    <w:rsid w:val="00BC1CC0"/>
    <w:rsid w:val="00BC5283"/>
    <w:rsid w:val="00BD3DBD"/>
    <w:rsid w:val="00C64F08"/>
    <w:rsid w:val="00CD2FD5"/>
    <w:rsid w:val="00CF2FAE"/>
    <w:rsid w:val="00E41DF6"/>
    <w:rsid w:val="00F12106"/>
    <w:rsid w:val="00FA203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CA3BC"/>
  <w15:docId w15:val="{80B2DD1E-97F2-4FAB-9CEC-4B7BB767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Unicode MS"/>
        <w:sz w:val="24"/>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Arial" w:hAnsi="Calibri" w:cs="Calibri"/>
      <w:kern w:val="2"/>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style>
  <w:style w:type="character" w:customStyle="1" w:styleId="FooterChar">
    <w:name w:val="Footer Char"/>
    <w:basedOn w:val="DefaultParagraphFont"/>
    <w:uiPriority w:val="99"/>
    <w:qFormat/>
  </w:style>
  <w:style w:type="character" w:customStyle="1" w:styleId="BalloonTextChar">
    <w:name w:val="Balloon Text Char"/>
    <w:basedOn w:val="DefaultParagraphFont"/>
    <w:qFormat/>
  </w:style>
  <w:style w:type="paragraph" w:customStyle="1" w:styleId="Heading">
    <w:name w:val="Heading"/>
    <w:basedOn w:val="Normal"/>
    <w:next w:val="BodyText"/>
    <w:qForma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qFormat/>
    <w:pPr>
      <w:suppressLineNumbers/>
    </w:pPr>
    <w:rPr>
      <w:rFonts w:cs="Tahoma"/>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uppressLineNumbers/>
    </w:pPr>
  </w:style>
  <w:style w:type="paragraph" w:styleId="Footer">
    <w:name w:val="footer"/>
    <w:basedOn w:val="Normal"/>
    <w:uiPriority w:val="99"/>
    <w:pPr>
      <w:suppressLineNumbers/>
    </w:pPr>
  </w:style>
  <w:style w:type="paragraph" w:styleId="BalloonText">
    <w:name w:val="Balloon Text"/>
    <w:basedOn w:val="Normal"/>
    <w:qFormat/>
  </w:style>
  <w:style w:type="paragraph" w:styleId="ListParagraph">
    <w:name w:val="List Paragraph"/>
    <w:basedOn w:val="Normal"/>
    <w:uiPriority w:val="34"/>
    <w:qFormat/>
    <w:rsid w:val="00A31F36"/>
    <w:pPr>
      <w:suppressAutoHyphens w:val="0"/>
      <w:spacing w:after="160" w:line="259" w:lineRule="auto"/>
      <w:ind w:left="720"/>
      <w:contextualSpacing/>
    </w:pPr>
    <w:rPr>
      <w:rFonts w:asciiTheme="minorHAnsi" w:eastAsia="Times New Roman" w:hAnsiTheme="minorHAnsi" w:cs="Times New Roman"/>
      <w:kern w:val="0"/>
      <w:lang w:val="en-US" w:eastAsia="en-US"/>
    </w:rPr>
  </w:style>
  <w:style w:type="character" w:styleId="Hyperlink">
    <w:name w:val="Hyperlink"/>
    <w:basedOn w:val="DefaultParagraphFont"/>
    <w:uiPriority w:val="99"/>
    <w:unhideWhenUsed/>
    <w:rsid w:val="001B726D"/>
    <w:rPr>
      <w:color w:val="0563C1" w:themeColor="hyperlink"/>
      <w:u w:val="single"/>
    </w:rPr>
  </w:style>
  <w:style w:type="character" w:styleId="UnresolvedMention">
    <w:name w:val="Unresolved Mention"/>
    <w:basedOn w:val="DefaultParagraphFont"/>
    <w:uiPriority w:val="99"/>
    <w:semiHidden/>
    <w:unhideWhenUsed/>
    <w:rsid w:val="001B726D"/>
    <w:rPr>
      <w:color w:val="605E5C"/>
      <w:shd w:val="clear" w:color="auto" w:fill="E1DFDD"/>
    </w:rPr>
  </w:style>
  <w:style w:type="paragraph" w:styleId="Revision">
    <w:name w:val="Revision"/>
    <w:hidden/>
    <w:uiPriority w:val="99"/>
    <w:semiHidden/>
    <w:rsid w:val="004636C8"/>
    <w:pPr>
      <w:suppressAutoHyphens w:val="0"/>
    </w:pPr>
    <w:rPr>
      <w:rFonts w:ascii="Calibri" w:eastAsia="Arial" w:hAnsi="Calibri" w:cs="Calibri"/>
      <w:kern w:val="2"/>
      <w:sz w:val="22"/>
      <w:szCs w:val="22"/>
      <w:lang w:bidi="ar-SA"/>
    </w:rPr>
  </w:style>
  <w:style w:type="paragraph" w:styleId="FootnoteText">
    <w:name w:val="footnote text"/>
    <w:basedOn w:val="Normal"/>
    <w:link w:val="FootnoteTextChar"/>
    <w:uiPriority w:val="99"/>
    <w:semiHidden/>
    <w:unhideWhenUsed/>
    <w:rsid w:val="002E2487"/>
    <w:pPr>
      <w:suppressAutoHyphens w:val="0"/>
    </w:pPr>
    <w:rPr>
      <w:rFonts w:ascii="Arial" w:eastAsiaTheme="minorHAnsi" w:hAnsi="Arial" w:cs="Arial"/>
      <w:kern w:val="0"/>
      <w:sz w:val="20"/>
      <w:szCs w:val="20"/>
      <w:lang w:val="en-US" w:eastAsia="en-US"/>
    </w:rPr>
  </w:style>
  <w:style w:type="character" w:customStyle="1" w:styleId="FootnoteTextChar">
    <w:name w:val="Footnote Text Char"/>
    <w:basedOn w:val="DefaultParagraphFont"/>
    <w:link w:val="FootnoteText"/>
    <w:uiPriority w:val="99"/>
    <w:semiHidden/>
    <w:rsid w:val="002E2487"/>
    <w:rPr>
      <w:rFonts w:ascii="Arial" w:eastAsiaTheme="minorHAnsi" w:hAnsi="Arial" w:cs="Arial"/>
      <w:sz w:val="20"/>
      <w:szCs w:val="20"/>
      <w:lang w:val="en-US" w:eastAsia="en-US" w:bidi="ar-SA"/>
    </w:rPr>
  </w:style>
  <w:style w:type="character" w:styleId="FootnoteReference">
    <w:name w:val="footnote reference"/>
    <w:basedOn w:val="DefaultParagraphFont"/>
    <w:uiPriority w:val="99"/>
    <w:semiHidden/>
    <w:unhideWhenUsed/>
    <w:rsid w:val="002E24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tiksmes.ministrija@sa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3288-grozijumi-sabiedrisko-pakalpojumu-regulesanas-komisijas-2022-gada-22-septembra-lemuma-nr-1-29-informacijas-iesniegsanas-noteiku..." TargetMode="External"/><Relationship Id="rId1" Type="http://schemas.openxmlformats.org/officeDocument/2006/relationships/hyperlink" Target="https://tapportals.mk.gov.lv/legal_acts/bae2ef37-0c5a-48b5-a29f-9e5082e63c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5CFA8-B8CF-4640-B32D-732F07193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607</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dc:creator>
  <dc:description/>
  <cp:lastModifiedBy>Ieva Jankovska</cp:lastModifiedBy>
  <cp:revision>6</cp:revision>
  <cp:lastPrinted>1901-01-01T00:00:00Z</cp:lastPrinted>
  <dcterms:created xsi:type="dcterms:W3CDTF">2023-07-24T05:18:00Z</dcterms:created>
  <dcterms:modified xsi:type="dcterms:W3CDTF">2023-07-24T05:29:00Z</dcterms:modified>
  <dc:language>lv-LV</dc:language>
</cp:coreProperties>
</file>