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(14.03.2024.)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13. jūlija sēdes protokollēmumam (prot. Nr. 36 85. § 3. punkts) projektiem, kuru atlase paredzēta ierobežotas projektu iesniegumu atlases veidā un projekta kopējās izmaksas (ieskaitot PVN) pārsniedz 1 miljonu euro, jāveic izmaksu un ieguvumu analīze.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lūdzam paredzēt, ka attiecīgajiem piektās atlases kārtas projektiem nepieciešams veikt izmaksu un ieguvumu analīzi, vai arī anotācijā pamatot, ka izmaksu un ieguvumu analīzi nav nepieciešams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Nr.173 ir papildināti ar jaunu 16.</w:t>
            </w:r>
            <w:r w:rsidR="00000000" w:rsidRPr="00000000" w:rsidDel="00000000">
              <w:rPr>
                <w:vertAlign w:val="superscript"/>
                <w:rtl w:val="0"/>
              </w:rPr>
              <w:t xml:space="preserve">1</w:t>
            </w:r>
            <w:r w:rsidR="00000000" w:rsidRPr="00000000" w:rsidDel="00000000">
              <w:rPr>
                <w:rtl w:val="0"/>
              </w:rPr>
              <w:t xml:space="preserve"> punktu, kas paredz, ka 5. kārtas ietvaros projekta iesniedzējs projektā pamato izvēlēto saimnieciski izdevīgāko sabiedrībā balstītu sociālo pakalpojumu infrastruktūras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deinstitucionalizācijas (turpmāk – DI) pasākumu sociālo mērķi un mērķa grupu, 20.10.2023. LM organizēja sanāksmi ar Finanšu ministriju – vadošo iestādi un Centrālo finanšu un līgumu aģentūru – sadarbības iestādi par izmaksu un ieguvumu analīzes veikšanu DI pasākumos, kuros plānota jaunas sabiedrībā balstītu sociālo pakalpojumu izveide.  Sanāksmes laikā tika panākta vienošanās, ka DI pasākuua ietvaros tiks veikta saimnieciski izdevīgākā sabiedrībā balstītu sociālo pakalpojumu infrastruktūras risinājuma analīze (alternatīvu izvērtējums). Turklāt, svarīgi šādu izvērtējumu ir iesniegt kopā ar projekta iesniegumu. Attiecīgi 4.3.5.1. pasākuma piektās kārtas atlases nolikuma izstrādes laikā projektu iesniegumu vērtēšanas kritēriji tiks papildināti ar vienoto izvēles kritēriju, kas ļaus gūt pārliecību, ka projekta iesniedzējs projekta iesniegumā ir veicis un  iekļāvis saimnieciski izdevīgākā sabiedrībā balstītu sociālo pakalpojumu infrastruktūras risinājuma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pirmajai un piektajai kārtai plānotais un pieejamais kopējais attiecināmais finansējums ir 46 769 934 </w:t>
            </w:r>
            <w:r w:rsidR="00000000" w:rsidRPr="00000000" w:rsidDel="00000000">
              <w:rPr>
                <w:i w:val="1"/>
                <w:rtl w:val="0"/>
              </w:rPr>
              <w:t xml:space="preserve">euro</w:t>
            </w:r>
            <w:r w:rsidR="00000000" w:rsidRPr="00000000" w:rsidDel="00000000">
              <w:rPr>
                <w:rtl w:val="0"/>
              </w:rPr>
              <w:t xml:space="preserve">, tai skaitā Eiropas Sociālā fonda Plus finansējums – 39 754 443 </w:t>
            </w:r>
            <w:r w:rsidR="00000000" w:rsidRPr="00000000" w:rsidDel="00000000">
              <w:rPr>
                <w:i w:val="1"/>
                <w:rtl w:val="0"/>
              </w:rPr>
              <w:t xml:space="preserve">euro</w:t>
            </w:r>
            <w:r w:rsidR="00000000" w:rsidRPr="00000000" w:rsidDel="00000000">
              <w:rPr>
                <w:rtl w:val="0"/>
              </w:rPr>
              <w:t xml:space="preserve"> un pašvaldības budžeta finansējums – 7 015 491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4.3.5.1. pasākuma finansējuma un rādītāju sadalījumu pa visām kārtām, lai nodrošinātu informācijas izsekojamību un aktualitāti, balstoties uz pieteiktiem grozījumiem Eiropas Savienības kohēzijas politikas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norādīta anotācijas 1.6. 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plānotais un pieejamais kopējais attiecināmais finansējums ir 46 769 934 </w:t>
            </w:r>
            <w:r w:rsidR="00000000" w:rsidRPr="00000000" w:rsidDel="00000000">
              <w:rPr>
                <w:i w:val="1"/>
                <w:rtl w:val="0"/>
              </w:rPr>
              <w:t xml:space="preserve">euro</w:t>
            </w:r>
            <w:r w:rsidR="00000000" w:rsidRPr="00000000" w:rsidDel="00000000">
              <w:rPr>
                <w:rtl w:val="0"/>
              </w:rPr>
              <w:t xml:space="preserve">, tai skaitā Eiropas Sociālā fonda Plus finansējums 39 754 443 </w:t>
            </w:r>
            <w:r w:rsidR="00000000" w:rsidRPr="00000000" w:rsidDel="00000000">
              <w:rPr>
                <w:i w:val="1"/>
                <w:rtl w:val="0"/>
              </w:rPr>
              <w:t xml:space="preserve">euro</w:t>
            </w:r>
            <w:r w:rsidR="00000000" w:rsidRPr="00000000" w:rsidDel="00000000">
              <w:rPr>
                <w:rtl w:val="0"/>
              </w:rPr>
              <w:t xml:space="preserve"> un nacionālais līdzfinansējums – 7 015 491 </w:t>
            </w:r>
            <w:r w:rsidR="00000000" w:rsidRPr="00000000" w:rsidDel="00000000">
              <w:rPr>
                <w:i w:val="1"/>
                <w:rtl w:val="0"/>
              </w:rPr>
              <w:t xml:space="preserve">euro</w:t>
            </w:r>
            <w:r w:rsidR="00000000" w:rsidRPr="00000000" w:rsidDel="00000000">
              <w:rPr>
                <w:rtl w:val="0"/>
              </w:rPr>
              <w:t xml:space="preserve">, ko veido pašvaldību budžeta un privātais finansējums,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provizorisko finansējuma (t.sk. dalījumā pa intervenču kodiem) sadalījumu starp 4.3.5.1. pasākuma 1. un 5. kārtu, lai nodrošinātu šīs informācijas ievadi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finansējuma sadalījums starp 4.3.5.1. pasākuma 1. un 5. kārtu  ir indikatīvs un var tikt mainīts atkarībā no atlašu rezultātiem katrā no 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ierosināto grozījumu ietekmi uz projektu iesniegumiem, kas atrodas vērtēšanas procesā un īstenošanā esošiem projektiem, t.i. vai būs nepieciešami grozījumi noslēgtajos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uz līgumu/projektu, šai informācijai arī ir jābūt iekļautai anotācijā, lai nodrošinātu liecības, ka grozījumu ietekmes izvērtējums ir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ietekmes ne uz 1. kārtas projektu iesniegumu vērtēšanas procesā, ne īstenošanā esošajiem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kopējo 4.3.5.1.pasākuma 1.kārtas un 5.kārtas īstenošanai plānoto finansējuma apmēru 2027.gadam, jo, sasummējot ESF Plus finansējumu 9 938 610 </w:t>
            </w:r>
            <w:r w:rsidR="00000000" w:rsidRPr="00000000" w:rsidDel="00000000">
              <w:rPr>
                <w:i w:val="1"/>
                <w:rtl w:val="0"/>
              </w:rPr>
              <w:t xml:space="preserve">euro </w:t>
            </w:r>
            <w:r w:rsidR="00000000" w:rsidRPr="00000000" w:rsidDel="00000000">
              <w:rPr>
                <w:rtl w:val="0"/>
              </w:rPr>
              <w:t xml:space="preserve">apmērā un nacionālo līdzfinansējumu 1 753 773 </w:t>
            </w:r>
            <w:r w:rsidR="00000000" w:rsidRPr="00000000" w:rsidDel="00000000">
              <w:rPr>
                <w:i w:val="1"/>
                <w:rtl w:val="0"/>
              </w:rPr>
              <w:t xml:space="preserve">euro </w:t>
            </w:r>
            <w:r w:rsidR="00000000" w:rsidRPr="00000000" w:rsidDel="00000000">
              <w:rPr>
                <w:rtl w:val="0"/>
              </w:rPr>
              <w:t xml:space="preserve">apmērā, veidojas 11 692 383 </w:t>
            </w:r>
            <w:r w:rsidR="00000000" w:rsidRPr="00000000" w:rsidDel="00000000">
              <w:rPr>
                <w:i w:val="1"/>
                <w:rtl w:val="0"/>
              </w:rPr>
              <w:t xml:space="preserve">euro</w:t>
            </w:r>
            <w:r w:rsidR="00000000" w:rsidRPr="00000000" w:rsidDel="00000000">
              <w:rPr>
                <w:rtl w:val="0"/>
              </w:rPr>
              <w:t xml:space="preserve">, nevis 11 692 483 </w:t>
            </w:r>
            <w:r w:rsidR="00000000" w:rsidRPr="00000000" w:rsidDel="00000000">
              <w:rPr>
                <w:i w:val="1"/>
                <w:rtl w:val="0"/>
              </w:rPr>
              <w:t xml:space="preserve">euro</w:t>
            </w:r>
            <w:r w:rsidR="00000000" w:rsidRPr="00000000" w:rsidDel="00000000">
              <w:rPr>
                <w:rtl w:val="0"/>
              </w:rPr>
              <w:t xml:space="preserve">. Nepieciešamības gadījumā lūdzam precizēt anotācijas 3.sadaļas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12. marta noteikumu Nr. 173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kārtas īstenošanas noteikumi” (turpmāk - MK noteikumi) grozījumu projekta 13.punktā 4.3.5.1.pasākuma 1.kārtas un 5.kārtas īstenošanai ir noteikts nacionālais līdzfinansējums 7 015 491 </w:t>
            </w:r>
            <w:r w:rsidR="00000000" w:rsidRPr="00000000" w:rsidDel="00000000">
              <w:rPr>
                <w:i w:val="1"/>
                <w:rtl w:val="0"/>
              </w:rPr>
              <w:t xml:space="preserve">euro </w:t>
            </w:r>
            <w:r w:rsidR="00000000" w:rsidRPr="00000000" w:rsidDel="00000000">
              <w:rPr>
                <w:rtl w:val="0"/>
              </w:rPr>
              <w:t xml:space="preserve">apmērā, ko veido pašvaldību budžeta un privātais finansējums. Savukārt anotācijas 3.sadaļas 6.punktā ir atsevišķi norādīts pašvaldību budžeta un privātā finansējuma apmērs sadalījumā pa gadiem. Lūdzam precizēt anotācijas 3.sadaļas tabulas 1., 2., 3. un 5.punktu, 1.1., 2.1., 2.3., 3.3. un 5.3. apakšpunktu, norādot tikai ESF Plus un pašvaldību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4.3.5.1.pasākuma pirmās un piektās kārtas īstenošanai plānoto kopējo finansējuma apmēru, jo, sasummējot finansējumu pa gadiem, veidojas 46 769 933 </w:t>
            </w:r>
            <w:r w:rsidR="00000000" w:rsidRPr="00000000" w:rsidDel="00000000">
              <w:rPr>
                <w:i w:val="1"/>
                <w:rtl w:val="0"/>
              </w:rPr>
              <w:t xml:space="preserve">euro</w:t>
            </w:r>
            <w:r w:rsidR="00000000" w:rsidRPr="00000000" w:rsidDel="00000000">
              <w:rPr>
                <w:rtl w:val="0"/>
              </w:rPr>
              <w:t xml:space="preserve">, nevis 46 769 934 </w:t>
            </w:r>
            <w:r w:rsidR="00000000" w:rsidRPr="00000000" w:rsidDel="00000000">
              <w:rPr>
                <w:i w:val="1"/>
                <w:rtl w:val="0"/>
              </w:rPr>
              <w:t xml:space="preserve">euro</w:t>
            </w:r>
            <w:r w:rsidR="00000000" w:rsidRPr="00000000" w:rsidDel="00000000">
              <w:rPr>
                <w:rtl w:val="0"/>
              </w:rPr>
              <w:t xml:space="preserve">, vienlaikus lūdzam precizēt pašvaldību budžeta kopējo finansējuma apmēru, jo, sasummējot finansējumu pa gadiem, veidojas 7 015 490 </w:t>
            </w:r>
            <w:r w:rsidR="00000000" w:rsidRPr="00000000" w:rsidDel="00000000">
              <w:rPr>
                <w:i w:val="1"/>
                <w:rtl w:val="0"/>
              </w:rPr>
              <w:t xml:space="preserve">euro</w:t>
            </w:r>
            <w:r w:rsidR="00000000" w:rsidRPr="00000000" w:rsidDel="00000000">
              <w:rPr>
                <w:rtl w:val="0"/>
              </w:rPr>
              <w:t xml:space="preserve">, nevis 7 015 491 </w:t>
            </w:r>
            <w:r w:rsidR="00000000" w:rsidRPr="00000000" w:rsidDel="00000000">
              <w:rPr>
                <w:i w:val="1"/>
                <w:rtl w:val="0"/>
              </w:rPr>
              <w:t xml:space="preserve">euro </w:t>
            </w:r>
            <w:r w:rsidR="00000000" w:rsidRPr="00000000" w:rsidDel="00000000">
              <w:rPr>
                <w:rtl w:val="0"/>
              </w:rPr>
              <w:t xml:space="preserve">atbilstoši noteikumu projekta 13.punktam. Attiecīgi, ja nepieciešams, lūdzam precizēt anotācijas 3.sadaļas tabulā norādīto 4.3.5.1.pasākuma pirmās un piektās kārtas īstenošanai plānoto finansējuma apmēru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ESF Plus finansējuma apmēru 2027.gadam, jo, veicot aprēķinu (11 692 483 </w:t>
            </w:r>
            <w:r w:rsidR="00000000" w:rsidRPr="00000000" w:rsidDel="00000000">
              <w:rPr>
                <w:i w:val="1"/>
                <w:rtl w:val="0"/>
              </w:rPr>
              <w:t xml:space="preserve">euro </w:t>
            </w:r>
            <w:r w:rsidR="00000000" w:rsidRPr="00000000" w:rsidDel="00000000">
              <w:rPr>
                <w:rtl w:val="0"/>
              </w:rPr>
              <w:t xml:space="preserve">x 0,85), matemātiski veidojas 9 938 610 </w:t>
            </w:r>
            <w:r w:rsidR="00000000" w:rsidRPr="00000000" w:rsidDel="00000000">
              <w:rPr>
                <w:i w:val="1"/>
                <w:rtl w:val="0"/>
              </w:rPr>
              <w:t xml:space="preserve">euro</w:t>
            </w:r>
            <w:r w:rsidR="00000000" w:rsidRPr="00000000" w:rsidDel="00000000">
              <w:rPr>
                <w:rtl w:val="0"/>
              </w:rPr>
              <w:t xml:space="preserve">, nevis 9 938 510 </w:t>
            </w:r>
            <w:r w:rsidR="00000000" w:rsidRPr="00000000" w:rsidDel="00000000">
              <w:rPr>
                <w:i w:val="1"/>
                <w:rtl w:val="0"/>
              </w:rPr>
              <w:t xml:space="preserve">euro</w:t>
            </w:r>
            <w:r w:rsidR="00000000" w:rsidRPr="00000000" w:rsidDel="00000000">
              <w:rPr>
                <w:rtl w:val="0"/>
              </w:rPr>
              <w:t xml:space="preserve">, attiecīgi ir precizējama anotācijas 3.sadaļas 1.punkta un 1.1.un 2.1.apakšpunkta 8.ailē norādītais ESF Plus finansējuma apmērs. Vienlaikus lūdzam precizēt anotācijas 3.sadaļas 2.punkta 8.ailē 2027.gadam norādīto plānoto </w:t>
            </w:r>
            <w:r w:rsidR="00000000" w:rsidRPr="00000000" w:rsidDel="00000000">
              <w:rPr>
                <w:u w:val="single"/>
                <w:rtl w:val="0"/>
              </w:rPr>
              <w:t xml:space="preserve">kopējo </w:t>
            </w:r>
            <w:r w:rsidR="00000000" w:rsidRPr="00000000" w:rsidDel="00000000">
              <w:rPr>
                <w:rtl w:val="0"/>
              </w:rPr>
              <w:t xml:space="preserve">finansējuma apmēru atbilstoši anotācijas 3.sadaļas 6.punktā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12. marta noteikumu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(turpmāk – MK noteikumi) 11.punktā norādīts, ka ESF Plus finansējuma apmērs nepārsniedz 85 procentus, līdz ar to ir precizējama anotācijas 3.sadaļas 6.punktā otrā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iestāde projektu iesniegumu atlasi organizē, pasākuma pirmās un piektās kārtas projektu iesniegumu atlases termiņus saskaņojot ar atbildīgo iestādi. Pasākuma pirmās kārtas pirmā uzsaukuma projektu iesniegumu atlasi izsludina par visu pieejamo šo noteikumu 8. punkta ievaddaļā minēto kopējo attiecināmo finansējumu. Ja pasākuma pirmās kārtas pirmajā projektu iesniegumu uzsaukumā neapstiprina projektu iesniegumus par visu pieejamo šo noteikumu 8. punkta ievaddaļā minēto kopējo attiecināmo finansējumu, sadarbības iestāde organizē projektu iesniegumu atlasi: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 ka noteikumu projekts paredz jaunas 4.3.5.1. pasākuma piektās kārtas projektu iesniegumu atlases organizēšanu, kā arī no MK noteikumu 8.2.apakšpukta, kas nosaka projektu iesniegumu atlases piektajai kārtai plānoto un pieejamo finansējumu, secināms, ka projektu iesniegumu atlases piektā kārta tiks organizēta neatkarīgi no projektu iesniegumu atlases pirmās kārtas rezultātiem. Ņemot vērā norādīto, lūdzam izvērtēt un nepieciešamības gadījumā precizēt MK noteikumu 7.punkta redakciju, kas nosaka, ka projektu iesniegumu atlases piektā kārta tiks organizēta, ja pasākuma pirmās kārtas pirmajā projektu iesniegumu uzsaukumā neapstiprina projektu iesniegumus par visu pieejamo šo noteikumu 8. punkta ievaddaļā minēto kopējo attiecināmo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iespēju precizēt MK noteikumu Nr.173 7. punktu un secina, ka precizējumi nav nepieciešami, jo jau šī brīža redakcija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sākotnējā 1. kārtas atlase (pirmais uzsaukums) tiek izsludināta par visu uz to brīdi 4.3.5.1. pasākuma 1. kārtai pieejamo kopējo attiecināmo finansējumu (šis jau ir noticis fakts);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pirmā uzsaukumā netiek apstiprināti projekti par visu pieejamo kopējo finansējumu, tiek organizēta atkārtota uzsaukuma un 5. kārtas projektu iesniegumu atlase (abas atlase var tik īstenotas vienlaicīgi).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iestāde projektu iesniegumu atlasi organizē, pasākuma pirmās un piektās kārtas projektu iesniegumu atlases termiņus saskaņojot ar atbildīgo iestādi. Pasākuma pirmās kārtas pirmā uzsaukuma projektu iesniegumu atlasi izsludina par visu pieejamo šo noteikumu 8. punkta ievaddaļā minēto kopējo attiecināmo finansējumu. Ja pasākuma pirmās kārtas pirmajā projektu iesniegumu uzsaukumā neapstiprina projektu iesniegumus par visu pieejamo šo noteikumu 8. punkta ievaddaļā minēto kopējo attiecināmo finansējumu, sadarbības iestāde organizē projektu iesniegumu atlasi: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pirmās un piektās kārtas ietvaros kopumā ir atbalstāma maksimāli 10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specializēto transportlīdzekļu iegāde un aprīkošana visā Latvijas teritorijā,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normas nepārprotamu interpretāciju, lūdzam izvērtēt un nepieciešamības gadījumā precizēt MK noteikumu 37. punkta ievaddaļas tekstu, nodrošinot, ka ir nepārprotami skaidrs, vai nosacījums par kopumā 10 specializēto transportlīdzekļu iegādi attiecas uz pirmo un piekto kārtu kopā vai uz katru no kārtām atsevišķi. Norādām,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1. un 5. kārtas ietvaros ir atbalstāma maksimāli 10 transportlīdzekļu iegāde (pa abām kārām kopā) un nav plānotas izmaiņas attiecībā uz šo ierobežojumu, jo iznākuma rādītāja i.4.3.5.a. vērtības aprēķinā ir plānots finansējums tikai 10 specializēto transportlīdzekļu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pirmās un piektās kārtas ietvaros ir atbalstāma maksimāli 10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specializēto transportlīdzekļu iegāde un aprīkošana visā Latvijas teritorijā,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pasākuma pirmās un piektās kārtas ietvaros ir iesniegti vairāk nekā 10 projektu iesniegumi par šo noteikumu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minētās atbalstāmās darbības īstenošanu, specializēto transportlīdzekļu iegādi un aprīkošanu atbalsta finansējuma saņēmējam, kurš aprūpes mājās pakalpojumu sniegs pašvaldībā  ar zemāko iedzīvotāju blīvumu.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tiks nodrošināta MK noteikumu 37.2 apakšpunktā noteiktā ierobežojuma (transportlīdzekļu iegādi un aprīkošanu atbalsta finansējuma saņēmējam, kurš aprūpes mājās pakalpojumu sniegs pašvaldībā ar zemāko iedzīvotāju blīvumu) izpilde, ņemot vērā, ka pasākuma pirmās un piektās kārtas atlase notiek atsevišķi, dažādā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pasākuma pirmās un piektās kārtas ietvaros ir iesniegti vairāk nekā 10 projektu iesniegumi par šo noteikumu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minētās atbalstāmās darbības īstenošanu, specializēto transportlīdzekļu iegādi un aprīkošanu atbalsta finansējuma saņēmējam, kurš aprūpes mājās pakalpojumu sniegs pašvaldībā  ar zemāko iedzīvotāju blīvumu.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pasākuma pirmās kārtas ietvaros ir iesniegti vairāk nekā 10 projektu iesniegumi par šo noteikumu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minētās atbalstāmās darbības īstenošanu, specializēto transportlīdzekļu iegādi un aprīkošanu atbalsta pašvaldībās ar zemāko iedzīvotāju blīvumu.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aktualizēt MK noteikumu 37.2. apakšpunkta redakciju, ņemot vērā plānoto pasākuma piektās kārtas īstenošanu un pasākuma pirmās kārtas projektu atlases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pasākuma pirmās un piektās kārtas ietvaros ir iesniegti vairāk nekā 10 projektu iesniegumi par šo noteikumu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minētās atbalstāmās darbības īstenošanu, specializēto transportlīdzekļu iegādi un aprīkošanu atbalsta finansējuma saņēmējam, kurš aprūpes mājās pakalpojumu sniegs pašvaldībā  ar zemāko iedzīvotāju blīvumu.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novērš dubultfinansēšanas riskus un nodrošina, ka projektā plānotās atbalstāmās darbības netiek finansētas, kā arī tās nav plānots finansēt no citiem valsts, pašvaldības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nepieciešamību grozīt MK noteikumu 46.1. apakšpunktu, jo tā mērķis ir noteikt nosacījumus dubultfinansēšanas novēršanai, nevis ierobežot pašvaldības nepieciešamības gadījumā līdzfinansēt pakalpojumu nodrošināšanu no pašvaldības budžeta līdzekļiem, vai precizēt anotāciju papildinot to ar argumentāciju, kādēļ grozījumi MK noteikumu 46.1. apakšpunktā neietekmē dubultfinansējuma novēršanas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novērš dubultfinansēšanas riskus un nodrošina, ka projektā plānotās atbalstāmās darbības netiek finansētas, kā arī tās nav plānots finansēt no citiem valsts, pašvaldības vai ārvalstu finanšu atbalsta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46.2.2. parakstījuši apliecinājumus par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pantu un publisko iepirkumu regulējošiem normatīviem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MK noteikumu 46.2.2. apakšpunktā precizēt regulas atsauci,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46.2.2. 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regulējošiem normatīviem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46.2.2. parakstījuši apliecinājumus par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pantu un publisko iepirkumu regulējošiem normatīviem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iesniedz sadarbības iestādē informāciju par plānotajām izmaiņām, ja šo noteikumu </w:t>
            </w:r>
            <w:r w:rsidR="00000000" w:rsidRPr="00000000" w:rsidDel="00000000">
              <w:rPr>
                <w:rtl w:val="0"/>
              </w:rPr>
              <w:t xml:space="preserve">46.11.</w:t>
            </w:r>
            <w:r w:rsidR="00000000" w:rsidRPr="00000000" w:rsidDel="00000000">
              <w:rPr>
                <w:rtl w:val="0"/>
              </w:rPr>
              <w:t xml:space="preserve"> apakšpunktā</w:t>
            </w:r>
            <w:r w:rsidR="00000000" w:rsidRPr="00000000" w:rsidDel="00000000">
              <w:rPr>
                <w:rtl w:val="0"/>
              </w:rPr>
              <w:t xml:space="preserve"> minētajā laikposmā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 Ja šo noteikumu </w:t>
            </w:r>
            <w:r w:rsidR="00000000" w:rsidRPr="00000000" w:rsidDel="00000000">
              <w:rPr>
                <w:rtl w:val="0"/>
              </w:rPr>
              <w:t xml:space="preserve">46.11.</w:t>
            </w:r>
            <w:r w:rsidR="00000000" w:rsidRPr="00000000" w:rsidDel="00000000">
              <w:rPr>
                <w:rtl w:val="0"/>
              </w:rPr>
              <w:t xml:space="preserve"> apakšpunktā</w:t>
            </w:r>
            <w:r w:rsidR="00000000" w:rsidRPr="00000000" w:rsidDel="00000000">
              <w:rPr>
                <w:rtl w:val="0"/>
              </w:rPr>
              <w:t xml:space="preserve"> minētajā laikposmā vai ieguldījumu amortizācijas periodā sabiedrībā balstītu sociālo pakalpojumu infrastruktūra kļūst par tādu, kas ir saistīta ar saimniecisko darbību, kurai sniegtais atbalsts būtu kvalificējams kā komercdarbības atbalsts, finansējuma saņēmējs atmaksā sadarbības iestādei nelikumīgo atbalstu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mazināta MK noteikumu 46.13. punkta nosacījumu neievērošanas riska mazināšana, ņemot vērā iespēju jaunu sabiedrībā balstītu sociālo pakalpojumu infrastruktūru veidot arī citiem sociālo pakalpojumu sniedzējiem, piemēram privātajiem (biedrībām, nodibinājumiem, komersantiem), kam iespējams nav kompetences un kapacitātes pašiem izvērtēt situācijas, kuru rezultātā varētu iestāties nelikumīga komercdarbības atbalsta 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iesniedz sadarbības iestādē informāciju par plānotajām izmaiņām, ja šo noteikumu </w:t>
            </w:r>
            <w:r w:rsidR="00000000" w:rsidRPr="00000000" w:rsidDel="00000000">
              <w:rPr>
                <w:rtl w:val="0"/>
              </w:rPr>
              <w:t xml:space="preserve">46.11.</w:t>
            </w:r>
            <w:r w:rsidR="00000000" w:rsidRPr="00000000" w:rsidDel="00000000">
              <w:rPr>
                <w:rtl w:val="0"/>
              </w:rPr>
              <w:t xml:space="preserve"> apakšpunktā</w:t>
            </w:r>
            <w:r w:rsidR="00000000" w:rsidRPr="00000000" w:rsidDel="00000000">
              <w:rPr>
                <w:rtl w:val="0"/>
              </w:rPr>
              <w:t xml:space="preserve"> minētajā laikposmā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 Ja šo noteikumu </w:t>
            </w:r>
            <w:r w:rsidR="00000000" w:rsidRPr="00000000" w:rsidDel="00000000">
              <w:rPr>
                <w:rtl w:val="0"/>
              </w:rPr>
              <w:t xml:space="preserve">46.11.</w:t>
            </w:r>
            <w:r w:rsidR="00000000" w:rsidRPr="00000000" w:rsidDel="00000000">
              <w:rPr>
                <w:rtl w:val="0"/>
              </w:rPr>
              <w:t xml:space="preserve"> apakšpunktā</w:t>
            </w:r>
            <w:r w:rsidR="00000000" w:rsidRPr="00000000" w:rsidDel="00000000">
              <w:rPr>
                <w:rtl w:val="0"/>
              </w:rPr>
              <w:t xml:space="preserve"> minētajā laikposmā vai ieguldījumu amortizācijas periodā sabiedrībā balstītu sociālo pakalpojumu infrastruktūra kļūst par tādu, kas ir saistīta ar saimniecisko darbību, kurai sniegtais atbalsts būtu kvalificējams kā komercdarbības atbalsts, finansējuma saņēmējs atmaksā sadarbības iestādei nelikumīgo atbalstu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netiek gūti </w:t>
            </w:r>
            <w:r w:rsidR="00000000" w:rsidRPr="00000000" w:rsidDel="00000000">
              <w:rPr>
                <w:i w:val="1"/>
                <w:rtl w:val="0"/>
              </w:rPr>
              <w:t xml:space="preserve">neto</w:t>
            </w:r>
            <w:r w:rsidR="00000000" w:rsidRPr="00000000" w:rsidDel="00000000">
              <w:rPr>
                <w:rtl w:val="0"/>
              </w:rPr>
              <w:t xml:space="preserve"> 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nosacījuma nepieciešamību par to, ka projekta ietvaros netiek gūti neto ienākumi, kā arī to, kā tiks kontrolēta šī nosacījuma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47.5. apakšpunkts netiek grozīts un šajā apakšpunktā minētā nosacījuma nepieciešamība tika saskaņota sākotnējo MK noteikumu Nr.173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attiecas uz maksas sociālo pakalpojumu sniegšanu projekta ilgtspējas nodrošināšanas periodā un nodrošina, ka izveidotajā pakalpojumu infrastruktūrā netiks veikta saimnieciskā darbība. Kuras ietvaros tiek gūti net0 ieņēmumi..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netiek gūti </w:t>
            </w:r>
            <w:r w:rsidR="00000000" w:rsidRPr="00000000" w:rsidDel="00000000">
              <w:rPr>
                <w:i w:val="1"/>
                <w:rtl w:val="0"/>
              </w:rPr>
              <w:t xml:space="preserve">neto</w:t>
            </w:r>
            <w:r w:rsidR="00000000" w:rsidRPr="00000000" w:rsidDel="00000000">
              <w:rPr>
                <w:rtl w:val="0"/>
              </w:rPr>
              <w:t xml:space="preserve"> 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2. ievēro Ministru kabineta 2017. gada 28. februāra noteikumos Nr. 104 “Noteikumi par iepirkuma procedūru un tās piemērošanas kārtību pasūtītāja finansētiem projektiem” noteikto līguma slēgšanas tiesību piešķiršanas procedūru (ja attiecināms) un noteiktos ierobežojumus šādu līgumu slēgšanai, tai skaitā aizpilda un paraksta to 1. pielikumā noteikto apliecinājumu par interešu konflikta neesību un pievieno to iepirkuma līgumu slēgšanas dokumentācijai.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Publisko iepirkumu likuma 1.panta 19.punkta nosacījumiem var būt gadījumi, kad arī privāto tiesību juridiskas personas ir uzskatāmas par pasūtītājiem Publisko iepirkumu likuma izpratnē, lūdzam izvērtēt, vai ir lietderīgi un korekti MK noteikumu 46.</w:t>
            </w:r>
            <w:r w:rsidR="00000000" w:rsidRPr="00000000" w:rsidDel="00000000">
              <w:rPr>
                <w:vertAlign w:val="superscript"/>
                <w:rtl w:val="0"/>
              </w:rPr>
              <w:t xml:space="preserve">2</w:t>
            </w:r>
            <w:r w:rsidR="00000000" w:rsidRPr="00000000" w:rsidDel="00000000">
              <w:rPr>
                <w:rtl w:val="0"/>
              </w:rPr>
              <w:t xml:space="preserve">2.apakšpunktā noteikt, ka 16.2.2.apakšpunktā minētie subjekti veicot iepirkumus piemēro Ministru kabineta 2017. gada 28. februāra noteikumus Nr. 104 “Noteikumi par iepirkuma procedūru un tās piemērošanas kārtību pasūtītāja finansētiem projektiem”, un nepieciešamības gadījumā precizēt MK noteikumu 46.</w:t>
            </w:r>
            <w:r w:rsidR="00000000" w:rsidRPr="00000000" w:rsidDel="00000000">
              <w:rPr>
                <w:vertAlign w:val="superscript"/>
                <w:rtl w:val="0"/>
              </w:rPr>
              <w:t xml:space="preserve">2</w:t>
            </w:r>
            <w:r w:rsidR="00000000" w:rsidRPr="00000000" w:rsidDel="00000000">
              <w:rPr>
                <w:rtl w:val="0"/>
              </w:rPr>
              <w:t xml:space="preserve">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2. veic iepirkumus atbilstoši Publisko iepirkumu likumam vai Ministru kabineta 2017. gada 28. februāra noteikumiem Nr. 104 “Noteikumi par iepirkuma procedūru un tās piemērošanas kārtību pasūtītāja finansētiem projektiem”. Gadījumā, ja iepirkumi ir veicami atbilstoši iepriekš minēto noteikumu regulējumam, ievēro noteikumos noteikto līguma slēgšanas tiesību piešķiršanas procedūru un noteiktos ierobežojumus šādu līgumu slēgšanai, tai skaitā aizpilda un paraksta noteikumu 1. pielikumā noteikto apliecinājumu par interešu konflikta neesību un pievieno to iepirkuma līgumu slēgšanas dokumentācijai.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24-TA-2836</w:t>
    </w:r>
    <w:r>
      <w:br/>
    </w:r>
    <w:r w:rsidR="00000000" w:rsidRPr="00000000" w:rsidDel="00000000">
      <w:rPr>
        <w:rtl w:val="0"/>
      </w:rPr>
      <w:t xml:space="preserve">31.01.2025. 09.37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24-TA-2836</w:t>
    </w:r>
    <w:r>
      <w:br/>
    </w:r>
    <w:r w:rsidR="00000000" w:rsidRPr="00000000" w:rsidDel="00000000">
      <w:rPr>
        <w:rtl w:val="0"/>
      </w:rPr>
      <w:t xml:space="preserve">31.01.2025. 09.37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Izziņa_24-TA-2836.docx</dc:title>
</cp:coreProperties>
</file>

<file path=docProps/custom.xml><?xml version="1.0" encoding="utf-8"?>
<Properties xmlns="http://schemas.openxmlformats.org/officeDocument/2006/custom-properties" xmlns:vt="http://schemas.openxmlformats.org/officeDocument/2006/docPropsVTypes"/>
</file>