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24-TA-2190: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"Aizkalni" Salacgrīvas pagastā, Limbažu novadā, daļas pirkšanu projekta "Eiropas standarta platuma 1435 mm dzelzceļa līnijas izbūve "Rail Baltica" koridorā caur Igauniju, Latviju un Lietuvu" 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- 03.10.2024.)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Aicinām norādīt vai īpašnieks ir izmantojis Ministru kabineta 2011. gada 15. marta noteikumu Nr. 204 "Kārtība, kādā nosaka taisnīgu atlīdzību par sabiedrības vajadzībām atsavināmo nekustamo īpašumu" 30. punktā</w:t>
            </w:r>
            <w:r w:rsidR="00000000" w:rsidRPr="00000000" w:rsidDel="00000000">
              <w:rPr>
                <w:b w:val="1"/>
                <w:rtl w:val="0"/>
              </w:rPr>
              <w:t xml:space="preserve"> paredzētās tiesības veikt alternatīvu vērtējumu, ja īpašnieks nepiekrīt sertificēta nekustamā īpašuma vērtētāja 2024. gada 15. aprīļa vērtējumam.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papildināta ar šādu informāciju: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Īpašnieks nav izmantojis Ministru kabineta 2011. gada 15. marta noteikumu Nr. 204 "Kārtība, kādā nosaka taisnīgu atlīdzību par sabiedrības vajadzībām atsavināmo nekustamo īpašumu" 30. punktā paredzētās tiesības veikt alternatīvu vērtējumu.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- 03.10.2024.)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Lūdzam anotācijā norādīt vai īpašnieks ir piekritis taisnīgās atlīdzības apmēram.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papildināta ar šādu informāciju: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Īpašnieks nav piekritis taisnīgās atlīdzības apmēram.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24-TA-2190</w:t>
    </w:r>
    <w:r>
      <w:br/>
    </w:r>
    <w:r w:rsidR="00000000" w:rsidRPr="00000000" w:rsidDel="00000000">
      <w:rPr>
        <w:rtl w:val="0"/>
      </w:rPr>
      <w:t xml:space="preserve">08.10.2024. 14.24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24-TA-2190</w:t>
    </w:r>
    <w:r>
      <w:br/>
    </w:r>
    <w:r w:rsidR="00000000" w:rsidRPr="00000000" w:rsidDel="00000000">
      <w:rPr>
        <w:rtl w:val="0"/>
      </w:rPr>
      <w:t xml:space="preserve">08.10.2024. 14.24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