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25-TA-2548: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2022. gada 14. jūlija noteikumos Nr. 459 "Noteikumi par atbalstu dzīvojamo īres māju būvniecībai Eiropas Savienības Atveseļošanas un noturības mehānisma plāna 3.1. reformu un investīciju virziena "Reģionālā politika" 3.1.1.4.i. investīcijas "Finansēšanas fonda izveide zemas īres mājokļu būvniecībai" un 3.1.1.7.i. investīcijas "Aizdevumi nekustamā īpašuma attīstītājiem zemas īres maksas mājokļu būvniecībai" ietvaros"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(09.09.2025.)</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19.12.2025. 12:45</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 gada 14. jūlija noteikumu Nr. 459 "Noteikumi par atbalstu dzīvojamo īres māju būvniecībai Eiropas Savienības Atveseļošanas un noturības mehānisma plāna 3.1. reformu un investīciju virziena "Reģionālā politika" 3.1.1.4.i. investīcijas "Finansēšanas fonda izveide zemas īres mājokļu būvniecībai" ietvaros" (turpmāk – Ministru kabineta noteikumi) sākotnējā anotācijā ir likts uzsvars par nevienlīdzības mazināšanu un Ministru kabineta noteikumos ir arī noteikti mājsaimniecību ienākumu griesti, pie kādiem iedzīvotāji var pretendēt uz īres dzīvokli. Tomēr “griesti” ir vienādi visiem reģioniem un cena līdz 5 euro/m² (cena katru gadu drīkst pieaugt) arī ir vienāda visiem reģioniem. Piemēram, ja vidēji plānots 52 m² liels dzīvoklis, tad šādam dzīvoklim īres cena mēnesī jebkurā reģionā ir 260 </w:t>
            </w:r>
            <w:r w:rsidR="00000000" w:rsidRPr="00000000" w:rsidDel="00000000">
              <w:rPr>
                <w:i w:val="1"/>
                <w:rtl w:val="0"/>
              </w:rPr>
              <w:t xml:space="preserve">euro</w:t>
            </w:r>
            <w:r w:rsidR="00000000" w:rsidRPr="00000000" w:rsidDel="00000000">
              <w:rPr>
                <w:rtl w:val="0"/>
              </w:rPr>
              <w:t xml:space="preserve"> un saistītie izdevumi (nekustamā īpašuma nodoklis, komunālie maksājumi, apsaimniekošanas izdevumi, u.t.t.). Lūdzam sniegt skaidrojumu, kādā veidā praksē tiek nodrošināts, ka labvēlīgāki nosacījumi paredzēti tieši attālākajiem reģioniem, ja Ministru kabineta noteikumos mājsaimniecību ienākumu griesti un maksimālā īres maksa ir noteikta vienādi visā valsts teritorijā. Tāpat lūdzam sniegt pamatojumu maksimālajai īres maksai līdz 5 euro/m², tostarp skaidrojot, kā šis apmērs atbilst dažādu reģionu iedzīvotāju maksātspējai un faktiskajām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Sniedzam papildus skaidrojumu: atbalsta programmas pamatnosacījumi un to atbilstība Eiropas Komisijas 2011. gada 20. decembra lēmumam Nr. 2012/21/ES par Līguma par Eiropas Savienības darbību 106. panta 2. punkta piemērošanu valsts atbalstam attiecībā uz kompensāciju par sabiedriskajiem pakalpojumiem dažiem uzņēmumiem, kuriem uzticēts sniegt pakalpojumus ar vispārēju tautsaimniecisku nozīmi, tai skaitā, mājsaimniecību atbilstības nosacījumi (ienākumu sliekšņi) un īres maksa (ikgadēja indeksācija), un pamatojums šādiem nosacījumiem tika saskaņoti pirms programmas uzsākšanas ar Eiropas Komisiju, un MK noteikumu saskaņošanas procesā ar ministrijām un citām pusēm 2021., 2022.gadā. Ar šo noteikumu projektu tiek paredzēts papildus finansējuma piešķīrums 3.1.1.7.i. investīcijai īres māju būvniecībai, citas izmaiņas, jo īpaši attiecībā uz programmas pamatnosacījumiem, netiek paredzētas (finansējums programmas ietvaros ir pieejams līdz š.g. 30.jūnijam). Priekšlikums nav saskaņā ar noteikumu projekta tvērumu, un, lai mazinātu administratīvo slogu, jautājums ir pārrunājams atsevišķi ārpus TAP portāla.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MK noteikumu anotācijā papildināt informāciju par CFLA sniegtajiem apliecinājumiem EM, ka 1.2.1.3.i. investīcijas “Pašvaldību ēku un infrastruktūras uzlabošana, veicinot pāreju uz atjaunojamo energoresursu tehnoloģiju izmantošanu un uzlabojot energoefektivitāti” (turpmāk – 1.2.1.3.i. investīcija) ietvaros nepabeigtajos projektos pieejamais un pārdalāmais ietaupījums Ministru kabineta noteikumu Nr.459 īstenošanai ir 253 362 EUR, ievērojot, ka anotācija nav papildināta atbilstoši iepriekš atzinumā sniegtajam iebildumam un iebildums ņemts vērā tikai daļēji.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VARAM pieejamajai informācijai uz 29.12.2025 1.2.1.3.i. investīcijas ietvaros noslēgto līgumu Eiropas Savienības Atveseļošanas fonda finansējuma summa atbilstoši KPVIS informācijai ir 25 593 705,10 EUR, attiecīgi pārdalei ir pieejami vismaz 253 362 EUR. Atbilstoši Ministru kabineta 2022. gada 8. novembra noteikumu Nr. 709 "Eiropas Savienības Atveseļošanas un noturības mehānisma plāna reformu un investīciju virziena 1.2. "Energoefektivitātes uzlabošana" 1.2.1.3.i. investīcijas "Pašvaldību ēku un infrastruktūras uzlabošana, veicinot pāreju uz atjaunojamo energoresursu tehnoloģiju izmantošanu un uzlabojot energoefektivitāti" īstenošanas noteikumi" 17.2., 17.3. un 17.4. apakšpunktam CFLA nodrošina projektu īstenošanas uzraudzību, t.sk. uzskaiti par nepabeigtajos projektos pieejamo ietaupījumu.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 noteikumu projekta iesniegšanas apstiprināšanai Ministru kabinetā lūdzam pārliecināties sadarbībā ar CFLA, ka līgumu grozījumos vai paziņojumos par līguma grozījumiem ir atbrīvots viss nepieciešamais (253 362 EUR)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norādot, ka uz 3.1.1.7.i. investīciju pārdalāmais finansējuma apmērs ir saskaņots ar CFLA un Finanšu ministriju.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pasts ar Finanšu ministrijas, CFLA un Ekonomikas ministrijas saraksti par pārdalāmo finansējumu un saskaņojums ir nosūtīts informācijai arī VARAM 2025.gada 23.decembrī.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3.sadaļu papildināt ar 2026.gadam un turpmāk ik gadu plānoto un papildu nepieciešamo finansējumu 3.1.1.4.i. investīcijas un 3.1.1.7.i. investīcijas īstenošanai, kā arī svītrot 6.punktā norādīto, ka Ekonomikas ministrija 2025.gadā pieprasīs nepieciešamo finansējumu 17 486 208 euro apmērā no budžeta resora "74. Gadskārtējā valsts budžeta izpildes procesā pārdalāmais finansējums" 80.00.00 programmas "Nesadalītais finansējums Eiropas Savienības politiku instrumentu un pārējās ārvalstu finanšu palīdzības līdzfinansēto projektu un pasākumu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44.1. ar pašvaldību noslēgtu pilnvarojuma līgumu, kas atbilstoši Eiropas Komisijas lēmuma 4. pantam ietver: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16.12.2025. Eiropas Komisija ir pieņēmusi jaunu komercdarbības atbalsta regulējumu -  Komisijas lēmumu par Līguma par Eiropas Savienības darbību 106. panta 2. punkta piemērošanu valsts atbalstam attiecībā uz kompensāciju par sabiedriskajiem pakalpojumiem dažiem uzņēmumiem, kuriem uzticēts sniegt pakalpojumus ar vispārēju tautsaimniecisku nozīmi, un ar ko atceļ Lēmumu 2012/21/ES, kas atbilstoši tā 11. pantam stājas spēkā divdesmitajā dienā pēc tā publicēšanas Eiropas Savienības Oficiālajā Vēstnesī, lūdzam izvērtēt grozījumu veikšanas nepieciešamību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 gada 16. decembrī Eiropas Komisija ir pieņēmusi jaunu komercdarbības atbalsta regulējumu -  Komisijas lēmumu Nr. (ES) 2025/2630 par Līguma par Eiropas Savienības darbību 106. panta 2. punkta piemērošanu valsts atbalstam attiecībā uz kompensāciju par sabiedriskajiem pakalpojumiem dažiem uzņēmumiem, kuriem uzticēts sniegt pakalpojumus ar vispārēju tautsaimniecisku nozīmi, un ar ko atceļ Lēmumu 2012/21/ES, kas stājās spēkā 2026. gada 8. janvārī, un saskaņā ar tā 9.pantā “Pārejas noteikumi” ir paredzēts 2 gadu pārejas periods. Ekonomikas ministrija izvērtēja un secināja, ka šobrīd grozījumi MK noteikumos Nr.459 nav nepieciešami, tai skaitā, ņemot vērā, ka aizdevumu līgumu noslēgšanas termiņš atbilstoši MK noteikumiem Nr.459 ir līdz 2026.gada 30.jūnijam.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turpmāk tiks veikti kādi grozījumi MK noteikumos Nr.459, kas paredzēs izmaiņas aizdevumu līgumu noslēgšanas termiņā (pēc 2 gadiem), tad Ekonomikas ministrija atkārtoti vērtēs, vai grozījumi MK noteikumos Nr.459 ir nepieciešami.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44.1. ar pašvaldību noslēgtu pilnvarojuma līgumu, kas atbilstoši Eiropas Komisijas lēmuma 4. pantam ietver:</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12.11.2025. 21:07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Atveseļošanas fonda finansējuma ietaupījums no 1.2.1.3.i. investīcijas  “Pašvaldību ēku un infrastruktūras uzlabošana, veicinot pāreju uz atjaunojamo energoresursu tehnoloģiju izmantošanu un uzlabojot energoefektivitāti” 415 997 euro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- 28.11.2025.)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Centrālās finanšu un līgumu aģentūras (CFLA) 2025. gada 25. novembrī sniegtajai aktuālajai informācijai par iespējamo pārdali no 1.2.1.3.i. investīcijas uz citām Atveseļošanas fonda investīcijām norādām, ka šobrīd 1.2.1.3.i. investīcijas ietvaros nepabeigtajos projektos pieejamais ietaupījums ir 253 362,17 euro, nevis 415 997 euro apmērā. Lūdzam Ekonomikas ministriju sadarbībā ar CFLA precizēt MK protokollēmuma 3.5. apakšpunktu attiecībā uz no investīcijas 1.2.1.3.i. pārdalāmo finansējumu, kā arī veikt atbilstošus precizējumus noteikumu projekta anotācijas attiecīgajās sadaļās. Vienlaikus informējam, ka 1.2.1.3.i. investīcijas ietvaros daļa projektu vēl ir īstenošanā, un pieejamais ietaupījums pārdalēm var mainīties.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anotācija un protokollēmuma projekts.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Atveseļošanas fonda finansējuma ietaupījums no 1.2.1.3.i. investīcijas  “Pašvaldību ēku un infrastruktūras uzlabošana, veicinot pāreju uz atjaunojamo energoresursu tehnoloģiju izmantošanu un uzlabojot energoefektivitāti” 253 362 euro apmērā;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ka attiecībā uz finansējuma atbrīvošanu no 3.1.1.4.i investīcijas "Finansēšanas fonda izveide zemas īres mājokļu būvniecībai" Ekonomikas ministrija var uzņemties projekta līgumsaistības atbalsta sniegšanai 3.1.1.7.i. investīcijas ietvaros tikai pēc līguma grozījumu veikšanas.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ir pārrunāts ar Finanšu ministriju. Ir veikti papildinājumi anotācijā.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Eiropas Savienības tiesību aktiem noformēt atbilstoši Ministru kabineta 2009. gada 3. februāra noteikumiem Nr. 108 "Normatīvo aktu projektu sagatavošanas noteikumi"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 Kā arī lūdzam ievērot juridiskās tehnikas prasības attiecībā uz to, ka nepieciešamības gadījumā saīsinājumu atrunā pirmajā vietā juridiskajā tekstā, kur lietots attiecīgā normatīvā akta nosaukums, piemēram, ievērojot šādu formu: "Komisijas 2003. gada 6. oktobra Direktīva 2003/90/EK, ar ko nosaka īstenošanas pasākumus Padomes Direktīvas 2002/53/EK 7. pantā attiecībā uz obligāti pārbaudāmajām pazīmēm un obligātajiem konkrētu lauksaimniecības augu sugu pārbaudes nosacījumiem (turpmāk - Direktīva Nr. 2003/90)". Minēto lūdzam ievērot arī lēmuma projektā, piemēram, tā 5.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nodrošināt, ka skaidrojumi ir precīzi un korekti atspoguļo projekta saistību ar Eiropas Savienības tiesību aktiem, piemēram, norādot "</w:t>
            </w:r>
            <w:r w:rsidR="00000000" w:rsidRPr="00000000" w:rsidDel="00000000">
              <w:rPr>
                <w:i w:val="1"/>
                <w:rtl w:val="0"/>
              </w:rPr>
              <w:t xml:space="preserve">Atbilstoši grozījumi veikti un ir saskaņošanā ar Eiropas Komisiju 2025.gada 18.februārī pieņemtajā Padomes īstenošanas lēmumā </w:t>
            </w:r>
            <w:r w:rsidR="00000000" w:rsidRPr="00000000" w:rsidDel="00000000">
              <w:rPr>
                <w:rtl w:val="0"/>
              </w:rPr>
              <w:t xml:space="preserve">[..]", iespējams domāts, ka konkrētajā lēmumā ir veikti atbilstoši grozījumi, kas atrodas saskaņošanā.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1.punkts paredz palielināt kopējo Atveseļošanas un noturības mehānisma (turpmāk – Atveseļošanas fonds) finansējumu par 17 540 105 euro, attiecīgi lūdzam anotācijas 3.sadaļas 3.ailē “</w:t>
            </w:r>
            <w:r w:rsidR="00000000" w:rsidRPr="00000000" w:rsidDel="00000000">
              <w:rPr>
                <w:i w:val="1"/>
                <w:rtl w:val="0"/>
              </w:rPr>
              <w:t xml:space="preserve">izmaiņas kārtējā gadā, salīdzinot ar valsts budžetu kārtējam gadam</w:t>
            </w:r>
            <w:r w:rsidR="00000000" w:rsidRPr="00000000" w:rsidDel="00000000">
              <w:rPr>
                <w:rtl w:val="0"/>
              </w:rPr>
              <w:t xml:space="preserve">” precizēt norādīto izmaiņu apmēru, kā arī 6.punktā iekļaut informāciju, kas pamato finansējuma palielinājumu minētajā apmērā. Vienlaikus sadaļas attiecīgajās ailēs lūdzam atspoguļojot likumā “Par valsts budžetu 2025. gadam un budžeta ietvaru 2025., 2026. un 2027. gadam” paredzēto finansējumu 3.1.1.4.i. investīcijas un 3.1.1.7.i. investīcijas īstenošanai, kā arī punktā “Cita informācija” norādīt ministriju un budžeta programmu, kurā finansējums ir ieplānots.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 atbilstoši aktualizētajiem ietaupījuma apmēriem (tai skaitā, ņemot vērā VARAM iebildumu).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projekta izpildes nodrošināšanu un ietekmi uz institūcijām. Proti, vai tādas tiešām nav, ja, piemēram, no Ministru kabineta protokollēmuma projekta izriet projekta saistība un ietekme, piemēram uz Ekonomikas ministriju un akciju sabiedrību "Attīstības finanšu institūcija Altum". Nepieciešamības gadījumā lūdzam veikt vajadzīgos precizējumus anotācijas 7. sadaļā.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papildus finansējums tiek piešķirts īstenošanā esošās 3.1.1.7.i. investīcijas, kuras īstenošanu jau nodrošina Altum,  ietvaros vērtēšanā esošo projektu finansēšanai. Tas nerada papildus administratīvos izdevumus, neietekmē institūciju darbību un funkcijas.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Ekonomikas ministrijai uzņemties projekta līgumsaistības atbalsta sniegšanai 3.1.1.7.i. investīcijas "Aizdevumi nekustamā īpašuma attīstītājiem zemas īres maksas mājokļu būvniecībai" (turpmāk – 3.1.1.7.i. investīcija) ietvaros par Atveseļošanas fonda finansējuma ietaupījumu</w:t>
            </w:r>
            <w:r w:rsidR="00000000" w:rsidRPr="00000000" w:rsidDel="00000000">
              <w:rPr>
                <w:b w:val="1"/>
                <w:u w:val="single"/>
                <w:rtl w:val="0"/>
              </w:rPr>
              <w:t xml:space="preserve"> </w:t>
            </w:r>
            <w:r w:rsidR="00000000" w:rsidRPr="00000000" w:rsidDel="00000000">
              <w:rPr>
                <w:rtl w:val="0"/>
              </w:rPr>
              <w:t xml:space="preserve">9 245 771 euro apmērā, ko veido: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lēmuma projekta uzdevumus formulēt precīzi norādot uz to, vai kaut kas tiek atļauts, uzdots u.tml. Piemēram, "Atļaut Ekonomikas ministrijai uzņemties projekta līgumsaistības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protokollēmuma projekts.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Atļaut Ekonomikas ministrijai uzņemties projekta līgumsaistības atbalsta sniegšanai 3.1.1.7.i. investīcijas "Aizdevumi nekustamā īpašuma attīstītājiem zemas īres maksas mājokļu būvniecībai" ietvaros par Atveseļošanas fonda finansējuma ietaupījumu 9 191 874 euro apmērā, ko veido: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Atveseļošanas fonda finansējuma ietaupījums no 1.2.1.2.i. investīcijas “Energoefektivitātes paaugstināšana uzņēmējdarbībā (ietverot pāreju uz atjaunojamo energoresursu tehnoloģiju izmantošanu siltumapgādē un pētniecības un attīstības aktivitātes (t. sk. bioekonomikā))” (1. pasākuma) 6 811 812 euro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informācijas izsekojamību, lūdzam precizēt Ministru kabineta sēdes protokollēmuma projekta 3.9.apakšpunktu, kā faktisko avotu ietaupījumam 6 811 812 euro apmērā norādot Atveseļošanas fonda 7.1.1.2.i investīciju"Elektroenerģijas pārvades un sadales tīklu modernizācija", ņemot vērā, ka ar 1.2.1.2.i investīcijas finansējums ar apstiprinātajiem Atveseļošanas fonda plāna grozījumiem jau ticis pārdalīts. Lūdzam atbilstoši precizēt arī informāciju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precizēta noteikumu projekta anotācija un protokollēmuma projekts, tai skaitā saskaņā ar Klimata un enerģētikas ministrijas sniegto informāciju, ka AF ietaupījums tiek pārdalīts no 7.1.1.1.i investīcijas "Elektroenerģijas pārvades sistēmas sinhronizācija" –  3 348 512 euro un no 7.1.1.2.i investīcijas "Elektroenerģijas pārvades un sadales tīklu modernizācija" - 3 463 300 euro.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Atveseļošanas fonda finansējuma ietaupījums no 7.1.1.1.i investīcijas "Elektroenerģijas pārvades sistēmas sinhronizācija" 3 348 512 euro apmērā;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Ekonomikas ministrija un akciju sabiedrība "Attīstības finanšu institūcija Altum" uzņemas saistības līgumu ietvaros, tai skaitā ar gala saņēmējiem, pirms Eiropas Padomes lēmuma par grozījumu priekšlikumiem Eiropas Savienības Atveseļošanas un noturības mehānisma plānā pieņemšanas.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ka atbilstoši juridiskās tehnikas prasībām saīsinājumus piesaka pirmajā vietā juridiskajā tekstā, kur lietots attiecīgais saīsināmais jēdziens vai termins. Tālāk dokumenta tekstā konsekventi lietojami pieteiktie saīsinājumi. Minētais attiecas, piemēram, uz norādi, ka Ekonomikas ministrija un akciju sabiedrība "Attīstības finanšu institūcija Altum" uzņemas saistības </w:t>
            </w:r>
            <w:r w:rsidR="00000000" w:rsidRPr="00000000" w:rsidDel="00000000">
              <w:rPr>
                <w:u w:val="single"/>
                <w:rtl w:val="0"/>
              </w:rPr>
              <w:t xml:space="preserve">līgumu ietvaros</w:t>
            </w:r>
            <w:r w:rsidR="00000000" w:rsidRPr="00000000" w:rsidDel="00000000">
              <w:rPr>
                <w:rtl w:val="0"/>
              </w:rPr>
              <w:t xml:space="preserve">, izvērstāk neidentificējot, kādi līgumi ar to saprotami. Tāpat lūdzam pamatot nepieciešamību uzņemties saistības līgumu ietvaros pirms Eiropas Padomes lēmuma par grozījumu priekšlikumiem Eiropas Savienības Atveseļošanas un noturības mehānisma plānā pieņemšanas.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protokollēmuma projekts, anotācija, tai skaitā ņemot vērā, ka Eiropas Komisija ir apstiprinājusi grozījumus Atveseļošanas un noturības mehānisma plānā. Atsevišķi protokollēmuma punkti dzēsti, jo nav aktuāli.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Pieņemt zināšanai, ka saistībā ar šā protokollēmuma 3. punktā noteiktajām izmaiņām Atveseļošanas fonda finansējumā, Ekonomikas ministrija, Finanšu ministrija, Labklājības ministrija, Satiksmes ministrija un Viedās administrācijas un attīstības ministrija veiks grozījumus Ministru kabineta noteikumos un gatavos papildinošus informatīvos ziņojumus, ar ko nosaka 3.1., 3.2., 3.3., 3.4., 3.5., 3.6., 3.7., 3.8. un 3.9. apakšpunktā minētās investīcijas īstenošanas kārtību, kopā ar citiem būtiskiem grozījumiem investīciju īstenošanas nosacījumos.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aizpildīt anotācijas 4. sadaļu, ievērojot "Vadlīnijas tiesību akta projekta sākotnējās ietekmes novērtēšanai un novērtējuma ziņojuma sagatavošanai Vienotajā tiesību aktu izstrādes un saskaņošanas portālā". Proti, atspoguļot projekta ietekmi uz spēkā esošo tiesību normu sistēmu. Vēršam uzmanību, ka no lēmuma projekta izriet nepieciešamība veikt grozījumus Ministru kabineta noteikumos, tajā skaitā par būtiskiem grozījumiem investīciju īstenošanas nosacījumos.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Papildināta anotācijas 4.sadaļa.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Pieņemt zināšanai, ka saistībā ar šā protokollēmuma 3. punktā noteiktajām izmaiņām Atveseļošanas fonda finansējumā, Ekonomikas ministrija, Finanšu ministrija, Labklājības ministrija, Satiksmes ministrija, Klimata un enerģētikas ministrija un Viedās administrācijas un attīstības ministrija veiks grozījumus Ministru kabineta noteikumos un gatavos papildinošus informatīvos ziņojumus, ar ko nosaka 3.1., 3.2., 3.3., 3.4., 3.5., 3.6., 3.7., 3.8., 3.9. un 3.10. apakšpunktā minētās investīcijas īstenošanas kārtību, kopā ar citiem būtiskiem grozījumiem investīciju īstenošanas nosacījumos.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Atbalsts tiek sniegts un finansēts 3.1.1.4.i. investīcijas un 3.1.1.7.i. investīcijas ietvaros, un kopējais pieejamais Atveseļošanas fonda finansējums ir 101 932 968 </w:t>
            </w:r>
            <w:r w:rsidR="00000000" w:rsidRPr="00000000" w:rsidDel="00000000">
              <w:rPr>
                <w:i w:val="1"/>
                <w:rtl w:val="0"/>
              </w:rPr>
              <w:t xml:space="preserve">euro</w:t>
            </w:r>
            <w:r w:rsidR="00000000" w:rsidRPr="00000000" w:rsidDel="00000000">
              <w:rPr>
                <w:rtl w:val="0"/>
              </w:rPr>
              <w:t xml:space="preserve">, kuru veido 3.1.1.4.i. investīcijas finansējums 41 947 591 </w:t>
            </w:r>
            <w:r w:rsidR="00000000" w:rsidRPr="00000000" w:rsidDel="00000000">
              <w:rPr>
                <w:i w:val="1"/>
                <w:rtl w:val="0"/>
              </w:rPr>
              <w:t xml:space="preserve">euro </w:t>
            </w:r>
            <w:r w:rsidR="00000000" w:rsidRPr="00000000" w:rsidDel="00000000">
              <w:rPr>
                <w:rtl w:val="0"/>
              </w:rPr>
              <w:t xml:space="preserve">apmērā, 3.1.1.7.i. investīcijas finansējums 38 267 662 </w:t>
            </w:r>
            <w:r w:rsidR="00000000" w:rsidRPr="00000000" w:rsidDel="00000000">
              <w:rPr>
                <w:i w:val="1"/>
                <w:rtl w:val="0"/>
              </w:rPr>
              <w:t xml:space="preserve">euro</w:t>
            </w:r>
            <w:r w:rsidR="00000000" w:rsidRPr="00000000" w:rsidDel="00000000">
              <w:rPr>
                <w:rtl w:val="0"/>
              </w:rPr>
              <w:t xml:space="preserve"> apmērā un</w:t>
            </w:r>
            <w:r w:rsidR="00000000" w:rsidRPr="00000000" w:rsidDel="00000000">
              <w:rPr>
                <w:i w:val="1"/>
                <w:rtl w:val="0"/>
              </w:rPr>
              <w:t xml:space="preserve"> </w:t>
            </w:r>
            <w:r w:rsidR="00000000" w:rsidRPr="00000000" w:rsidDel="00000000">
              <w:rPr>
                <w:rtl w:val="0"/>
              </w:rPr>
              <w:t xml:space="preserve">3.1.1.7.i. investīcijas papildu finansējums no Atveseļošanas fonda finansējuma ietaupījuma 21 717 715 </w:t>
            </w:r>
            <w:r w:rsidR="00000000" w:rsidRPr="00000000" w:rsidDel="00000000">
              <w:rPr>
                <w:i w:val="1"/>
                <w:rtl w:val="0"/>
              </w:rPr>
              <w:t xml:space="preserve">euro</w:t>
            </w:r>
            <w:r w:rsidR="00000000" w:rsidRPr="00000000" w:rsidDel="00000000">
              <w:rPr>
                <w:rtl w:val="0"/>
              </w:rPr>
              <w:t xml:space="preserve">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4.punktā ietverto 3.1.1.7.i. investīcijai pieejamā papildu finansējuma no Atveseļošanas fonda finansējuma ietaupījuma apjomu, ņemot vērā, ka atbilstoši aktuālajiem Centrālās finanšu un līgumu aģentūras rīcībā esošajiem projektu datiem Atveseļošanas fonda finanšu ietaupījums Atveseļošanas fonda 1.2.1.3.i. investīcijā  “Pašvaldību ēku un infrastruktūras uzlabošana, veicinot pāreju uz atjaunojamo energoresursu tehnoloģiju izmantošanu un uzlabojot energoefektivitāti” ir 253 362 euro, nevis 415 997 euro apmērā. Lūdzam atbilstoši precizēt gan papildu finansējuma apjomu noteikumu projektā, gan Ministru kabineta sēdes protokollēmuma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anotācija un protokollēmuma projekts.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Atbalsts tiek sniegts un finansēts 3.1.1.4.i. investīcijas un 3.1.1.7.i. investīcijas ietvaros, un kopējais pieejamais Atveseļošanas fonda finansējums ir 101 879 071 </w:t>
            </w:r>
            <w:r w:rsidR="00000000" w:rsidRPr="00000000" w:rsidDel="00000000">
              <w:rPr>
                <w:i w:val="1"/>
                <w:rtl w:val="0"/>
              </w:rPr>
              <w:t xml:space="preserve">euro</w:t>
            </w:r>
            <w:r w:rsidR="00000000" w:rsidRPr="00000000" w:rsidDel="00000000">
              <w:rPr>
                <w:rtl w:val="0"/>
              </w:rPr>
              <w:t xml:space="preserve">, kuru veido 3.1.1.4.i. investīcijas finansējums 41 947 591 </w:t>
            </w:r>
            <w:r w:rsidR="00000000" w:rsidRPr="00000000" w:rsidDel="00000000">
              <w:rPr>
                <w:i w:val="1"/>
                <w:rtl w:val="0"/>
              </w:rPr>
              <w:t xml:space="preserve">euro </w:t>
            </w:r>
            <w:r w:rsidR="00000000" w:rsidRPr="00000000" w:rsidDel="00000000">
              <w:rPr>
                <w:rtl w:val="0"/>
              </w:rPr>
              <w:t xml:space="preserve">apmērā, 3.1.1.7.i. investīcijas finansējums 38 267 662 </w:t>
            </w:r>
            <w:r w:rsidR="00000000" w:rsidRPr="00000000" w:rsidDel="00000000">
              <w:rPr>
                <w:i w:val="1"/>
                <w:rtl w:val="0"/>
              </w:rPr>
              <w:t xml:space="preserve">euro</w:t>
            </w:r>
            <w:r w:rsidR="00000000" w:rsidRPr="00000000" w:rsidDel="00000000">
              <w:rPr>
                <w:rtl w:val="0"/>
              </w:rPr>
              <w:t xml:space="preserve"> apmērā un</w:t>
            </w:r>
            <w:r w:rsidR="00000000" w:rsidRPr="00000000" w:rsidDel="00000000">
              <w:rPr>
                <w:i w:val="1"/>
                <w:rtl w:val="0"/>
              </w:rPr>
              <w:t xml:space="preserve"> </w:t>
            </w:r>
            <w:r w:rsidR="00000000" w:rsidRPr="00000000" w:rsidDel="00000000">
              <w:rPr>
                <w:rtl w:val="0"/>
              </w:rPr>
              <w:t xml:space="preserve">3.1.1.7.i. investīcijas papildu finansējums no Atveseļošanas fonda finansējuma ietaupījuma 21 663 818 </w:t>
            </w:r>
            <w:r w:rsidR="00000000" w:rsidRPr="00000000" w:rsidDel="00000000">
              <w:rPr>
                <w:i w:val="1"/>
                <w:rtl w:val="0"/>
              </w:rPr>
              <w:t xml:space="preserve">euro</w:t>
            </w:r>
            <w:r w:rsidR="00000000" w:rsidRPr="00000000" w:rsidDel="00000000">
              <w:rPr>
                <w:rtl w:val="0"/>
              </w:rPr>
              <w:t xml:space="preserve"> apmērā.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25-TA-2548</w:t>
    </w:r>
    <w:r>
      <w:br/>
    </w:r>
    <w:r w:rsidR="00000000" w:rsidRPr="00000000" w:rsidDel="00000000">
      <w:rPr>
        <w:rtl w:val="0"/>
      </w:rPr>
      <w:t xml:space="preserve">02.02.2026. 19.47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25-TA-2548</w:t>
    </w:r>
    <w:r>
      <w:br/>
    </w:r>
    <w:r w:rsidR="00000000" w:rsidRPr="00000000" w:rsidDel="00000000">
      <w:rPr>
        <w:rtl w:val="0"/>
      </w:rPr>
      <w:t xml:space="preserve">02.02.2026. 19.47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Izziņa_25-TA-2548.docx</dc:title>
</cp:coreProperties>
</file>

<file path=docProps/custom.xml><?xml version="1.0" encoding="utf-8"?>
<Properties xmlns="http://schemas.openxmlformats.org/officeDocument/2006/custom-properties" xmlns:vt="http://schemas.openxmlformats.org/officeDocument/2006/docPropsVTypes"/>
</file>