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7EFD" w14:textId="77777777" w:rsidR="00F64DE4" w:rsidRPr="00942863" w:rsidRDefault="00196278" w:rsidP="00522905">
      <w:pPr>
        <w:pStyle w:val="naisnod"/>
        <w:spacing w:before="0" w:after="0"/>
        <w:rPr>
          <w:sz w:val="22"/>
          <w:szCs w:val="22"/>
        </w:rPr>
      </w:pPr>
      <w:r w:rsidRPr="00942863">
        <w:rPr>
          <w:sz w:val="22"/>
          <w:szCs w:val="22"/>
        </w:rPr>
        <w:t>Izziņa par atzinumos sniegtajiem iebildumiem</w:t>
      </w:r>
      <w:r w:rsidR="008C673C" w:rsidRPr="00942863">
        <w:rPr>
          <w:sz w:val="22"/>
          <w:szCs w:val="22"/>
        </w:rPr>
        <w:t xml:space="preserve"> par Ministru kabineta noteikumu projektu</w:t>
      </w:r>
    </w:p>
    <w:p w14:paraId="7F1A8759" w14:textId="6C38CCA9" w:rsidR="00991C1B" w:rsidRPr="00942863" w:rsidRDefault="00E72363" w:rsidP="00522905">
      <w:pPr>
        <w:pStyle w:val="Default"/>
        <w:jc w:val="center"/>
        <w:rPr>
          <w:b/>
          <w:bCs/>
          <w:sz w:val="22"/>
          <w:szCs w:val="22"/>
        </w:rPr>
      </w:pPr>
      <w:r w:rsidRPr="00942863">
        <w:rPr>
          <w:b/>
          <w:bCs/>
          <w:color w:val="auto"/>
          <w:sz w:val="22"/>
          <w:szCs w:val="22"/>
        </w:rPr>
        <w:t xml:space="preserve">„Grozījumi Ministru kabineta </w:t>
      </w:r>
      <w:proofErr w:type="gramStart"/>
      <w:r w:rsidRPr="00942863">
        <w:rPr>
          <w:b/>
          <w:bCs/>
          <w:color w:val="auto"/>
          <w:sz w:val="22"/>
          <w:szCs w:val="22"/>
        </w:rPr>
        <w:t>2017.gada</w:t>
      </w:r>
      <w:proofErr w:type="gramEnd"/>
      <w:r w:rsidRPr="00942863">
        <w:rPr>
          <w:b/>
          <w:bCs/>
          <w:color w:val="auto"/>
          <w:sz w:val="22"/>
          <w:szCs w:val="22"/>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14:paraId="37C76090" w14:textId="77777777" w:rsidR="00032061" w:rsidRPr="00942863" w:rsidRDefault="00032061" w:rsidP="00522905">
      <w:pPr>
        <w:jc w:val="center"/>
        <w:rPr>
          <w:b/>
          <w:bCs/>
          <w:sz w:val="22"/>
          <w:szCs w:val="22"/>
        </w:rPr>
      </w:pPr>
    </w:p>
    <w:p w14:paraId="76D03845" w14:textId="7C951929" w:rsidR="001229CC" w:rsidRDefault="00F64DE4" w:rsidP="00522905">
      <w:pPr>
        <w:numPr>
          <w:ilvl w:val="0"/>
          <w:numId w:val="1"/>
        </w:numPr>
        <w:ind w:left="567" w:hanging="207"/>
        <w:jc w:val="center"/>
        <w:rPr>
          <w:b/>
          <w:bCs/>
          <w:sz w:val="22"/>
          <w:szCs w:val="22"/>
        </w:rPr>
      </w:pPr>
      <w:r w:rsidRPr="00942863">
        <w:rPr>
          <w:b/>
          <w:bCs/>
          <w:sz w:val="22"/>
          <w:szCs w:val="22"/>
        </w:rPr>
        <w:t>Jautājumi, par kuriem saskaņošanā vienošanās nav panākta</w:t>
      </w:r>
    </w:p>
    <w:p w14:paraId="7EF331B4" w14:textId="77777777" w:rsidR="001C3CFC" w:rsidRPr="00942863" w:rsidRDefault="001C3CFC" w:rsidP="001C3CFC">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8"/>
        <w:gridCol w:w="2375"/>
        <w:gridCol w:w="3120"/>
        <w:gridCol w:w="2971"/>
        <w:gridCol w:w="2412"/>
        <w:gridCol w:w="2468"/>
      </w:tblGrid>
      <w:tr w:rsidR="00F64DE4" w:rsidRPr="00942863" w14:paraId="268FE7E0" w14:textId="77777777"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14:paraId="2D0BA59B" w14:textId="77777777" w:rsidR="00C01E51" w:rsidRPr="00942863" w:rsidRDefault="00F64DE4" w:rsidP="00522905">
            <w:pPr>
              <w:pStyle w:val="naisc"/>
              <w:spacing w:before="0" w:after="0"/>
              <w:rPr>
                <w:sz w:val="22"/>
                <w:szCs w:val="22"/>
                <w:lang w:eastAsia="en-US"/>
              </w:rPr>
            </w:pPr>
            <w:r w:rsidRPr="00942863">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14:paraId="32DCEC93" w14:textId="77777777" w:rsidR="00C01E51" w:rsidRPr="00942863" w:rsidRDefault="00F64DE4" w:rsidP="00522905">
            <w:pPr>
              <w:pStyle w:val="naisc"/>
              <w:spacing w:before="0" w:after="0"/>
              <w:ind w:firstLine="12"/>
              <w:rPr>
                <w:sz w:val="22"/>
                <w:szCs w:val="22"/>
                <w:lang w:eastAsia="en-US"/>
              </w:rPr>
            </w:pPr>
            <w:r w:rsidRPr="00942863">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14:paraId="606C7EE5" w14:textId="77777777" w:rsidR="00C01E51" w:rsidRPr="00942863" w:rsidRDefault="00F64DE4" w:rsidP="00522905">
            <w:pPr>
              <w:pStyle w:val="naisc"/>
              <w:spacing w:before="0" w:after="0"/>
              <w:ind w:right="3"/>
              <w:rPr>
                <w:sz w:val="22"/>
                <w:szCs w:val="22"/>
                <w:lang w:eastAsia="en-US"/>
              </w:rPr>
            </w:pPr>
            <w:r w:rsidRPr="00942863">
              <w:rPr>
                <w:sz w:val="22"/>
                <w:szCs w:val="22"/>
                <w:lang w:eastAsia="en-US"/>
              </w:rPr>
              <w:t>Atzinumā norādītais ministrijas (citas institūcijas) iebildums, kā arī saskaņošanā papildus izte</w:t>
            </w:r>
            <w:r w:rsidR="00C444D7" w:rsidRPr="00942863">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14:paraId="3D4CF993" w14:textId="77777777" w:rsidR="00C01E51" w:rsidRPr="00942863" w:rsidRDefault="00F64DE4" w:rsidP="00522905">
            <w:pPr>
              <w:pStyle w:val="naisc"/>
              <w:spacing w:before="0" w:after="0"/>
              <w:ind w:firstLine="21"/>
              <w:rPr>
                <w:sz w:val="22"/>
                <w:szCs w:val="22"/>
                <w:lang w:eastAsia="en-US"/>
              </w:rPr>
            </w:pPr>
            <w:r w:rsidRPr="00942863">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14:paraId="4D0F42D6" w14:textId="77777777" w:rsidR="00C01E51" w:rsidRPr="00942863" w:rsidRDefault="00F64DE4" w:rsidP="00522905">
            <w:pPr>
              <w:jc w:val="center"/>
              <w:rPr>
                <w:sz w:val="22"/>
                <w:szCs w:val="22"/>
                <w:lang w:eastAsia="en-US"/>
              </w:rPr>
            </w:pPr>
            <w:r w:rsidRPr="00942863">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14:paraId="5D83DBB0" w14:textId="77777777" w:rsidR="00C01E51" w:rsidRPr="00942863" w:rsidRDefault="00F64DE4" w:rsidP="00522905">
            <w:pPr>
              <w:jc w:val="center"/>
              <w:rPr>
                <w:sz w:val="22"/>
                <w:szCs w:val="22"/>
                <w:lang w:eastAsia="en-US"/>
              </w:rPr>
            </w:pPr>
            <w:r w:rsidRPr="00942863">
              <w:rPr>
                <w:sz w:val="22"/>
                <w:szCs w:val="22"/>
                <w:lang w:eastAsia="en-US"/>
              </w:rPr>
              <w:t>Projekta attiecīgā punkta (panta) galīgā redakcija</w:t>
            </w:r>
          </w:p>
        </w:tc>
      </w:tr>
      <w:tr w:rsidR="00F64DE4" w:rsidRPr="00942863" w14:paraId="539A61D1" w14:textId="77777777" w:rsidTr="00032061">
        <w:tc>
          <w:tcPr>
            <w:tcW w:w="252" w:type="pct"/>
            <w:tcBorders>
              <w:top w:val="single" w:sz="6" w:space="0" w:color="000000"/>
              <w:left w:val="single" w:sz="6" w:space="0" w:color="000000"/>
              <w:bottom w:val="single" w:sz="6" w:space="0" w:color="000000"/>
              <w:right w:val="single" w:sz="6" w:space="0" w:color="000000"/>
            </w:tcBorders>
            <w:hideMark/>
          </w:tcPr>
          <w:p w14:paraId="79BF364B" w14:textId="77777777" w:rsidR="00C01E51" w:rsidRPr="00942863" w:rsidRDefault="00F64DE4" w:rsidP="00522905">
            <w:pPr>
              <w:pStyle w:val="naisc"/>
              <w:spacing w:before="0" w:after="0"/>
              <w:rPr>
                <w:sz w:val="22"/>
                <w:szCs w:val="22"/>
                <w:lang w:eastAsia="en-US"/>
              </w:rPr>
            </w:pPr>
            <w:r w:rsidRPr="00942863">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14:paraId="3792C4BF" w14:textId="77777777" w:rsidR="00C01E51" w:rsidRPr="00942863" w:rsidRDefault="00F64DE4" w:rsidP="00522905">
            <w:pPr>
              <w:pStyle w:val="naisc"/>
              <w:spacing w:before="0" w:after="0"/>
              <w:ind w:hanging="11"/>
              <w:rPr>
                <w:sz w:val="22"/>
                <w:szCs w:val="22"/>
                <w:lang w:eastAsia="en-US"/>
              </w:rPr>
            </w:pPr>
            <w:r w:rsidRPr="00942863">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14:paraId="1492A3A3" w14:textId="77777777" w:rsidR="00C01E51" w:rsidRPr="00942863" w:rsidRDefault="00F64DE4" w:rsidP="00522905">
            <w:pPr>
              <w:pStyle w:val="naisc"/>
              <w:spacing w:before="0" w:after="0"/>
              <w:rPr>
                <w:sz w:val="22"/>
                <w:szCs w:val="22"/>
                <w:lang w:eastAsia="en-US"/>
              </w:rPr>
            </w:pPr>
            <w:r w:rsidRPr="00942863">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14:paraId="589C6C4B" w14:textId="77777777" w:rsidR="00C01E51" w:rsidRPr="00942863" w:rsidRDefault="00F64DE4" w:rsidP="00522905">
            <w:pPr>
              <w:pStyle w:val="naisc"/>
              <w:spacing w:before="0" w:after="0"/>
              <w:rPr>
                <w:sz w:val="22"/>
                <w:szCs w:val="22"/>
                <w:lang w:eastAsia="en-US"/>
              </w:rPr>
            </w:pPr>
            <w:r w:rsidRPr="00942863">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14:paraId="03F36F69" w14:textId="77777777" w:rsidR="00C01E51" w:rsidRPr="00942863" w:rsidRDefault="00F64DE4" w:rsidP="00522905">
            <w:pPr>
              <w:jc w:val="center"/>
              <w:rPr>
                <w:sz w:val="22"/>
                <w:szCs w:val="22"/>
                <w:lang w:eastAsia="en-US"/>
              </w:rPr>
            </w:pPr>
            <w:r w:rsidRPr="00942863">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14:paraId="2D05D3C8" w14:textId="77777777" w:rsidR="00C01E51" w:rsidRPr="00942863" w:rsidRDefault="00F64DE4" w:rsidP="00522905">
            <w:pPr>
              <w:jc w:val="center"/>
              <w:rPr>
                <w:sz w:val="22"/>
                <w:szCs w:val="22"/>
                <w:lang w:eastAsia="en-US"/>
              </w:rPr>
            </w:pPr>
            <w:r w:rsidRPr="00942863">
              <w:rPr>
                <w:sz w:val="22"/>
                <w:szCs w:val="22"/>
                <w:lang w:eastAsia="en-US"/>
              </w:rPr>
              <w:t>6</w:t>
            </w:r>
          </w:p>
        </w:tc>
      </w:tr>
      <w:tr w:rsidR="00222E72" w:rsidRPr="00942863" w14:paraId="5040E21F" w14:textId="77777777" w:rsidTr="00032061">
        <w:tc>
          <w:tcPr>
            <w:tcW w:w="252" w:type="pct"/>
            <w:tcBorders>
              <w:top w:val="single" w:sz="6" w:space="0" w:color="000000"/>
              <w:left w:val="single" w:sz="6" w:space="0" w:color="000000"/>
              <w:bottom w:val="single" w:sz="6" w:space="0" w:color="000000"/>
              <w:right w:val="single" w:sz="6" w:space="0" w:color="000000"/>
            </w:tcBorders>
          </w:tcPr>
          <w:p w14:paraId="64A777AC" w14:textId="77777777" w:rsidR="00222E72" w:rsidRPr="00942863" w:rsidRDefault="00222E72" w:rsidP="00522905">
            <w:pPr>
              <w:pStyle w:val="naisc"/>
              <w:spacing w:before="0" w:after="0"/>
              <w:rPr>
                <w:sz w:val="22"/>
                <w:szCs w:val="22"/>
                <w:lang w:eastAsia="en-US"/>
              </w:rPr>
            </w:pPr>
          </w:p>
        </w:tc>
        <w:tc>
          <w:tcPr>
            <w:tcW w:w="845" w:type="pct"/>
            <w:tcBorders>
              <w:top w:val="single" w:sz="6" w:space="0" w:color="000000"/>
              <w:left w:val="single" w:sz="6" w:space="0" w:color="000000"/>
              <w:bottom w:val="single" w:sz="6" w:space="0" w:color="000000"/>
              <w:right w:val="single" w:sz="6" w:space="0" w:color="000000"/>
            </w:tcBorders>
          </w:tcPr>
          <w:p w14:paraId="07A6FF25" w14:textId="77777777" w:rsidR="00222E72" w:rsidRPr="00942863" w:rsidRDefault="00222E72" w:rsidP="00522905">
            <w:pPr>
              <w:pStyle w:val="naisc"/>
              <w:spacing w:before="0" w:after="0"/>
              <w:ind w:hanging="11"/>
              <w:rPr>
                <w:sz w:val="22"/>
                <w:szCs w:val="22"/>
                <w:lang w:eastAsia="en-US"/>
              </w:rPr>
            </w:pPr>
          </w:p>
        </w:tc>
        <w:tc>
          <w:tcPr>
            <w:tcW w:w="1110" w:type="pct"/>
            <w:tcBorders>
              <w:top w:val="single" w:sz="6" w:space="0" w:color="000000"/>
              <w:left w:val="single" w:sz="6" w:space="0" w:color="000000"/>
              <w:bottom w:val="single" w:sz="6" w:space="0" w:color="000000"/>
              <w:right w:val="single" w:sz="6" w:space="0" w:color="000000"/>
            </w:tcBorders>
          </w:tcPr>
          <w:p w14:paraId="2C96D302" w14:textId="77777777" w:rsidR="00222E72" w:rsidRPr="00942863" w:rsidRDefault="00222E72" w:rsidP="00522905">
            <w:pPr>
              <w:pStyle w:val="naisc"/>
              <w:spacing w:before="0" w:after="0"/>
              <w:rPr>
                <w:sz w:val="22"/>
                <w:szCs w:val="22"/>
                <w:lang w:eastAsia="en-US"/>
              </w:rPr>
            </w:pPr>
          </w:p>
        </w:tc>
        <w:tc>
          <w:tcPr>
            <w:tcW w:w="1057" w:type="pct"/>
            <w:tcBorders>
              <w:top w:val="single" w:sz="6" w:space="0" w:color="000000"/>
              <w:left w:val="single" w:sz="6" w:space="0" w:color="000000"/>
              <w:bottom w:val="single" w:sz="6" w:space="0" w:color="000000"/>
              <w:right w:val="single" w:sz="6" w:space="0" w:color="000000"/>
            </w:tcBorders>
          </w:tcPr>
          <w:p w14:paraId="3129BFC8" w14:textId="77777777" w:rsidR="00222E72" w:rsidRPr="00942863" w:rsidRDefault="00222E72" w:rsidP="00522905">
            <w:pPr>
              <w:pStyle w:val="naisc"/>
              <w:spacing w:before="0" w:after="0"/>
              <w:rPr>
                <w:sz w:val="22"/>
                <w:szCs w:val="22"/>
                <w:lang w:eastAsia="en-US"/>
              </w:rPr>
            </w:pPr>
          </w:p>
        </w:tc>
        <w:tc>
          <w:tcPr>
            <w:tcW w:w="858" w:type="pct"/>
            <w:tcBorders>
              <w:top w:val="single" w:sz="4" w:space="0" w:color="auto"/>
              <w:left w:val="single" w:sz="4" w:space="0" w:color="auto"/>
              <w:bottom w:val="single" w:sz="4" w:space="0" w:color="auto"/>
              <w:right w:val="single" w:sz="4" w:space="0" w:color="auto"/>
            </w:tcBorders>
          </w:tcPr>
          <w:p w14:paraId="29AF1D25" w14:textId="77777777" w:rsidR="00222E72" w:rsidRPr="00942863" w:rsidRDefault="00222E72" w:rsidP="00522905">
            <w:pPr>
              <w:jc w:val="center"/>
              <w:rPr>
                <w:sz w:val="22"/>
                <w:szCs w:val="22"/>
                <w:lang w:eastAsia="en-US"/>
              </w:rPr>
            </w:pPr>
          </w:p>
        </w:tc>
        <w:tc>
          <w:tcPr>
            <w:tcW w:w="878" w:type="pct"/>
            <w:tcBorders>
              <w:top w:val="single" w:sz="4" w:space="0" w:color="auto"/>
              <w:left w:val="single" w:sz="4" w:space="0" w:color="auto"/>
              <w:bottom w:val="single" w:sz="4" w:space="0" w:color="auto"/>
              <w:right w:val="single" w:sz="4" w:space="0" w:color="auto"/>
            </w:tcBorders>
          </w:tcPr>
          <w:p w14:paraId="3DFDE4D7" w14:textId="77777777" w:rsidR="00222E72" w:rsidRPr="00942863" w:rsidRDefault="00222E72" w:rsidP="00522905">
            <w:pPr>
              <w:jc w:val="center"/>
              <w:rPr>
                <w:sz w:val="22"/>
                <w:szCs w:val="22"/>
                <w:lang w:eastAsia="en-US"/>
              </w:rPr>
            </w:pPr>
          </w:p>
        </w:tc>
      </w:tr>
    </w:tbl>
    <w:p w14:paraId="642FAD2E" w14:textId="77777777" w:rsidR="00C01E51" w:rsidRPr="00942863" w:rsidRDefault="00C01E51" w:rsidP="00522905">
      <w:pPr>
        <w:ind w:left="57" w:right="57" w:firstLine="375"/>
        <w:contextualSpacing/>
        <w:mirrorIndents/>
        <w:jc w:val="both"/>
        <w:rPr>
          <w:sz w:val="22"/>
          <w:szCs w:val="22"/>
        </w:rPr>
      </w:pPr>
    </w:p>
    <w:p w14:paraId="1413A976" w14:textId="77777777" w:rsidR="00C01E51" w:rsidRPr="00942863" w:rsidRDefault="00C444D7" w:rsidP="00522905">
      <w:pPr>
        <w:ind w:left="57" w:right="57"/>
        <w:contextualSpacing/>
        <w:mirrorIndents/>
        <w:rPr>
          <w:sz w:val="22"/>
          <w:szCs w:val="22"/>
        </w:rPr>
      </w:pPr>
      <w:r w:rsidRPr="00942863">
        <w:rPr>
          <w:b/>
          <w:bCs/>
          <w:sz w:val="22"/>
          <w:szCs w:val="22"/>
        </w:rPr>
        <w:t>Informācija par starpministriju (starpinstitūciju) sanāksmi vai elektronisko saskaņošanu</w:t>
      </w:r>
      <w:r w:rsidRPr="00942863">
        <w:rPr>
          <w:sz w:val="22"/>
          <w:szCs w:val="22"/>
        </w:rPr>
        <w:t> </w:t>
      </w:r>
    </w:p>
    <w:p w14:paraId="5158CEFC" w14:textId="778EB190" w:rsidR="00D724E9" w:rsidRPr="00942863" w:rsidRDefault="00D724E9" w:rsidP="00522905">
      <w:pPr>
        <w:ind w:left="57" w:right="57"/>
        <w:contextualSpacing/>
        <w:mirrorIndents/>
        <w:rPr>
          <w:sz w:val="22"/>
          <w:szCs w:val="22"/>
        </w:rPr>
      </w:pPr>
    </w:p>
    <w:tbl>
      <w:tblPr>
        <w:tblW w:w="14034" w:type="dxa"/>
        <w:tblLook w:val="00A0" w:firstRow="1" w:lastRow="0" w:firstColumn="1" w:lastColumn="0" w:noHBand="0" w:noVBand="0"/>
      </w:tblPr>
      <w:tblGrid>
        <w:gridCol w:w="6487"/>
        <w:gridCol w:w="1651"/>
        <w:gridCol w:w="5896"/>
      </w:tblGrid>
      <w:tr w:rsidR="00B61626" w:rsidRPr="00942863" w14:paraId="50C9BCFB" w14:textId="77777777" w:rsidTr="002C4ABB">
        <w:tc>
          <w:tcPr>
            <w:tcW w:w="6487" w:type="dxa"/>
            <w:hideMark/>
          </w:tcPr>
          <w:p w14:paraId="3F246E2A" w14:textId="77777777" w:rsidR="00B61626" w:rsidRPr="00942863" w:rsidRDefault="00B61626" w:rsidP="00043A5A">
            <w:pPr>
              <w:pStyle w:val="naisf"/>
              <w:spacing w:before="0" w:after="0"/>
              <w:ind w:firstLine="0"/>
              <w:rPr>
                <w:sz w:val="22"/>
                <w:szCs w:val="22"/>
                <w:lang w:eastAsia="en-US"/>
              </w:rPr>
            </w:pPr>
            <w:r w:rsidRPr="00942863">
              <w:rPr>
                <w:sz w:val="22"/>
                <w:szCs w:val="22"/>
                <w:lang w:eastAsia="en-US"/>
              </w:rPr>
              <w:t>Datums</w:t>
            </w:r>
          </w:p>
        </w:tc>
        <w:tc>
          <w:tcPr>
            <w:tcW w:w="7547" w:type="dxa"/>
            <w:gridSpan w:val="2"/>
            <w:tcBorders>
              <w:top w:val="nil"/>
              <w:left w:val="nil"/>
              <w:bottom w:val="single" w:sz="4" w:space="0" w:color="auto"/>
              <w:right w:val="nil"/>
            </w:tcBorders>
            <w:hideMark/>
          </w:tcPr>
          <w:p w14:paraId="73A30A29" w14:textId="211260A0" w:rsidR="00B61626" w:rsidRPr="00942863" w:rsidRDefault="00B61626" w:rsidP="00043A5A">
            <w:pPr>
              <w:pStyle w:val="Paraststmeklis"/>
              <w:spacing w:before="0" w:beforeAutospacing="0" w:after="0" w:afterAutospacing="0"/>
              <w:rPr>
                <w:sz w:val="22"/>
                <w:szCs w:val="22"/>
                <w:lang w:eastAsia="en-US"/>
              </w:rPr>
            </w:pPr>
            <w:proofErr w:type="gramStart"/>
            <w:r w:rsidRPr="00942863">
              <w:rPr>
                <w:sz w:val="22"/>
                <w:szCs w:val="22"/>
                <w:lang w:eastAsia="en-US"/>
              </w:rPr>
              <w:t>2021.gada</w:t>
            </w:r>
            <w:proofErr w:type="gramEnd"/>
            <w:r w:rsidRPr="00942863">
              <w:rPr>
                <w:sz w:val="22"/>
                <w:szCs w:val="22"/>
                <w:lang w:eastAsia="en-US"/>
              </w:rPr>
              <w:t xml:space="preserve"> </w:t>
            </w:r>
            <w:r w:rsidR="0073297A" w:rsidRPr="00942863">
              <w:rPr>
                <w:sz w:val="22"/>
                <w:szCs w:val="22"/>
                <w:lang w:eastAsia="en-US"/>
              </w:rPr>
              <w:t>2</w:t>
            </w:r>
            <w:r w:rsidR="0073297A">
              <w:rPr>
                <w:sz w:val="22"/>
                <w:szCs w:val="22"/>
                <w:lang w:eastAsia="en-US"/>
              </w:rPr>
              <w:t>8</w:t>
            </w:r>
            <w:r w:rsidRPr="00942863">
              <w:rPr>
                <w:sz w:val="22"/>
                <w:szCs w:val="22"/>
                <w:lang w:eastAsia="en-US"/>
              </w:rPr>
              <w:t>.</w:t>
            </w:r>
            <w:r w:rsidR="00872869" w:rsidRPr="00942863">
              <w:rPr>
                <w:sz w:val="22"/>
                <w:szCs w:val="22"/>
                <w:lang w:eastAsia="en-US"/>
              </w:rPr>
              <w:t>s</w:t>
            </w:r>
            <w:r w:rsidR="00FA0A00" w:rsidRPr="00942863">
              <w:rPr>
                <w:sz w:val="22"/>
                <w:szCs w:val="22"/>
                <w:lang w:eastAsia="en-US"/>
              </w:rPr>
              <w:t>eptembris</w:t>
            </w:r>
          </w:p>
        </w:tc>
      </w:tr>
      <w:tr w:rsidR="00B61626" w:rsidRPr="00942863" w14:paraId="16065BB8" w14:textId="77777777" w:rsidTr="002C4ABB">
        <w:tc>
          <w:tcPr>
            <w:tcW w:w="6487" w:type="dxa"/>
          </w:tcPr>
          <w:p w14:paraId="6663CD36" w14:textId="77777777" w:rsidR="00B61626" w:rsidRPr="00942863" w:rsidRDefault="00B61626" w:rsidP="00043A5A">
            <w:pPr>
              <w:pStyle w:val="naisf"/>
              <w:spacing w:before="0" w:after="0"/>
              <w:rPr>
                <w:sz w:val="22"/>
                <w:szCs w:val="22"/>
                <w:lang w:eastAsia="en-US"/>
              </w:rPr>
            </w:pPr>
          </w:p>
        </w:tc>
        <w:tc>
          <w:tcPr>
            <w:tcW w:w="7547" w:type="dxa"/>
            <w:gridSpan w:val="2"/>
            <w:tcBorders>
              <w:top w:val="single" w:sz="4" w:space="0" w:color="auto"/>
              <w:left w:val="nil"/>
              <w:bottom w:val="nil"/>
              <w:right w:val="nil"/>
            </w:tcBorders>
          </w:tcPr>
          <w:p w14:paraId="1DC47D44" w14:textId="77777777" w:rsidR="00B61626" w:rsidRPr="00942863" w:rsidRDefault="00B61626" w:rsidP="00043A5A">
            <w:pPr>
              <w:pStyle w:val="Paraststmeklis"/>
              <w:spacing w:before="0" w:beforeAutospacing="0" w:after="0" w:afterAutospacing="0"/>
              <w:ind w:firstLine="720"/>
              <w:rPr>
                <w:sz w:val="22"/>
                <w:szCs w:val="22"/>
                <w:lang w:eastAsia="en-US"/>
              </w:rPr>
            </w:pPr>
          </w:p>
        </w:tc>
      </w:tr>
      <w:tr w:rsidR="00B61626" w:rsidRPr="00942863" w14:paraId="755774D5" w14:textId="77777777" w:rsidTr="002C4ABB">
        <w:tc>
          <w:tcPr>
            <w:tcW w:w="6487" w:type="dxa"/>
            <w:hideMark/>
          </w:tcPr>
          <w:p w14:paraId="0CF9564C" w14:textId="77777777" w:rsidR="00B61626" w:rsidRPr="00942863" w:rsidRDefault="00B61626" w:rsidP="00043A5A">
            <w:pPr>
              <w:pStyle w:val="naiskr"/>
              <w:spacing w:before="0" w:after="0"/>
              <w:rPr>
                <w:sz w:val="22"/>
                <w:szCs w:val="22"/>
                <w:lang w:eastAsia="en-US"/>
              </w:rPr>
            </w:pPr>
            <w:r w:rsidRPr="00942863">
              <w:rPr>
                <w:sz w:val="22"/>
                <w:szCs w:val="22"/>
                <w:lang w:eastAsia="en-US"/>
              </w:rPr>
              <w:t>Saskaņošanas dalībnieki</w:t>
            </w:r>
          </w:p>
        </w:tc>
        <w:tc>
          <w:tcPr>
            <w:tcW w:w="7547" w:type="dxa"/>
            <w:gridSpan w:val="2"/>
            <w:tcBorders>
              <w:top w:val="nil"/>
              <w:left w:val="nil"/>
              <w:bottom w:val="single" w:sz="4" w:space="0" w:color="auto"/>
              <w:right w:val="nil"/>
            </w:tcBorders>
            <w:hideMark/>
          </w:tcPr>
          <w:p w14:paraId="54705AC7" w14:textId="77777777" w:rsidR="00B61626" w:rsidRPr="00942863" w:rsidRDefault="00B61626" w:rsidP="00043A5A">
            <w:pPr>
              <w:pStyle w:val="Paraststmeklis"/>
              <w:spacing w:before="0" w:beforeAutospacing="0" w:after="0" w:afterAutospacing="0"/>
              <w:ind w:left="34"/>
              <w:rPr>
                <w:sz w:val="22"/>
                <w:szCs w:val="22"/>
                <w:lang w:eastAsia="en-US"/>
              </w:rPr>
            </w:pPr>
            <w:r w:rsidRPr="00942863">
              <w:rPr>
                <w:color w:val="2A2A2A"/>
                <w:sz w:val="22"/>
                <w:szCs w:val="22"/>
              </w:rPr>
              <w:t>Tieslietu ministrija, Finanšu ministrija, Labklājības ministrija, Vides aizsardzības un reģionālās attīstības ministrija, Pārresoru koordinācijas centrs un Latvijas Pašvaldību savienība</w:t>
            </w:r>
          </w:p>
        </w:tc>
      </w:tr>
      <w:tr w:rsidR="00B61626" w:rsidRPr="00942863" w14:paraId="5F6D2927" w14:textId="77777777" w:rsidTr="002C4ABB">
        <w:trPr>
          <w:trHeight w:val="208"/>
        </w:trPr>
        <w:tc>
          <w:tcPr>
            <w:tcW w:w="6487" w:type="dxa"/>
          </w:tcPr>
          <w:p w14:paraId="372A08D7" w14:textId="77777777" w:rsidR="00B61626" w:rsidRPr="00942863" w:rsidRDefault="00B61626" w:rsidP="00043A5A">
            <w:pPr>
              <w:pStyle w:val="naiskr"/>
              <w:spacing w:before="0" w:after="0"/>
              <w:rPr>
                <w:sz w:val="22"/>
                <w:szCs w:val="22"/>
                <w:lang w:eastAsia="en-US"/>
              </w:rPr>
            </w:pPr>
          </w:p>
        </w:tc>
        <w:tc>
          <w:tcPr>
            <w:tcW w:w="1651" w:type="dxa"/>
          </w:tcPr>
          <w:p w14:paraId="62A1E483" w14:textId="77777777" w:rsidR="00B61626" w:rsidRPr="00942863" w:rsidRDefault="00B61626" w:rsidP="00043A5A">
            <w:pPr>
              <w:pStyle w:val="naiskr"/>
              <w:spacing w:before="0" w:after="0"/>
              <w:ind w:firstLine="720"/>
              <w:rPr>
                <w:sz w:val="22"/>
                <w:szCs w:val="22"/>
                <w:lang w:eastAsia="en-US"/>
              </w:rPr>
            </w:pPr>
          </w:p>
        </w:tc>
        <w:tc>
          <w:tcPr>
            <w:tcW w:w="5896" w:type="dxa"/>
          </w:tcPr>
          <w:p w14:paraId="77C86F92" w14:textId="77777777" w:rsidR="00B61626" w:rsidRPr="00942863" w:rsidRDefault="00B61626" w:rsidP="00043A5A">
            <w:pPr>
              <w:pStyle w:val="naiskr"/>
              <w:spacing w:before="0" w:after="0"/>
              <w:ind w:firstLine="12"/>
              <w:rPr>
                <w:sz w:val="22"/>
                <w:szCs w:val="22"/>
                <w:lang w:eastAsia="en-US"/>
              </w:rPr>
            </w:pPr>
          </w:p>
        </w:tc>
      </w:tr>
      <w:tr w:rsidR="00B61626" w:rsidRPr="00942863" w14:paraId="1D9674A6" w14:textId="77777777" w:rsidTr="002C4ABB">
        <w:trPr>
          <w:trHeight w:val="461"/>
        </w:trPr>
        <w:tc>
          <w:tcPr>
            <w:tcW w:w="6487" w:type="dxa"/>
            <w:hideMark/>
          </w:tcPr>
          <w:p w14:paraId="79D09368" w14:textId="77777777" w:rsidR="00B61626" w:rsidRPr="00942863" w:rsidRDefault="00B61626" w:rsidP="00043A5A">
            <w:pPr>
              <w:pStyle w:val="naiskr"/>
              <w:spacing w:before="0" w:after="0"/>
              <w:ind w:right="500"/>
              <w:rPr>
                <w:sz w:val="22"/>
                <w:szCs w:val="22"/>
                <w:lang w:eastAsia="en-US"/>
              </w:rPr>
            </w:pPr>
            <w:r w:rsidRPr="00942863">
              <w:rPr>
                <w:sz w:val="22"/>
                <w:szCs w:val="22"/>
                <w:lang w:eastAsia="en-US"/>
              </w:rPr>
              <w:t>Saskaņošanas dalībnieki izskatīja šādu ministriju (citu institūciju) iebildumus</w:t>
            </w:r>
          </w:p>
        </w:tc>
        <w:tc>
          <w:tcPr>
            <w:tcW w:w="7547" w:type="dxa"/>
            <w:gridSpan w:val="2"/>
            <w:tcBorders>
              <w:top w:val="nil"/>
              <w:left w:val="nil"/>
              <w:bottom w:val="single" w:sz="4" w:space="0" w:color="auto"/>
              <w:right w:val="nil"/>
            </w:tcBorders>
            <w:hideMark/>
          </w:tcPr>
          <w:p w14:paraId="51B3FF9B" w14:textId="77777777" w:rsidR="00B61626" w:rsidRPr="00942863" w:rsidRDefault="00B61626" w:rsidP="00043A5A">
            <w:pPr>
              <w:pStyle w:val="naiskr"/>
              <w:spacing w:before="0" w:after="0"/>
              <w:ind w:right="500"/>
              <w:jc w:val="both"/>
              <w:rPr>
                <w:sz w:val="22"/>
                <w:szCs w:val="22"/>
                <w:lang w:eastAsia="en-US"/>
              </w:rPr>
            </w:pPr>
          </w:p>
          <w:p w14:paraId="0161BCD9" w14:textId="684013AC" w:rsidR="00B61626" w:rsidRPr="00942863" w:rsidRDefault="00B61626" w:rsidP="00043A5A">
            <w:pPr>
              <w:pStyle w:val="naiskr"/>
              <w:spacing w:before="0" w:after="0"/>
              <w:ind w:right="500"/>
              <w:jc w:val="both"/>
              <w:rPr>
                <w:sz w:val="22"/>
                <w:szCs w:val="22"/>
                <w:lang w:eastAsia="en-US"/>
              </w:rPr>
            </w:pPr>
            <w:r w:rsidRPr="00942863">
              <w:rPr>
                <w:sz w:val="22"/>
                <w:szCs w:val="22"/>
                <w:lang w:eastAsia="en-US"/>
              </w:rPr>
              <w:t>Finanšu ministrija</w:t>
            </w:r>
          </w:p>
        </w:tc>
      </w:tr>
      <w:tr w:rsidR="00B61626" w:rsidRPr="00942863" w14:paraId="6B255A40" w14:textId="77777777" w:rsidTr="002C4ABB">
        <w:trPr>
          <w:trHeight w:val="224"/>
        </w:trPr>
        <w:tc>
          <w:tcPr>
            <w:tcW w:w="14034" w:type="dxa"/>
            <w:gridSpan w:val="3"/>
          </w:tcPr>
          <w:p w14:paraId="3005D767" w14:textId="77777777" w:rsidR="00B61626" w:rsidRPr="00942863" w:rsidRDefault="00B61626" w:rsidP="00043A5A">
            <w:pPr>
              <w:pStyle w:val="naisc"/>
              <w:spacing w:before="0" w:after="0"/>
              <w:ind w:right="500"/>
              <w:rPr>
                <w:sz w:val="22"/>
                <w:szCs w:val="22"/>
                <w:lang w:eastAsia="en-US"/>
              </w:rPr>
            </w:pPr>
          </w:p>
        </w:tc>
      </w:tr>
      <w:tr w:rsidR="00B61626" w:rsidRPr="00942863" w14:paraId="665A3DA0" w14:textId="77777777" w:rsidTr="002C4ABB">
        <w:tc>
          <w:tcPr>
            <w:tcW w:w="6487" w:type="dxa"/>
            <w:hideMark/>
          </w:tcPr>
          <w:p w14:paraId="13044AEB" w14:textId="77777777" w:rsidR="00B61626" w:rsidRPr="00942863" w:rsidRDefault="00B61626" w:rsidP="00043A5A">
            <w:pPr>
              <w:pStyle w:val="naiskr"/>
              <w:spacing w:before="0" w:after="0"/>
              <w:ind w:right="500"/>
              <w:rPr>
                <w:sz w:val="22"/>
                <w:szCs w:val="22"/>
                <w:lang w:eastAsia="en-US"/>
              </w:rPr>
            </w:pPr>
            <w:r w:rsidRPr="00942863">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sz="4" w:space="0" w:color="auto"/>
              <w:right w:val="nil"/>
            </w:tcBorders>
          </w:tcPr>
          <w:p w14:paraId="26BAC668" w14:textId="77777777" w:rsidR="00B61626" w:rsidRPr="00942863" w:rsidRDefault="00B61626" w:rsidP="00043A5A">
            <w:pPr>
              <w:pStyle w:val="naiskr"/>
              <w:spacing w:before="0" w:after="0"/>
              <w:ind w:right="500" w:firstLine="720"/>
              <w:rPr>
                <w:sz w:val="22"/>
                <w:szCs w:val="22"/>
                <w:lang w:eastAsia="en-US"/>
              </w:rPr>
            </w:pPr>
          </w:p>
        </w:tc>
      </w:tr>
    </w:tbl>
    <w:p w14:paraId="383EE7BC" w14:textId="03AC06DF" w:rsidR="00B61626" w:rsidRPr="00942863" w:rsidRDefault="00B61626" w:rsidP="00522905">
      <w:pPr>
        <w:ind w:left="57" w:right="57"/>
        <w:contextualSpacing/>
        <w:mirrorIndents/>
        <w:rPr>
          <w:sz w:val="22"/>
          <w:szCs w:val="22"/>
        </w:rPr>
      </w:pPr>
    </w:p>
    <w:p w14:paraId="79904A76" w14:textId="12A8B92C" w:rsidR="00B61626" w:rsidRPr="00942863" w:rsidRDefault="00B61626" w:rsidP="00522905">
      <w:pPr>
        <w:ind w:left="57" w:right="57"/>
        <w:contextualSpacing/>
        <w:mirrorIndents/>
        <w:rPr>
          <w:sz w:val="22"/>
          <w:szCs w:val="22"/>
        </w:rPr>
      </w:pPr>
    </w:p>
    <w:p w14:paraId="6DD482EE" w14:textId="38904FA7" w:rsidR="00B61626" w:rsidRPr="00942863" w:rsidRDefault="00B61626" w:rsidP="00522905">
      <w:pPr>
        <w:ind w:left="57" w:right="57"/>
        <w:contextualSpacing/>
        <w:mirrorIndents/>
        <w:rPr>
          <w:sz w:val="22"/>
          <w:szCs w:val="22"/>
        </w:rPr>
      </w:pPr>
      <w:bookmarkStart w:id="0" w:name="_GoBack"/>
      <w:bookmarkEnd w:id="0"/>
    </w:p>
    <w:p w14:paraId="134C7E15" w14:textId="542F6B61" w:rsidR="00B61626" w:rsidRPr="00942863" w:rsidRDefault="00B61626" w:rsidP="00522905">
      <w:pPr>
        <w:ind w:left="57" w:right="57"/>
        <w:contextualSpacing/>
        <w:mirrorIndents/>
        <w:rPr>
          <w:sz w:val="22"/>
          <w:szCs w:val="22"/>
        </w:rPr>
      </w:pPr>
    </w:p>
    <w:p w14:paraId="3A37484C" w14:textId="605A4B61" w:rsidR="00B61626" w:rsidRPr="00942863" w:rsidRDefault="00B61626" w:rsidP="00522905">
      <w:pPr>
        <w:ind w:left="57" w:right="57"/>
        <w:contextualSpacing/>
        <w:mirrorIndents/>
        <w:rPr>
          <w:sz w:val="22"/>
          <w:szCs w:val="22"/>
        </w:rPr>
      </w:pPr>
    </w:p>
    <w:p w14:paraId="030AAF6B" w14:textId="2D5130AB" w:rsidR="00B61626" w:rsidRPr="00942863" w:rsidRDefault="00B61626" w:rsidP="00522905">
      <w:pPr>
        <w:ind w:left="57" w:right="57"/>
        <w:contextualSpacing/>
        <w:mirrorIndents/>
        <w:rPr>
          <w:sz w:val="22"/>
          <w:szCs w:val="22"/>
        </w:rPr>
      </w:pPr>
    </w:p>
    <w:p w14:paraId="1EC4E970" w14:textId="2A590ACE" w:rsidR="00B61626" w:rsidRPr="00942863" w:rsidRDefault="00B61626" w:rsidP="00522905">
      <w:pPr>
        <w:ind w:left="57" w:right="57"/>
        <w:contextualSpacing/>
        <w:mirrorIndents/>
        <w:rPr>
          <w:sz w:val="22"/>
          <w:szCs w:val="22"/>
        </w:rPr>
      </w:pPr>
    </w:p>
    <w:p w14:paraId="350050A3" w14:textId="77777777" w:rsidR="00B61626" w:rsidRPr="00942863" w:rsidRDefault="00B61626" w:rsidP="00522905">
      <w:pPr>
        <w:ind w:left="57" w:right="57"/>
        <w:contextualSpacing/>
        <w:mirrorIndents/>
        <w:rPr>
          <w:sz w:val="22"/>
          <w:szCs w:val="22"/>
        </w:rPr>
      </w:pPr>
    </w:p>
    <w:p w14:paraId="569C90FF" w14:textId="77777777" w:rsidR="00F64DE4" w:rsidRPr="00942863" w:rsidRDefault="00102ED6" w:rsidP="00522905">
      <w:pPr>
        <w:pStyle w:val="naisnod"/>
        <w:spacing w:before="0" w:after="0"/>
        <w:ind w:left="57" w:right="57"/>
        <w:contextualSpacing/>
        <w:mirrorIndents/>
        <w:rPr>
          <w:sz w:val="22"/>
          <w:szCs w:val="22"/>
        </w:rPr>
      </w:pPr>
      <w:r w:rsidRPr="00942863">
        <w:rPr>
          <w:sz w:val="22"/>
          <w:szCs w:val="22"/>
        </w:rPr>
        <w:t>II. Jautājumi, par kuriem saskaņošanā vienošanās ir panākta</w:t>
      </w:r>
    </w:p>
    <w:p w14:paraId="4F736904" w14:textId="77777777" w:rsidR="00F64DE4" w:rsidRPr="00942863" w:rsidRDefault="00F64DE4" w:rsidP="00522905">
      <w:pPr>
        <w:pStyle w:val="naisnod"/>
        <w:spacing w:before="0" w:after="0"/>
        <w:ind w:left="57" w:right="57"/>
        <w:contextualSpacing/>
        <w:mirrorIndents/>
        <w:rPr>
          <w:sz w:val="22"/>
          <w:szCs w:val="22"/>
        </w:rPr>
      </w:pPr>
    </w:p>
    <w:tbl>
      <w:tblPr>
        <w:tblW w:w="5184" w:type="pct"/>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5"/>
        <w:gridCol w:w="3174"/>
        <w:gridCol w:w="3629"/>
        <w:gridCol w:w="3484"/>
        <w:gridCol w:w="3623"/>
      </w:tblGrid>
      <w:tr w:rsidR="001519C4" w:rsidRPr="00942863" w14:paraId="531A25C4" w14:textId="77777777" w:rsidTr="002C4ABB">
        <w:tc>
          <w:tcPr>
            <w:tcW w:w="205" w:type="pct"/>
            <w:tcBorders>
              <w:top w:val="single" w:sz="6" w:space="0" w:color="000000"/>
              <w:left w:val="single" w:sz="6" w:space="0" w:color="000000"/>
              <w:bottom w:val="single" w:sz="6" w:space="0" w:color="000000"/>
              <w:right w:val="single" w:sz="6" w:space="0" w:color="000000"/>
            </w:tcBorders>
            <w:vAlign w:val="center"/>
          </w:tcPr>
          <w:p w14:paraId="1990AB40" w14:textId="45399019" w:rsidR="00C01E51" w:rsidRPr="00942863" w:rsidRDefault="00B61626" w:rsidP="00522905">
            <w:pPr>
              <w:pStyle w:val="naisc"/>
              <w:spacing w:before="0" w:after="0"/>
              <w:rPr>
                <w:sz w:val="22"/>
                <w:szCs w:val="22"/>
                <w:lang w:eastAsia="en-US"/>
              </w:rPr>
            </w:pPr>
            <w:r w:rsidRPr="00942863">
              <w:rPr>
                <w:sz w:val="22"/>
                <w:szCs w:val="22"/>
                <w:lang w:eastAsia="en-US"/>
              </w:rPr>
              <w:t>Nr.p.k.</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5E068632" w14:textId="77777777" w:rsidR="00C01E51" w:rsidRPr="00942863" w:rsidRDefault="00F64DE4" w:rsidP="00522905">
            <w:pPr>
              <w:pStyle w:val="naisc"/>
              <w:spacing w:before="0" w:after="0"/>
              <w:ind w:firstLine="12"/>
              <w:rPr>
                <w:sz w:val="22"/>
                <w:szCs w:val="22"/>
                <w:lang w:eastAsia="en-US"/>
              </w:rPr>
            </w:pPr>
            <w:r w:rsidRPr="00942863">
              <w:rPr>
                <w:sz w:val="22"/>
                <w:szCs w:val="22"/>
                <w:lang w:eastAsia="en-US"/>
              </w:rPr>
              <w:t>Saskaņošanai nosūtītā projekta redakcija</w:t>
            </w:r>
            <w:r w:rsidR="00102ED6" w:rsidRPr="00942863">
              <w:rPr>
                <w:sz w:val="22"/>
                <w:szCs w:val="22"/>
                <w:lang w:eastAsia="en-US"/>
              </w:rPr>
              <w:t xml:space="preserve"> (konkrēta punkta (panta) redakcija)</w:t>
            </w:r>
          </w:p>
        </w:tc>
        <w:tc>
          <w:tcPr>
            <w:tcW w:w="1251" w:type="pct"/>
            <w:tcBorders>
              <w:top w:val="single" w:sz="6" w:space="0" w:color="000000"/>
              <w:left w:val="single" w:sz="6" w:space="0" w:color="000000"/>
              <w:bottom w:val="single" w:sz="6" w:space="0" w:color="000000"/>
              <w:right w:val="single" w:sz="6" w:space="0" w:color="000000"/>
            </w:tcBorders>
            <w:vAlign w:val="center"/>
            <w:hideMark/>
          </w:tcPr>
          <w:p w14:paraId="3B572519" w14:textId="77777777" w:rsidR="00C01E51" w:rsidRPr="00942863" w:rsidRDefault="00F64DE4" w:rsidP="00522905">
            <w:pPr>
              <w:pStyle w:val="naisc"/>
              <w:spacing w:before="0" w:after="0"/>
              <w:ind w:right="31"/>
              <w:rPr>
                <w:sz w:val="22"/>
                <w:szCs w:val="22"/>
                <w:lang w:eastAsia="en-US"/>
              </w:rPr>
            </w:pPr>
            <w:r w:rsidRPr="00942863">
              <w:rPr>
                <w:sz w:val="22"/>
                <w:szCs w:val="22"/>
                <w:lang w:eastAsia="en-US"/>
              </w:rPr>
              <w:t xml:space="preserve">Atzinumā norādītais ministrijas (citas institūcijas) </w:t>
            </w:r>
            <w:r w:rsidR="00102ED6" w:rsidRPr="00942863">
              <w:rPr>
                <w:sz w:val="22"/>
                <w:szCs w:val="22"/>
                <w:lang w:eastAsia="en-US"/>
              </w:rPr>
              <w:t>iebildums, kā arī saskaņošanā papildus izteiktais iebildums par projekta konkrēto punktu (pantu)</w:t>
            </w:r>
          </w:p>
        </w:tc>
        <w:tc>
          <w:tcPr>
            <w:tcW w:w="1201" w:type="pct"/>
            <w:tcBorders>
              <w:top w:val="single" w:sz="6" w:space="0" w:color="000000"/>
              <w:left w:val="single" w:sz="6" w:space="0" w:color="000000"/>
              <w:bottom w:val="single" w:sz="6" w:space="0" w:color="000000"/>
              <w:right w:val="single" w:sz="6" w:space="0" w:color="000000"/>
            </w:tcBorders>
            <w:vAlign w:val="center"/>
            <w:hideMark/>
          </w:tcPr>
          <w:p w14:paraId="1937105E" w14:textId="77777777" w:rsidR="00C01E51" w:rsidRPr="00942863" w:rsidRDefault="00102ED6" w:rsidP="00522905">
            <w:pPr>
              <w:pStyle w:val="naisc"/>
              <w:spacing w:before="0" w:after="0"/>
              <w:rPr>
                <w:sz w:val="22"/>
                <w:szCs w:val="22"/>
                <w:lang w:eastAsia="en-US"/>
              </w:rPr>
            </w:pPr>
            <w:r w:rsidRPr="00942863">
              <w:rPr>
                <w:sz w:val="22"/>
                <w:szCs w:val="22"/>
                <w:lang w:eastAsia="en-US"/>
              </w:rPr>
              <w:t>Atbildīgās ministrijas norāde par to, ka iebildums ir ņemts vērā, vai informācija par saskaņošanā panākto alternatīvo risinājumu</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07BA948" w14:textId="77777777" w:rsidR="00C01E51" w:rsidRPr="00942863" w:rsidRDefault="00102ED6" w:rsidP="00522905">
            <w:pPr>
              <w:pStyle w:val="naisc"/>
              <w:spacing w:before="0" w:after="0"/>
              <w:rPr>
                <w:sz w:val="22"/>
                <w:szCs w:val="22"/>
                <w:lang w:eastAsia="en-US"/>
              </w:rPr>
            </w:pPr>
            <w:r w:rsidRPr="00942863">
              <w:rPr>
                <w:sz w:val="22"/>
                <w:szCs w:val="22"/>
                <w:lang w:eastAsia="en-US"/>
              </w:rPr>
              <w:t>Projekta attiecīgā punkta (panta) galīgā redakcija</w:t>
            </w:r>
          </w:p>
        </w:tc>
      </w:tr>
      <w:tr w:rsidR="001519C4" w:rsidRPr="00942863" w14:paraId="38AE9771" w14:textId="77777777" w:rsidTr="002C4ABB">
        <w:tc>
          <w:tcPr>
            <w:tcW w:w="205" w:type="pct"/>
            <w:tcBorders>
              <w:top w:val="single" w:sz="6" w:space="0" w:color="000000"/>
              <w:left w:val="single" w:sz="6" w:space="0" w:color="000000"/>
              <w:bottom w:val="single" w:sz="4" w:space="0" w:color="auto"/>
              <w:right w:val="single" w:sz="6" w:space="0" w:color="000000"/>
            </w:tcBorders>
            <w:hideMark/>
          </w:tcPr>
          <w:p w14:paraId="2D27BEB9" w14:textId="77777777" w:rsidR="00C01E51" w:rsidRPr="00942863" w:rsidRDefault="00102ED6" w:rsidP="00522905">
            <w:pPr>
              <w:pStyle w:val="naisc"/>
              <w:spacing w:before="0" w:after="0"/>
              <w:rPr>
                <w:sz w:val="22"/>
                <w:szCs w:val="22"/>
                <w:lang w:eastAsia="en-US"/>
              </w:rPr>
            </w:pPr>
            <w:r w:rsidRPr="00942863">
              <w:rPr>
                <w:sz w:val="22"/>
                <w:szCs w:val="22"/>
                <w:lang w:eastAsia="en-US"/>
              </w:rPr>
              <w:t>1</w:t>
            </w:r>
          </w:p>
        </w:tc>
        <w:tc>
          <w:tcPr>
            <w:tcW w:w="1094" w:type="pct"/>
            <w:tcBorders>
              <w:top w:val="single" w:sz="6" w:space="0" w:color="000000"/>
              <w:left w:val="single" w:sz="6" w:space="0" w:color="000000"/>
              <w:bottom w:val="single" w:sz="4" w:space="0" w:color="auto"/>
              <w:right w:val="single" w:sz="6" w:space="0" w:color="000000"/>
            </w:tcBorders>
            <w:hideMark/>
          </w:tcPr>
          <w:p w14:paraId="68CC95F9" w14:textId="4707C610" w:rsidR="00C01E51" w:rsidRPr="00942863" w:rsidRDefault="00102ED6" w:rsidP="002C4ABB">
            <w:pPr>
              <w:pStyle w:val="naisc"/>
              <w:tabs>
                <w:tab w:val="left" w:pos="360"/>
                <w:tab w:val="center" w:pos="1531"/>
              </w:tabs>
              <w:spacing w:before="0" w:after="0"/>
              <w:ind w:firstLine="12"/>
              <w:rPr>
                <w:sz w:val="22"/>
                <w:szCs w:val="22"/>
                <w:lang w:eastAsia="en-US"/>
              </w:rPr>
            </w:pPr>
            <w:r w:rsidRPr="00942863">
              <w:rPr>
                <w:sz w:val="22"/>
                <w:szCs w:val="22"/>
                <w:lang w:eastAsia="en-US"/>
              </w:rPr>
              <w:t>2</w:t>
            </w:r>
          </w:p>
        </w:tc>
        <w:tc>
          <w:tcPr>
            <w:tcW w:w="1251" w:type="pct"/>
            <w:tcBorders>
              <w:top w:val="single" w:sz="6" w:space="0" w:color="000000"/>
              <w:left w:val="single" w:sz="6" w:space="0" w:color="000000"/>
              <w:bottom w:val="single" w:sz="4" w:space="0" w:color="auto"/>
              <w:right w:val="single" w:sz="6" w:space="0" w:color="000000"/>
            </w:tcBorders>
            <w:hideMark/>
          </w:tcPr>
          <w:p w14:paraId="0BA25856" w14:textId="77777777" w:rsidR="00C01E51" w:rsidRPr="00942863" w:rsidRDefault="00102ED6" w:rsidP="00522905">
            <w:pPr>
              <w:pStyle w:val="naisc"/>
              <w:spacing w:before="0" w:after="0"/>
              <w:ind w:right="31"/>
              <w:rPr>
                <w:sz w:val="22"/>
                <w:szCs w:val="22"/>
                <w:lang w:eastAsia="en-US"/>
              </w:rPr>
            </w:pPr>
            <w:r w:rsidRPr="00942863">
              <w:rPr>
                <w:sz w:val="22"/>
                <w:szCs w:val="22"/>
                <w:lang w:eastAsia="en-US"/>
              </w:rPr>
              <w:t>3</w:t>
            </w:r>
          </w:p>
        </w:tc>
        <w:tc>
          <w:tcPr>
            <w:tcW w:w="1201" w:type="pct"/>
            <w:tcBorders>
              <w:top w:val="single" w:sz="6" w:space="0" w:color="000000"/>
              <w:left w:val="single" w:sz="6" w:space="0" w:color="000000"/>
              <w:bottom w:val="single" w:sz="4" w:space="0" w:color="auto"/>
              <w:right w:val="single" w:sz="6" w:space="0" w:color="000000"/>
            </w:tcBorders>
            <w:hideMark/>
          </w:tcPr>
          <w:p w14:paraId="6E239DC7" w14:textId="77777777" w:rsidR="00C01E51" w:rsidRPr="00942863" w:rsidRDefault="00102ED6" w:rsidP="00522905">
            <w:pPr>
              <w:pStyle w:val="naisc"/>
              <w:spacing w:before="0" w:after="0"/>
              <w:rPr>
                <w:sz w:val="22"/>
                <w:szCs w:val="22"/>
                <w:lang w:eastAsia="en-US"/>
              </w:rPr>
            </w:pPr>
            <w:r w:rsidRPr="00942863">
              <w:rPr>
                <w:sz w:val="22"/>
                <w:szCs w:val="22"/>
                <w:lang w:eastAsia="en-US"/>
              </w:rPr>
              <w:t>4</w:t>
            </w:r>
          </w:p>
        </w:tc>
        <w:tc>
          <w:tcPr>
            <w:tcW w:w="1249" w:type="pct"/>
            <w:tcBorders>
              <w:top w:val="single" w:sz="4" w:space="0" w:color="auto"/>
              <w:left w:val="single" w:sz="4" w:space="0" w:color="auto"/>
              <w:bottom w:val="single" w:sz="4" w:space="0" w:color="auto"/>
              <w:right w:val="single" w:sz="4" w:space="0" w:color="auto"/>
            </w:tcBorders>
            <w:hideMark/>
          </w:tcPr>
          <w:p w14:paraId="6768C085" w14:textId="77777777" w:rsidR="00C01E51" w:rsidRPr="00942863" w:rsidRDefault="00102ED6" w:rsidP="00522905">
            <w:pPr>
              <w:jc w:val="center"/>
              <w:rPr>
                <w:sz w:val="22"/>
                <w:szCs w:val="22"/>
                <w:lang w:eastAsia="en-US"/>
              </w:rPr>
            </w:pPr>
            <w:r w:rsidRPr="00942863">
              <w:rPr>
                <w:sz w:val="22"/>
                <w:szCs w:val="22"/>
                <w:lang w:eastAsia="en-US"/>
              </w:rPr>
              <w:t>5</w:t>
            </w:r>
          </w:p>
        </w:tc>
      </w:tr>
      <w:tr w:rsidR="001519C4" w:rsidRPr="00942863" w14:paraId="0937798D" w14:textId="77777777" w:rsidTr="002C4ABB">
        <w:tc>
          <w:tcPr>
            <w:tcW w:w="205" w:type="pct"/>
            <w:tcBorders>
              <w:top w:val="single" w:sz="4" w:space="0" w:color="auto"/>
              <w:left w:val="single" w:sz="6" w:space="0" w:color="000000"/>
              <w:bottom w:val="single" w:sz="4" w:space="0" w:color="auto"/>
              <w:right w:val="single" w:sz="6" w:space="0" w:color="000000"/>
            </w:tcBorders>
            <w:shd w:val="clear" w:color="auto" w:fill="auto"/>
          </w:tcPr>
          <w:p w14:paraId="1CF49DD3" w14:textId="596EB79C" w:rsidR="00997920" w:rsidRPr="00942863" w:rsidRDefault="00997920" w:rsidP="002C4ABB">
            <w:pPr>
              <w:pStyle w:val="naisc"/>
              <w:numPr>
                <w:ilvl w:val="0"/>
                <w:numId w:val="28"/>
              </w:numPr>
              <w:spacing w:before="0" w:after="0"/>
              <w:ind w:left="202" w:hanging="202"/>
              <w:rPr>
                <w:sz w:val="22"/>
                <w:szCs w:val="22"/>
                <w:lang w:eastAsia="en-US"/>
              </w:rPr>
            </w:pPr>
          </w:p>
        </w:tc>
        <w:tc>
          <w:tcPr>
            <w:tcW w:w="1093" w:type="pct"/>
            <w:tcBorders>
              <w:top w:val="single" w:sz="4" w:space="0" w:color="auto"/>
              <w:left w:val="single" w:sz="6" w:space="0" w:color="000000"/>
              <w:right w:val="single" w:sz="6" w:space="0" w:color="000000"/>
            </w:tcBorders>
            <w:shd w:val="clear" w:color="auto" w:fill="auto"/>
            <w:hideMark/>
          </w:tcPr>
          <w:p w14:paraId="6F575DF9" w14:textId="77777777" w:rsidR="008B7400" w:rsidRPr="00942863" w:rsidRDefault="00743F71" w:rsidP="008B7400">
            <w:pPr>
              <w:pStyle w:val="Default"/>
              <w:jc w:val="both"/>
              <w:rPr>
                <w:color w:val="auto"/>
                <w:sz w:val="22"/>
                <w:szCs w:val="22"/>
              </w:rPr>
            </w:pPr>
            <w:r w:rsidRPr="00942863">
              <w:rPr>
                <w:color w:val="auto"/>
                <w:sz w:val="22"/>
                <w:szCs w:val="22"/>
              </w:rPr>
              <w:t xml:space="preserve">Ministru kabineta noteikumu projekts </w:t>
            </w:r>
            <w:r w:rsidR="008B7400" w:rsidRPr="00942863">
              <w:rPr>
                <w:color w:val="auto"/>
                <w:sz w:val="22"/>
                <w:szCs w:val="22"/>
              </w:rPr>
              <w:t xml:space="preserve">„Grozījumi Ministru kabineta </w:t>
            </w:r>
            <w:proofErr w:type="gramStart"/>
            <w:r w:rsidR="008B7400" w:rsidRPr="00942863">
              <w:rPr>
                <w:color w:val="auto"/>
                <w:sz w:val="22"/>
                <w:szCs w:val="22"/>
              </w:rPr>
              <w:t>2017.gada</w:t>
            </w:r>
            <w:proofErr w:type="gramEnd"/>
            <w:r w:rsidR="008B7400" w:rsidRPr="00942863">
              <w:rPr>
                <w:color w:val="auto"/>
                <w:sz w:val="22"/>
                <w:szCs w:val="22"/>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942863">
              <w:rPr>
                <w:color w:val="auto"/>
                <w:sz w:val="22"/>
                <w:szCs w:val="22"/>
              </w:rPr>
              <w:t xml:space="preserve"> </w:t>
            </w:r>
            <w:r w:rsidR="008B7400" w:rsidRPr="00942863">
              <w:rPr>
                <w:color w:val="auto"/>
                <w:sz w:val="22"/>
                <w:szCs w:val="22"/>
              </w:rPr>
              <w:t>(turpmāk – Noteikumu projekts)</w:t>
            </w:r>
            <w:r w:rsidR="006E5572" w:rsidRPr="00942863">
              <w:rPr>
                <w:color w:val="auto"/>
                <w:sz w:val="22"/>
                <w:szCs w:val="22"/>
              </w:rPr>
              <w:t xml:space="preserve"> 3.punkts:</w:t>
            </w:r>
          </w:p>
          <w:p w14:paraId="05BD0DC0" w14:textId="77777777" w:rsidR="00B52196" w:rsidRPr="00942863" w:rsidRDefault="00B52196" w:rsidP="008B7400">
            <w:pPr>
              <w:pStyle w:val="Default"/>
              <w:jc w:val="both"/>
              <w:rPr>
                <w:color w:val="auto"/>
                <w:sz w:val="22"/>
                <w:szCs w:val="22"/>
              </w:rPr>
            </w:pPr>
          </w:p>
          <w:p w14:paraId="40C52EA1" w14:textId="77777777" w:rsidR="006E5572" w:rsidRPr="00942863" w:rsidRDefault="002E2E9C" w:rsidP="006E5572">
            <w:pPr>
              <w:tabs>
                <w:tab w:val="left" w:pos="426"/>
              </w:tabs>
              <w:jc w:val="both"/>
              <w:rPr>
                <w:sz w:val="22"/>
                <w:szCs w:val="22"/>
              </w:rPr>
            </w:pPr>
            <w:r w:rsidRPr="00942863">
              <w:rPr>
                <w:sz w:val="22"/>
                <w:szCs w:val="22"/>
              </w:rPr>
              <w:t>„</w:t>
            </w:r>
            <w:r w:rsidR="006E5572" w:rsidRPr="00942863">
              <w:rPr>
                <w:sz w:val="22"/>
                <w:szCs w:val="22"/>
              </w:rPr>
              <w:t>3. Izteikt 51.punktu šādā redakcijā:</w:t>
            </w:r>
          </w:p>
          <w:p w14:paraId="679AB2F3" w14:textId="77777777" w:rsidR="00B52196" w:rsidRPr="00942863" w:rsidRDefault="00B52196" w:rsidP="006E5572">
            <w:pPr>
              <w:tabs>
                <w:tab w:val="left" w:pos="426"/>
              </w:tabs>
              <w:jc w:val="both"/>
              <w:rPr>
                <w:sz w:val="22"/>
                <w:szCs w:val="22"/>
              </w:rPr>
            </w:pPr>
          </w:p>
          <w:p w14:paraId="34CFF3A9" w14:textId="77777777" w:rsidR="006E5572" w:rsidRPr="00942863" w:rsidRDefault="006E5572" w:rsidP="006E5572">
            <w:pPr>
              <w:jc w:val="both"/>
              <w:rPr>
                <w:sz w:val="22"/>
                <w:szCs w:val="22"/>
              </w:rPr>
            </w:pPr>
            <w:r w:rsidRPr="00942863">
              <w:rPr>
                <w:sz w:val="22"/>
                <w:szCs w:val="22"/>
              </w:rPr>
              <w:lastRenderedPageBreak/>
              <w:t>„51. Ja projekta pārskata periodā (projekta dzīves cikla laikā) projekts vairs neatbilst šo noteikumu </w:t>
            </w:r>
            <w:hyperlink r:id="rId7" w:anchor="p53" w:history="1">
              <w:r w:rsidRPr="00942863">
                <w:rPr>
                  <w:sz w:val="22"/>
                  <w:szCs w:val="22"/>
                </w:rPr>
                <w:t>44.punktā</w:t>
              </w:r>
            </w:hyperlink>
            <w:r w:rsidRPr="00942863">
              <w:rPr>
                <w:sz w:val="22"/>
                <w:szCs w:val="22"/>
              </w:rPr>
              <w:t> minētajiem nosacījumiem, finansējuma saņēmējs mēneša laikā pēc gada pārskata par objekta, kurā veikti ieguldījumi, darbību iesniegšanas informē sadarbības iestādi, ka projekts ir kvalificējams kā atbalsts komercdarbībai.””</w:t>
            </w:r>
          </w:p>
          <w:p w14:paraId="28C37D00" w14:textId="77777777" w:rsidR="003311BA" w:rsidRPr="00942863" w:rsidRDefault="003311BA" w:rsidP="006E5572">
            <w:pPr>
              <w:jc w:val="both"/>
              <w:rPr>
                <w:sz w:val="22"/>
                <w:szCs w:val="22"/>
              </w:rPr>
            </w:pPr>
          </w:p>
          <w:p w14:paraId="58B285AB" w14:textId="269D1A5E" w:rsidR="00102ED6" w:rsidRPr="00942863" w:rsidRDefault="003311BA" w:rsidP="00102ED6">
            <w:pPr>
              <w:pStyle w:val="Sarakstarindkopa"/>
              <w:tabs>
                <w:tab w:val="left" w:pos="95"/>
              </w:tabs>
              <w:ind w:left="0"/>
              <w:jc w:val="both"/>
              <w:rPr>
                <w:rFonts w:ascii="Times New Roman" w:hAnsi="Times New Roman"/>
              </w:rPr>
            </w:pPr>
            <w:r w:rsidRPr="00942863">
              <w:rPr>
                <w:rFonts w:ascii="Times New Roman" w:hAnsi="Times New Roman"/>
              </w:rPr>
              <w:t>Noteikumu projekta sākotnējās ietekmes novērtējuma ziņojuma (anotācijas) (turpmāk – anotācija) I sadaļas „Tiesību akta projekta izstrādes nepieciešamība” 2.punkts „Pašreizējā situācija un problēmas, kuru risināšanai tiesību akta projekts izstrādāts, tiesiskā regulējuma mērķis un būtība”.</w:t>
            </w:r>
          </w:p>
        </w:tc>
        <w:tc>
          <w:tcPr>
            <w:tcW w:w="1251" w:type="pct"/>
            <w:tcBorders>
              <w:top w:val="single" w:sz="4" w:space="0" w:color="auto"/>
              <w:left w:val="single" w:sz="6" w:space="0" w:color="000000"/>
              <w:bottom w:val="single" w:sz="4" w:space="0" w:color="auto"/>
              <w:right w:val="single" w:sz="6" w:space="0" w:color="000000"/>
            </w:tcBorders>
            <w:shd w:val="clear" w:color="auto" w:fill="auto"/>
            <w:hideMark/>
          </w:tcPr>
          <w:p w14:paraId="53BEE855" w14:textId="77777777" w:rsidR="007E2DE0" w:rsidRPr="00942863" w:rsidRDefault="00997920">
            <w:pPr>
              <w:pStyle w:val="Komentrateksts"/>
              <w:widowControl w:val="0"/>
              <w:jc w:val="both"/>
              <w:rPr>
                <w:b/>
                <w:sz w:val="22"/>
                <w:szCs w:val="22"/>
              </w:rPr>
            </w:pPr>
            <w:r w:rsidRPr="00942863">
              <w:rPr>
                <w:b/>
                <w:sz w:val="22"/>
                <w:szCs w:val="22"/>
              </w:rPr>
              <w:lastRenderedPageBreak/>
              <w:t>Finanšu ministrija</w:t>
            </w:r>
            <w:r w:rsidR="001F410D" w:rsidRPr="00942863">
              <w:rPr>
                <w:b/>
                <w:sz w:val="22"/>
                <w:szCs w:val="22"/>
              </w:rPr>
              <w:t>:</w:t>
            </w:r>
          </w:p>
          <w:p w14:paraId="5DE3DE57" w14:textId="77777777" w:rsidR="0074148A" w:rsidRPr="00942863" w:rsidRDefault="0074148A" w:rsidP="006E5572">
            <w:pPr>
              <w:jc w:val="both"/>
              <w:rPr>
                <w:rFonts w:eastAsia="Calibri"/>
                <w:sz w:val="22"/>
                <w:szCs w:val="22"/>
              </w:rPr>
            </w:pPr>
            <w:r w:rsidRPr="00942863">
              <w:rPr>
                <w:rFonts w:eastAsia="Calibri"/>
                <w:sz w:val="22"/>
                <w:szCs w:val="22"/>
              </w:rPr>
              <w:t>Lūdzam precizēt un/vai papildināt noteikumu projektu, kā arī anotāciju, ņemot vērā, ka no šobrīd esošās redakcijas nav secināms, kāda satura un formas ir noteikumu projekta 3.punktā minētais dokuments – gada pārskats par objekta, kurā veikti ieguldījumi, darbību. Norādām, ka anotācijā nav iekļauta informācija, vai minētais dokuments tiks paredzēts KM metodikā par valsts atbalsta uzraudzību 5.5.1.SAM</w:t>
            </w:r>
            <w:r w:rsidRPr="00942863">
              <w:rPr>
                <w:rFonts w:eastAsia="Calibri"/>
                <w:sz w:val="22"/>
                <w:szCs w:val="22"/>
                <w:vertAlign w:val="superscript"/>
              </w:rPr>
              <w:footnoteReference w:id="1"/>
            </w:r>
            <w:r w:rsidRPr="00942863">
              <w:rPr>
                <w:rFonts w:eastAsia="Calibri"/>
                <w:sz w:val="22"/>
                <w:szCs w:val="22"/>
              </w:rPr>
              <w:t xml:space="preserve"> ietvaros, vai paredzēta dokumenta atbilstoši Gada pārskatu un konsolidēto gada pārskatu likumam iesniegšana. Vēršam uzmanību, ka 5.5.1.SAM ietvaros finansējuma saņēmēji un to sadarbības partneri ir dažādas juridiskas personas, tajā skaitā, tādas, kuras nav minētā likuma subjekti atbilstoši tā </w:t>
            </w:r>
            <w:proofErr w:type="gramStart"/>
            <w:r w:rsidRPr="00942863">
              <w:rPr>
                <w:rFonts w:eastAsia="Calibri"/>
                <w:sz w:val="22"/>
                <w:szCs w:val="22"/>
              </w:rPr>
              <w:t>3.pantam</w:t>
            </w:r>
            <w:proofErr w:type="gramEnd"/>
            <w:r w:rsidRPr="00942863">
              <w:rPr>
                <w:rFonts w:eastAsia="Calibri"/>
                <w:sz w:val="22"/>
                <w:szCs w:val="22"/>
              </w:rPr>
              <w:t xml:space="preserve">. </w:t>
            </w:r>
          </w:p>
          <w:p w14:paraId="651431E3" w14:textId="2693BD80" w:rsidR="007E2DE0" w:rsidRPr="00942863" w:rsidRDefault="0074148A" w:rsidP="00EA6A9A">
            <w:pPr>
              <w:jc w:val="both"/>
              <w:rPr>
                <w:sz w:val="22"/>
                <w:szCs w:val="22"/>
              </w:rPr>
            </w:pPr>
            <w:r w:rsidRPr="00942863">
              <w:rPr>
                <w:rFonts w:eastAsia="Calibri"/>
                <w:sz w:val="22"/>
                <w:szCs w:val="22"/>
              </w:rPr>
              <w:t xml:space="preserve">Vienlaikus aicinām KM precizēt noteikumu projektu, lai plānotie MK </w:t>
            </w:r>
            <w:r w:rsidRPr="00942863">
              <w:rPr>
                <w:rFonts w:eastAsia="Calibri"/>
                <w:sz w:val="22"/>
                <w:szCs w:val="22"/>
              </w:rPr>
              <w:lastRenderedPageBreak/>
              <w:t>noteikumu</w:t>
            </w:r>
            <w:r w:rsidRPr="00942863" w:rsidDel="00E12F2C">
              <w:rPr>
                <w:rFonts w:eastAsia="Calibri"/>
                <w:sz w:val="22"/>
                <w:szCs w:val="22"/>
              </w:rPr>
              <w:t xml:space="preserve"> </w:t>
            </w:r>
            <w:r w:rsidRPr="00942863">
              <w:rPr>
                <w:rFonts w:eastAsia="Calibri"/>
                <w:sz w:val="22"/>
                <w:szCs w:val="22"/>
              </w:rPr>
              <w:t>Nr.635</w:t>
            </w:r>
            <w:r w:rsidRPr="00942863">
              <w:rPr>
                <w:rFonts w:eastAsia="Calibri"/>
                <w:sz w:val="22"/>
                <w:szCs w:val="22"/>
                <w:vertAlign w:val="superscript"/>
              </w:rPr>
              <w:footnoteReference w:id="2"/>
            </w:r>
            <w:r w:rsidRPr="00942863">
              <w:rPr>
                <w:rFonts w:eastAsia="Calibri"/>
                <w:sz w:val="22"/>
                <w:szCs w:val="22"/>
                <w:vertAlign w:val="superscript"/>
              </w:rPr>
              <w:t xml:space="preserve"> </w:t>
            </w:r>
            <w:r w:rsidRPr="00942863">
              <w:rPr>
                <w:rFonts w:eastAsia="Calibri"/>
                <w:sz w:val="22"/>
                <w:szCs w:val="22"/>
              </w:rPr>
              <w:t xml:space="preserve">60.punkta grozījumi atbilstu Revīzijas iestādes revīzijas </w:t>
            </w:r>
            <w:proofErr w:type="spellStart"/>
            <w:r w:rsidRPr="00942863">
              <w:rPr>
                <w:rFonts w:eastAsia="Calibri"/>
                <w:sz w:val="22"/>
                <w:szCs w:val="22"/>
              </w:rPr>
              <w:t>Nr.DR</w:t>
            </w:r>
            <w:proofErr w:type="spellEnd"/>
            <w:r w:rsidRPr="00942863">
              <w:rPr>
                <w:rFonts w:eastAsia="Calibri"/>
                <w:sz w:val="22"/>
                <w:szCs w:val="22"/>
              </w:rPr>
              <w:t>/ESIF/2020/15-6 ziņojuma 8.ieteikumam. Revīzijas iestāde norāda, ka tā ir pret atbildības par MK noteikumu Nr.635 53.punkta nosacījuma izpildi novirzīšanu finansējuma saņēmējam, bet ir par objektīvu trešās puses vērtējumu. Revīzijas iestādes ieskatā, būtu nepieciešams regulēt, kāda informācija (uz kādiem datiem pamatoti aprēķini) un cik bieži finansējuma saņēmējam ir jāsniedz sadarbības iestādei, lai tā varētu nodrošināt šī nosacījuma uzraudzību. Papildus, atbilstoši minētajam Revīzijas iestādes ziņojumam, aicinām anotācijā ietvert skaidrojumu, kas ir uzskatāms par “kultūras jomas pakalpojumu sniedzēju”. Ņemot vērā, ka, iespējams, finansējuma saņēmējiem ar MK noteikumu Nr.635 grozījumiem tiek uzlikts jauns papildu pienākums, atbilstoši atrunājama šo grozījumu spēkā stāšanās.</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14:paraId="47D4F612" w14:textId="0CD98DAD" w:rsidR="007E2DE0" w:rsidRPr="00942863" w:rsidRDefault="00102ED6" w:rsidP="002C4ABB">
            <w:pPr>
              <w:pStyle w:val="naisc"/>
              <w:spacing w:before="0" w:after="0"/>
              <w:ind w:firstLine="32"/>
              <w:rPr>
                <w:sz w:val="22"/>
                <w:szCs w:val="22"/>
              </w:rPr>
            </w:pPr>
            <w:r w:rsidRPr="00942863">
              <w:rPr>
                <w:b/>
                <w:sz w:val="22"/>
                <w:szCs w:val="22"/>
              </w:rPr>
              <w:lastRenderedPageBreak/>
              <w:t>Ņemts vērā</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FF0F6D1" w14:textId="2D788B4E" w:rsidR="00C57372" w:rsidRPr="00942863" w:rsidRDefault="00C57372" w:rsidP="00C57372">
            <w:pPr>
              <w:pStyle w:val="naisc"/>
              <w:spacing w:before="0" w:after="0"/>
              <w:jc w:val="both"/>
              <w:rPr>
                <w:sz w:val="22"/>
                <w:szCs w:val="22"/>
              </w:rPr>
            </w:pPr>
            <w:r w:rsidRPr="00942863">
              <w:rPr>
                <w:sz w:val="22"/>
                <w:szCs w:val="22"/>
              </w:rPr>
              <w:t xml:space="preserve">Precizēts Noteikumu projekta </w:t>
            </w:r>
            <w:r w:rsidR="005611D9" w:rsidRPr="00942863">
              <w:rPr>
                <w:sz w:val="22"/>
                <w:szCs w:val="22"/>
              </w:rPr>
              <w:t>7</w:t>
            </w:r>
            <w:r w:rsidRPr="00942863">
              <w:rPr>
                <w:sz w:val="22"/>
                <w:szCs w:val="22"/>
              </w:rPr>
              <w:t>.punkts šādā redakcijā:</w:t>
            </w:r>
          </w:p>
          <w:p w14:paraId="6A398771" w14:textId="77777777" w:rsidR="001F0D86" w:rsidRPr="00942863" w:rsidRDefault="001F0D86" w:rsidP="00C57372">
            <w:pPr>
              <w:pStyle w:val="naisc"/>
              <w:spacing w:before="0" w:after="0"/>
              <w:jc w:val="both"/>
              <w:rPr>
                <w:sz w:val="22"/>
                <w:szCs w:val="22"/>
              </w:rPr>
            </w:pPr>
          </w:p>
          <w:p w14:paraId="3C0DD9E2" w14:textId="3FF833E5" w:rsidR="001F0D86" w:rsidRPr="00942863" w:rsidRDefault="002E2E9C" w:rsidP="00C57372">
            <w:pPr>
              <w:pStyle w:val="naisc"/>
              <w:spacing w:before="0" w:after="0"/>
              <w:jc w:val="both"/>
              <w:rPr>
                <w:sz w:val="22"/>
                <w:szCs w:val="22"/>
              </w:rPr>
            </w:pPr>
            <w:r w:rsidRPr="00942863">
              <w:rPr>
                <w:sz w:val="22"/>
                <w:szCs w:val="22"/>
              </w:rPr>
              <w:t>„</w:t>
            </w:r>
            <w:r w:rsidR="005611D9" w:rsidRPr="00942863">
              <w:rPr>
                <w:sz w:val="22"/>
                <w:szCs w:val="22"/>
              </w:rPr>
              <w:t>7</w:t>
            </w:r>
            <w:r w:rsidR="00B605E1" w:rsidRPr="00942863">
              <w:rPr>
                <w:sz w:val="22"/>
                <w:szCs w:val="22"/>
              </w:rPr>
              <w:t>. Izteikt 51.</w:t>
            </w:r>
            <w:r w:rsidR="005611D9" w:rsidRPr="00942863">
              <w:rPr>
                <w:sz w:val="22"/>
                <w:szCs w:val="22"/>
              </w:rPr>
              <w:t xml:space="preserve"> un 52.</w:t>
            </w:r>
            <w:r w:rsidR="00B605E1" w:rsidRPr="00942863">
              <w:rPr>
                <w:sz w:val="22"/>
                <w:szCs w:val="22"/>
              </w:rPr>
              <w:t>punktu šādā redakcijā:</w:t>
            </w:r>
          </w:p>
          <w:p w14:paraId="558EE1C6" w14:textId="77777777" w:rsidR="003F35E5" w:rsidRPr="00942863" w:rsidRDefault="003F35E5" w:rsidP="00C57372">
            <w:pPr>
              <w:pStyle w:val="naisc"/>
              <w:spacing w:before="0" w:after="0"/>
              <w:jc w:val="both"/>
              <w:rPr>
                <w:sz w:val="22"/>
                <w:szCs w:val="22"/>
              </w:rPr>
            </w:pPr>
          </w:p>
          <w:p w14:paraId="015E7FF8" w14:textId="0CDB6ADE" w:rsidR="005611D9" w:rsidRPr="00942863" w:rsidRDefault="00A66DAB" w:rsidP="00A66DAB">
            <w:pPr>
              <w:pStyle w:val="naisc"/>
              <w:spacing w:before="0" w:after="0"/>
              <w:jc w:val="both"/>
              <w:rPr>
                <w:sz w:val="22"/>
                <w:szCs w:val="22"/>
              </w:rPr>
            </w:pPr>
            <w:r w:rsidRPr="00942863">
              <w:rPr>
                <w:sz w:val="22"/>
                <w:szCs w:val="22"/>
              </w:rPr>
              <w:t>„51.</w:t>
            </w:r>
            <w:r w:rsidR="00B605E1" w:rsidRPr="00942863">
              <w:rPr>
                <w:sz w:val="22"/>
                <w:szCs w:val="22"/>
              </w:rPr>
              <w:t> </w:t>
            </w:r>
            <w:r w:rsidR="005D551A" w:rsidRPr="00942863">
              <w:rPr>
                <w:sz w:val="22"/>
                <w:szCs w:val="22"/>
              </w:rPr>
              <w:t>Projekta pārskata periodā (projekta dzīves cikla laikā) finansējuma saņēmējs atbilstoši komercdarbības atbalsta piemērošanas metodikai kultūras nozares projektiem specifiskā atbalsta ietvaros reizi gadā</w:t>
            </w:r>
            <w:proofErr w:type="gramStart"/>
            <w:r w:rsidR="005D551A" w:rsidRPr="00942863">
              <w:rPr>
                <w:sz w:val="22"/>
                <w:szCs w:val="22"/>
              </w:rPr>
              <w:t xml:space="preserve"> līdz kārtējā gada 1. jūnijam iesniedz sadarbības iestādē informāciju, kas nepieciešama, lai izvērtētu</w:t>
            </w:r>
            <w:proofErr w:type="gramEnd"/>
            <w:r w:rsidR="005D551A" w:rsidRPr="00942863">
              <w:rPr>
                <w:sz w:val="22"/>
                <w:szCs w:val="22"/>
              </w:rPr>
              <w:t xml:space="preserve">, vai projekts atbilst šo noteikumu </w:t>
            </w:r>
            <w:hyperlink r:id="rId8" w:anchor="p53" w:history="1">
              <w:r w:rsidR="005D551A" w:rsidRPr="00942863">
                <w:rPr>
                  <w:sz w:val="22"/>
                  <w:szCs w:val="22"/>
                </w:rPr>
                <w:t>44.punktā</w:t>
              </w:r>
            </w:hyperlink>
            <w:r w:rsidR="005D551A" w:rsidRPr="00942863">
              <w:rPr>
                <w:sz w:val="22"/>
                <w:szCs w:val="22"/>
              </w:rPr>
              <w:t xml:space="preserve"> minētajiem nosacījumiem. Lēmums par komercdarbības atbalsta piešķiršanu saskaņā ar Komisijas regulu Nr.</w:t>
            </w:r>
            <w:hyperlink r:id="rId9" w:tgtFrame="_blank" w:history="1">
              <w:r w:rsidR="005D551A" w:rsidRPr="00942863">
                <w:rPr>
                  <w:sz w:val="22"/>
                  <w:szCs w:val="22"/>
                </w:rPr>
                <w:t>651/2014</w:t>
              </w:r>
            </w:hyperlink>
            <w:r w:rsidR="00942863" w:rsidRPr="00942863">
              <w:rPr>
                <w:sz w:val="22"/>
                <w:szCs w:val="22"/>
              </w:rPr>
              <w:t xml:space="preserve"> </w:t>
            </w:r>
            <w:r w:rsidR="005D551A" w:rsidRPr="00942863">
              <w:rPr>
                <w:sz w:val="22"/>
                <w:szCs w:val="22"/>
              </w:rPr>
              <w:t>ir sadarbības iestādes lēmums par atbilstību komercdarbības atbalsta normām.</w:t>
            </w:r>
          </w:p>
          <w:p w14:paraId="7A255CAB" w14:textId="77777777" w:rsidR="005611D9" w:rsidRPr="00942863" w:rsidRDefault="005611D9" w:rsidP="00A66DAB">
            <w:pPr>
              <w:pStyle w:val="naisc"/>
              <w:spacing w:before="0" w:after="0"/>
              <w:jc w:val="both"/>
              <w:rPr>
                <w:sz w:val="22"/>
                <w:szCs w:val="22"/>
              </w:rPr>
            </w:pPr>
          </w:p>
          <w:p w14:paraId="7A6C9927" w14:textId="7A564132" w:rsidR="00A66DAB" w:rsidRPr="00942863" w:rsidRDefault="005611D9" w:rsidP="00411455">
            <w:pPr>
              <w:jc w:val="both"/>
              <w:rPr>
                <w:sz w:val="22"/>
                <w:szCs w:val="22"/>
              </w:rPr>
            </w:pPr>
            <w:r w:rsidRPr="00942863">
              <w:rPr>
                <w:sz w:val="22"/>
                <w:szCs w:val="22"/>
              </w:rPr>
              <w:t xml:space="preserve">52. </w:t>
            </w:r>
            <w:r w:rsidR="005D551A" w:rsidRPr="00942863">
              <w:rPr>
                <w:sz w:val="22"/>
                <w:szCs w:val="22"/>
              </w:rPr>
              <w:t>Ja ir pārkāptas Komisijas regulas Nr.</w:t>
            </w:r>
            <w:hyperlink r:id="rId10" w:tgtFrame="_blank" w:history="1">
              <w:r w:rsidR="005D551A" w:rsidRPr="00942863">
                <w:rPr>
                  <w:sz w:val="22"/>
                  <w:szCs w:val="22"/>
                </w:rPr>
                <w:t>651/2014</w:t>
              </w:r>
            </w:hyperlink>
            <w:r w:rsidR="00942863" w:rsidRPr="00942863">
              <w:rPr>
                <w:sz w:val="22"/>
                <w:szCs w:val="22"/>
              </w:rPr>
              <w:t xml:space="preserve"> </w:t>
            </w:r>
            <w:r w:rsidR="005D551A" w:rsidRPr="00942863">
              <w:rPr>
                <w:sz w:val="22"/>
                <w:szCs w:val="22"/>
              </w:rPr>
              <w:t>prasības</w:t>
            </w:r>
            <w:proofErr w:type="gramStart"/>
            <w:r w:rsidR="005D551A" w:rsidRPr="00942863">
              <w:rPr>
                <w:sz w:val="22"/>
                <w:szCs w:val="22"/>
              </w:rPr>
              <w:t xml:space="preserve"> vai ir konstatēts, </w:t>
            </w:r>
            <w:r w:rsidR="005D551A" w:rsidRPr="00942863">
              <w:rPr>
                <w:sz w:val="22"/>
                <w:szCs w:val="22"/>
              </w:rPr>
              <w:lastRenderedPageBreak/>
              <w:t>ka ar saimniecisko darbību nesaistīts projekts tā ieviešanas gaitā vai projekta pārskata periodā (projekta dzīves cikla laikā) kļūst par ar saimniecisko darbību saistītu projektu un tam nav</w:t>
            </w:r>
            <w:proofErr w:type="gramEnd"/>
            <w:r w:rsidR="005D551A" w:rsidRPr="00942863">
              <w:rPr>
                <w:sz w:val="22"/>
                <w:szCs w:val="22"/>
              </w:rPr>
              <w:t xml:space="preserve"> iespējams piemērot Komisijas regulas Nr.</w:t>
            </w:r>
            <w:hyperlink r:id="rId11" w:tgtFrame="_blank" w:history="1">
              <w:r w:rsidR="005D551A" w:rsidRPr="00942863">
                <w:rPr>
                  <w:sz w:val="22"/>
                  <w:szCs w:val="22"/>
                </w:rPr>
                <w:t>651/2014</w:t>
              </w:r>
            </w:hyperlink>
            <w:r w:rsidR="00942863" w:rsidRPr="00942863">
              <w:rPr>
                <w:sz w:val="22"/>
                <w:szCs w:val="22"/>
              </w:rPr>
              <w:t xml:space="preserve"> </w:t>
            </w:r>
            <w:proofErr w:type="gramStart"/>
            <w:r w:rsidR="005D551A" w:rsidRPr="00942863">
              <w:rPr>
                <w:sz w:val="22"/>
                <w:szCs w:val="22"/>
              </w:rPr>
              <w:t>53.panta</w:t>
            </w:r>
            <w:proofErr w:type="gramEnd"/>
            <w:r w:rsidR="005D551A" w:rsidRPr="00942863">
              <w:rPr>
                <w:sz w:val="22"/>
                <w:szCs w:val="22"/>
              </w:rPr>
              <w:t xml:space="preserve"> nosacījumus, atbalsta saņēmējam ir pienākums atmaksāt sadarbības iestādei saņemto nelikumīgo komercdarbības atbalstu no līdzekļiem, kas ir brīvi no valsts atbalsta, atbilstoši Komercdarbības atbalsta kontroles likuma IV un V nodaļas nosacījumiem</w:t>
            </w:r>
            <w:r w:rsidR="00411455" w:rsidRPr="00942863">
              <w:rPr>
                <w:sz w:val="22"/>
                <w:szCs w:val="22"/>
              </w:rPr>
              <w:t>.</w:t>
            </w:r>
            <w:r w:rsidR="001F0D86" w:rsidRPr="00942863">
              <w:rPr>
                <w:sz w:val="22"/>
                <w:szCs w:val="22"/>
              </w:rPr>
              <w:t>”</w:t>
            </w:r>
            <w:r w:rsidR="00B23E89" w:rsidRPr="00942863">
              <w:rPr>
                <w:sz w:val="22"/>
                <w:szCs w:val="22"/>
              </w:rPr>
              <w:t>”</w:t>
            </w:r>
          </w:p>
          <w:p w14:paraId="333C5625" w14:textId="111CE5D7" w:rsidR="00546225" w:rsidRPr="00942863" w:rsidRDefault="00546225" w:rsidP="00C57372">
            <w:pPr>
              <w:pStyle w:val="naisc"/>
              <w:spacing w:before="0" w:after="0"/>
              <w:jc w:val="both"/>
              <w:rPr>
                <w:sz w:val="22"/>
                <w:szCs w:val="22"/>
              </w:rPr>
            </w:pPr>
          </w:p>
          <w:p w14:paraId="2CC18F5A" w14:textId="5A102614" w:rsidR="00C57372" w:rsidRPr="00942863" w:rsidRDefault="00C57372" w:rsidP="00C57372">
            <w:pPr>
              <w:jc w:val="both"/>
              <w:rPr>
                <w:sz w:val="22"/>
                <w:szCs w:val="22"/>
              </w:rPr>
            </w:pPr>
            <w:r w:rsidRPr="00942863">
              <w:rPr>
                <w:sz w:val="22"/>
                <w:szCs w:val="22"/>
              </w:rPr>
              <w:t>Papildināts anotācijas I sadaļas „Tiesību akta projekta izstrādes nepieciešamība” 2.punkts „Pašreizējā situācija un problēmas, kuru risināšanai tiesību akta projekts izstrādāts, tiesiskā regulējuma mērķis un būtība”</w:t>
            </w:r>
            <w:r w:rsidR="00E81066" w:rsidRPr="00942863">
              <w:rPr>
                <w:sz w:val="22"/>
                <w:szCs w:val="22"/>
              </w:rPr>
              <w:t xml:space="preserve"> </w:t>
            </w:r>
            <w:r w:rsidR="00942863" w:rsidRPr="00942863">
              <w:rPr>
                <w:sz w:val="22"/>
                <w:szCs w:val="22"/>
              </w:rPr>
              <w:t>ar šādu informāciju</w:t>
            </w:r>
            <w:r w:rsidRPr="00942863">
              <w:rPr>
                <w:sz w:val="22"/>
                <w:szCs w:val="22"/>
              </w:rPr>
              <w:t xml:space="preserve">: </w:t>
            </w:r>
          </w:p>
          <w:p w14:paraId="18A5353B" w14:textId="77777777" w:rsidR="009D02C7" w:rsidRPr="00942863" w:rsidRDefault="009D02C7" w:rsidP="00C57372">
            <w:pPr>
              <w:jc w:val="both"/>
              <w:rPr>
                <w:sz w:val="22"/>
                <w:szCs w:val="22"/>
              </w:rPr>
            </w:pPr>
          </w:p>
          <w:p w14:paraId="66BD8129" w14:textId="7EDBF052" w:rsidR="00DC36CA" w:rsidRPr="00942863" w:rsidRDefault="003F1B53" w:rsidP="00DC36CA">
            <w:pPr>
              <w:jc w:val="both"/>
              <w:rPr>
                <w:sz w:val="22"/>
                <w:szCs w:val="22"/>
              </w:rPr>
            </w:pPr>
            <w:r w:rsidRPr="00942863">
              <w:rPr>
                <w:sz w:val="22"/>
                <w:szCs w:val="22"/>
              </w:rPr>
              <w:t>„</w:t>
            </w:r>
            <w:r w:rsidR="00DC36CA" w:rsidRPr="00942863">
              <w:rPr>
                <w:sz w:val="22"/>
                <w:szCs w:val="22"/>
              </w:rPr>
              <w:t xml:space="preserve">Jūrmalas pilsētas dome ar </w:t>
            </w:r>
            <w:proofErr w:type="gramStart"/>
            <w:r w:rsidR="00DC36CA" w:rsidRPr="00942863">
              <w:rPr>
                <w:sz w:val="22"/>
                <w:szCs w:val="22"/>
              </w:rPr>
              <w:t>2021.gada</w:t>
            </w:r>
            <w:proofErr w:type="gramEnd"/>
            <w:r w:rsidR="00DC36CA" w:rsidRPr="00942863">
              <w:rPr>
                <w:sz w:val="22"/>
                <w:szCs w:val="22"/>
              </w:rPr>
              <w:t xml:space="preserve"> 22.jūlija vēstuli Nr.1.1-19/21N-4286 ir informējusi Kultūras ministriju par riskiem projekta Nr.5.5.1.0/19/I/004 </w:t>
            </w:r>
            <w:r w:rsidR="00DC36CA" w:rsidRPr="00942863">
              <w:rPr>
                <w:iCs/>
                <w:sz w:val="22"/>
                <w:szCs w:val="22"/>
              </w:rPr>
              <w:t>„</w:t>
            </w:r>
            <w:r w:rsidR="00DC36CA" w:rsidRPr="00942863">
              <w:rPr>
                <w:sz w:val="22"/>
                <w:szCs w:val="22"/>
              </w:rPr>
              <w:t xml:space="preserve">Daudzfunkcionāla dabas tūrisma centra pakalpojumu attīstība un meža parka labiekārtojuma pilnveide Ķemeros” īstenošanā, norādot, ka </w:t>
            </w:r>
            <w:r w:rsidR="00942863" w:rsidRPr="00942863">
              <w:rPr>
                <w:sz w:val="22"/>
                <w:szCs w:val="22"/>
              </w:rPr>
              <w:t xml:space="preserve">projekta </w:t>
            </w:r>
            <w:r w:rsidR="00DC36CA" w:rsidRPr="00942863">
              <w:rPr>
                <w:sz w:val="22"/>
                <w:szCs w:val="22"/>
              </w:rPr>
              <w:t xml:space="preserve">Nr.5.5.1.0/19/I/004 īstenošana ir savstarpēji saistīta ar 5.6.2.specifiskā atbalsta mērķa </w:t>
            </w:r>
            <w:r w:rsidR="00DC36CA" w:rsidRPr="00942863">
              <w:rPr>
                <w:iCs/>
                <w:sz w:val="22"/>
                <w:szCs w:val="22"/>
              </w:rPr>
              <w:lastRenderedPageBreak/>
              <w:t>„</w:t>
            </w:r>
            <w:r w:rsidR="00DC36CA" w:rsidRPr="00942863">
              <w:rPr>
                <w:sz w:val="22"/>
                <w:szCs w:val="22"/>
              </w:rPr>
              <w:t xml:space="preserve">Teritoriju revitalizācija, reģenerējot degradētās teritorijas atbilstoši pašvaldību integrētajām attīstības programmām” projekta Nr.5.6.2.0/19/I/012 </w:t>
            </w:r>
            <w:r w:rsidR="00942863" w:rsidRPr="00942863">
              <w:rPr>
                <w:iCs/>
                <w:sz w:val="22"/>
                <w:szCs w:val="22"/>
              </w:rPr>
              <w:t>„</w:t>
            </w:r>
            <w:r w:rsidR="00DC36CA" w:rsidRPr="00942863">
              <w:rPr>
                <w:sz w:val="22"/>
                <w:szCs w:val="22"/>
              </w:rPr>
              <w:t>Daudzfunkcionāla dabas tūrisma centra jaunbūve un meža parka labiekārtojums Ķemeros” īstenošanu, jo abi projekti paredz ieguldījumus Daudzfunkcionāla dabas tūrisma centra jaunbūves ēkā un inženierkomunikācijās, tā pieguļošās teritorijas labiekārtošanā, kā arī centra funkcionālās teritorijas – Meža parka labiekārtošanā, ir ieilgusi tehniskās dokumentācijas izstrāde, iepirkumu veikšana, projektu iesniegumu vērtēšanas gaita un līguma noslēgšana par projektu īstenošanu. Ņemot vērā minēto</w:t>
            </w:r>
            <w:r w:rsidR="00942863" w:rsidRPr="00942863">
              <w:rPr>
                <w:sz w:val="22"/>
                <w:szCs w:val="22"/>
              </w:rPr>
              <w:t>,</w:t>
            </w:r>
            <w:r w:rsidR="00DC36CA" w:rsidRPr="00942863">
              <w:rPr>
                <w:sz w:val="22"/>
                <w:szCs w:val="22"/>
              </w:rPr>
              <w:t xml:space="preserve"> Jūrmalas pilsētas dome lūdz pagarināt 5.5.1.SAM trešās atlases kārtas projektu īstenošanas termiņu līdz 2023.gada 31.decembrim.</w:t>
            </w:r>
          </w:p>
          <w:p w14:paraId="72D9B736" w14:textId="569F866E" w:rsidR="00ED473F" w:rsidRPr="00942863" w:rsidRDefault="00ED473F" w:rsidP="00942863">
            <w:pPr>
              <w:ind w:firstLine="567"/>
              <w:jc w:val="both"/>
              <w:rPr>
                <w:sz w:val="22"/>
                <w:szCs w:val="22"/>
              </w:rPr>
            </w:pPr>
            <w:r w:rsidRPr="00942863">
              <w:rPr>
                <w:iCs/>
                <w:sz w:val="22"/>
                <w:szCs w:val="22"/>
              </w:rPr>
              <w:t>Ar Projekta 2.punktu tiek precizēta Noteikumu Nr.635 18.punkta redakcija, pagarinot projekta īstenošanas iespējamo termiņu par 12</w:t>
            </w:r>
            <w:r w:rsidR="00942863" w:rsidRPr="00942863">
              <w:rPr>
                <w:iCs/>
                <w:sz w:val="22"/>
                <w:szCs w:val="22"/>
              </w:rPr>
              <w:t> </w:t>
            </w:r>
            <w:r w:rsidRPr="00942863">
              <w:rPr>
                <w:iCs/>
                <w:sz w:val="22"/>
                <w:szCs w:val="22"/>
              </w:rPr>
              <w:t xml:space="preserve">mēnešiem līdz </w:t>
            </w:r>
            <w:proofErr w:type="gramStart"/>
            <w:r w:rsidRPr="00942863">
              <w:rPr>
                <w:iCs/>
                <w:sz w:val="22"/>
                <w:szCs w:val="22"/>
              </w:rPr>
              <w:t>2023.gada</w:t>
            </w:r>
            <w:proofErr w:type="gramEnd"/>
            <w:r w:rsidRPr="00942863">
              <w:rPr>
                <w:iCs/>
                <w:sz w:val="22"/>
                <w:szCs w:val="22"/>
              </w:rPr>
              <w:t xml:space="preserve"> 31.decembrim.</w:t>
            </w:r>
            <w:r w:rsidRPr="00942863">
              <w:rPr>
                <w:sz w:val="22"/>
                <w:szCs w:val="22"/>
              </w:rPr>
              <w:t xml:space="preserve"> Projekta īstenošanas gala termiņš noteikts ņemot vērā Eiropas Parlamenta un Padomes Regulas (ES) Nr.1303/2013 (</w:t>
            </w:r>
            <w:proofErr w:type="gramStart"/>
            <w:r w:rsidRPr="00942863">
              <w:rPr>
                <w:sz w:val="22"/>
                <w:szCs w:val="22"/>
              </w:rPr>
              <w:t>2013.gada</w:t>
            </w:r>
            <w:proofErr w:type="gramEnd"/>
            <w:r w:rsidRPr="00942863">
              <w:rPr>
                <w:sz w:val="22"/>
                <w:szCs w:val="22"/>
              </w:rPr>
              <w:t xml:space="preserve"> 17.decembris), ar ko paredz kopīgus noteikumus par Eiropas Reģionālās attīstības fondu, Eiropas Sociālo fondu, Kohēzijas fondu, Eiropas Lauksaimniecības fondu lauku attīstībai un Eiropas </w:t>
            </w:r>
            <w:r w:rsidRPr="00942863">
              <w:rPr>
                <w:sz w:val="22"/>
                <w:szCs w:val="22"/>
              </w:rPr>
              <w:lastRenderedPageBreak/>
              <w:t>Jūrlietu un zivsaimniecības fondu un vispārīgus noteikumus par Eiropas Reģionālās attīstības fondu, Eiropas Sociālo fondu, Kohēzijas fondu un Eiropas Jūrlietu un zivsaimniecības fondu un atceļ Padomes Regulu (EK) Nr.1083/2006 III  nodaļas, 65.panta 2.punktā noteiktajam izdevumu atbilstības termiņam.</w:t>
            </w:r>
          </w:p>
          <w:p w14:paraId="2D2CD1D0" w14:textId="77777777" w:rsidR="00ED473F" w:rsidRPr="00942863" w:rsidRDefault="00ED473F" w:rsidP="00942863">
            <w:pPr>
              <w:pStyle w:val="Vienkrsteksts"/>
              <w:ind w:firstLine="567"/>
              <w:jc w:val="both"/>
              <w:rPr>
                <w:rFonts w:eastAsia="Times New Roman"/>
                <w:iCs/>
                <w:sz w:val="22"/>
                <w:szCs w:val="22"/>
                <w:lang w:eastAsia="lv-LV"/>
              </w:rPr>
            </w:pPr>
            <w:r w:rsidRPr="00942863">
              <w:rPr>
                <w:rFonts w:eastAsia="Times New Roman"/>
                <w:bCs/>
                <w:sz w:val="22"/>
                <w:szCs w:val="22"/>
                <w:lang w:eastAsia="lv-LV"/>
              </w:rPr>
              <w:t>Nodrošinot projekta īstenošanas termiņa pagarinājumu, tiks mazināti riski Noteikumu Nr.635 9.1.apakšpunktā noteikto iznākuma rādītāju sasniegšanā.</w:t>
            </w:r>
          </w:p>
          <w:p w14:paraId="2B79DE06" w14:textId="77777777" w:rsidR="00ED473F" w:rsidRPr="00942863" w:rsidRDefault="00ED473F" w:rsidP="00942863">
            <w:pPr>
              <w:pStyle w:val="Vienkrsteksts"/>
              <w:widowControl w:val="0"/>
              <w:ind w:firstLine="567"/>
              <w:jc w:val="both"/>
              <w:rPr>
                <w:sz w:val="22"/>
                <w:szCs w:val="22"/>
              </w:rPr>
            </w:pPr>
            <w:r w:rsidRPr="00942863">
              <w:rPr>
                <w:sz w:val="22"/>
                <w:szCs w:val="22"/>
              </w:rPr>
              <w:t>Tāpat ar Projektu nepieciešams precizēt Valsts atbalsta komercdarbībai saņemšanas nosacījumus:</w:t>
            </w:r>
          </w:p>
          <w:p w14:paraId="7D474E43" w14:textId="40F5018D" w:rsidR="00ED473F" w:rsidRPr="00942863" w:rsidRDefault="00ED473F" w:rsidP="00ED473F">
            <w:pPr>
              <w:pStyle w:val="Vienkrsteksts"/>
              <w:widowControl w:val="0"/>
              <w:numPr>
                <w:ilvl w:val="0"/>
                <w:numId w:val="29"/>
              </w:numPr>
              <w:ind w:left="357" w:hanging="357"/>
              <w:jc w:val="both"/>
              <w:rPr>
                <w:sz w:val="22"/>
                <w:szCs w:val="22"/>
              </w:rPr>
            </w:pPr>
            <w:r w:rsidRPr="00942863">
              <w:rPr>
                <w:iCs/>
                <w:sz w:val="22"/>
                <w:szCs w:val="22"/>
              </w:rPr>
              <w:t xml:space="preserve">ar Projekta 3.punktu tiek tehniski precizēta Noteikumu Nr.635 25.punkta redakcija un </w:t>
            </w:r>
            <w:proofErr w:type="gramStart"/>
            <w:r w:rsidRPr="00942863">
              <w:rPr>
                <w:iCs/>
                <w:sz w:val="22"/>
                <w:szCs w:val="22"/>
              </w:rPr>
              <w:t>ar 4.punktu 44.punkta redakcija</w:t>
            </w:r>
            <w:proofErr w:type="gramEnd"/>
            <w:r w:rsidRPr="00942863">
              <w:rPr>
                <w:iCs/>
                <w:sz w:val="22"/>
                <w:szCs w:val="22"/>
              </w:rPr>
              <w:t xml:space="preserve">, finansējuma saņēmējam skaidrāk norādot veicamās darbības nelikumīga komercdarbības atbalsta gadījumā, kā arī </w:t>
            </w:r>
            <w:r w:rsidRPr="00942863">
              <w:rPr>
                <w:sz w:val="22"/>
                <w:szCs w:val="22"/>
              </w:rPr>
              <w:t>komercdarbības atbalsta izslēdzošo nosacījumu vērtēšanas kārtību;</w:t>
            </w:r>
          </w:p>
          <w:p w14:paraId="3392687C" w14:textId="12496507" w:rsidR="00ED473F" w:rsidRPr="00942863" w:rsidRDefault="00ED473F" w:rsidP="00ED473F">
            <w:pPr>
              <w:pStyle w:val="Vienkrsteksts"/>
              <w:widowControl w:val="0"/>
              <w:numPr>
                <w:ilvl w:val="0"/>
                <w:numId w:val="29"/>
              </w:numPr>
              <w:ind w:left="357" w:hanging="357"/>
              <w:jc w:val="both"/>
              <w:rPr>
                <w:iCs/>
                <w:sz w:val="22"/>
                <w:szCs w:val="22"/>
              </w:rPr>
            </w:pPr>
            <w:r w:rsidRPr="00942863">
              <w:rPr>
                <w:sz w:val="22"/>
                <w:szCs w:val="22"/>
              </w:rPr>
              <w:t>ar Projekta 5.punktu</w:t>
            </w:r>
            <w:r w:rsidRPr="00942863">
              <w:rPr>
                <w:iCs/>
                <w:sz w:val="22"/>
                <w:szCs w:val="22"/>
              </w:rPr>
              <w:t xml:space="preserve"> Noteikumi Nr.635 papildināti ar </w:t>
            </w:r>
            <w:r w:rsidRPr="00942863">
              <w:rPr>
                <w:sz w:val="22"/>
                <w:szCs w:val="22"/>
              </w:rPr>
              <w:t>45.</w:t>
            </w:r>
            <w:r w:rsidRPr="00942863">
              <w:rPr>
                <w:sz w:val="22"/>
                <w:szCs w:val="22"/>
                <w:vertAlign w:val="superscript"/>
              </w:rPr>
              <w:t xml:space="preserve">1 </w:t>
            </w:r>
            <w:r w:rsidRPr="00942863">
              <w:rPr>
                <w:iCs/>
                <w:sz w:val="22"/>
                <w:szCs w:val="22"/>
              </w:rPr>
              <w:t xml:space="preserve">punktu, nosakot, ka atbalstītajā objektā </w:t>
            </w:r>
            <w:r w:rsidRPr="00942863">
              <w:rPr>
                <w:sz w:val="22"/>
                <w:szCs w:val="22"/>
              </w:rPr>
              <w:t xml:space="preserve">44.1.apakšpunktā minētajā gadījumā ir pieļaujams veikt papildpakalpojumus, kuriem nebūtu ietekmes uz tirdzniecību un konkurenci Eiropas Savienības iekšējā tirgū. </w:t>
            </w:r>
            <w:proofErr w:type="gramStart"/>
            <w:r w:rsidRPr="00942863">
              <w:rPr>
                <w:iCs/>
                <w:sz w:val="22"/>
                <w:szCs w:val="22"/>
              </w:rPr>
              <w:t>2016.gada</w:t>
            </w:r>
            <w:proofErr w:type="gramEnd"/>
            <w:r w:rsidRPr="00942863">
              <w:rPr>
                <w:iCs/>
                <w:sz w:val="22"/>
                <w:szCs w:val="22"/>
              </w:rPr>
              <w:t xml:space="preserve"> 19.jūlija Eiropas Komisijas paziņojumā par </w:t>
            </w:r>
            <w:r w:rsidRPr="00942863">
              <w:rPr>
                <w:iCs/>
                <w:sz w:val="22"/>
                <w:szCs w:val="22"/>
              </w:rPr>
              <w:lastRenderedPageBreak/>
              <w:t>Līguma par Eiropas Savienības darbību 107.panta 1.punktā minēto valsts atbalsta jēdzienu (2016/c 262/01) (turpmāk – Paziņojums par valsts atbalsta jēdzienu) ir norādīts, ka publiskais finansējums parastajiem papildpakalpojumiem (piemēram, restorāniem, veikaliem vai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 Tāpat arī atbilstoši Eiropas Komisijas skaidrojumam kafejnīcas, suvenīru veikali, kā arī stāvvietas, kuras nepieciešamas kultūras objekta apmeklētājiem, tiek ieskaitītas kultūras infrastruktūras un pakalpojumu kapacitātes nodrošināšanai;</w:t>
            </w:r>
          </w:p>
          <w:p w14:paraId="12BF388A" w14:textId="77777777" w:rsidR="00ED473F" w:rsidRPr="00942863" w:rsidRDefault="00ED473F" w:rsidP="00ED473F">
            <w:pPr>
              <w:pStyle w:val="Vienkrsteksts"/>
              <w:widowControl w:val="0"/>
              <w:numPr>
                <w:ilvl w:val="0"/>
                <w:numId w:val="29"/>
              </w:numPr>
              <w:ind w:left="357" w:hanging="357"/>
              <w:jc w:val="both"/>
              <w:rPr>
                <w:sz w:val="22"/>
                <w:szCs w:val="22"/>
                <w:lang w:eastAsia="lv-LV"/>
              </w:rPr>
            </w:pPr>
            <w:r w:rsidRPr="00942863">
              <w:rPr>
                <w:rFonts w:eastAsia="Times New Roman"/>
                <w:iCs/>
                <w:sz w:val="22"/>
                <w:szCs w:val="22"/>
                <w:lang w:eastAsia="lv-LV"/>
              </w:rPr>
              <w:t xml:space="preserve">ar Projekta 6.punktu Noteikumi Nr.635 papildināti ar </w:t>
            </w:r>
            <w:r w:rsidRPr="00942863">
              <w:rPr>
                <w:sz w:val="22"/>
                <w:szCs w:val="22"/>
              </w:rPr>
              <w:t>46.</w:t>
            </w:r>
            <w:r w:rsidRPr="00942863">
              <w:rPr>
                <w:sz w:val="22"/>
                <w:szCs w:val="22"/>
                <w:vertAlign w:val="superscript"/>
              </w:rPr>
              <w:t>1</w:t>
            </w:r>
            <w:r w:rsidRPr="00942863">
              <w:rPr>
                <w:sz w:val="22"/>
                <w:szCs w:val="22"/>
              </w:rPr>
              <w:t xml:space="preserve"> </w:t>
            </w:r>
            <w:r w:rsidRPr="00942863">
              <w:rPr>
                <w:rFonts w:eastAsia="Times New Roman"/>
                <w:iCs/>
                <w:sz w:val="22"/>
                <w:szCs w:val="22"/>
                <w:lang w:eastAsia="lv-LV"/>
              </w:rPr>
              <w:t>punktu, kurā noteikts, ka valsts atbalsta kumulācijas gadījumā</w:t>
            </w:r>
            <w:r w:rsidRPr="00942863">
              <w:rPr>
                <w:iCs/>
                <w:sz w:val="22"/>
                <w:szCs w:val="22"/>
                <w:lang w:eastAsia="lv-LV"/>
              </w:rPr>
              <w:t xml:space="preserve"> finansējuma saņēmējs sadarbības iestādei sniedz informāciju, vai par tām pašām attiecināmajām izmaksām ir plānots</w:t>
            </w:r>
            <w:proofErr w:type="gramStart"/>
            <w:r w:rsidRPr="00942863">
              <w:rPr>
                <w:iCs/>
                <w:sz w:val="22"/>
                <w:szCs w:val="22"/>
                <w:lang w:eastAsia="lv-LV"/>
              </w:rPr>
              <w:t xml:space="preserve"> vai jau piešķirts atbalsts, norādot atbalsta piešķiršanas datumu, atbalsta sniedzēja </w:t>
            </w:r>
            <w:r w:rsidRPr="00942863">
              <w:rPr>
                <w:iCs/>
                <w:sz w:val="22"/>
                <w:szCs w:val="22"/>
                <w:lang w:eastAsia="lv-LV"/>
              </w:rPr>
              <w:lastRenderedPageBreak/>
              <w:t>nosaukumu, atbalsta pasākumu</w:t>
            </w:r>
            <w:proofErr w:type="gramEnd"/>
            <w:r w:rsidRPr="00942863">
              <w:rPr>
                <w:iCs/>
                <w:sz w:val="22"/>
                <w:szCs w:val="22"/>
                <w:lang w:eastAsia="lv-LV"/>
              </w:rPr>
              <w:t>, plānoto vai piešķirto atbalsta summu un atbalsta intensitāti, lai varētu izvērtēt, vai netiek pārsniegtas atbalsta apvienošanas normas</w:t>
            </w:r>
            <w:r w:rsidRPr="00942863">
              <w:rPr>
                <w:rFonts w:eastAsia="Times New Roman"/>
                <w:iCs/>
                <w:sz w:val="22"/>
                <w:szCs w:val="22"/>
                <w:lang w:eastAsia="lv-LV"/>
              </w:rPr>
              <w:t>;</w:t>
            </w:r>
          </w:p>
          <w:p w14:paraId="4CE8B14B" w14:textId="0E2AA6FF" w:rsidR="00ED473F" w:rsidRPr="00942863" w:rsidRDefault="00ED473F" w:rsidP="00ED473F">
            <w:pPr>
              <w:pStyle w:val="Vienkrsteksts"/>
              <w:widowControl w:val="0"/>
              <w:numPr>
                <w:ilvl w:val="0"/>
                <w:numId w:val="29"/>
              </w:numPr>
              <w:ind w:left="357" w:hanging="357"/>
              <w:jc w:val="both"/>
              <w:rPr>
                <w:sz w:val="22"/>
                <w:szCs w:val="22"/>
                <w:lang w:eastAsia="lv-LV"/>
              </w:rPr>
            </w:pPr>
            <w:r w:rsidRPr="00942863">
              <w:rPr>
                <w:sz w:val="22"/>
                <w:szCs w:val="22"/>
              </w:rPr>
              <w:t xml:space="preserve">revīzijas iestāde </w:t>
            </w:r>
            <w:proofErr w:type="gramStart"/>
            <w:r w:rsidRPr="00942863">
              <w:rPr>
                <w:sz w:val="22"/>
                <w:szCs w:val="22"/>
              </w:rPr>
              <w:t>2020.gada</w:t>
            </w:r>
            <w:proofErr w:type="gramEnd"/>
            <w:r w:rsidRPr="00942863">
              <w:rPr>
                <w:sz w:val="22"/>
                <w:szCs w:val="22"/>
              </w:rPr>
              <w:t xml:space="preserve"> 28</w:t>
            </w:r>
            <w:r w:rsidRPr="00942863">
              <w:rPr>
                <w:sz w:val="22"/>
                <w:szCs w:val="22"/>
                <w:lang w:eastAsia="lv-LV"/>
              </w:rPr>
              <w:t xml:space="preserve">.decembra revīzijas ziņojuma DR/ESIF/2020/15-6 konstatējumā Nr.8 par 5.5.1.SAM pirmās un otrās atlases kārtas īstenošanu norādīja, ka revīzijas iestādes ieskatā finansējuma saņēmējs un tā sadarbības partneri nevar sniegt informāciju, ja projekta līmenī nav sagatavota procedūra, kā un cik bieži veikt nosacījumu izpildes uzraudzību, norādot, ka nepieciešams regulēt, cik bieži finansējuma saņēmējam ir jāsniedz sadarbības iestādei informācija, lai tā varētu nodrošināt vienotu prasības ieviešanu visu 5.5.1.SAM atlases kārtu ietvaros. Ņemot vērā minēto, ar Projekta 7.punktu tiek precizēta </w:t>
            </w:r>
            <w:r w:rsidRPr="00942863">
              <w:rPr>
                <w:rFonts w:eastAsia="Times New Roman"/>
                <w:iCs/>
                <w:sz w:val="22"/>
                <w:szCs w:val="22"/>
                <w:lang w:eastAsia="lv-LV"/>
              </w:rPr>
              <w:t xml:space="preserve">Noteikumu Nr.635 51.punkta redakcija, paredzot finansējuma </w:t>
            </w:r>
            <w:r w:rsidRPr="00942863">
              <w:rPr>
                <w:sz w:val="22"/>
                <w:szCs w:val="22"/>
                <w:lang w:eastAsia="lv-LV"/>
              </w:rPr>
              <w:t xml:space="preserve">saņēmējam pienākumu projekta dzīves cikla laikā reizi gadā līdz kārtējā gada 1.jūnijam Centrālai finanšu un līgumu aģentūrai iesniegt informāciju, kas nepieciešama, lai izvērtētu, vai projekts atbilst Noteikumu Nr.635 </w:t>
            </w:r>
            <w:hyperlink r:id="rId12" w:anchor="p53" w:history="1">
              <w:r w:rsidRPr="00942863">
                <w:rPr>
                  <w:sz w:val="22"/>
                  <w:szCs w:val="22"/>
                  <w:lang w:eastAsia="lv-LV"/>
                </w:rPr>
                <w:t>44.punktā</w:t>
              </w:r>
            </w:hyperlink>
            <w:r w:rsidRPr="00942863">
              <w:rPr>
                <w:sz w:val="22"/>
                <w:szCs w:val="22"/>
                <w:lang w:eastAsia="lv-LV"/>
              </w:rPr>
              <w:t xml:space="preserve"> minētajiem nosacījumiem. </w:t>
            </w:r>
            <w:r w:rsidRPr="00942863">
              <w:rPr>
                <w:rFonts w:eastAsia="Times New Roman"/>
                <w:iCs/>
                <w:sz w:val="22"/>
                <w:szCs w:val="22"/>
                <w:lang w:eastAsia="lv-LV"/>
              </w:rPr>
              <w:t xml:space="preserve">Projekta pārskata periods (dzīves cikls) tiek noteikts atbilstoši EK </w:t>
            </w:r>
            <w:r w:rsidRPr="00942863">
              <w:rPr>
                <w:rFonts w:eastAsia="Times New Roman"/>
                <w:iCs/>
                <w:sz w:val="22"/>
                <w:szCs w:val="22"/>
                <w:lang w:eastAsia="lv-LV"/>
              </w:rPr>
              <w:lastRenderedPageBreak/>
              <w:t>2014.gada 3.marta Regulas Nr.480/2014</w:t>
            </w:r>
            <w:r w:rsidRPr="00942863">
              <w:rPr>
                <w:rFonts w:eastAsia="Times New Roman"/>
                <w:iCs/>
                <w:sz w:val="22"/>
                <w:szCs w:val="22"/>
                <w:vertAlign w:val="superscript"/>
                <w:lang w:eastAsia="lv-LV"/>
              </w:rPr>
              <w:footnoteReference w:customMarkFollows="1" w:id="3"/>
              <w:t>[1]</w:t>
            </w:r>
            <w:r w:rsidRPr="00942863">
              <w:rPr>
                <w:rFonts w:eastAsia="Times New Roman"/>
                <w:iCs/>
                <w:sz w:val="22"/>
                <w:szCs w:val="22"/>
                <w:lang w:eastAsia="lv-LV"/>
              </w:rPr>
              <w:t xml:space="preserve"> 1.pielikumam, un 5.5.1.SAM projektos ir līdz 15</w:t>
            </w:r>
            <w:r w:rsidR="00942863" w:rsidRPr="00942863">
              <w:rPr>
                <w:rFonts w:eastAsia="Times New Roman"/>
                <w:iCs/>
                <w:sz w:val="22"/>
                <w:szCs w:val="22"/>
                <w:lang w:eastAsia="lv-LV"/>
              </w:rPr>
              <w:t> </w:t>
            </w:r>
            <w:r w:rsidRPr="00942863">
              <w:rPr>
                <w:rFonts w:eastAsia="Times New Roman"/>
                <w:iCs/>
                <w:sz w:val="22"/>
                <w:szCs w:val="22"/>
                <w:lang w:eastAsia="lv-LV"/>
              </w:rPr>
              <w:t>gadus ilgs. Projekta pārskata periods jeb projekta dzīves cikls ir projekta ietvaros izveidotās infrastruktūras amortizācijas periods jeb lietderīgās lietošanas laiks.</w:t>
            </w:r>
            <w:r w:rsidRPr="00942863">
              <w:rPr>
                <w:sz w:val="22"/>
                <w:szCs w:val="22"/>
                <w:lang w:eastAsia="lv-LV"/>
              </w:rPr>
              <w:t xml:space="preserve"> Papildus Kultūras</w:t>
            </w:r>
            <w:r w:rsidRPr="00942863">
              <w:rPr>
                <w:sz w:val="22"/>
                <w:szCs w:val="22"/>
              </w:rPr>
              <w:t xml:space="preserve"> ministrija ir izstrādājusi komercdarbības atbalsta piemērošanas metodiku kultūras nozares projektiem 5.5.1.SAM ietvaros, atbilstoši kurai finansējuma saņēmējs Centrālai finanšu un līgumu aģentūrai projekta pārskata periodā (dzīves cikla laikā) iesniegs informāciju, kas nepieciešama, lai izvērtētu </w:t>
            </w:r>
            <w:r w:rsidRPr="00942863">
              <w:rPr>
                <w:color w:val="000000"/>
                <w:sz w:val="22"/>
                <w:szCs w:val="22"/>
                <w:shd w:val="clear" w:color="auto" w:fill="FFFFFF"/>
              </w:rPr>
              <w:t xml:space="preserve">attiecīgajā objektā gūtos ieņēmumus un izdevumus un apmeklētāju plūsmu, atbilstoši Kultūras ministrijas metodikai </w:t>
            </w:r>
            <w:r w:rsidRPr="00942863">
              <w:rPr>
                <w:sz w:val="22"/>
                <w:szCs w:val="22"/>
              </w:rPr>
              <w:t>Centrālā finanšu un līgumu aģentūra izvērtēs finansējuma saņēmēja iesniegto informāciju;</w:t>
            </w:r>
          </w:p>
          <w:p w14:paraId="15E655B4" w14:textId="77777777" w:rsidR="00ED473F" w:rsidRPr="00942863" w:rsidRDefault="00ED473F" w:rsidP="00ED473F">
            <w:pPr>
              <w:pStyle w:val="Vienkrsteksts"/>
              <w:widowControl w:val="0"/>
              <w:numPr>
                <w:ilvl w:val="0"/>
                <w:numId w:val="29"/>
              </w:numPr>
              <w:ind w:left="357" w:hanging="357"/>
              <w:jc w:val="both"/>
              <w:rPr>
                <w:sz w:val="22"/>
                <w:szCs w:val="22"/>
                <w:lang w:eastAsia="lv-LV"/>
              </w:rPr>
            </w:pPr>
            <w:r w:rsidRPr="00942863">
              <w:rPr>
                <w:sz w:val="22"/>
                <w:szCs w:val="22"/>
              </w:rPr>
              <w:t xml:space="preserve">papildus metodikā skaidrots, ka par kultūras jomas pakalpojuma sniedzēju uzskatāms tāds pakalpojuma sniedzējs, kas darbojas kultūras un kultūrvēsturiskā mantojuma saglabāšanas jomā. Atbilstoši Paziņojuma par valsts atbalsta </w:t>
            </w:r>
            <w:r w:rsidRPr="00942863">
              <w:rPr>
                <w:sz w:val="22"/>
                <w:szCs w:val="22"/>
              </w:rPr>
              <w:lastRenderedPageBreak/>
              <w:t>jēdzienu 33. un 34.punktā iekļautajiem Eiropas Komisijas skaidrojumiem, pamatojoties uz Eiropas Savienības Tiesu praksi,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w:t>
            </w:r>
          </w:p>
          <w:p w14:paraId="7CFCCC53" w14:textId="41078C31" w:rsidR="00554148" w:rsidRPr="00942863" w:rsidRDefault="00ED473F" w:rsidP="00ED473F">
            <w:pPr>
              <w:pStyle w:val="Vienkrsteksts"/>
              <w:widowControl w:val="0"/>
              <w:numPr>
                <w:ilvl w:val="0"/>
                <w:numId w:val="29"/>
              </w:numPr>
              <w:ind w:left="357" w:hanging="357"/>
              <w:jc w:val="both"/>
              <w:rPr>
                <w:sz w:val="22"/>
                <w:szCs w:val="22"/>
              </w:rPr>
            </w:pPr>
            <w:r w:rsidRPr="00942863">
              <w:rPr>
                <w:sz w:val="22"/>
                <w:szCs w:val="22"/>
              </w:rPr>
              <w:t xml:space="preserve">ņemot vērā, ka </w:t>
            </w:r>
            <w:proofErr w:type="gramStart"/>
            <w:r w:rsidRPr="00942863">
              <w:rPr>
                <w:sz w:val="22"/>
                <w:szCs w:val="22"/>
              </w:rPr>
              <w:t>2021.gada</w:t>
            </w:r>
            <w:proofErr w:type="gramEnd"/>
            <w:r w:rsidRPr="00942863">
              <w:rPr>
                <w:sz w:val="22"/>
                <w:szCs w:val="22"/>
              </w:rPr>
              <w:t xml:space="preserve"> 8.jūnijā stājās spēkā grozījumi Komercdarbības atbalsta kontroles likumā, papildinot likumu ar normām, kas nosaka pienākumu atgūt nelikumīgo komercdarbības atbalstu gadījumos, kad Eiropas Komisija nav pieņēmusi lēmumu par nelikumīga un nesaderīga ar Eiropas Savienības iekšējo tirgu atbalsta atgūšanu, kā arī to, ka nelikumīgs valsts atbalsts ir atgūstams, kad citas institūcijas konstatē nelikumīga atbalsta piešķiršanas gadījumus (tai skaitā, Eiropas Komisija),</w:t>
            </w:r>
            <w:r w:rsidRPr="00942863">
              <w:rPr>
                <w:color w:val="000000"/>
                <w:sz w:val="22"/>
                <w:szCs w:val="22"/>
              </w:rPr>
              <w:t xml:space="preserve"> </w:t>
            </w:r>
            <w:r w:rsidRPr="00942863">
              <w:rPr>
                <w:rFonts w:eastAsia="Times New Roman"/>
                <w:iCs/>
                <w:sz w:val="22"/>
                <w:szCs w:val="22"/>
                <w:lang w:eastAsia="lv-LV"/>
              </w:rPr>
              <w:t>ar Projekta 7.punktu precizēta Noteikumu Nr.635 52.punkta redakcija</w:t>
            </w:r>
            <w:r w:rsidR="00B93870" w:rsidRPr="00942863">
              <w:rPr>
                <w:rFonts w:eastAsia="Times New Roman"/>
                <w:iCs/>
                <w:sz w:val="22"/>
                <w:szCs w:val="22"/>
                <w:lang w:eastAsia="lv-LV"/>
              </w:rPr>
              <w:t>.”</w:t>
            </w:r>
          </w:p>
        </w:tc>
      </w:tr>
      <w:tr w:rsidR="001519C4" w:rsidRPr="00942863" w14:paraId="597DBC54" w14:textId="77777777" w:rsidTr="002C4ABB">
        <w:trPr>
          <w:trHeight w:val="572"/>
        </w:trPr>
        <w:tc>
          <w:tcPr>
            <w:tcW w:w="205" w:type="pct"/>
            <w:tcBorders>
              <w:top w:val="single" w:sz="4" w:space="0" w:color="auto"/>
              <w:left w:val="single" w:sz="6" w:space="0" w:color="000000"/>
              <w:bottom w:val="single" w:sz="4" w:space="0" w:color="auto"/>
              <w:right w:val="single" w:sz="6" w:space="0" w:color="000000"/>
            </w:tcBorders>
            <w:shd w:val="clear" w:color="auto" w:fill="auto"/>
          </w:tcPr>
          <w:p w14:paraId="303ED131" w14:textId="77777777" w:rsidR="009A7AEA" w:rsidRPr="00942863" w:rsidRDefault="009A7AEA" w:rsidP="002C4ABB">
            <w:pPr>
              <w:pStyle w:val="naisc"/>
              <w:numPr>
                <w:ilvl w:val="0"/>
                <w:numId w:val="28"/>
              </w:numPr>
              <w:spacing w:before="0" w:after="0"/>
              <w:ind w:left="202" w:hanging="202"/>
              <w:rPr>
                <w:sz w:val="22"/>
                <w:szCs w:val="22"/>
                <w:lang w:eastAsia="en-US"/>
              </w:rPr>
            </w:pPr>
          </w:p>
        </w:tc>
        <w:tc>
          <w:tcPr>
            <w:tcW w:w="1093" w:type="pct"/>
            <w:tcBorders>
              <w:top w:val="single" w:sz="4" w:space="0" w:color="auto"/>
              <w:left w:val="single" w:sz="6" w:space="0" w:color="000000"/>
              <w:bottom w:val="single" w:sz="4" w:space="0" w:color="auto"/>
              <w:right w:val="single" w:sz="6" w:space="0" w:color="000000"/>
            </w:tcBorders>
            <w:shd w:val="clear" w:color="auto" w:fill="auto"/>
            <w:hideMark/>
          </w:tcPr>
          <w:p w14:paraId="74EC1CC4" w14:textId="77777777" w:rsidR="0091622B" w:rsidRPr="00942863" w:rsidRDefault="008B7400" w:rsidP="00522905">
            <w:pPr>
              <w:jc w:val="both"/>
              <w:rPr>
                <w:bCs/>
                <w:color w:val="000000"/>
                <w:sz w:val="22"/>
                <w:szCs w:val="22"/>
              </w:rPr>
            </w:pPr>
            <w:r w:rsidRPr="00942863">
              <w:rPr>
                <w:bCs/>
                <w:color w:val="000000"/>
                <w:sz w:val="22"/>
                <w:szCs w:val="22"/>
              </w:rPr>
              <w:t>Noteikumu projekts</w:t>
            </w:r>
            <w:r w:rsidR="00CF6B8A" w:rsidRPr="00942863">
              <w:rPr>
                <w:bCs/>
                <w:color w:val="000000"/>
                <w:sz w:val="22"/>
                <w:szCs w:val="22"/>
              </w:rPr>
              <w:t>.</w:t>
            </w:r>
          </w:p>
        </w:tc>
        <w:tc>
          <w:tcPr>
            <w:tcW w:w="1251" w:type="pct"/>
            <w:tcBorders>
              <w:top w:val="single" w:sz="4" w:space="0" w:color="auto"/>
              <w:left w:val="single" w:sz="6" w:space="0" w:color="000000"/>
              <w:bottom w:val="single" w:sz="4" w:space="0" w:color="auto"/>
              <w:right w:val="single" w:sz="6" w:space="0" w:color="000000"/>
            </w:tcBorders>
            <w:shd w:val="clear" w:color="auto" w:fill="auto"/>
            <w:hideMark/>
          </w:tcPr>
          <w:p w14:paraId="21186E7C" w14:textId="77777777" w:rsidR="004D5C5B" w:rsidRPr="00942863" w:rsidRDefault="004D5C5B" w:rsidP="004D5C5B">
            <w:pPr>
              <w:pStyle w:val="Komentrateksts"/>
              <w:widowControl w:val="0"/>
              <w:jc w:val="both"/>
              <w:rPr>
                <w:b/>
                <w:sz w:val="22"/>
                <w:szCs w:val="22"/>
              </w:rPr>
            </w:pPr>
            <w:r w:rsidRPr="00942863">
              <w:rPr>
                <w:b/>
                <w:sz w:val="22"/>
                <w:szCs w:val="22"/>
              </w:rPr>
              <w:t>Finanšu ministrija</w:t>
            </w:r>
            <w:r w:rsidR="00CF6B8A" w:rsidRPr="00942863">
              <w:rPr>
                <w:b/>
                <w:sz w:val="22"/>
                <w:szCs w:val="22"/>
              </w:rPr>
              <w:t>:</w:t>
            </w:r>
          </w:p>
          <w:p w14:paraId="41535873" w14:textId="77777777" w:rsidR="00704197" w:rsidRPr="00942863" w:rsidRDefault="0074148A" w:rsidP="0074148A">
            <w:pPr>
              <w:pStyle w:val="Komentrateksts"/>
              <w:jc w:val="both"/>
              <w:rPr>
                <w:sz w:val="22"/>
                <w:szCs w:val="22"/>
              </w:rPr>
            </w:pPr>
            <w:r w:rsidRPr="00942863">
              <w:rPr>
                <w:sz w:val="22"/>
                <w:szCs w:val="22"/>
              </w:rPr>
              <w:t xml:space="preserve">Ņemot vērā, ka </w:t>
            </w:r>
            <w:r w:rsidRPr="00942863">
              <w:rPr>
                <w:sz w:val="22"/>
                <w:szCs w:val="22"/>
                <w:shd w:val="clear" w:color="auto" w:fill="FFFFFF"/>
              </w:rPr>
              <w:t xml:space="preserve">valsts atbalstu šo noteikumu ietvaros drīkst apvienot ar </w:t>
            </w:r>
            <w:r w:rsidRPr="00942863">
              <w:rPr>
                <w:sz w:val="22"/>
                <w:szCs w:val="22"/>
                <w:shd w:val="clear" w:color="auto" w:fill="FFFFFF"/>
              </w:rPr>
              <w:lastRenderedPageBreak/>
              <w:t xml:space="preserve">citu valsts atbalstu, tai skaitā ar </w:t>
            </w:r>
            <w:proofErr w:type="spellStart"/>
            <w:r w:rsidRPr="00942863">
              <w:rPr>
                <w:i/>
                <w:iCs/>
                <w:sz w:val="22"/>
                <w:szCs w:val="22"/>
                <w:shd w:val="clear" w:color="auto" w:fill="FFFFFF"/>
              </w:rPr>
              <w:t>de</w:t>
            </w:r>
            <w:proofErr w:type="spellEnd"/>
            <w:r w:rsidRPr="00942863">
              <w:rPr>
                <w:i/>
                <w:iCs/>
                <w:sz w:val="22"/>
                <w:szCs w:val="22"/>
                <w:shd w:val="clear" w:color="auto" w:fill="FFFFFF"/>
              </w:rPr>
              <w:t xml:space="preserve"> </w:t>
            </w:r>
            <w:proofErr w:type="spellStart"/>
            <w:r w:rsidRPr="00942863">
              <w:rPr>
                <w:i/>
                <w:iCs/>
                <w:sz w:val="22"/>
                <w:szCs w:val="22"/>
                <w:shd w:val="clear" w:color="auto" w:fill="FFFFFF"/>
              </w:rPr>
              <w:t>minimis</w:t>
            </w:r>
            <w:proofErr w:type="spellEnd"/>
            <w:r w:rsidRPr="00942863">
              <w:rPr>
                <w:sz w:val="22"/>
                <w:szCs w:val="22"/>
                <w:shd w:val="clear" w:color="auto" w:fill="FFFFFF"/>
              </w:rPr>
              <w:t xml:space="preserve"> atbalstu, par vienām un tām pašām attiecināmajām izmaksām (</w:t>
            </w:r>
            <w:r w:rsidRPr="00942863">
              <w:rPr>
                <w:sz w:val="22"/>
                <w:szCs w:val="22"/>
              </w:rPr>
              <w:t xml:space="preserve">MK noteikumu Nr.635 46.punkts), lūdzam papildināt noteikumu projektu ar jaunu punktu, kas papildina MK noteikumus Nr.635 ar normu, ka pretendentam jāiesniedz visa informācija par plānoto un piešķirto atbalstu par tām pašām attiecināmajām izmaksām, norādot atbalsta piešķiršanas datumu, atbalsta sniedzēja nosaukumu, atbalsta pasākumu, plānoto vai piešķirto atbalsta summu un atbalsta intensitāti, lai varētu izvērtēt, vai netiek pārsniegtas atbalsta apvienošanas normas. </w:t>
            </w:r>
            <w:r w:rsidR="00704197" w:rsidRPr="00942863">
              <w:rPr>
                <w:sz w:val="22"/>
                <w:szCs w:val="22"/>
              </w:rPr>
              <w:t xml:space="preserve"> </w:t>
            </w:r>
          </w:p>
          <w:p w14:paraId="3574FF9B" w14:textId="77777777" w:rsidR="004D5C5B" w:rsidRPr="00942863" w:rsidRDefault="004D5C5B" w:rsidP="00277C8F">
            <w:pPr>
              <w:jc w:val="both"/>
              <w:rPr>
                <w:sz w:val="22"/>
                <w:szCs w:val="22"/>
              </w:rPr>
            </w:pP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14:paraId="647EB041" w14:textId="77777777" w:rsidR="004D5C5B" w:rsidRPr="00942863" w:rsidRDefault="002D690C">
            <w:pPr>
              <w:pStyle w:val="naisc"/>
              <w:spacing w:before="0" w:after="0"/>
              <w:ind w:firstLine="32"/>
              <w:rPr>
                <w:b/>
                <w:sz w:val="22"/>
                <w:szCs w:val="22"/>
              </w:rPr>
            </w:pPr>
            <w:r w:rsidRPr="00942863">
              <w:rPr>
                <w:b/>
                <w:sz w:val="22"/>
                <w:szCs w:val="22"/>
              </w:rPr>
              <w:lastRenderedPageBreak/>
              <w:t>Ņemts vērā</w:t>
            </w:r>
          </w:p>
        </w:tc>
        <w:tc>
          <w:tcPr>
            <w:tcW w:w="1249" w:type="pct"/>
            <w:tcBorders>
              <w:top w:val="single" w:sz="4" w:space="0" w:color="auto"/>
              <w:left w:val="single" w:sz="4" w:space="0" w:color="auto"/>
              <w:bottom w:val="single" w:sz="4" w:space="0" w:color="auto"/>
              <w:right w:val="single" w:sz="4" w:space="0" w:color="auto"/>
            </w:tcBorders>
            <w:shd w:val="clear" w:color="auto" w:fill="auto"/>
            <w:hideMark/>
          </w:tcPr>
          <w:p w14:paraId="6B3C8A5F" w14:textId="6B09E30E" w:rsidR="008B7400" w:rsidRPr="00942863" w:rsidRDefault="008B7400" w:rsidP="002F3319">
            <w:pPr>
              <w:pStyle w:val="naisc"/>
              <w:spacing w:before="0" w:after="0"/>
              <w:jc w:val="both"/>
              <w:rPr>
                <w:sz w:val="22"/>
                <w:szCs w:val="22"/>
              </w:rPr>
            </w:pPr>
            <w:r w:rsidRPr="00942863">
              <w:rPr>
                <w:sz w:val="22"/>
                <w:szCs w:val="22"/>
              </w:rPr>
              <w:t xml:space="preserve">Noteikumu projekts papildināts ar </w:t>
            </w:r>
            <w:r w:rsidR="002F3319" w:rsidRPr="00942863">
              <w:rPr>
                <w:sz w:val="22"/>
                <w:szCs w:val="22"/>
              </w:rPr>
              <w:t>6</w:t>
            </w:r>
            <w:r w:rsidRPr="00942863">
              <w:rPr>
                <w:sz w:val="22"/>
                <w:szCs w:val="22"/>
              </w:rPr>
              <w:t>.punktu šādā redakcijā:</w:t>
            </w:r>
          </w:p>
          <w:p w14:paraId="0C9559C6" w14:textId="77777777" w:rsidR="00D0399F" w:rsidRPr="00942863" w:rsidRDefault="00D0399F" w:rsidP="002F3319">
            <w:pPr>
              <w:pStyle w:val="naisc"/>
              <w:spacing w:before="0" w:after="0"/>
              <w:jc w:val="both"/>
              <w:rPr>
                <w:sz w:val="22"/>
                <w:szCs w:val="22"/>
              </w:rPr>
            </w:pPr>
          </w:p>
          <w:p w14:paraId="58A1ACC3" w14:textId="7A5A7DB2" w:rsidR="00994F78" w:rsidRPr="00942863" w:rsidRDefault="002E2E9C" w:rsidP="00942863">
            <w:pPr>
              <w:widowControl w:val="0"/>
              <w:jc w:val="both"/>
              <w:rPr>
                <w:sz w:val="22"/>
                <w:szCs w:val="22"/>
              </w:rPr>
            </w:pPr>
            <w:r w:rsidRPr="00942863">
              <w:rPr>
                <w:sz w:val="22"/>
                <w:szCs w:val="22"/>
              </w:rPr>
              <w:lastRenderedPageBreak/>
              <w:t>„</w:t>
            </w:r>
            <w:r w:rsidR="002F3319" w:rsidRPr="00942863">
              <w:rPr>
                <w:sz w:val="22"/>
                <w:szCs w:val="22"/>
              </w:rPr>
              <w:t>6</w:t>
            </w:r>
            <w:r w:rsidR="00994F78" w:rsidRPr="00942863">
              <w:rPr>
                <w:sz w:val="22"/>
                <w:szCs w:val="22"/>
              </w:rPr>
              <w:t>.</w:t>
            </w:r>
            <w:r w:rsidR="00942863" w:rsidRPr="00942863">
              <w:rPr>
                <w:sz w:val="22"/>
                <w:szCs w:val="22"/>
              </w:rPr>
              <w:t> </w:t>
            </w:r>
            <w:r w:rsidR="00994F78" w:rsidRPr="00942863">
              <w:rPr>
                <w:sz w:val="22"/>
                <w:szCs w:val="22"/>
              </w:rPr>
              <w:t xml:space="preserve">Papildināt </w:t>
            </w:r>
            <w:r w:rsidR="001C3CFC">
              <w:rPr>
                <w:sz w:val="22"/>
                <w:szCs w:val="22"/>
              </w:rPr>
              <w:t xml:space="preserve">noteikumus </w:t>
            </w:r>
            <w:r w:rsidR="00994F78" w:rsidRPr="00942863">
              <w:rPr>
                <w:sz w:val="22"/>
                <w:szCs w:val="22"/>
              </w:rPr>
              <w:t>ar 46</w:t>
            </w:r>
            <w:r w:rsidR="00D0399F" w:rsidRPr="00942863">
              <w:rPr>
                <w:sz w:val="22"/>
                <w:szCs w:val="22"/>
              </w:rPr>
              <w:t>.</w:t>
            </w:r>
            <w:r w:rsidR="00994F78" w:rsidRPr="00942863">
              <w:rPr>
                <w:sz w:val="22"/>
                <w:szCs w:val="22"/>
              </w:rPr>
              <w:t>¹</w:t>
            </w:r>
            <w:r w:rsidR="00942863" w:rsidRPr="00942863">
              <w:rPr>
                <w:sz w:val="22"/>
                <w:szCs w:val="22"/>
              </w:rPr>
              <w:t> </w:t>
            </w:r>
            <w:r w:rsidR="00A66DAB" w:rsidRPr="00942863">
              <w:rPr>
                <w:sz w:val="22"/>
                <w:szCs w:val="22"/>
              </w:rPr>
              <w:t>punkt</w:t>
            </w:r>
            <w:r w:rsidR="00994F78" w:rsidRPr="00942863">
              <w:rPr>
                <w:sz w:val="22"/>
                <w:szCs w:val="22"/>
              </w:rPr>
              <w:t>u šādā redakcijā:</w:t>
            </w:r>
          </w:p>
          <w:p w14:paraId="4D6D98A5" w14:textId="77777777" w:rsidR="00D0399F" w:rsidRPr="00942863" w:rsidRDefault="00D0399F" w:rsidP="002F3319">
            <w:pPr>
              <w:jc w:val="both"/>
              <w:rPr>
                <w:sz w:val="22"/>
                <w:szCs w:val="22"/>
              </w:rPr>
            </w:pPr>
          </w:p>
          <w:p w14:paraId="68D89FF7" w14:textId="08BD4CC3" w:rsidR="007E2DE0" w:rsidRPr="00942863" w:rsidRDefault="002E2E9C" w:rsidP="002F3319">
            <w:pPr>
              <w:jc w:val="both"/>
              <w:rPr>
                <w:color w:val="000000"/>
                <w:sz w:val="22"/>
                <w:szCs w:val="22"/>
              </w:rPr>
            </w:pPr>
            <w:r w:rsidRPr="00942863">
              <w:rPr>
                <w:sz w:val="22"/>
                <w:szCs w:val="22"/>
              </w:rPr>
              <w:t>„</w:t>
            </w:r>
            <w:r w:rsidR="00994F78" w:rsidRPr="00942863">
              <w:rPr>
                <w:sz w:val="22"/>
                <w:szCs w:val="22"/>
              </w:rPr>
              <w:t>46</w:t>
            </w:r>
            <w:r w:rsidR="00D0399F" w:rsidRPr="00942863">
              <w:rPr>
                <w:sz w:val="22"/>
                <w:szCs w:val="22"/>
              </w:rPr>
              <w:t>.</w:t>
            </w:r>
            <w:r w:rsidR="00994F78" w:rsidRPr="00942863">
              <w:rPr>
                <w:sz w:val="22"/>
                <w:szCs w:val="22"/>
              </w:rPr>
              <w:t>¹ </w:t>
            </w:r>
            <w:r w:rsidR="00316281" w:rsidRPr="00942863">
              <w:rPr>
                <w:iCs/>
                <w:sz w:val="22"/>
                <w:szCs w:val="22"/>
              </w:rPr>
              <w:t>Ja atbalstītajā objektā konstatē valsts atbalstu komercdarbībai, finansējuma saņēmējs sadarbības iestādei sniedz informāciju, vai par tām pašām attiecināmajām izmaksām ir plānots</w:t>
            </w:r>
            <w:proofErr w:type="gramStart"/>
            <w:r w:rsidR="00316281" w:rsidRPr="00942863">
              <w:rPr>
                <w:iCs/>
                <w:sz w:val="22"/>
                <w:szCs w:val="22"/>
              </w:rPr>
              <w:t xml:space="preserve"> vai jau piešķirts atbalsts, norādot atbalsta piešķiršanas datumu, atbalsta sniedzēja nosaukumu, atbalsta pasākumu, plānoto vai piešķirto atbalsta summu un atbalsta intensitāti</w:t>
            </w:r>
            <w:proofErr w:type="gramEnd"/>
            <w:r w:rsidR="00316281" w:rsidRPr="00942863">
              <w:rPr>
                <w:iCs/>
                <w:sz w:val="22"/>
                <w:szCs w:val="22"/>
              </w:rPr>
              <w:t>, lai varētu izvērtēt, vai netiek pārsniegtas atbalsta apvienošanas normas</w:t>
            </w:r>
            <w:r w:rsidR="002F3319" w:rsidRPr="00942863">
              <w:rPr>
                <w:iCs/>
                <w:sz w:val="22"/>
                <w:szCs w:val="22"/>
              </w:rPr>
              <w:t>.</w:t>
            </w:r>
            <w:r w:rsidR="00A66DAB" w:rsidRPr="00942863">
              <w:rPr>
                <w:iCs/>
                <w:sz w:val="22"/>
                <w:szCs w:val="22"/>
              </w:rPr>
              <w:t>”</w:t>
            </w:r>
            <w:r w:rsidR="00994F78" w:rsidRPr="00942863">
              <w:rPr>
                <w:iCs/>
                <w:sz w:val="22"/>
                <w:szCs w:val="22"/>
              </w:rPr>
              <w:t>”</w:t>
            </w:r>
          </w:p>
        </w:tc>
      </w:tr>
      <w:tr w:rsidR="001519C4" w:rsidRPr="00942863" w14:paraId="480DA1F2" w14:textId="77777777" w:rsidTr="002C4ABB">
        <w:trPr>
          <w:trHeight w:val="997"/>
        </w:trPr>
        <w:tc>
          <w:tcPr>
            <w:tcW w:w="205" w:type="pct"/>
            <w:tcBorders>
              <w:top w:val="single" w:sz="4" w:space="0" w:color="auto"/>
              <w:left w:val="single" w:sz="6" w:space="0" w:color="000000"/>
              <w:bottom w:val="single" w:sz="4" w:space="0" w:color="auto"/>
              <w:right w:val="single" w:sz="6" w:space="0" w:color="000000"/>
            </w:tcBorders>
            <w:shd w:val="clear" w:color="auto" w:fill="auto"/>
          </w:tcPr>
          <w:p w14:paraId="47AED2C2" w14:textId="5E711D98" w:rsidR="0091622B" w:rsidRPr="00942863" w:rsidRDefault="0091622B" w:rsidP="002C4ABB">
            <w:pPr>
              <w:pStyle w:val="naisc"/>
              <w:numPr>
                <w:ilvl w:val="0"/>
                <w:numId w:val="28"/>
              </w:numPr>
              <w:spacing w:before="0" w:after="0"/>
              <w:ind w:left="202" w:hanging="202"/>
              <w:rPr>
                <w:sz w:val="22"/>
                <w:szCs w:val="22"/>
                <w:lang w:eastAsia="en-US"/>
              </w:rPr>
            </w:pPr>
          </w:p>
        </w:tc>
        <w:tc>
          <w:tcPr>
            <w:tcW w:w="1093" w:type="pct"/>
            <w:tcBorders>
              <w:top w:val="single" w:sz="4" w:space="0" w:color="auto"/>
              <w:left w:val="single" w:sz="6" w:space="0" w:color="000000"/>
              <w:bottom w:val="single" w:sz="4" w:space="0" w:color="auto"/>
              <w:right w:val="single" w:sz="6" w:space="0" w:color="000000"/>
            </w:tcBorders>
            <w:shd w:val="clear" w:color="auto" w:fill="auto"/>
            <w:hideMark/>
          </w:tcPr>
          <w:p w14:paraId="18D83A11" w14:textId="77777777" w:rsidR="00DD3345" w:rsidRPr="00942863" w:rsidRDefault="001519C4">
            <w:pPr>
              <w:autoSpaceDE w:val="0"/>
              <w:autoSpaceDN w:val="0"/>
              <w:adjustRightInd w:val="0"/>
              <w:jc w:val="both"/>
              <w:rPr>
                <w:bCs/>
                <w:color w:val="000000"/>
                <w:sz w:val="22"/>
                <w:szCs w:val="22"/>
              </w:rPr>
            </w:pPr>
            <w:r w:rsidRPr="00942863">
              <w:rPr>
                <w:bCs/>
                <w:color w:val="000000"/>
                <w:sz w:val="22"/>
                <w:szCs w:val="22"/>
              </w:rPr>
              <w:t>Noteikumu projekts</w:t>
            </w:r>
            <w:r w:rsidR="00CF6B8A" w:rsidRPr="00942863">
              <w:rPr>
                <w:bCs/>
                <w:color w:val="000000"/>
                <w:sz w:val="22"/>
                <w:szCs w:val="22"/>
              </w:rPr>
              <w:t>.</w:t>
            </w:r>
          </w:p>
        </w:tc>
        <w:tc>
          <w:tcPr>
            <w:tcW w:w="1251" w:type="pct"/>
            <w:tcBorders>
              <w:top w:val="single" w:sz="4" w:space="0" w:color="auto"/>
              <w:left w:val="single" w:sz="6" w:space="0" w:color="000000"/>
              <w:bottom w:val="single" w:sz="4" w:space="0" w:color="auto"/>
              <w:right w:val="single" w:sz="6" w:space="0" w:color="000000"/>
            </w:tcBorders>
            <w:shd w:val="clear" w:color="auto" w:fill="auto"/>
            <w:hideMark/>
          </w:tcPr>
          <w:p w14:paraId="3A384CA2" w14:textId="77777777" w:rsidR="0091622B" w:rsidRPr="00942863" w:rsidRDefault="0091622B" w:rsidP="0091622B">
            <w:pPr>
              <w:pStyle w:val="Komentrateksts"/>
              <w:widowControl w:val="0"/>
              <w:jc w:val="both"/>
              <w:rPr>
                <w:b/>
                <w:sz w:val="22"/>
                <w:szCs w:val="22"/>
              </w:rPr>
            </w:pPr>
            <w:r w:rsidRPr="00942863">
              <w:rPr>
                <w:b/>
                <w:sz w:val="22"/>
                <w:szCs w:val="22"/>
              </w:rPr>
              <w:t>Finanšu ministrija</w:t>
            </w:r>
          </w:p>
          <w:p w14:paraId="1CE0AE02" w14:textId="77777777" w:rsidR="0091622B" w:rsidRPr="00942863" w:rsidRDefault="0074148A" w:rsidP="00466F18">
            <w:pPr>
              <w:pStyle w:val="Komentrateksts"/>
              <w:jc w:val="both"/>
              <w:rPr>
                <w:rFonts w:eastAsiaTheme="minorHAnsi"/>
                <w:sz w:val="22"/>
                <w:szCs w:val="22"/>
              </w:rPr>
            </w:pPr>
            <w:r w:rsidRPr="00942863">
              <w:rPr>
                <w:sz w:val="22"/>
                <w:szCs w:val="22"/>
              </w:rPr>
              <w:t>Lūdzam papildināt noteikumu projektu ar jaunu punktu, ka precizē MK noteikumu Nr.635 52.punktā vārdus “atbalsta saņēmējs ir pārkāpis” aizstājot tos ar “tiek pārkāptas”, jo arī ja atbalsta sniedzējs ir</w:t>
            </w:r>
            <w:proofErr w:type="gramStart"/>
            <w:r w:rsidRPr="00942863">
              <w:rPr>
                <w:sz w:val="22"/>
                <w:szCs w:val="22"/>
              </w:rPr>
              <w:t xml:space="preserve"> piešķirot atbalstu</w:t>
            </w:r>
            <w:proofErr w:type="gramEnd"/>
            <w:r w:rsidRPr="00942863">
              <w:rPr>
                <w:sz w:val="22"/>
                <w:szCs w:val="22"/>
              </w:rPr>
              <w:t xml:space="preserve"> pārkāpj regulas prasības, atbalsts ir atgūstams.</w:t>
            </w:r>
            <w:r w:rsidR="00466F18" w:rsidRPr="00942863">
              <w:rPr>
                <w:rFonts w:eastAsiaTheme="minorHAnsi"/>
                <w:sz w:val="22"/>
                <w:szCs w:val="22"/>
              </w:rPr>
              <w:t xml:space="preserve"> </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14:paraId="72803D51" w14:textId="77777777" w:rsidR="0091622B" w:rsidRPr="00942863" w:rsidRDefault="00286BD2">
            <w:pPr>
              <w:pStyle w:val="naisc"/>
              <w:spacing w:before="0" w:after="0"/>
              <w:ind w:firstLine="32"/>
              <w:rPr>
                <w:b/>
                <w:sz w:val="22"/>
                <w:szCs w:val="22"/>
              </w:rPr>
            </w:pPr>
            <w:r w:rsidRPr="00942863">
              <w:rPr>
                <w:b/>
                <w:sz w:val="22"/>
                <w:szCs w:val="22"/>
              </w:rPr>
              <w:t>Ņemts vērā</w:t>
            </w:r>
          </w:p>
          <w:p w14:paraId="3CBD4E47" w14:textId="77777777" w:rsidR="00BA42E7" w:rsidRPr="00942863" w:rsidRDefault="00BA42E7" w:rsidP="00743F71">
            <w:pPr>
              <w:pStyle w:val="naisc"/>
              <w:spacing w:before="0" w:after="0"/>
              <w:ind w:firstLine="32"/>
              <w:jc w:val="both"/>
              <w:rPr>
                <w:sz w:val="22"/>
                <w:szCs w:val="22"/>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62096607" w14:textId="77777777" w:rsidR="002C67FE" w:rsidRPr="00942863" w:rsidRDefault="002C67FE" w:rsidP="002C67FE">
            <w:pPr>
              <w:pStyle w:val="naisc"/>
              <w:spacing w:before="0" w:after="0"/>
              <w:jc w:val="both"/>
              <w:rPr>
                <w:sz w:val="22"/>
                <w:szCs w:val="22"/>
              </w:rPr>
            </w:pPr>
            <w:r w:rsidRPr="00942863">
              <w:rPr>
                <w:sz w:val="22"/>
                <w:szCs w:val="22"/>
              </w:rPr>
              <w:t>Precizēts Noteikumu projekta 7.punkts šādā redakcijā:</w:t>
            </w:r>
          </w:p>
          <w:p w14:paraId="1D9BFA74" w14:textId="77777777" w:rsidR="002C67FE" w:rsidRPr="00942863" w:rsidRDefault="002C67FE" w:rsidP="002C67FE">
            <w:pPr>
              <w:pStyle w:val="naisc"/>
              <w:spacing w:before="0" w:after="0"/>
              <w:jc w:val="both"/>
              <w:rPr>
                <w:sz w:val="22"/>
                <w:szCs w:val="22"/>
              </w:rPr>
            </w:pPr>
          </w:p>
          <w:p w14:paraId="03E3FACD" w14:textId="77777777" w:rsidR="002C67FE" w:rsidRPr="00942863" w:rsidRDefault="002C67FE" w:rsidP="002C67FE">
            <w:pPr>
              <w:pStyle w:val="naisc"/>
              <w:spacing w:before="0" w:after="0"/>
              <w:jc w:val="both"/>
              <w:rPr>
                <w:sz w:val="22"/>
                <w:szCs w:val="22"/>
              </w:rPr>
            </w:pPr>
            <w:r w:rsidRPr="00942863">
              <w:rPr>
                <w:sz w:val="22"/>
                <w:szCs w:val="22"/>
              </w:rPr>
              <w:t>„7. Izteikt 51. un 52.punktu šādā redakcijā:</w:t>
            </w:r>
          </w:p>
          <w:p w14:paraId="5C1948F6" w14:textId="77777777" w:rsidR="002C67FE" w:rsidRPr="00942863" w:rsidRDefault="002C67FE" w:rsidP="002C67FE">
            <w:pPr>
              <w:pStyle w:val="naisc"/>
              <w:spacing w:before="0" w:after="0"/>
              <w:jc w:val="both"/>
              <w:rPr>
                <w:sz w:val="22"/>
                <w:szCs w:val="22"/>
              </w:rPr>
            </w:pPr>
          </w:p>
          <w:p w14:paraId="582A81BA" w14:textId="43628791" w:rsidR="003672A8" w:rsidRPr="00942863" w:rsidRDefault="002C67FE" w:rsidP="003672A8">
            <w:pPr>
              <w:pStyle w:val="naisc"/>
              <w:spacing w:before="0" w:after="0"/>
              <w:jc w:val="both"/>
              <w:rPr>
                <w:sz w:val="22"/>
                <w:szCs w:val="22"/>
              </w:rPr>
            </w:pPr>
            <w:r w:rsidRPr="00942863">
              <w:rPr>
                <w:sz w:val="22"/>
                <w:szCs w:val="22"/>
              </w:rPr>
              <w:t>„51. </w:t>
            </w:r>
            <w:r w:rsidR="003672A8" w:rsidRPr="00942863">
              <w:rPr>
                <w:sz w:val="22"/>
                <w:szCs w:val="22"/>
              </w:rPr>
              <w:t xml:space="preserve">Projekta pārskata periodā (projekta dzīves cikla laikā) finansējuma saņēmējs atbilstoši komercdarbības atbalsta piemērošanas metodikai kultūras nozares projektiem specifiskā atbalsta ietvaros reizi gadā līdz kārtējā gada </w:t>
            </w:r>
            <w:proofErr w:type="gramStart"/>
            <w:r w:rsidR="003672A8" w:rsidRPr="00942863">
              <w:rPr>
                <w:sz w:val="22"/>
                <w:szCs w:val="22"/>
              </w:rPr>
              <w:t>1.jūnijam</w:t>
            </w:r>
            <w:proofErr w:type="gramEnd"/>
            <w:r w:rsidR="003672A8" w:rsidRPr="00942863">
              <w:rPr>
                <w:sz w:val="22"/>
                <w:szCs w:val="22"/>
              </w:rPr>
              <w:t xml:space="preserve"> iesniedz sadarbības iestādē informāciju, kas nepieciešama, lai izvērtētu, vai projekts atbilst šo noteikumu </w:t>
            </w:r>
            <w:hyperlink r:id="rId13" w:anchor="p53" w:history="1">
              <w:r w:rsidR="003672A8" w:rsidRPr="00942863">
                <w:rPr>
                  <w:sz w:val="22"/>
                  <w:szCs w:val="22"/>
                </w:rPr>
                <w:t>44.punktā</w:t>
              </w:r>
            </w:hyperlink>
            <w:r w:rsidR="003672A8" w:rsidRPr="00942863">
              <w:rPr>
                <w:sz w:val="22"/>
                <w:szCs w:val="22"/>
              </w:rPr>
              <w:t xml:space="preserve"> minētajiem nosacījumiem. Lēmums par komercdarbības atbalsta piešķiršanu saskaņā ar Komisijas regulu Nr.</w:t>
            </w:r>
            <w:hyperlink r:id="rId14" w:tgtFrame="_blank" w:history="1">
              <w:r w:rsidR="003672A8" w:rsidRPr="00942863">
                <w:rPr>
                  <w:sz w:val="22"/>
                  <w:szCs w:val="22"/>
                </w:rPr>
                <w:t>651/2014</w:t>
              </w:r>
            </w:hyperlink>
            <w:r w:rsidR="00942863" w:rsidRPr="00942863">
              <w:rPr>
                <w:sz w:val="22"/>
                <w:szCs w:val="22"/>
              </w:rPr>
              <w:t xml:space="preserve"> </w:t>
            </w:r>
            <w:r w:rsidR="003672A8" w:rsidRPr="00942863">
              <w:rPr>
                <w:sz w:val="22"/>
                <w:szCs w:val="22"/>
              </w:rPr>
              <w:t xml:space="preserve">ir sadarbības </w:t>
            </w:r>
            <w:r w:rsidR="003672A8" w:rsidRPr="00942863">
              <w:rPr>
                <w:sz w:val="22"/>
                <w:szCs w:val="22"/>
              </w:rPr>
              <w:lastRenderedPageBreak/>
              <w:t>iestādes lēmums par atbilstību komercdarbības atbalsta normām.</w:t>
            </w:r>
          </w:p>
          <w:p w14:paraId="121E6599" w14:textId="77777777" w:rsidR="002C67FE" w:rsidRPr="00942863" w:rsidRDefault="002C67FE" w:rsidP="002C67FE">
            <w:pPr>
              <w:pStyle w:val="naisc"/>
              <w:spacing w:before="0" w:after="0"/>
              <w:jc w:val="both"/>
              <w:rPr>
                <w:sz w:val="22"/>
                <w:szCs w:val="22"/>
              </w:rPr>
            </w:pPr>
          </w:p>
          <w:p w14:paraId="60661A59" w14:textId="391B5FDE" w:rsidR="0091622B" w:rsidRPr="00942863" w:rsidRDefault="002C67FE" w:rsidP="002C67FE">
            <w:pPr>
              <w:jc w:val="both"/>
              <w:rPr>
                <w:sz w:val="22"/>
                <w:szCs w:val="22"/>
              </w:rPr>
            </w:pPr>
            <w:r w:rsidRPr="00942863">
              <w:rPr>
                <w:sz w:val="22"/>
                <w:szCs w:val="22"/>
              </w:rPr>
              <w:t xml:space="preserve">52. </w:t>
            </w:r>
            <w:r w:rsidR="003672A8" w:rsidRPr="00942863">
              <w:rPr>
                <w:sz w:val="22"/>
                <w:szCs w:val="22"/>
              </w:rPr>
              <w:t>Ja ir pārkāptas Komisijas regulas Nr.</w:t>
            </w:r>
            <w:hyperlink r:id="rId15" w:tgtFrame="_blank" w:history="1">
              <w:r w:rsidR="003672A8" w:rsidRPr="00942863">
                <w:rPr>
                  <w:sz w:val="22"/>
                  <w:szCs w:val="22"/>
                </w:rPr>
                <w:t>651/2014</w:t>
              </w:r>
            </w:hyperlink>
            <w:r w:rsidR="00942863" w:rsidRPr="00942863">
              <w:rPr>
                <w:sz w:val="22"/>
                <w:szCs w:val="22"/>
              </w:rPr>
              <w:t xml:space="preserve"> </w:t>
            </w:r>
            <w:r w:rsidR="003672A8" w:rsidRPr="00942863">
              <w:rPr>
                <w:sz w:val="22"/>
                <w:szCs w:val="22"/>
              </w:rPr>
              <w:t>prasības</w:t>
            </w:r>
            <w:proofErr w:type="gramStart"/>
            <w:r w:rsidR="003672A8" w:rsidRPr="00942863">
              <w:rPr>
                <w:sz w:val="22"/>
                <w:szCs w:val="22"/>
              </w:rPr>
              <w:t xml:space="preserve"> vai ir konstatēts, ka ar saimniecisko darbību nesaistīts projekts tā ieviešanas gaitā vai projekta pārskata periodā (projekta dzīves cikla laikā) kļūst par ar saimniecisko darbību saistītu projektu un tam nav</w:t>
            </w:r>
            <w:proofErr w:type="gramEnd"/>
            <w:r w:rsidR="003672A8" w:rsidRPr="00942863">
              <w:rPr>
                <w:sz w:val="22"/>
                <w:szCs w:val="22"/>
              </w:rPr>
              <w:t xml:space="preserve"> iespējams piemērot Komisijas regulas Nr.</w:t>
            </w:r>
            <w:hyperlink r:id="rId16" w:tgtFrame="_blank" w:history="1">
              <w:r w:rsidR="003672A8" w:rsidRPr="00942863">
                <w:rPr>
                  <w:sz w:val="22"/>
                  <w:szCs w:val="22"/>
                </w:rPr>
                <w:t>651/2014</w:t>
              </w:r>
            </w:hyperlink>
            <w:r w:rsidR="00942863" w:rsidRPr="00942863">
              <w:rPr>
                <w:sz w:val="22"/>
                <w:szCs w:val="22"/>
              </w:rPr>
              <w:t xml:space="preserve"> </w:t>
            </w:r>
            <w:proofErr w:type="gramStart"/>
            <w:r w:rsidR="003672A8" w:rsidRPr="00942863">
              <w:rPr>
                <w:sz w:val="22"/>
                <w:szCs w:val="22"/>
              </w:rPr>
              <w:t>53.panta</w:t>
            </w:r>
            <w:proofErr w:type="gramEnd"/>
            <w:r w:rsidR="003672A8" w:rsidRPr="00942863">
              <w:rPr>
                <w:sz w:val="22"/>
                <w:szCs w:val="22"/>
              </w:rPr>
              <w:t xml:space="preserve"> nosacījumus, atbalsta saņēmējam ir pienākums atmaksāt sadarbības iestādei saņemto nelikumīgo komercdarbības atbalstu no līdzekļiem, kas ir brīvi no valsts atbalsta, atbilstoši Komercdarbības atbalsta kontroles likuma IV un V</w:t>
            </w:r>
            <w:r w:rsidR="00942863" w:rsidRPr="00942863">
              <w:rPr>
                <w:sz w:val="22"/>
                <w:szCs w:val="22"/>
              </w:rPr>
              <w:t> </w:t>
            </w:r>
            <w:r w:rsidR="003672A8" w:rsidRPr="00942863">
              <w:rPr>
                <w:sz w:val="22"/>
                <w:szCs w:val="22"/>
              </w:rPr>
              <w:t>nodaļas nosacījumiem</w:t>
            </w:r>
            <w:r w:rsidRPr="00942863">
              <w:rPr>
                <w:sz w:val="22"/>
                <w:szCs w:val="22"/>
              </w:rPr>
              <w:t>.””</w:t>
            </w:r>
          </w:p>
        </w:tc>
      </w:tr>
    </w:tbl>
    <w:p w14:paraId="4E0AA40B" w14:textId="77777777" w:rsidR="00FB2C3F" w:rsidRPr="00B61626" w:rsidRDefault="00FB2C3F" w:rsidP="00522905">
      <w:pPr>
        <w:outlineLvl w:val="0"/>
        <w:rPr>
          <w:sz w:val="22"/>
          <w:szCs w:val="22"/>
        </w:rPr>
      </w:pPr>
    </w:p>
    <w:p w14:paraId="09441FC1" w14:textId="77777777" w:rsidR="000745FD" w:rsidRPr="002C4ABB" w:rsidRDefault="000745FD">
      <w:pPr>
        <w:outlineLvl w:val="0"/>
        <w:rPr>
          <w:sz w:val="22"/>
          <w:szCs w:val="22"/>
        </w:rPr>
      </w:pPr>
    </w:p>
    <w:p w14:paraId="1582D5DB" w14:textId="77777777" w:rsidR="004D5C5B" w:rsidRPr="003F35E5" w:rsidRDefault="00045091">
      <w:pPr>
        <w:outlineLvl w:val="0"/>
        <w:rPr>
          <w:sz w:val="20"/>
          <w:szCs w:val="20"/>
        </w:rPr>
      </w:pPr>
      <w:r w:rsidRPr="003F35E5">
        <w:rPr>
          <w:sz w:val="20"/>
          <w:szCs w:val="20"/>
        </w:rPr>
        <w:t>A</w:t>
      </w:r>
      <w:r w:rsidR="00102ED6" w:rsidRPr="003F35E5">
        <w:rPr>
          <w:sz w:val="20"/>
          <w:szCs w:val="20"/>
        </w:rPr>
        <w:t>.</w:t>
      </w:r>
      <w:r w:rsidRPr="003F35E5">
        <w:rPr>
          <w:sz w:val="20"/>
          <w:szCs w:val="20"/>
        </w:rPr>
        <w:t>Blusanoviča</w:t>
      </w:r>
    </w:p>
    <w:p w14:paraId="5752E283" w14:textId="77777777" w:rsidR="004D5C5B" w:rsidRPr="003F35E5" w:rsidRDefault="00102ED6">
      <w:pPr>
        <w:rPr>
          <w:iCs/>
          <w:sz w:val="20"/>
          <w:szCs w:val="20"/>
        </w:rPr>
      </w:pPr>
      <w:r w:rsidRPr="003F35E5">
        <w:rPr>
          <w:iCs/>
          <w:sz w:val="20"/>
          <w:szCs w:val="20"/>
        </w:rPr>
        <w:t xml:space="preserve">Kultūras ministrijas </w:t>
      </w:r>
    </w:p>
    <w:p w14:paraId="21C89F06" w14:textId="77777777" w:rsidR="004D5C5B" w:rsidRPr="003F35E5" w:rsidRDefault="00102ED6">
      <w:pPr>
        <w:rPr>
          <w:iCs/>
          <w:sz w:val="20"/>
          <w:szCs w:val="20"/>
        </w:rPr>
      </w:pPr>
      <w:r w:rsidRPr="003F35E5">
        <w:rPr>
          <w:iCs/>
          <w:sz w:val="20"/>
          <w:szCs w:val="20"/>
        </w:rPr>
        <w:t xml:space="preserve">Eiropas Savienības fondu departamenta </w:t>
      </w:r>
    </w:p>
    <w:p w14:paraId="28895E15" w14:textId="77777777" w:rsidR="004D5C5B" w:rsidRPr="003F35E5" w:rsidRDefault="00102ED6">
      <w:pPr>
        <w:rPr>
          <w:iCs/>
          <w:sz w:val="20"/>
          <w:szCs w:val="20"/>
        </w:rPr>
      </w:pPr>
      <w:r w:rsidRPr="003F35E5">
        <w:rPr>
          <w:iCs/>
          <w:sz w:val="20"/>
          <w:szCs w:val="20"/>
        </w:rPr>
        <w:t>Finanšu instrumentu attīstības nodaļas referente</w:t>
      </w:r>
    </w:p>
    <w:p w14:paraId="6E613EBB" w14:textId="27644F2E" w:rsidR="007E2DE0" w:rsidRPr="002C4ABB" w:rsidRDefault="00102ED6" w:rsidP="002C4ABB">
      <w:pPr>
        <w:tabs>
          <w:tab w:val="left" w:pos="6804"/>
        </w:tabs>
        <w:rPr>
          <w:sz w:val="22"/>
          <w:szCs w:val="22"/>
        </w:rPr>
      </w:pPr>
      <w:r w:rsidRPr="003F35E5">
        <w:rPr>
          <w:sz w:val="20"/>
          <w:szCs w:val="20"/>
        </w:rPr>
        <w:t>Tālr. 6733031</w:t>
      </w:r>
      <w:r w:rsidR="00045091" w:rsidRPr="003F35E5">
        <w:rPr>
          <w:sz w:val="20"/>
          <w:szCs w:val="20"/>
        </w:rPr>
        <w:t>3</w:t>
      </w:r>
      <w:r w:rsidR="003F35E5">
        <w:rPr>
          <w:sz w:val="20"/>
          <w:szCs w:val="20"/>
        </w:rPr>
        <w:t xml:space="preserve">; </w:t>
      </w:r>
      <w:hyperlink r:id="rId17" w:history="1">
        <w:r w:rsidR="003F35E5" w:rsidRPr="003F35E5">
          <w:rPr>
            <w:rStyle w:val="Hipersaite"/>
            <w:sz w:val="20"/>
            <w:szCs w:val="20"/>
          </w:rPr>
          <w:t>Andrelita.Blusanovica@km.gov.lv</w:t>
        </w:r>
      </w:hyperlink>
    </w:p>
    <w:sectPr w:rsidR="007E2DE0" w:rsidRPr="002C4ABB" w:rsidSect="00370D54">
      <w:headerReference w:type="default" r:id="rId18"/>
      <w:footerReference w:type="default" r:id="rId19"/>
      <w:footerReference w:type="first" r:id="rId20"/>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78A5" w14:textId="77777777" w:rsidR="00743F71" w:rsidRDefault="00743F71" w:rsidP="00F64DE4">
      <w:r>
        <w:separator/>
      </w:r>
    </w:p>
  </w:endnote>
  <w:endnote w:type="continuationSeparator" w:id="0">
    <w:p w14:paraId="7549E4AB" w14:textId="77777777" w:rsidR="00743F71" w:rsidRDefault="00743F71"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248A" w14:textId="35F79F4A" w:rsidR="00743F71" w:rsidRDefault="00743F71">
    <w:pPr>
      <w:pStyle w:val="Kjene"/>
    </w:pPr>
    <w:r>
      <w:rPr>
        <w:sz w:val="20"/>
        <w:szCs w:val="20"/>
      </w:rPr>
      <w:t>KMIzz_</w:t>
    </w:r>
    <w:r w:rsidR="00087647">
      <w:rPr>
        <w:sz w:val="20"/>
        <w:szCs w:val="20"/>
      </w:rPr>
      <w:t>131021</w:t>
    </w:r>
    <w:r w:rsidRPr="00F077D7">
      <w:rPr>
        <w:sz w:val="20"/>
        <w:szCs w:val="20"/>
      </w:rPr>
      <w:t>_</w:t>
    </w:r>
    <w:r w:rsidR="00B61626">
      <w:rPr>
        <w:sz w:val="20"/>
        <w:szCs w:val="20"/>
      </w:rPr>
      <w:t>groz_</w:t>
    </w:r>
    <w:r>
      <w:rPr>
        <w:sz w:val="20"/>
        <w:szCs w:val="20"/>
      </w:rPr>
      <w:t>551SAM_635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A0D6" w14:textId="77A6BD03" w:rsidR="00743F71" w:rsidRDefault="00743F71">
    <w:pPr>
      <w:pStyle w:val="Kjene"/>
    </w:pPr>
    <w:r>
      <w:rPr>
        <w:sz w:val="20"/>
        <w:szCs w:val="20"/>
      </w:rPr>
      <w:t>KMIzz_</w:t>
    </w:r>
    <w:r w:rsidR="00087647">
      <w:rPr>
        <w:sz w:val="20"/>
        <w:szCs w:val="20"/>
      </w:rPr>
      <w:t>131021</w:t>
    </w:r>
    <w:r w:rsidRPr="00F077D7">
      <w:rPr>
        <w:sz w:val="20"/>
        <w:szCs w:val="20"/>
      </w:rPr>
      <w:t>_</w:t>
    </w:r>
    <w:r w:rsidR="00B61626">
      <w:rPr>
        <w:sz w:val="20"/>
        <w:szCs w:val="20"/>
      </w:rPr>
      <w:t>groz_</w:t>
    </w:r>
    <w:r>
      <w:rPr>
        <w:sz w:val="20"/>
        <w:szCs w:val="20"/>
      </w:rPr>
      <w:t>551SAM</w:t>
    </w:r>
    <w:r w:rsidRPr="00743F71">
      <w:rPr>
        <w:sz w:val="20"/>
        <w:szCs w:val="20"/>
      </w:rPr>
      <w:t>_635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87DE" w14:textId="77777777" w:rsidR="00743F71" w:rsidRDefault="00743F71" w:rsidP="00F64DE4">
      <w:r>
        <w:separator/>
      </w:r>
    </w:p>
  </w:footnote>
  <w:footnote w:type="continuationSeparator" w:id="0">
    <w:p w14:paraId="625D9753" w14:textId="77777777" w:rsidR="00743F71" w:rsidRDefault="00743F71" w:rsidP="00F64DE4">
      <w:r>
        <w:continuationSeparator/>
      </w:r>
    </w:p>
  </w:footnote>
  <w:footnote w:id="1">
    <w:p w14:paraId="624FD4A0" w14:textId="77777777" w:rsidR="0074148A" w:rsidRPr="0029136D" w:rsidRDefault="0074148A" w:rsidP="002C4ABB">
      <w:pPr>
        <w:pStyle w:val="Vresteksts"/>
        <w:ind w:left="142" w:hanging="142"/>
        <w:rPr>
          <w:lang w:val="lv-LV"/>
        </w:rPr>
      </w:pPr>
      <w:r>
        <w:rPr>
          <w:rStyle w:val="Vresatsauce"/>
        </w:rPr>
        <w:footnoteRef/>
      </w:r>
      <w:r>
        <w:t xml:space="preserve"> </w:t>
      </w:r>
      <w:r w:rsidRPr="0029136D">
        <w:rPr>
          <w:lang w:val="lv-LV"/>
        </w:rPr>
        <w:t xml:space="preserve">Darbības programmas </w:t>
      </w:r>
      <w:r w:rsidR="0029136D" w:rsidRPr="006E5572">
        <w:rPr>
          <w:sz w:val="22"/>
          <w:szCs w:val="22"/>
        </w:rPr>
        <w:t>„</w:t>
      </w:r>
      <w:r w:rsidRPr="0029136D">
        <w:rPr>
          <w:lang w:val="lv-LV"/>
        </w:rPr>
        <w:t xml:space="preserve">Izaugsme un nodarbinātība” 5.5.1.specifiskais atbalsta mērķis </w:t>
      </w:r>
      <w:r w:rsidR="0029136D" w:rsidRPr="006E5572">
        <w:rPr>
          <w:sz w:val="22"/>
          <w:szCs w:val="22"/>
        </w:rPr>
        <w:t>„</w:t>
      </w:r>
      <w:r w:rsidRPr="0029136D">
        <w:rPr>
          <w:lang w:val="lv-LV"/>
        </w:rPr>
        <w:t>Saglabāt, aizsargāt un attīstīt nozīmīgu kultūras un dabas mantojumu, kā arī attīstīt ar to saistītos pakalpojumus”.</w:t>
      </w:r>
    </w:p>
  </w:footnote>
  <w:footnote w:id="2">
    <w:p w14:paraId="2B9CE47B" w14:textId="77777777" w:rsidR="0074148A" w:rsidRPr="0029136D" w:rsidRDefault="0074148A" w:rsidP="002F1147">
      <w:pPr>
        <w:pStyle w:val="Vresteksts"/>
        <w:ind w:left="142" w:hanging="142"/>
        <w:jc w:val="both"/>
        <w:rPr>
          <w:lang w:val="lv-LV"/>
        </w:rPr>
      </w:pPr>
      <w:r w:rsidRPr="0029136D">
        <w:rPr>
          <w:rStyle w:val="Vresatsauce"/>
          <w:lang w:val="lv-LV"/>
        </w:rPr>
        <w:footnoteRef/>
      </w:r>
      <w:r w:rsidRPr="0029136D">
        <w:rPr>
          <w:lang w:val="lv-LV"/>
        </w:rPr>
        <w:t xml:space="preserve"> MK </w:t>
      </w:r>
      <w:proofErr w:type="gramStart"/>
      <w:r w:rsidRPr="0029136D">
        <w:rPr>
          <w:lang w:val="lv-LV"/>
        </w:rPr>
        <w:t>2017.gada</w:t>
      </w:r>
      <w:proofErr w:type="gramEnd"/>
      <w:r w:rsidRPr="0029136D">
        <w:rPr>
          <w:lang w:val="lv-LV"/>
        </w:rPr>
        <w:t xml:space="preserve"> 24.oktobra noteikumi Nr.635 </w:t>
      </w:r>
      <w:r w:rsidR="0029136D" w:rsidRPr="006E5572">
        <w:rPr>
          <w:sz w:val="22"/>
          <w:szCs w:val="22"/>
        </w:rPr>
        <w:t>„</w:t>
      </w:r>
      <w:r w:rsidRPr="0029136D">
        <w:rPr>
          <w:lang w:val="lv-LV"/>
        </w:rPr>
        <w:t xml:space="preserve">Darbības programmas </w:t>
      </w:r>
      <w:r w:rsidR="0029136D" w:rsidRPr="006E5572">
        <w:rPr>
          <w:sz w:val="22"/>
          <w:szCs w:val="22"/>
        </w:rPr>
        <w:t>„</w:t>
      </w:r>
      <w:r w:rsidRPr="0029136D">
        <w:rPr>
          <w:lang w:val="lv-LV"/>
        </w:rPr>
        <w:t xml:space="preserve">Izaugsme un nodarbinātība” 5.5.1.specifiskā atbalsta mērķa </w:t>
      </w:r>
      <w:r w:rsidR="0029136D" w:rsidRPr="006E5572">
        <w:rPr>
          <w:sz w:val="22"/>
          <w:szCs w:val="22"/>
        </w:rPr>
        <w:t>„</w:t>
      </w:r>
      <w:r w:rsidRPr="0029136D">
        <w:rPr>
          <w:lang w:val="lv-LV"/>
        </w:rPr>
        <w:t xml:space="preserve">Saglabāt, aizsargāt un attīstīt nozīmīgu kultūras un dabas mantojumu, kā arī attīstīt ar to saistītos pakalpojumus” trešās projektu iesniegumu atlases kārtas </w:t>
      </w:r>
      <w:r w:rsidR="0029136D" w:rsidRPr="006E5572">
        <w:rPr>
          <w:sz w:val="22"/>
          <w:szCs w:val="22"/>
        </w:rPr>
        <w:t>„</w:t>
      </w:r>
      <w:r w:rsidRPr="0029136D">
        <w:rPr>
          <w:lang w:val="lv-LV"/>
        </w:rPr>
        <w:t>Ieguldījumi kultūras un dabas mantojuma attīstībai nacionālas nozīmes attīstības centru pašvaldībās” īstenošanas noteikumi.</w:t>
      </w:r>
    </w:p>
  </w:footnote>
  <w:footnote w:id="3">
    <w:p w14:paraId="0537F525" w14:textId="77777777" w:rsidR="00ED473F" w:rsidRPr="0060761A" w:rsidRDefault="00ED473F" w:rsidP="00ED473F">
      <w:pPr>
        <w:pStyle w:val="Vresteksts"/>
        <w:jc w:val="both"/>
        <w:rPr>
          <w:rFonts w:ascii="Calibri" w:hAnsi="Calibri" w:cs="Calibri"/>
          <w:lang w:val="lv-LV"/>
        </w:rPr>
      </w:pPr>
      <w:bookmarkStart w:id="1" w:name="_Hlk77845390"/>
      <w:r w:rsidRPr="0060761A">
        <w:rPr>
          <w:rStyle w:val="Vresatsauce"/>
          <w:lang w:val="lv-LV"/>
        </w:rPr>
        <w:t>[1]</w:t>
      </w:r>
      <w:r w:rsidRPr="0060761A">
        <w:rPr>
          <w:lang w:val="lv-LV"/>
        </w:rPr>
        <w:t xml:space="preserve"> EK </w:t>
      </w:r>
      <w:proofErr w:type="gramStart"/>
      <w:r w:rsidRPr="0060761A">
        <w:rPr>
          <w:lang w:val="lv-LV"/>
        </w:rPr>
        <w:t>2014.gada</w:t>
      </w:r>
      <w:proofErr w:type="gramEnd"/>
      <w:r w:rsidRPr="0060761A">
        <w:rPr>
          <w:lang w:val="lv-LV"/>
        </w:rPr>
        <w:t xml:space="preserve"> 3.marta Regula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14:paraId="0E14AE23" w14:textId="0FE436A3" w:rsidR="00743F71" w:rsidRDefault="00895F51" w:rsidP="00B61626">
        <w:pPr>
          <w:pStyle w:val="Galvene"/>
          <w:jc w:val="center"/>
        </w:pPr>
        <w:r w:rsidRPr="00196278">
          <w:rPr>
            <w:sz w:val="22"/>
            <w:szCs w:val="22"/>
          </w:rPr>
          <w:fldChar w:fldCharType="begin"/>
        </w:r>
        <w:r w:rsidR="00743F71" w:rsidRPr="00196278">
          <w:rPr>
            <w:sz w:val="22"/>
            <w:szCs w:val="22"/>
          </w:rPr>
          <w:instrText xml:space="preserve"> PAGE   \* MERGEFORMAT </w:instrText>
        </w:r>
        <w:r w:rsidRPr="00196278">
          <w:rPr>
            <w:sz w:val="22"/>
            <w:szCs w:val="22"/>
          </w:rPr>
          <w:fldChar w:fldCharType="separate"/>
        </w:r>
        <w:r w:rsidR="002E0A60">
          <w:rPr>
            <w:noProof/>
            <w:sz w:val="22"/>
            <w:szCs w:val="22"/>
          </w:rPr>
          <w:t>5</w:t>
        </w:r>
        <w:r w:rsidRPr="0019627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B47"/>
    <w:multiLevelType w:val="hybridMultilevel"/>
    <w:tmpl w:val="EEC83418"/>
    <w:lvl w:ilvl="0" w:tplc="0426000F">
      <w:start w:val="1"/>
      <w:numFmt w:val="decimal"/>
      <w:lvlText w:val="%1."/>
      <w:lvlJc w:val="left"/>
      <w:pPr>
        <w:ind w:left="5606"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71E3140"/>
    <w:multiLevelType w:val="hybridMultilevel"/>
    <w:tmpl w:val="ACF4B8DA"/>
    <w:lvl w:ilvl="0" w:tplc="2654BB82">
      <w:start w:val="1"/>
      <w:numFmt w:val="decimal"/>
      <w:lvlText w:val="%1."/>
      <w:lvlJc w:val="left"/>
      <w:pPr>
        <w:ind w:left="720" w:hanging="360"/>
      </w:pPr>
    </w:lvl>
    <w:lvl w:ilvl="1" w:tplc="FE7698AA">
      <w:start w:val="1"/>
      <w:numFmt w:val="lowerLetter"/>
      <w:lvlText w:val="%2."/>
      <w:lvlJc w:val="left"/>
      <w:pPr>
        <w:ind w:left="1440" w:hanging="360"/>
      </w:pPr>
    </w:lvl>
    <w:lvl w:ilvl="2" w:tplc="3E5CD950">
      <w:start w:val="1"/>
      <w:numFmt w:val="lowerRoman"/>
      <w:lvlText w:val="%3."/>
      <w:lvlJc w:val="right"/>
      <w:pPr>
        <w:ind w:left="2160" w:hanging="180"/>
      </w:pPr>
    </w:lvl>
    <w:lvl w:ilvl="3" w:tplc="7BD4109E">
      <w:start w:val="1"/>
      <w:numFmt w:val="decimal"/>
      <w:lvlText w:val="%4."/>
      <w:lvlJc w:val="left"/>
      <w:pPr>
        <w:ind w:left="2880" w:hanging="360"/>
      </w:pPr>
    </w:lvl>
    <w:lvl w:ilvl="4" w:tplc="E8F0F030">
      <w:start w:val="1"/>
      <w:numFmt w:val="lowerLetter"/>
      <w:lvlText w:val="%5."/>
      <w:lvlJc w:val="left"/>
      <w:pPr>
        <w:ind w:left="3600" w:hanging="360"/>
      </w:pPr>
    </w:lvl>
    <w:lvl w:ilvl="5" w:tplc="2A765ACE">
      <w:start w:val="1"/>
      <w:numFmt w:val="lowerRoman"/>
      <w:lvlText w:val="%6."/>
      <w:lvlJc w:val="right"/>
      <w:pPr>
        <w:ind w:left="4320" w:hanging="180"/>
      </w:pPr>
    </w:lvl>
    <w:lvl w:ilvl="6" w:tplc="0A6290A6">
      <w:start w:val="1"/>
      <w:numFmt w:val="decimal"/>
      <w:lvlText w:val="%7."/>
      <w:lvlJc w:val="left"/>
      <w:pPr>
        <w:ind w:left="5040" w:hanging="360"/>
      </w:pPr>
    </w:lvl>
    <w:lvl w:ilvl="7" w:tplc="DAEE83DC">
      <w:start w:val="1"/>
      <w:numFmt w:val="lowerLetter"/>
      <w:lvlText w:val="%8."/>
      <w:lvlJc w:val="left"/>
      <w:pPr>
        <w:ind w:left="5760" w:hanging="360"/>
      </w:pPr>
    </w:lvl>
    <w:lvl w:ilvl="8" w:tplc="228A6E34">
      <w:start w:val="1"/>
      <w:numFmt w:val="lowerRoman"/>
      <w:lvlText w:val="%9."/>
      <w:lvlJc w:val="right"/>
      <w:pPr>
        <w:ind w:left="6480" w:hanging="180"/>
      </w:pPr>
    </w:lvl>
  </w:abstractNum>
  <w:abstractNum w:abstractNumId="2"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C17021"/>
    <w:multiLevelType w:val="hybridMultilevel"/>
    <w:tmpl w:val="F8FC7E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C39C1"/>
    <w:multiLevelType w:val="hybridMultilevel"/>
    <w:tmpl w:val="CB0637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15:restartNumberingAfterBreak="0">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13"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185D67"/>
    <w:multiLevelType w:val="hybridMultilevel"/>
    <w:tmpl w:val="A9885442"/>
    <w:lvl w:ilvl="0" w:tplc="C25A732C">
      <w:start w:val="1"/>
      <w:numFmt w:val="decimal"/>
      <w:lvlText w:val="%1."/>
      <w:lvlJc w:val="left"/>
      <w:pPr>
        <w:ind w:left="1006" w:hanging="360"/>
      </w:pPr>
      <w:rPr>
        <w:rFonts w:hint="default"/>
        <w:sz w:val="22"/>
        <w:szCs w:val="22"/>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15"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5750C7E"/>
    <w:multiLevelType w:val="hybridMultilevel"/>
    <w:tmpl w:val="81D8A9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159375D"/>
    <w:multiLevelType w:val="hybridMultilevel"/>
    <w:tmpl w:val="4D5C4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0A4D83"/>
    <w:multiLevelType w:val="hybridMultilevel"/>
    <w:tmpl w:val="478E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C97326"/>
    <w:multiLevelType w:val="hybridMultilevel"/>
    <w:tmpl w:val="C0FE4BC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B54038"/>
    <w:multiLevelType w:val="hybridMultilevel"/>
    <w:tmpl w:val="0FCC8B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8"/>
  </w:num>
  <w:num w:numId="7">
    <w:abstractNumId w:val="3"/>
  </w:num>
  <w:num w:numId="8">
    <w:abstractNumId w:val="4"/>
  </w:num>
  <w:num w:numId="9">
    <w:abstractNumId w:val="24"/>
  </w:num>
  <w:num w:numId="10">
    <w:abstractNumId w:val="2"/>
  </w:num>
  <w:num w:numId="11">
    <w:abstractNumId w:val="26"/>
  </w:num>
  <w:num w:numId="12">
    <w:abstractNumId w:val="7"/>
  </w:num>
  <w:num w:numId="13">
    <w:abstractNumId w:val="0"/>
  </w:num>
  <w:num w:numId="14">
    <w:abstractNumId w:val="25"/>
  </w:num>
  <w:num w:numId="15">
    <w:abstractNumId w:val="16"/>
  </w:num>
  <w:num w:numId="16">
    <w:abstractNumId w:val="12"/>
  </w:num>
  <w:num w:numId="17">
    <w:abstractNumId w:val="28"/>
  </w:num>
  <w:num w:numId="18">
    <w:abstractNumId w:val="27"/>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6"/>
  </w:num>
  <w:num w:numId="24">
    <w:abstractNumId w:val="10"/>
  </w:num>
  <w:num w:numId="25">
    <w:abstractNumId w:val="11"/>
  </w:num>
  <w:num w:numId="26">
    <w:abstractNumId w:val="17"/>
  </w:num>
  <w:num w:numId="27">
    <w:abstractNumId w:val="22"/>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E4"/>
    <w:rsid w:val="00005E79"/>
    <w:rsid w:val="000121C4"/>
    <w:rsid w:val="0001528C"/>
    <w:rsid w:val="00024C1D"/>
    <w:rsid w:val="00025346"/>
    <w:rsid w:val="00027058"/>
    <w:rsid w:val="00032061"/>
    <w:rsid w:val="00032E91"/>
    <w:rsid w:val="00045091"/>
    <w:rsid w:val="0005107F"/>
    <w:rsid w:val="00055EA4"/>
    <w:rsid w:val="000630D0"/>
    <w:rsid w:val="0007173E"/>
    <w:rsid w:val="000745FD"/>
    <w:rsid w:val="00087647"/>
    <w:rsid w:val="00087937"/>
    <w:rsid w:val="00091B59"/>
    <w:rsid w:val="000957ED"/>
    <w:rsid w:val="00097A72"/>
    <w:rsid w:val="000A1B66"/>
    <w:rsid w:val="000A4D2F"/>
    <w:rsid w:val="000B483A"/>
    <w:rsid w:val="000C7D3F"/>
    <w:rsid w:val="000D049A"/>
    <w:rsid w:val="000D095C"/>
    <w:rsid w:val="000D0BDC"/>
    <w:rsid w:val="000D2036"/>
    <w:rsid w:val="000D7717"/>
    <w:rsid w:val="000E130E"/>
    <w:rsid w:val="000F7654"/>
    <w:rsid w:val="00101637"/>
    <w:rsid w:val="00102ED6"/>
    <w:rsid w:val="001047CE"/>
    <w:rsid w:val="00105C81"/>
    <w:rsid w:val="00113883"/>
    <w:rsid w:val="001229CC"/>
    <w:rsid w:val="0012645F"/>
    <w:rsid w:val="001264B1"/>
    <w:rsid w:val="0013083D"/>
    <w:rsid w:val="00134AA7"/>
    <w:rsid w:val="001519C4"/>
    <w:rsid w:val="00153256"/>
    <w:rsid w:val="0015479C"/>
    <w:rsid w:val="00166C41"/>
    <w:rsid w:val="00170D37"/>
    <w:rsid w:val="00174AE2"/>
    <w:rsid w:val="00196278"/>
    <w:rsid w:val="00196F55"/>
    <w:rsid w:val="001A10A2"/>
    <w:rsid w:val="001C36D1"/>
    <w:rsid w:val="001C3CFC"/>
    <w:rsid w:val="001D33E7"/>
    <w:rsid w:val="001F0D86"/>
    <w:rsid w:val="001F410D"/>
    <w:rsid w:val="001F7F8E"/>
    <w:rsid w:val="00202444"/>
    <w:rsid w:val="00207501"/>
    <w:rsid w:val="00222E72"/>
    <w:rsid w:val="00227488"/>
    <w:rsid w:val="0024507F"/>
    <w:rsid w:val="00247D55"/>
    <w:rsid w:val="002559F7"/>
    <w:rsid w:val="00262C7D"/>
    <w:rsid w:val="00271121"/>
    <w:rsid w:val="002768BD"/>
    <w:rsid w:val="00277C8F"/>
    <w:rsid w:val="0028497B"/>
    <w:rsid w:val="00286BD2"/>
    <w:rsid w:val="0029097E"/>
    <w:rsid w:val="0029136D"/>
    <w:rsid w:val="002A1965"/>
    <w:rsid w:val="002A209F"/>
    <w:rsid w:val="002A2A24"/>
    <w:rsid w:val="002B2534"/>
    <w:rsid w:val="002B75C5"/>
    <w:rsid w:val="002C4ABB"/>
    <w:rsid w:val="002C6678"/>
    <w:rsid w:val="002C67E6"/>
    <w:rsid w:val="002C67FE"/>
    <w:rsid w:val="002D690C"/>
    <w:rsid w:val="002D6A77"/>
    <w:rsid w:val="002E0A60"/>
    <w:rsid w:val="002E176D"/>
    <w:rsid w:val="002E2E9C"/>
    <w:rsid w:val="002F1147"/>
    <w:rsid w:val="002F3319"/>
    <w:rsid w:val="0030186E"/>
    <w:rsid w:val="00303B8A"/>
    <w:rsid w:val="00305873"/>
    <w:rsid w:val="0030686D"/>
    <w:rsid w:val="00316281"/>
    <w:rsid w:val="003311BA"/>
    <w:rsid w:val="0033382B"/>
    <w:rsid w:val="00335D4B"/>
    <w:rsid w:val="003567CB"/>
    <w:rsid w:val="003578E5"/>
    <w:rsid w:val="003672A8"/>
    <w:rsid w:val="00370D54"/>
    <w:rsid w:val="00371DF2"/>
    <w:rsid w:val="00382D4F"/>
    <w:rsid w:val="00395280"/>
    <w:rsid w:val="00395D63"/>
    <w:rsid w:val="003B293D"/>
    <w:rsid w:val="003D78CD"/>
    <w:rsid w:val="003D7B3A"/>
    <w:rsid w:val="003F1B53"/>
    <w:rsid w:val="003F35E5"/>
    <w:rsid w:val="003F5387"/>
    <w:rsid w:val="00405687"/>
    <w:rsid w:val="00411455"/>
    <w:rsid w:val="00424EE1"/>
    <w:rsid w:val="00434E5E"/>
    <w:rsid w:val="004416CB"/>
    <w:rsid w:val="00443649"/>
    <w:rsid w:val="00453676"/>
    <w:rsid w:val="00464E05"/>
    <w:rsid w:val="0046692F"/>
    <w:rsid w:val="00466F18"/>
    <w:rsid w:val="00486445"/>
    <w:rsid w:val="004950D9"/>
    <w:rsid w:val="004A058F"/>
    <w:rsid w:val="004A4877"/>
    <w:rsid w:val="004B0948"/>
    <w:rsid w:val="004D2EB1"/>
    <w:rsid w:val="004D4B68"/>
    <w:rsid w:val="004D5C5B"/>
    <w:rsid w:val="004E5B69"/>
    <w:rsid w:val="004E7AF6"/>
    <w:rsid w:val="004F645B"/>
    <w:rsid w:val="00504A89"/>
    <w:rsid w:val="00506C49"/>
    <w:rsid w:val="005134D4"/>
    <w:rsid w:val="00514089"/>
    <w:rsid w:val="00520FA9"/>
    <w:rsid w:val="00521BA5"/>
    <w:rsid w:val="00522905"/>
    <w:rsid w:val="00524288"/>
    <w:rsid w:val="00527403"/>
    <w:rsid w:val="00533C68"/>
    <w:rsid w:val="00542CEE"/>
    <w:rsid w:val="00546225"/>
    <w:rsid w:val="00550273"/>
    <w:rsid w:val="00550844"/>
    <w:rsid w:val="00553F03"/>
    <w:rsid w:val="00554148"/>
    <w:rsid w:val="005611D9"/>
    <w:rsid w:val="00562E1F"/>
    <w:rsid w:val="00566D88"/>
    <w:rsid w:val="00571918"/>
    <w:rsid w:val="00575829"/>
    <w:rsid w:val="00580D11"/>
    <w:rsid w:val="00581BF8"/>
    <w:rsid w:val="005A6F9A"/>
    <w:rsid w:val="005A7ED1"/>
    <w:rsid w:val="005C3D87"/>
    <w:rsid w:val="005C5B44"/>
    <w:rsid w:val="005D551A"/>
    <w:rsid w:val="005D7B08"/>
    <w:rsid w:val="005E44DF"/>
    <w:rsid w:val="005F0A60"/>
    <w:rsid w:val="005F0AFE"/>
    <w:rsid w:val="006035C3"/>
    <w:rsid w:val="006238ED"/>
    <w:rsid w:val="00632EB6"/>
    <w:rsid w:val="00645C4C"/>
    <w:rsid w:val="0064617F"/>
    <w:rsid w:val="0066607B"/>
    <w:rsid w:val="0067664D"/>
    <w:rsid w:val="006770E9"/>
    <w:rsid w:val="00687575"/>
    <w:rsid w:val="006909B2"/>
    <w:rsid w:val="00691531"/>
    <w:rsid w:val="006A2194"/>
    <w:rsid w:val="006A24C9"/>
    <w:rsid w:val="006B20D0"/>
    <w:rsid w:val="006B231C"/>
    <w:rsid w:val="006B70AF"/>
    <w:rsid w:val="006C7BD1"/>
    <w:rsid w:val="006E0376"/>
    <w:rsid w:val="006E535D"/>
    <w:rsid w:val="006E5572"/>
    <w:rsid w:val="006E6AFD"/>
    <w:rsid w:val="006F3153"/>
    <w:rsid w:val="006F39B6"/>
    <w:rsid w:val="006F4794"/>
    <w:rsid w:val="007004F9"/>
    <w:rsid w:val="007019F3"/>
    <w:rsid w:val="00702882"/>
    <w:rsid w:val="00704197"/>
    <w:rsid w:val="00704E63"/>
    <w:rsid w:val="0070677B"/>
    <w:rsid w:val="00711BEA"/>
    <w:rsid w:val="00711F5D"/>
    <w:rsid w:val="00720BC3"/>
    <w:rsid w:val="00731175"/>
    <w:rsid w:val="0073297A"/>
    <w:rsid w:val="00734AC4"/>
    <w:rsid w:val="0074148A"/>
    <w:rsid w:val="00741795"/>
    <w:rsid w:val="00743F71"/>
    <w:rsid w:val="00744402"/>
    <w:rsid w:val="007471ED"/>
    <w:rsid w:val="00761D00"/>
    <w:rsid w:val="00766F7A"/>
    <w:rsid w:val="00771A85"/>
    <w:rsid w:val="0077311C"/>
    <w:rsid w:val="00792200"/>
    <w:rsid w:val="007A768E"/>
    <w:rsid w:val="007B26AA"/>
    <w:rsid w:val="007B2B89"/>
    <w:rsid w:val="007B77D8"/>
    <w:rsid w:val="007D33CD"/>
    <w:rsid w:val="007E2DE0"/>
    <w:rsid w:val="007E3436"/>
    <w:rsid w:val="007E4CFF"/>
    <w:rsid w:val="008040F7"/>
    <w:rsid w:val="0081238B"/>
    <w:rsid w:val="0081557B"/>
    <w:rsid w:val="008320CF"/>
    <w:rsid w:val="00845019"/>
    <w:rsid w:val="00854E1E"/>
    <w:rsid w:val="00872869"/>
    <w:rsid w:val="00885BF3"/>
    <w:rsid w:val="008930FD"/>
    <w:rsid w:val="00893E3C"/>
    <w:rsid w:val="00895F51"/>
    <w:rsid w:val="008A60D7"/>
    <w:rsid w:val="008B7400"/>
    <w:rsid w:val="008C25A2"/>
    <w:rsid w:val="008C673C"/>
    <w:rsid w:val="008D6FEA"/>
    <w:rsid w:val="0090071B"/>
    <w:rsid w:val="0091622B"/>
    <w:rsid w:val="0092386F"/>
    <w:rsid w:val="00925343"/>
    <w:rsid w:val="00927810"/>
    <w:rsid w:val="00935F0E"/>
    <w:rsid w:val="00940DEB"/>
    <w:rsid w:val="00942863"/>
    <w:rsid w:val="009453B4"/>
    <w:rsid w:val="0095096E"/>
    <w:rsid w:val="00961707"/>
    <w:rsid w:val="00975EF9"/>
    <w:rsid w:val="00991C1B"/>
    <w:rsid w:val="00994F78"/>
    <w:rsid w:val="00995B2C"/>
    <w:rsid w:val="009969DE"/>
    <w:rsid w:val="00997920"/>
    <w:rsid w:val="009A7AEA"/>
    <w:rsid w:val="009C51EE"/>
    <w:rsid w:val="009D02C7"/>
    <w:rsid w:val="009D07BD"/>
    <w:rsid w:val="009E1C50"/>
    <w:rsid w:val="009E6611"/>
    <w:rsid w:val="00A006FA"/>
    <w:rsid w:val="00A0139C"/>
    <w:rsid w:val="00A01A02"/>
    <w:rsid w:val="00A01B2D"/>
    <w:rsid w:val="00A01FA3"/>
    <w:rsid w:val="00A03239"/>
    <w:rsid w:val="00A11ED6"/>
    <w:rsid w:val="00A12900"/>
    <w:rsid w:val="00A12A80"/>
    <w:rsid w:val="00A23C13"/>
    <w:rsid w:val="00A258F4"/>
    <w:rsid w:val="00A44206"/>
    <w:rsid w:val="00A47B3E"/>
    <w:rsid w:val="00A555B0"/>
    <w:rsid w:val="00A60C84"/>
    <w:rsid w:val="00A616F9"/>
    <w:rsid w:val="00A64F39"/>
    <w:rsid w:val="00A6684B"/>
    <w:rsid w:val="00A66DAB"/>
    <w:rsid w:val="00A91017"/>
    <w:rsid w:val="00A914A4"/>
    <w:rsid w:val="00AB0473"/>
    <w:rsid w:val="00AB0573"/>
    <w:rsid w:val="00AC0EE3"/>
    <w:rsid w:val="00AD429A"/>
    <w:rsid w:val="00AD484B"/>
    <w:rsid w:val="00AE0DF8"/>
    <w:rsid w:val="00AE45BB"/>
    <w:rsid w:val="00B05D89"/>
    <w:rsid w:val="00B109C6"/>
    <w:rsid w:val="00B1626E"/>
    <w:rsid w:val="00B17B64"/>
    <w:rsid w:val="00B23E89"/>
    <w:rsid w:val="00B27E25"/>
    <w:rsid w:val="00B3601D"/>
    <w:rsid w:val="00B52196"/>
    <w:rsid w:val="00B53181"/>
    <w:rsid w:val="00B56D48"/>
    <w:rsid w:val="00B605E1"/>
    <w:rsid w:val="00B60998"/>
    <w:rsid w:val="00B61626"/>
    <w:rsid w:val="00B641BB"/>
    <w:rsid w:val="00B668FA"/>
    <w:rsid w:val="00B6784A"/>
    <w:rsid w:val="00B82E9F"/>
    <w:rsid w:val="00B844E2"/>
    <w:rsid w:val="00B865A5"/>
    <w:rsid w:val="00B93870"/>
    <w:rsid w:val="00BA42E7"/>
    <w:rsid w:val="00BA46E9"/>
    <w:rsid w:val="00BA4B01"/>
    <w:rsid w:val="00BB6B17"/>
    <w:rsid w:val="00BB7BBA"/>
    <w:rsid w:val="00BC3144"/>
    <w:rsid w:val="00BD03DC"/>
    <w:rsid w:val="00BD2285"/>
    <w:rsid w:val="00BD2A4B"/>
    <w:rsid w:val="00BE21CD"/>
    <w:rsid w:val="00BF021B"/>
    <w:rsid w:val="00BF22C5"/>
    <w:rsid w:val="00BF43BC"/>
    <w:rsid w:val="00BF62DA"/>
    <w:rsid w:val="00C01373"/>
    <w:rsid w:val="00C01E51"/>
    <w:rsid w:val="00C02E44"/>
    <w:rsid w:val="00C064CA"/>
    <w:rsid w:val="00C0656C"/>
    <w:rsid w:val="00C20508"/>
    <w:rsid w:val="00C2478A"/>
    <w:rsid w:val="00C34D0A"/>
    <w:rsid w:val="00C426BD"/>
    <w:rsid w:val="00C444D7"/>
    <w:rsid w:val="00C46689"/>
    <w:rsid w:val="00C47ABF"/>
    <w:rsid w:val="00C54359"/>
    <w:rsid w:val="00C57372"/>
    <w:rsid w:val="00C57CAD"/>
    <w:rsid w:val="00C74835"/>
    <w:rsid w:val="00C83B07"/>
    <w:rsid w:val="00C97142"/>
    <w:rsid w:val="00CA059E"/>
    <w:rsid w:val="00CA2840"/>
    <w:rsid w:val="00CB4138"/>
    <w:rsid w:val="00CC1C55"/>
    <w:rsid w:val="00CC779F"/>
    <w:rsid w:val="00CE074A"/>
    <w:rsid w:val="00CE745B"/>
    <w:rsid w:val="00CF3B59"/>
    <w:rsid w:val="00CF6B8A"/>
    <w:rsid w:val="00D000E6"/>
    <w:rsid w:val="00D02A09"/>
    <w:rsid w:val="00D02BC5"/>
    <w:rsid w:val="00D0399F"/>
    <w:rsid w:val="00D16F15"/>
    <w:rsid w:val="00D2025E"/>
    <w:rsid w:val="00D379B5"/>
    <w:rsid w:val="00D4157C"/>
    <w:rsid w:val="00D461A5"/>
    <w:rsid w:val="00D526EA"/>
    <w:rsid w:val="00D71C04"/>
    <w:rsid w:val="00D724E9"/>
    <w:rsid w:val="00D82880"/>
    <w:rsid w:val="00D85233"/>
    <w:rsid w:val="00D90161"/>
    <w:rsid w:val="00DA49A2"/>
    <w:rsid w:val="00DB00D2"/>
    <w:rsid w:val="00DB46A1"/>
    <w:rsid w:val="00DC33EA"/>
    <w:rsid w:val="00DC36CA"/>
    <w:rsid w:val="00DC4B72"/>
    <w:rsid w:val="00DC56BA"/>
    <w:rsid w:val="00DD3345"/>
    <w:rsid w:val="00DF169A"/>
    <w:rsid w:val="00DF357C"/>
    <w:rsid w:val="00E06413"/>
    <w:rsid w:val="00E12BFD"/>
    <w:rsid w:val="00E14CA7"/>
    <w:rsid w:val="00E1542D"/>
    <w:rsid w:val="00E2101B"/>
    <w:rsid w:val="00E26491"/>
    <w:rsid w:val="00E33056"/>
    <w:rsid w:val="00E34C90"/>
    <w:rsid w:val="00E37CA1"/>
    <w:rsid w:val="00E716CB"/>
    <w:rsid w:val="00E72363"/>
    <w:rsid w:val="00E81066"/>
    <w:rsid w:val="00E81D90"/>
    <w:rsid w:val="00E90D74"/>
    <w:rsid w:val="00E9321A"/>
    <w:rsid w:val="00E96173"/>
    <w:rsid w:val="00EA6A9A"/>
    <w:rsid w:val="00EA6DC7"/>
    <w:rsid w:val="00EB6BFB"/>
    <w:rsid w:val="00ED473F"/>
    <w:rsid w:val="00EE5022"/>
    <w:rsid w:val="00EE5F83"/>
    <w:rsid w:val="00EF6829"/>
    <w:rsid w:val="00EF6FA8"/>
    <w:rsid w:val="00F01201"/>
    <w:rsid w:val="00F02ADE"/>
    <w:rsid w:val="00F07336"/>
    <w:rsid w:val="00F075C0"/>
    <w:rsid w:val="00F10AFD"/>
    <w:rsid w:val="00F26C63"/>
    <w:rsid w:val="00F332EC"/>
    <w:rsid w:val="00F344E1"/>
    <w:rsid w:val="00F346DB"/>
    <w:rsid w:val="00F4453B"/>
    <w:rsid w:val="00F50D7C"/>
    <w:rsid w:val="00F55E3E"/>
    <w:rsid w:val="00F64DE4"/>
    <w:rsid w:val="00F719CD"/>
    <w:rsid w:val="00F75368"/>
    <w:rsid w:val="00F81B8B"/>
    <w:rsid w:val="00F8216B"/>
    <w:rsid w:val="00F85D9C"/>
    <w:rsid w:val="00F87AFF"/>
    <w:rsid w:val="00FA0A00"/>
    <w:rsid w:val="00FA44B6"/>
    <w:rsid w:val="00FB0374"/>
    <w:rsid w:val="00FB0855"/>
    <w:rsid w:val="00FB2C3F"/>
    <w:rsid w:val="00FC0B12"/>
    <w:rsid w:val="00FD2B01"/>
    <w:rsid w:val="00FE2D1C"/>
    <w:rsid w:val="00FE3B53"/>
    <w:rsid w:val="00FE714D"/>
    <w:rsid w:val="00FF5A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4B917EF9"/>
  <w15:docId w15:val="{1A27C081-C2CA-40F7-8991-2AA8BC07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nhideWhenUsed/>
    <w:rsid w:val="00F64DE4"/>
    <w:pPr>
      <w:tabs>
        <w:tab w:val="center" w:pos="4153"/>
        <w:tab w:val="right" w:pos="8306"/>
      </w:tabs>
    </w:pPr>
  </w:style>
  <w:style w:type="character" w:customStyle="1" w:styleId="KjeneRakstz">
    <w:name w:val="Kājene Rakstz."/>
    <w:basedOn w:val="Noklusjumarindkopasfonts"/>
    <w:link w:val="Kjene"/>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Numbered Para 1,Dot pt,No Spacing1,List Paragraph Char Char Char,Indicator Text,Bullet 1,Bullet Points,F5 List Paragraph,Colorful List - Accent 11,List Paragraph2,Normal numbered,List Paragraph11"/>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D379B5"/>
    <w:pPr>
      <w:spacing w:after="120"/>
    </w:pPr>
  </w:style>
  <w:style w:type="character" w:customStyle="1" w:styleId="PamattekstsRakstz">
    <w:name w:val="Pamatteksts Rakstz."/>
    <w:basedOn w:val="Noklusjumarindkopasfonts"/>
    <w:link w:val="Pamatteksts"/>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Numbered Para 1 Rakstz.,Dot pt Rakstz.,No Spacing1 Rakstz.,List Paragraph Char Char Char Rakstz.,Indicator Text Rakstz.,Bullet 1 Rakstz.,Bullet Points Rakstz.,F5 List Paragraph Rakstz."/>
    <w:link w:val="Sarakstarindkopa"/>
    <w:uiPriority w:val="34"/>
    <w:qFormat/>
    <w:rsid w:val="000D049A"/>
    <w:rPr>
      <w:rFonts w:ascii="Calibri" w:eastAsia="Calibri" w:hAnsi="Calibri" w:cs="Times New Roman"/>
    </w:rPr>
  </w:style>
  <w:style w:type="paragraph" w:customStyle="1" w:styleId="tv213">
    <w:name w:val="tv213"/>
    <w:basedOn w:val="Parasts"/>
    <w:rsid w:val="00E34C90"/>
    <w:pPr>
      <w:spacing w:before="100" w:beforeAutospacing="1" w:after="100" w:afterAutospacing="1"/>
    </w:pPr>
  </w:style>
  <w:style w:type="paragraph" w:customStyle="1" w:styleId="doc-ti">
    <w:name w:val="doc-ti"/>
    <w:basedOn w:val="Parasts"/>
    <w:uiPriority w:val="99"/>
    <w:rsid w:val="00704197"/>
    <w:pPr>
      <w:spacing w:before="100" w:beforeAutospacing="1" w:after="100" w:afterAutospacing="1"/>
    </w:pPr>
    <w:rPr>
      <w:rFonts w:eastAsiaTheme="minorHAnsi"/>
    </w:rPr>
  </w:style>
  <w:style w:type="character" w:styleId="Neatrisintapieminana">
    <w:name w:val="Unresolved Mention"/>
    <w:basedOn w:val="Noklusjumarindkopasfonts"/>
    <w:uiPriority w:val="99"/>
    <w:semiHidden/>
    <w:unhideWhenUsed/>
    <w:rsid w:val="00045091"/>
    <w:rPr>
      <w:color w:val="605E5C"/>
      <w:shd w:val="clear" w:color="auto" w:fill="E1DFDD"/>
    </w:rPr>
  </w:style>
  <w:style w:type="paragraph" w:styleId="Vienkrsteksts">
    <w:name w:val="Plain Text"/>
    <w:basedOn w:val="Parasts"/>
    <w:link w:val="VienkrstekstsRakstz"/>
    <w:uiPriority w:val="99"/>
    <w:unhideWhenUsed/>
    <w:rsid w:val="009D02C7"/>
    <w:rPr>
      <w:rFonts w:eastAsia="Calibri"/>
      <w:sz w:val="28"/>
      <w:szCs w:val="21"/>
      <w:lang w:eastAsia="en-US"/>
    </w:rPr>
  </w:style>
  <w:style w:type="character" w:customStyle="1" w:styleId="VienkrstekstsRakstz">
    <w:name w:val="Vienkāršs teksts Rakstz."/>
    <w:basedOn w:val="Noklusjumarindkopasfonts"/>
    <w:link w:val="Vienkrsteksts"/>
    <w:uiPriority w:val="99"/>
    <w:rsid w:val="009D02C7"/>
    <w:rPr>
      <w:rFonts w:ascii="Times New Roman" w:eastAsia="Calibri" w:hAnsi="Times New Roman"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643" TargetMode="External"/><Relationship Id="rId13" Type="http://schemas.openxmlformats.org/officeDocument/2006/relationships/hyperlink" Target="https://likumi.lv/ta/id/28264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282643" TargetMode="External"/><Relationship Id="rId12" Type="http://schemas.openxmlformats.org/officeDocument/2006/relationships/hyperlink" Target="https://likumi.lv/ta/id/282643" TargetMode="External"/><Relationship Id="rId17" Type="http://schemas.openxmlformats.org/officeDocument/2006/relationships/hyperlink" Target="mailto:Andrelita.Blusanovica@km.gov.lv" TargetMode="External"/><Relationship Id="rId2" Type="http://schemas.openxmlformats.org/officeDocument/2006/relationships/styles" Target="styles.xml"/><Relationship Id="rId16" Type="http://schemas.openxmlformats.org/officeDocument/2006/relationships/hyperlink" Target="http://eur-lex.europa.eu/eli/reg/2014/651/oj/?local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651/oj/?locale=LV" TargetMode="External"/><Relationship Id="rId5" Type="http://schemas.openxmlformats.org/officeDocument/2006/relationships/footnotes" Target="footnote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11164</Words>
  <Characters>6365</Characters>
  <Application>Microsoft Office Word</Application>
  <DocSecurity>0</DocSecurity>
  <Lines>53</Lines>
  <Paragraphs>34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Beriņa</dc:creator>
  <cp:lastModifiedBy>Andrelita Blusanoviča</cp:lastModifiedBy>
  <cp:revision>5</cp:revision>
  <cp:lastPrinted>2018-03-05T07:30:00Z</cp:lastPrinted>
  <dcterms:created xsi:type="dcterms:W3CDTF">2021-10-13T07:31:00Z</dcterms:created>
  <dcterms:modified xsi:type="dcterms:W3CDTF">2021-10-13T09:32:00Z</dcterms:modified>
</cp:coreProperties>
</file>