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FA408" w14:textId="77777777" w:rsidR="00E60C31" w:rsidRPr="00E60C31" w:rsidRDefault="00E60C31" w:rsidP="00E60C31">
      <w:pPr>
        <w:suppressAutoHyphens/>
        <w:autoSpaceDN w:val="0"/>
        <w:spacing w:after="0" w:line="240" w:lineRule="auto"/>
        <w:ind w:firstLine="720"/>
        <w:jc w:val="center"/>
        <w:textAlignment w:val="baseline"/>
        <w:rPr>
          <w:rFonts w:ascii="Times New Roman" w:eastAsia="Times New Roman" w:hAnsi="Times New Roman" w:cs="Times New Roman"/>
          <w:b/>
          <w:bCs/>
          <w:sz w:val="28"/>
          <w:szCs w:val="28"/>
          <w:lang w:eastAsia="lv-LV"/>
        </w:rPr>
      </w:pPr>
      <w:r w:rsidRPr="00E60C31">
        <w:rPr>
          <w:rFonts w:ascii="Times New Roman" w:eastAsia="Times New Roman" w:hAnsi="Times New Roman" w:cs="Times New Roman"/>
          <w:b/>
          <w:bCs/>
          <w:sz w:val="28"/>
          <w:szCs w:val="28"/>
          <w:lang w:eastAsia="lv-LV"/>
        </w:rPr>
        <w:t>Izziņa par atzinumos sniegtajiem iebildumiem</w:t>
      </w:r>
    </w:p>
    <w:p w14:paraId="63F4C1C9" w14:textId="77777777" w:rsidR="00E60C31" w:rsidRPr="00E60C31" w:rsidRDefault="00E60C31" w:rsidP="00E60C31">
      <w:pPr>
        <w:suppressAutoHyphens/>
        <w:autoSpaceDN w:val="0"/>
        <w:spacing w:after="0" w:line="240" w:lineRule="auto"/>
        <w:ind w:firstLine="720"/>
        <w:jc w:val="both"/>
        <w:textAlignment w:val="baseline"/>
        <w:rPr>
          <w:rFonts w:ascii="Times New Roman" w:eastAsia="Times New Roman" w:hAnsi="Times New Roman" w:cs="Times New Roman"/>
          <w:sz w:val="24"/>
          <w:szCs w:val="24"/>
          <w:lang w:eastAsia="lv-LV"/>
        </w:rPr>
      </w:pPr>
    </w:p>
    <w:tbl>
      <w:tblPr>
        <w:tblW w:w="5000" w:type="pct"/>
        <w:jc w:val="center"/>
        <w:tblCellMar>
          <w:left w:w="10" w:type="dxa"/>
          <w:right w:w="10" w:type="dxa"/>
        </w:tblCellMar>
        <w:tblLook w:val="0000" w:firstRow="0" w:lastRow="0" w:firstColumn="0" w:lastColumn="0" w:noHBand="0" w:noVBand="0"/>
      </w:tblPr>
      <w:tblGrid>
        <w:gridCol w:w="14003"/>
      </w:tblGrid>
      <w:tr w:rsidR="00E60C31" w:rsidRPr="00E60C31" w14:paraId="0C612FA0" w14:textId="77777777" w:rsidTr="00E74C0C">
        <w:trPr>
          <w:jc w:val="center"/>
        </w:trPr>
        <w:tc>
          <w:tcPr>
            <w:tcW w:w="14003" w:type="dxa"/>
            <w:tcBorders>
              <w:bottom w:val="single" w:sz="6" w:space="0" w:color="000000"/>
            </w:tcBorders>
            <w:shd w:val="clear" w:color="auto" w:fill="auto"/>
            <w:tcMar>
              <w:top w:w="0" w:type="dxa"/>
              <w:left w:w="108" w:type="dxa"/>
              <w:bottom w:w="0" w:type="dxa"/>
              <w:right w:w="108" w:type="dxa"/>
            </w:tcMar>
          </w:tcPr>
          <w:p w14:paraId="3FBB3807"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Likumprojekts “Grozījumi Invaliditātes likumā”</w:t>
            </w:r>
          </w:p>
        </w:tc>
      </w:tr>
    </w:tbl>
    <w:p w14:paraId="076CC0C1" w14:textId="77777777" w:rsidR="00E60C31" w:rsidRPr="00E60C31" w:rsidRDefault="00E60C31" w:rsidP="00E60C31">
      <w:pPr>
        <w:suppressAutoHyphens/>
        <w:autoSpaceDN w:val="0"/>
        <w:spacing w:after="0" w:line="240" w:lineRule="auto"/>
        <w:ind w:firstLine="1080"/>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(dokumenta veids un nosaukums)</w:t>
      </w:r>
    </w:p>
    <w:p w14:paraId="722B655B" w14:textId="77777777" w:rsidR="00E60C31" w:rsidRPr="00E60C31" w:rsidRDefault="00E60C31" w:rsidP="00E60C31">
      <w:pPr>
        <w:suppressAutoHyphens/>
        <w:autoSpaceDN w:val="0"/>
        <w:spacing w:after="0" w:line="240" w:lineRule="auto"/>
        <w:ind w:firstLine="1080"/>
        <w:jc w:val="center"/>
        <w:textAlignment w:val="baseline"/>
        <w:rPr>
          <w:rFonts w:ascii="Times New Roman" w:eastAsia="Times New Roman" w:hAnsi="Times New Roman" w:cs="Times New Roman"/>
          <w:sz w:val="24"/>
          <w:szCs w:val="24"/>
          <w:lang w:eastAsia="lv-LV"/>
        </w:rPr>
      </w:pPr>
    </w:p>
    <w:p w14:paraId="05DC4B93"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r w:rsidRPr="00E60C31">
        <w:rPr>
          <w:rFonts w:ascii="Times New Roman" w:eastAsia="Times New Roman" w:hAnsi="Times New Roman" w:cs="Times New Roman"/>
          <w:b/>
          <w:sz w:val="24"/>
          <w:szCs w:val="24"/>
          <w:lang w:eastAsia="lv-LV"/>
        </w:rPr>
        <w:t>I. Jautājumi, par kuriem saskaņošanā vienošanās nav panākta</w:t>
      </w:r>
    </w:p>
    <w:p w14:paraId="6F4BEF16" w14:textId="77777777" w:rsidR="00E60C31" w:rsidRPr="00E60C31" w:rsidRDefault="00E60C31" w:rsidP="00E60C31">
      <w:pPr>
        <w:suppressAutoHyphens/>
        <w:autoSpaceDN w:val="0"/>
        <w:spacing w:after="0" w:line="240" w:lineRule="auto"/>
        <w:ind w:firstLine="720"/>
        <w:jc w:val="both"/>
        <w:textAlignment w:val="baseline"/>
        <w:rPr>
          <w:rFonts w:ascii="Times New Roman" w:eastAsia="Times New Roman" w:hAnsi="Times New Roman" w:cs="Times New Roman"/>
          <w:sz w:val="24"/>
          <w:szCs w:val="24"/>
          <w:lang w:eastAsia="lv-LV"/>
        </w:rPr>
      </w:pPr>
    </w:p>
    <w:tbl>
      <w:tblPr>
        <w:tblW w:w="5063" w:type="pct"/>
        <w:tblCellMar>
          <w:left w:w="10" w:type="dxa"/>
          <w:right w:w="10" w:type="dxa"/>
        </w:tblCellMar>
        <w:tblLook w:val="0000" w:firstRow="0" w:lastRow="0" w:firstColumn="0" w:lastColumn="0" w:noHBand="0" w:noVBand="0"/>
      </w:tblPr>
      <w:tblGrid>
        <w:gridCol w:w="576"/>
        <w:gridCol w:w="2818"/>
        <w:gridCol w:w="2977"/>
        <w:gridCol w:w="2835"/>
        <w:gridCol w:w="2126"/>
        <w:gridCol w:w="2834"/>
      </w:tblGrid>
      <w:tr w:rsidR="00E60C31" w:rsidRPr="00E60C31" w14:paraId="3EC35CD3" w14:textId="77777777" w:rsidTr="00012387">
        <w:tc>
          <w:tcPr>
            <w:tcW w:w="5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201108"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Nr. p.k.</w:t>
            </w:r>
          </w:p>
        </w:tc>
        <w:tc>
          <w:tcPr>
            <w:tcW w:w="28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3A4B6E" w14:textId="77777777" w:rsidR="00E60C31" w:rsidRPr="00E60C31" w:rsidRDefault="00E60C31" w:rsidP="00E60C31">
            <w:pPr>
              <w:suppressAutoHyphens/>
              <w:autoSpaceDN w:val="0"/>
              <w:spacing w:after="0" w:line="240" w:lineRule="auto"/>
              <w:ind w:firstLine="12"/>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6C878B" w14:textId="77777777" w:rsidR="00E60C31" w:rsidRPr="00E60C31" w:rsidRDefault="00E60C31" w:rsidP="00E60C31">
            <w:pPr>
              <w:suppressAutoHyphens/>
              <w:autoSpaceDN w:val="0"/>
              <w:spacing w:after="0" w:line="240" w:lineRule="auto"/>
              <w:ind w:right="3"/>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988508" w14:textId="77777777" w:rsidR="00E60C31" w:rsidRPr="00E60C31" w:rsidRDefault="00E60C31" w:rsidP="00E60C31">
            <w:pPr>
              <w:suppressAutoHyphens/>
              <w:autoSpaceDN w:val="0"/>
              <w:spacing w:after="0" w:line="240" w:lineRule="auto"/>
              <w:ind w:firstLine="21"/>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Atbildīgās ministrijas pamatojums iebilduma noraidījumam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4842E"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FD7B7"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Projekta attiecīgā punkta (panta) galīgā redakcija</w:t>
            </w:r>
          </w:p>
        </w:tc>
      </w:tr>
      <w:tr w:rsidR="00E60C31" w:rsidRPr="00E60C31" w14:paraId="6C9C3994" w14:textId="77777777" w:rsidTr="00012387">
        <w:tc>
          <w:tcPr>
            <w:tcW w:w="576"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7CCE038"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1</w:t>
            </w:r>
          </w:p>
        </w:tc>
        <w:tc>
          <w:tcPr>
            <w:tcW w:w="2818"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39C2AED1" w14:textId="77777777" w:rsidR="00E60C31" w:rsidRPr="00E60C31" w:rsidRDefault="00E60C31" w:rsidP="00E60C31">
            <w:pPr>
              <w:suppressAutoHyphens/>
              <w:autoSpaceDN w:val="0"/>
              <w:spacing w:after="0" w:line="240" w:lineRule="auto"/>
              <w:ind w:firstLine="50"/>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2</w:t>
            </w:r>
          </w:p>
        </w:tc>
        <w:tc>
          <w:tcPr>
            <w:tcW w:w="2977"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7CB96608" w14:textId="77777777" w:rsidR="00E60C31" w:rsidRPr="00E60C31" w:rsidRDefault="00E60C31" w:rsidP="00E60C31">
            <w:pPr>
              <w:suppressAutoHyphens/>
              <w:autoSpaceDN w:val="0"/>
              <w:spacing w:after="0" w:line="240" w:lineRule="auto"/>
              <w:ind w:right="272" w:hanging="90"/>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3</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F8C4680"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4</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79979B"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5</w:t>
            </w:r>
          </w:p>
        </w:tc>
        <w:tc>
          <w:tcPr>
            <w:tcW w:w="28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AB9FFEF"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6</w:t>
            </w:r>
          </w:p>
        </w:tc>
      </w:tr>
      <w:tr w:rsidR="00E60C31" w:rsidRPr="00E60C31" w14:paraId="7866C4FE" w14:textId="77777777" w:rsidTr="00793868">
        <w:trPr>
          <w:cantSplit/>
        </w:trPr>
        <w:tc>
          <w:tcPr>
            <w:tcW w:w="5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59E717" w14:textId="7EF6B04D" w:rsidR="00E60C31" w:rsidRPr="00E60C31" w:rsidRDefault="00793868"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28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C5EFB2" w14:textId="5C4B91BC" w:rsidR="00F46F03" w:rsidRPr="00E60C31" w:rsidRDefault="00F46F03" w:rsidP="00A64B57">
            <w:pPr>
              <w:tabs>
                <w:tab w:val="left" w:pos="426"/>
              </w:tabs>
              <w:suppressAutoHyphens/>
              <w:autoSpaceDN w:val="0"/>
              <w:spacing w:before="100" w:after="100" w:line="276" w:lineRule="auto"/>
              <w:ind w:left="17"/>
              <w:contextualSpacing/>
              <w:jc w:val="both"/>
              <w:textAlignment w:val="baseline"/>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7FF6E8" w14:textId="63DE2558"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b/>
                <w:sz w:val="24"/>
                <w:szCs w:val="24"/>
                <w:lang w:eastAsia="lv-LV"/>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43A7DA" w14:textId="6BB041EE"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8B211F"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c>
        <w:tc>
          <w:tcPr>
            <w:tcW w:w="28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670CE6" w14:textId="6EFFF03D" w:rsidR="00E60C31" w:rsidRPr="00E60C31" w:rsidRDefault="00E60C31" w:rsidP="00793868">
            <w:pPr>
              <w:tabs>
                <w:tab w:val="left" w:pos="426"/>
              </w:tabs>
              <w:suppressAutoHyphens/>
              <w:autoSpaceDN w:val="0"/>
              <w:spacing w:before="100" w:after="100" w:line="276" w:lineRule="auto"/>
              <w:contextualSpacing/>
              <w:jc w:val="both"/>
              <w:textAlignment w:val="baseline"/>
              <w:rPr>
                <w:rFonts w:ascii="Times New Roman" w:eastAsia="Times New Roman" w:hAnsi="Times New Roman" w:cs="Times New Roman"/>
                <w:sz w:val="24"/>
                <w:szCs w:val="24"/>
                <w:lang w:eastAsia="lv-LV"/>
              </w:rPr>
            </w:pPr>
          </w:p>
        </w:tc>
      </w:tr>
    </w:tbl>
    <w:p w14:paraId="2ED33C00"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78B18E9C"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b/>
          <w:sz w:val="24"/>
          <w:szCs w:val="24"/>
          <w:lang w:eastAsia="lv-LV"/>
        </w:rPr>
      </w:pPr>
      <w:r w:rsidRPr="00E60C31">
        <w:rPr>
          <w:rFonts w:ascii="Times New Roman" w:eastAsia="Times New Roman" w:hAnsi="Times New Roman" w:cs="Times New Roman"/>
          <w:b/>
          <w:sz w:val="24"/>
          <w:szCs w:val="24"/>
          <w:lang w:eastAsia="lv-LV"/>
        </w:rPr>
        <w:t xml:space="preserve">Informācija par </w:t>
      </w:r>
      <w:proofErr w:type="spellStart"/>
      <w:r w:rsidRPr="00E60C31">
        <w:rPr>
          <w:rFonts w:ascii="Times New Roman" w:eastAsia="Times New Roman" w:hAnsi="Times New Roman" w:cs="Times New Roman"/>
          <w:b/>
          <w:sz w:val="24"/>
          <w:szCs w:val="24"/>
          <w:lang w:eastAsia="lv-LV"/>
        </w:rPr>
        <w:t>starpministriju</w:t>
      </w:r>
      <w:proofErr w:type="spellEnd"/>
      <w:r w:rsidRPr="00E60C31">
        <w:rPr>
          <w:rFonts w:ascii="Times New Roman" w:eastAsia="Times New Roman" w:hAnsi="Times New Roman" w:cs="Times New Roman"/>
          <w:b/>
          <w:sz w:val="24"/>
          <w:szCs w:val="24"/>
          <w:lang w:eastAsia="lv-LV"/>
        </w:rPr>
        <w:t xml:space="preserve"> (starpinstitūciju) sanāksmi vai elektronisko saskaņošanu</w:t>
      </w:r>
    </w:p>
    <w:p w14:paraId="4EB8E2DE"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b/>
          <w:sz w:val="24"/>
          <w:szCs w:val="24"/>
          <w:lang w:eastAsia="lv-LV"/>
        </w:rPr>
      </w:pPr>
    </w:p>
    <w:tbl>
      <w:tblPr>
        <w:tblW w:w="5000" w:type="pct"/>
        <w:tblCellMar>
          <w:left w:w="10" w:type="dxa"/>
          <w:right w:w="10" w:type="dxa"/>
        </w:tblCellMar>
        <w:tblLook w:val="0000" w:firstRow="0" w:lastRow="0" w:firstColumn="0" w:lastColumn="0" w:noHBand="0" w:noVBand="0"/>
      </w:tblPr>
      <w:tblGrid>
        <w:gridCol w:w="2944"/>
        <w:gridCol w:w="11059"/>
      </w:tblGrid>
      <w:tr w:rsidR="00E60C31" w:rsidRPr="00E60C31" w14:paraId="6AB167D6" w14:textId="77777777" w:rsidTr="00E74C0C">
        <w:tc>
          <w:tcPr>
            <w:tcW w:w="2944" w:type="dxa"/>
            <w:shd w:val="clear" w:color="auto" w:fill="auto"/>
            <w:tcMar>
              <w:top w:w="0" w:type="dxa"/>
              <w:left w:w="108" w:type="dxa"/>
              <w:bottom w:w="0" w:type="dxa"/>
              <w:right w:w="108" w:type="dxa"/>
            </w:tcMar>
          </w:tcPr>
          <w:p w14:paraId="25E44394"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Datums</w:t>
            </w:r>
          </w:p>
        </w:tc>
        <w:tc>
          <w:tcPr>
            <w:tcW w:w="11059" w:type="dxa"/>
            <w:tcBorders>
              <w:bottom w:val="single" w:sz="4" w:space="0" w:color="000000"/>
            </w:tcBorders>
            <w:shd w:val="clear" w:color="auto" w:fill="auto"/>
            <w:tcMar>
              <w:top w:w="0" w:type="dxa"/>
              <w:left w:w="108" w:type="dxa"/>
              <w:bottom w:w="0" w:type="dxa"/>
              <w:right w:w="108" w:type="dxa"/>
            </w:tcMar>
          </w:tcPr>
          <w:p w14:paraId="410151F1" w14:textId="3A8974F0" w:rsidR="00E60C31" w:rsidRPr="00E60C31" w:rsidRDefault="00B4001D"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0237">
              <w:rPr>
                <w:rFonts w:ascii="Times New Roman" w:eastAsia="Times New Roman" w:hAnsi="Times New Roman" w:cs="Times New Roman"/>
                <w:sz w:val="24"/>
                <w:szCs w:val="24"/>
                <w:lang w:eastAsia="lv-LV"/>
              </w:rPr>
              <w:t>8</w:t>
            </w:r>
            <w:r w:rsidR="00E60C31" w:rsidRPr="00E60C31">
              <w:rPr>
                <w:rFonts w:ascii="Times New Roman" w:eastAsia="Times New Roman" w:hAnsi="Times New Roman" w:cs="Times New Roman"/>
                <w:sz w:val="24"/>
                <w:szCs w:val="24"/>
                <w:lang w:eastAsia="lv-LV"/>
              </w:rPr>
              <w:t>.0</w:t>
            </w:r>
            <w:r w:rsidR="006F1BED">
              <w:rPr>
                <w:rFonts w:ascii="Times New Roman" w:eastAsia="Times New Roman" w:hAnsi="Times New Roman" w:cs="Times New Roman"/>
                <w:sz w:val="24"/>
                <w:szCs w:val="24"/>
                <w:lang w:eastAsia="lv-LV"/>
              </w:rPr>
              <w:t>8</w:t>
            </w:r>
            <w:r w:rsidR="00E60C31" w:rsidRPr="00E60C31">
              <w:rPr>
                <w:rFonts w:ascii="Times New Roman" w:eastAsia="Times New Roman" w:hAnsi="Times New Roman" w:cs="Times New Roman"/>
                <w:sz w:val="24"/>
                <w:szCs w:val="24"/>
                <w:lang w:eastAsia="lv-LV"/>
              </w:rPr>
              <w:t>.20</w:t>
            </w:r>
            <w:r w:rsidR="00A64B57">
              <w:rPr>
                <w:rFonts w:ascii="Times New Roman" w:eastAsia="Times New Roman" w:hAnsi="Times New Roman" w:cs="Times New Roman"/>
                <w:sz w:val="24"/>
                <w:szCs w:val="24"/>
                <w:lang w:eastAsia="lv-LV"/>
              </w:rPr>
              <w:t>21.</w:t>
            </w:r>
          </w:p>
        </w:tc>
      </w:tr>
      <w:tr w:rsidR="00E60C31" w:rsidRPr="00E60C31" w14:paraId="0834BAE2" w14:textId="77777777" w:rsidTr="00E74C0C">
        <w:tc>
          <w:tcPr>
            <w:tcW w:w="2944" w:type="dxa"/>
            <w:shd w:val="clear" w:color="auto" w:fill="auto"/>
            <w:tcMar>
              <w:top w:w="0" w:type="dxa"/>
              <w:left w:w="108" w:type="dxa"/>
              <w:bottom w:w="0" w:type="dxa"/>
              <w:right w:w="108" w:type="dxa"/>
            </w:tcMar>
          </w:tcPr>
          <w:p w14:paraId="32E95C0D" w14:textId="77777777" w:rsidR="00E60C31" w:rsidRPr="00E60C31" w:rsidRDefault="00E60C31"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c>
        <w:tc>
          <w:tcPr>
            <w:tcW w:w="11059" w:type="dxa"/>
            <w:tcBorders>
              <w:top w:val="single" w:sz="4" w:space="0" w:color="000000"/>
            </w:tcBorders>
            <w:shd w:val="clear" w:color="auto" w:fill="auto"/>
            <w:tcMar>
              <w:top w:w="0" w:type="dxa"/>
              <w:left w:w="108" w:type="dxa"/>
              <w:bottom w:w="0" w:type="dxa"/>
              <w:right w:w="108" w:type="dxa"/>
            </w:tcMar>
          </w:tcPr>
          <w:p w14:paraId="3D7D3A5C"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r w:rsidR="00E60C31" w:rsidRPr="00E60C31" w14:paraId="2E659D1E" w14:textId="77777777" w:rsidTr="00E74C0C">
        <w:tc>
          <w:tcPr>
            <w:tcW w:w="2944" w:type="dxa"/>
            <w:shd w:val="clear" w:color="auto" w:fill="auto"/>
            <w:tcMar>
              <w:top w:w="0" w:type="dxa"/>
              <w:left w:w="108" w:type="dxa"/>
              <w:bottom w:w="0" w:type="dxa"/>
              <w:right w:w="108" w:type="dxa"/>
            </w:tcMar>
          </w:tcPr>
          <w:p w14:paraId="69F2334F" w14:textId="77777777" w:rsidR="00E60C31" w:rsidRP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Saskaņošanas dalībnieki</w:t>
            </w:r>
          </w:p>
        </w:tc>
        <w:tc>
          <w:tcPr>
            <w:tcW w:w="11059" w:type="dxa"/>
            <w:shd w:val="clear" w:color="auto" w:fill="auto"/>
            <w:tcMar>
              <w:top w:w="0" w:type="dxa"/>
              <w:left w:w="108" w:type="dxa"/>
              <w:bottom w:w="0" w:type="dxa"/>
              <w:right w:w="108" w:type="dxa"/>
            </w:tcMar>
          </w:tcPr>
          <w:p w14:paraId="0BA75B48" w14:textId="7B07D44C" w:rsidR="00E60C31" w:rsidRPr="00E60C31" w:rsidRDefault="00E60C31" w:rsidP="00E3326D">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Ekonomikas, Finanšu, Iekšlietu, Satiksmes, Tieslietu, Veselības, Vides aizsardzības un reģionālās attīstības ministrija, Latvijas Pašvaldību savienība, Latvijas Brīvo arodbiedrību savienība</w:t>
            </w:r>
            <w:r w:rsidR="00A64B57">
              <w:rPr>
                <w:rFonts w:ascii="Times New Roman" w:eastAsia="Times New Roman" w:hAnsi="Times New Roman" w:cs="Times New Roman"/>
                <w:sz w:val="24"/>
                <w:szCs w:val="24"/>
                <w:lang w:eastAsia="lv-LV"/>
              </w:rPr>
              <w:t xml:space="preserve"> un</w:t>
            </w:r>
            <w:r w:rsidRPr="00E60C31">
              <w:rPr>
                <w:rFonts w:ascii="Times New Roman" w:eastAsia="Times New Roman" w:hAnsi="Times New Roman" w:cs="Times New Roman"/>
                <w:sz w:val="24"/>
                <w:szCs w:val="24"/>
                <w:lang w:eastAsia="lv-LV"/>
              </w:rPr>
              <w:t xml:space="preserve"> Latvijas transportlīdzekļu apdrošinātāju birojs</w:t>
            </w:r>
          </w:p>
        </w:tc>
      </w:tr>
      <w:tr w:rsidR="00E60C31" w:rsidRPr="00E60C31" w14:paraId="6B22775F" w14:textId="77777777" w:rsidTr="00E74C0C">
        <w:tc>
          <w:tcPr>
            <w:tcW w:w="2944" w:type="dxa"/>
            <w:shd w:val="clear" w:color="auto" w:fill="auto"/>
            <w:tcMar>
              <w:top w:w="0" w:type="dxa"/>
              <w:left w:w="108" w:type="dxa"/>
              <w:bottom w:w="0" w:type="dxa"/>
              <w:right w:w="108" w:type="dxa"/>
            </w:tcMar>
          </w:tcPr>
          <w:p w14:paraId="0B495813"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  </w:t>
            </w:r>
          </w:p>
        </w:tc>
        <w:tc>
          <w:tcPr>
            <w:tcW w:w="11059" w:type="dxa"/>
            <w:tcBorders>
              <w:top w:val="single" w:sz="6" w:space="0" w:color="000000"/>
              <w:bottom w:val="single" w:sz="6" w:space="0" w:color="000000"/>
            </w:tcBorders>
            <w:shd w:val="clear" w:color="auto" w:fill="auto"/>
            <w:tcMar>
              <w:top w:w="0" w:type="dxa"/>
              <w:left w:w="108" w:type="dxa"/>
              <w:bottom w:w="0" w:type="dxa"/>
              <w:right w:w="108" w:type="dxa"/>
            </w:tcMar>
          </w:tcPr>
          <w:p w14:paraId="17C49205"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r w:rsidR="00E60C31" w:rsidRPr="00E60C31" w14:paraId="240365EB" w14:textId="77777777" w:rsidTr="00E74C0C">
        <w:tc>
          <w:tcPr>
            <w:tcW w:w="2944" w:type="dxa"/>
            <w:shd w:val="clear" w:color="auto" w:fill="auto"/>
            <w:tcMar>
              <w:top w:w="0" w:type="dxa"/>
              <w:left w:w="108" w:type="dxa"/>
              <w:bottom w:w="0" w:type="dxa"/>
              <w:right w:w="108" w:type="dxa"/>
            </w:tcMar>
          </w:tcPr>
          <w:p w14:paraId="244A6223"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c>
          <w:tcPr>
            <w:tcW w:w="11059" w:type="dxa"/>
            <w:tcBorders>
              <w:top w:val="single" w:sz="6" w:space="0" w:color="000000"/>
              <w:bottom w:val="single" w:sz="6" w:space="0" w:color="000000"/>
            </w:tcBorders>
            <w:shd w:val="clear" w:color="auto" w:fill="auto"/>
            <w:tcMar>
              <w:top w:w="0" w:type="dxa"/>
              <w:left w:w="108" w:type="dxa"/>
              <w:bottom w:w="0" w:type="dxa"/>
              <w:right w:w="108" w:type="dxa"/>
            </w:tcMar>
          </w:tcPr>
          <w:p w14:paraId="54A39E79"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r w:rsidR="00E60C31" w:rsidRPr="00E60C31" w14:paraId="0F2EBFBD" w14:textId="77777777" w:rsidTr="00E74C0C">
        <w:trPr>
          <w:trHeight w:val="285"/>
        </w:trPr>
        <w:tc>
          <w:tcPr>
            <w:tcW w:w="2944" w:type="dxa"/>
            <w:shd w:val="clear" w:color="auto" w:fill="auto"/>
            <w:tcMar>
              <w:top w:w="0" w:type="dxa"/>
              <w:left w:w="108" w:type="dxa"/>
              <w:bottom w:w="0" w:type="dxa"/>
              <w:right w:w="108" w:type="dxa"/>
            </w:tcMar>
          </w:tcPr>
          <w:p w14:paraId="3169B9AB" w14:textId="77777777" w:rsidR="00E60C31" w:rsidRP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Saskaņošanas dalībnieki izskatīja šādu ministriju (citu institūciju) iebildumus</w:t>
            </w:r>
          </w:p>
        </w:tc>
        <w:tc>
          <w:tcPr>
            <w:tcW w:w="11059" w:type="dxa"/>
            <w:tcBorders>
              <w:bottom w:val="single" w:sz="4" w:space="0" w:color="000000"/>
            </w:tcBorders>
            <w:shd w:val="clear" w:color="auto" w:fill="auto"/>
            <w:tcMar>
              <w:top w:w="0" w:type="dxa"/>
              <w:left w:w="108" w:type="dxa"/>
              <w:bottom w:w="0" w:type="dxa"/>
              <w:right w:w="108" w:type="dxa"/>
            </w:tcMar>
          </w:tcPr>
          <w:p w14:paraId="4004B208" w14:textId="7F04EDCD" w:rsidR="00E60C31" w:rsidRPr="00E60C31" w:rsidRDefault="00A64B57" w:rsidP="00E3326D">
            <w:pPr>
              <w:suppressAutoHyphens/>
              <w:autoSpaceDN w:val="0"/>
              <w:spacing w:after="0" w:line="240" w:lineRule="auto"/>
              <w:ind w:firstLine="12"/>
              <w:textAlignment w:val="baseline"/>
              <w:rPr>
                <w:rFonts w:ascii="Times New Roman" w:eastAsia="Times New Roman" w:hAnsi="Times New Roman" w:cs="Times New Roman"/>
                <w:sz w:val="24"/>
                <w:szCs w:val="24"/>
                <w:lang w:eastAsia="lv-LV"/>
              </w:rPr>
            </w:pPr>
            <w:r w:rsidRPr="00A64B57">
              <w:rPr>
                <w:rFonts w:ascii="Times New Roman" w:eastAsia="Times New Roman" w:hAnsi="Times New Roman" w:cs="Times New Roman"/>
                <w:sz w:val="24"/>
                <w:szCs w:val="24"/>
                <w:lang w:eastAsia="lv-LV"/>
              </w:rPr>
              <w:t>Iekšlietu</w:t>
            </w:r>
            <w:r>
              <w:rPr>
                <w:rFonts w:ascii="Times New Roman" w:eastAsia="Times New Roman" w:hAnsi="Times New Roman" w:cs="Times New Roman"/>
                <w:sz w:val="24"/>
                <w:szCs w:val="24"/>
                <w:lang w:eastAsia="lv-LV"/>
              </w:rPr>
              <w:t xml:space="preserve"> un</w:t>
            </w:r>
            <w:r w:rsidRPr="00A64B57">
              <w:rPr>
                <w:rFonts w:ascii="Times New Roman" w:eastAsia="Times New Roman" w:hAnsi="Times New Roman" w:cs="Times New Roman"/>
                <w:sz w:val="24"/>
                <w:szCs w:val="24"/>
                <w:lang w:eastAsia="lv-LV"/>
              </w:rPr>
              <w:t xml:space="preserve"> Tieslietu</w:t>
            </w:r>
            <w:r>
              <w:rPr>
                <w:rFonts w:ascii="Times New Roman" w:eastAsia="Times New Roman" w:hAnsi="Times New Roman" w:cs="Times New Roman"/>
                <w:sz w:val="24"/>
                <w:szCs w:val="24"/>
                <w:lang w:eastAsia="lv-LV"/>
              </w:rPr>
              <w:t xml:space="preserve"> </w:t>
            </w:r>
            <w:r w:rsidRPr="00A64B57">
              <w:rPr>
                <w:rFonts w:ascii="Times New Roman" w:eastAsia="Times New Roman" w:hAnsi="Times New Roman" w:cs="Times New Roman"/>
                <w:sz w:val="24"/>
                <w:szCs w:val="24"/>
                <w:lang w:eastAsia="lv-LV"/>
              </w:rPr>
              <w:t>ministrija</w:t>
            </w:r>
            <w:r>
              <w:rPr>
                <w:rFonts w:ascii="Times New Roman" w:eastAsia="Times New Roman" w:hAnsi="Times New Roman" w:cs="Times New Roman"/>
                <w:sz w:val="24"/>
                <w:szCs w:val="24"/>
                <w:lang w:eastAsia="lv-LV"/>
              </w:rPr>
              <w:t>s</w:t>
            </w:r>
            <w:r w:rsidRPr="00A64B57">
              <w:rPr>
                <w:rFonts w:ascii="Times New Roman" w:eastAsia="Times New Roman" w:hAnsi="Times New Roman" w:cs="Times New Roman"/>
                <w:sz w:val="24"/>
                <w:szCs w:val="24"/>
                <w:lang w:eastAsia="lv-LV"/>
              </w:rPr>
              <w:t xml:space="preserve"> un Latvijas transportlīdzekļu apdrošinātāju biroj</w:t>
            </w:r>
            <w:r>
              <w:rPr>
                <w:rFonts w:ascii="Times New Roman" w:eastAsia="Times New Roman" w:hAnsi="Times New Roman" w:cs="Times New Roman"/>
                <w:sz w:val="24"/>
                <w:szCs w:val="24"/>
                <w:lang w:eastAsia="lv-LV"/>
              </w:rPr>
              <w:t>a</w:t>
            </w:r>
          </w:p>
        </w:tc>
      </w:tr>
      <w:tr w:rsidR="00E60C31" w:rsidRPr="00E60C31" w14:paraId="400E9DAA" w14:textId="77777777" w:rsidTr="00E74C0C">
        <w:trPr>
          <w:trHeight w:val="285"/>
        </w:trPr>
        <w:tc>
          <w:tcPr>
            <w:tcW w:w="2944" w:type="dxa"/>
            <w:shd w:val="clear" w:color="auto" w:fill="auto"/>
            <w:tcMar>
              <w:top w:w="0" w:type="dxa"/>
              <w:left w:w="108" w:type="dxa"/>
              <w:bottom w:w="0" w:type="dxa"/>
              <w:right w:w="108" w:type="dxa"/>
            </w:tcMar>
          </w:tcPr>
          <w:p w14:paraId="0F7E7F8B" w14:textId="0FB67784" w:rsidR="00E60C31" w:rsidRPr="00E60C31" w:rsidRDefault="001D3010" w:rsidP="001D3010">
            <w:pPr>
              <w:tabs>
                <w:tab w:val="left" w:pos="814"/>
              </w:tabs>
              <w:suppressAutoHyphens/>
              <w:autoSpaceDN w:val="0"/>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11059" w:type="dxa"/>
            <w:tcBorders>
              <w:bottom w:val="single" w:sz="4" w:space="0" w:color="000000"/>
            </w:tcBorders>
            <w:shd w:val="clear" w:color="auto" w:fill="auto"/>
            <w:tcMar>
              <w:top w:w="0" w:type="dxa"/>
              <w:left w:w="108" w:type="dxa"/>
              <w:bottom w:w="0" w:type="dxa"/>
              <w:right w:w="108" w:type="dxa"/>
            </w:tcMar>
          </w:tcPr>
          <w:p w14:paraId="02EFAEB9" w14:textId="77777777" w:rsidR="00E60C31" w:rsidRPr="00E60C31" w:rsidRDefault="00E60C31" w:rsidP="00E60C31">
            <w:pPr>
              <w:suppressAutoHyphens/>
              <w:autoSpaceDN w:val="0"/>
              <w:spacing w:after="0" w:line="240" w:lineRule="auto"/>
              <w:ind w:firstLine="12"/>
              <w:textAlignment w:val="baseline"/>
              <w:rPr>
                <w:rFonts w:ascii="Times New Roman" w:eastAsia="Times New Roman" w:hAnsi="Times New Roman" w:cs="Times New Roman"/>
                <w:sz w:val="24"/>
                <w:szCs w:val="24"/>
                <w:lang w:eastAsia="lv-LV"/>
              </w:rPr>
            </w:pPr>
          </w:p>
        </w:tc>
      </w:tr>
      <w:tr w:rsidR="00E60C31" w:rsidRPr="00E60C31" w14:paraId="67742747" w14:textId="77777777" w:rsidTr="00E74C0C">
        <w:tc>
          <w:tcPr>
            <w:tcW w:w="2944" w:type="dxa"/>
            <w:shd w:val="clear" w:color="auto" w:fill="auto"/>
            <w:tcMar>
              <w:top w:w="0" w:type="dxa"/>
              <w:left w:w="108" w:type="dxa"/>
              <w:bottom w:w="0" w:type="dxa"/>
              <w:right w:w="108" w:type="dxa"/>
            </w:tcMar>
          </w:tcPr>
          <w:p w14:paraId="0BC34DEB" w14:textId="77777777" w:rsidR="00E60C31" w:rsidRP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 xml:space="preserve">Ministrijas (citas institūcijas), kuras nav ieradušās uz sanāksmi vai </w:t>
            </w:r>
            <w:r w:rsidRPr="00E60C31">
              <w:rPr>
                <w:rFonts w:ascii="Times New Roman" w:eastAsia="Times New Roman" w:hAnsi="Times New Roman" w:cs="Times New Roman"/>
                <w:sz w:val="24"/>
                <w:szCs w:val="24"/>
                <w:lang w:eastAsia="lv-LV"/>
              </w:rPr>
              <w:lastRenderedPageBreak/>
              <w:t>kuras nav atbildējušas uz uzaicinājumu piedalīties elektroniskajā saskaņošanā</w:t>
            </w:r>
          </w:p>
        </w:tc>
        <w:tc>
          <w:tcPr>
            <w:tcW w:w="11059" w:type="dxa"/>
            <w:tcBorders>
              <w:bottom w:val="single" w:sz="4" w:space="0" w:color="000000"/>
            </w:tcBorders>
            <w:shd w:val="clear" w:color="auto" w:fill="auto"/>
            <w:tcMar>
              <w:top w:w="0" w:type="dxa"/>
              <w:left w:w="108" w:type="dxa"/>
              <w:bottom w:w="0" w:type="dxa"/>
              <w:right w:w="108" w:type="dxa"/>
            </w:tcMar>
          </w:tcPr>
          <w:p w14:paraId="76459BBA" w14:textId="6D1495D3" w:rsidR="00E60C31" w:rsidRP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p>
        </w:tc>
      </w:tr>
      <w:tr w:rsidR="00E60C31" w:rsidRPr="00E60C31" w14:paraId="19A5EB3C" w14:textId="77777777" w:rsidTr="00E74C0C">
        <w:tc>
          <w:tcPr>
            <w:tcW w:w="2944" w:type="dxa"/>
            <w:shd w:val="clear" w:color="auto" w:fill="auto"/>
            <w:tcMar>
              <w:top w:w="0" w:type="dxa"/>
              <w:left w:w="108" w:type="dxa"/>
              <w:bottom w:w="0" w:type="dxa"/>
              <w:right w:w="108" w:type="dxa"/>
            </w:tcMar>
          </w:tcPr>
          <w:p w14:paraId="6E13C09B" w14:textId="77777777" w:rsidR="00E60C31" w:rsidRP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p>
        </w:tc>
        <w:tc>
          <w:tcPr>
            <w:tcW w:w="11059" w:type="dxa"/>
            <w:shd w:val="clear" w:color="auto" w:fill="auto"/>
            <w:tcMar>
              <w:top w:w="0" w:type="dxa"/>
              <w:left w:w="108" w:type="dxa"/>
              <w:bottom w:w="0" w:type="dxa"/>
              <w:right w:w="108" w:type="dxa"/>
            </w:tcMar>
          </w:tcPr>
          <w:p w14:paraId="06D0F725"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bl>
    <w:p w14:paraId="0D3E1765"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r w:rsidRPr="00E60C31">
        <w:rPr>
          <w:rFonts w:ascii="Times New Roman" w:eastAsia="Times New Roman" w:hAnsi="Times New Roman" w:cs="Times New Roman"/>
          <w:b/>
          <w:sz w:val="24"/>
          <w:szCs w:val="24"/>
          <w:lang w:eastAsia="lv-LV"/>
        </w:rPr>
        <w:t>II. Jautājumi, par kuriem saskaņošanā vienošanās ir panākta</w:t>
      </w:r>
    </w:p>
    <w:p w14:paraId="221432D1" w14:textId="77777777" w:rsidR="00E60C31" w:rsidRPr="00E60C31" w:rsidRDefault="00E60C31" w:rsidP="00E60C31">
      <w:pPr>
        <w:suppressAutoHyphens/>
        <w:autoSpaceDN w:val="0"/>
        <w:spacing w:after="0" w:line="240" w:lineRule="auto"/>
        <w:ind w:firstLine="720"/>
        <w:jc w:val="both"/>
        <w:textAlignment w:val="baseline"/>
        <w:rPr>
          <w:rFonts w:ascii="Times New Roman" w:eastAsia="Times New Roman" w:hAnsi="Times New Roman" w:cs="Times New Roman"/>
          <w:sz w:val="24"/>
          <w:szCs w:val="24"/>
          <w:lang w:eastAsia="lv-LV"/>
        </w:rPr>
      </w:pPr>
    </w:p>
    <w:tbl>
      <w:tblPr>
        <w:tblW w:w="5077" w:type="pct"/>
        <w:tblCellMar>
          <w:left w:w="10" w:type="dxa"/>
          <w:right w:w="10" w:type="dxa"/>
        </w:tblCellMar>
        <w:tblLook w:val="0000" w:firstRow="0" w:lastRow="0" w:firstColumn="0" w:lastColumn="0" w:noHBand="0" w:noVBand="0"/>
      </w:tblPr>
      <w:tblGrid>
        <w:gridCol w:w="623"/>
        <w:gridCol w:w="2346"/>
        <w:gridCol w:w="364"/>
        <w:gridCol w:w="5052"/>
        <w:gridCol w:w="396"/>
        <w:gridCol w:w="2551"/>
        <w:gridCol w:w="2873"/>
      </w:tblGrid>
      <w:tr w:rsidR="00E60C31" w:rsidRPr="00E60C31" w14:paraId="5051C844" w14:textId="77777777" w:rsidTr="00893A2C">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EE4D72"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Nr. p.k.</w:t>
            </w:r>
          </w:p>
        </w:tc>
        <w:tc>
          <w:tcPr>
            <w:tcW w:w="23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1E003C" w14:textId="77777777" w:rsidR="00E60C31" w:rsidRPr="00E60C31" w:rsidRDefault="00E60C31" w:rsidP="00E60C31">
            <w:pPr>
              <w:suppressAutoHyphens/>
              <w:autoSpaceDN w:val="0"/>
              <w:spacing w:after="0" w:line="240" w:lineRule="auto"/>
              <w:ind w:firstLine="12"/>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Saskaņošanai nosūtītā projekta redakcija (konkrēta punkta (panta) redakcija)</w:t>
            </w:r>
          </w:p>
        </w:tc>
        <w:tc>
          <w:tcPr>
            <w:tcW w:w="58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FBADFA" w14:textId="77777777" w:rsidR="00E60C31" w:rsidRPr="00E60C31" w:rsidRDefault="00E60C31" w:rsidP="00E60C31">
            <w:pPr>
              <w:suppressAutoHyphens/>
              <w:autoSpaceDN w:val="0"/>
              <w:spacing w:after="0" w:line="240" w:lineRule="auto"/>
              <w:ind w:right="3"/>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4E21CB" w14:textId="77777777" w:rsidR="00E60C31" w:rsidRPr="00E60C31" w:rsidRDefault="00E60C31" w:rsidP="00E60C31">
            <w:pPr>
              <w:suppressAutoHyphens/>
              <w:autoSpaceDN w:val="0"/>
              <w:spacing w:after="0" w:line="240" w:lineRule="auto"/>
              <w:ind w:firstLine="21"/>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34604"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Projekta attiecīgā punkta (panta) galīgā redakcija</w:t>
            </w:r>
          </w:p>
        </w:tc>
      </w:tr>
      <w:tr w:rsidR="00E60C31" w:rsidRPr="00E60C31" w14:paraId="490F952F" w14:textId="77777777" w:rsidTr="00893A2C">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7CB71C"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1</w:t>
            </w:r>
          </w:p>
        </w:tc>
        <w:tc>
          <w:tcPr>
            <w:tcW w:w="23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89A848" w14:textId="77777777" w:rsidR="00E60C31" w:rsidRPr="00E60C31" w:rsidRDefault="00E60C31" w:rsidP="00E60C31">
            <w:pPr>
              <w:suppressAutoHyphens/>
              <w:autoSpaceDN w:val="0"/>
              <w:spacing w:after="0" w:line="240" w:lineRule="auto"/>
              <w:ind w:firstLine="720"/>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2</w:t>
            </w:r>
          </w:p>
        </w:tc>
        <w:tc>
          <w:tcPr>
            <w:tcW w:w="58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09966A" w14:textId="77777777" w:rsidR="00E60C31" w:rsidRPr="00E60C31" w:rsidRDefault="00E60C31" w:rsidP="00E60C31">
            <w:pPr>
              <w:suppressAutoHyphens/>
              <w:autoSpaceDN w:val="0"/>
              <w:spacing w:after="0" w:line="240" w:lineRule="auto"/>
              <w:ind w:firstLine="720"/>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DC4C8E" w14:textId="77777777" w:rsidR="00E60C31" w:rsidRPr="00E60C31" w:rsidRDefault="00E60C31" w:rsidP="00E60C31">
            <w:pPr>
              <w:suppressAutoHyphens/>
              <w:autoSpaceDN w:val="0"/>
              <w:spacing w:after="0" w:line="240" w:lineRule="auto"/>
              <w:ind w:firstLine="720"/>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4</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1BA93"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0"/>
                <w:szCs w:val="20"/>
                <w:lang w:eastAsia="lv-LV"/>
              </w:rPr>
            </w:pPr>
            <w:r w:rsidRPr="00E60C31">
              <w:rPr>
                <w:rFonts w:ascii="Times New Roman" w:eastAsia="Times New Roman" w:hAnsi="Times New Roman" w:cs="Times New Roman"/>
                <w:sz w:val="20"/>
                <w:szCs w:val="20"/>
                <w:lang w:eastAsia="lv-LV"/>
              </w:rPr>
              <w:t>5</w:t>
            </w:r>
          </w:p>
        </w:tc>
      </w:tr>
      <w:tr w:rsidR="00E60C31" w:rsidRPr="00E60C31" w14:paraId="040D3060" w14:textId="77777777" w:rsidTr="00893A2C">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DB089C" w14:textId="77777777" w:rsidR="00E60C31" w:rsidRPr="00E60C31" w:rsidRDefault="00E60C31"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1.</w:t>
            </w:r>
          </w:p>
        </w:tc>
        <w:tc>
          <w:tcPr>
            <w:tcW w:w="23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23A4EB"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3.</w:t>
            </w:r>
            <w:r w:rsidRPr="00F23727">
              <w:rPr>
                <w:rFonts w:ascii="Times New Roman" w:eastAsia="Times New Roman" w:hAnsi="Times New Roman" w:cs="Times New Roman"/>
                <w:sz w:val="24"/>
                <w:szCs w:val="24"/>
                <w:vertAlign w:val="superscript"/>
                <w:lang w:eastAsia="lv-LV"/>
              </w:rPr>
              <w:t>1</w:t>
            </w:r>
            <w:r w:rsidRPr="00F23727">
              <w:rPr>
                <w:rFonts w:ascii="Times New Roman" w:eastAsia="Times New Roman" w:hAnsi="Times New Roman" w:cs="Times New Roman"/>
                <w:sz w:val="24"/>
                <w:szCs w:val="24"/>
                <w:lang w:eastAsia="lv-LV"/>
              </w:rPr>
              <w:t xml:space="preserve"> pantā:</w:t>
            </w:r>
          </w:p>
          <w:p w14:paraId="327A9D92"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24FBA77B"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izslēgt trešās daļas 14. punktu;</w:t>
            </w:r>
          </w:p>
          <w:p w14:paraId="6554F16C"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06BEB0FA"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izteikt trešās daļas 21.punktu šādā redakcijā:</w:t>
            </w:r>
          </w:p>
          <w:p w14:paraId="5C981A25"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“21) Uzturlīdzekļu garantiju fonda administrācijai;”</w:t>
            </w:r>
          </w:p>
          <w:p w14:paraId="522FE78A"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12D27AC4"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izslēgt trešās daļas 24. punktu;</w:t>
            </w:r>
          </w:p>
          <w:p w14:paraId="2FBC7EAE"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6D54AC01"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papildināt trešo daļu ar 30. un 31.punktu šādā redakcijā:</w:t>
            </w:r>
          </w:p>
          <w:p w14:paraId="6457978D"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lastRenderedPageBreak/>
              <w:t>“30) Būvniecības valsts kontroles birojam;</w:t>
            </w:r>
          </w:p>
          <w:p w14:paraId="0F5DD95D" w14:textId="77777777" w:rsidR="00F23727" w:rsidRPr="00F23727" w:rsidRDefault="00F23727"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 xml:space="preserve">  31) prokuratūrām;</w:t>
            </w:r>
          </w:p>
          <w:p w14:paraId="64F345AC" w14:textId="4DC8DA2D" w:rsidR="00E60C31" w:rsidRPr="00E60C31" w:rsidRDefault="00F23727" w:rsidP="00E60C31">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 xml:space="preserve">  32) Slimību profilakses un kontroles centram.”</w:t>
            </w:r>
          </w:p>
        </w:tc>
        <w:tc>
          <w:tcPr>
            <w:tcW w:w="58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7979FE" w14:textId="4B6C2006" w:rsidR="00F23727" w:rsidRPr="00F23727"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b/>
                <w:bCs/>
                <w:sz w:val="24"/>
                <w:szCs w:val="24"/>
                <w:lang w:eastAsia="lv-LV"/>
              </w:rPr>
            </w:pPr>
            <w:r w:rsidRPr="00F23727">
              <w:rPr>
                <w:rFonts w:ascii="Times New Roman" w:eastAsia="Times New Roman" w:hAnsi="Times New Roman" w:cs="Times New Roman"/>
                <w:b/>
                <w:bCs/>
                <w:sz w:val="24"/>
                <w:szCs w:val="24"/>
                <w:lang w:eastAsia="lv-LV"/>
              </w:rPr>
              <w:lastRenderedPageBreak/>
              <w:t>Iekšlietu ministrija</w:t>
            </w:r>
            <w:r w:rsidRPr="003D4ED0">
              <w:rPr>
                <w:rFonts w:ascii="Times New Roman" w:eastAsia="Times New Roman" w:hAnsi="Times New Roman" w:cs="Times New Roman"/>
                <w:b/>
                <w:bCs/>
                <w:sz w:val="24"/>
                <w:szCs w:val="24"/>
                <w:lang w:eastAsia="lv-LV"/>
              </w:rPr>
              <w:t>:</w:t>
            </w:r>
          </w:p>
          <w:p w14:paraId="203B6471" w14:textId="7ABA0C5E" w:rsidR="00F23727" w:rsidRPr="00F23727"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1.</w:t>
            </w:r>
            <w:r w:rsidRPr="00F23727">
              <w:rPr>
                <w:rFonts w:ascii="Times New Roman" w:eastAsia="Times New Roman" w:hAnsi="Times New Roman" w:cs="Times New Roman"/>
                <w:sz w:val="24"/>
                <w:szCs w:val="24"/>
                <w:lang w:eastAsia="lv-LV"/>
              </w:rPr>
              <w:tab/>
              <w:t xml:space="preserve">Atbilstoši likumprojekta sākotnējās ietekmes novērtējuma ziņojuma (anotācijas) (turpmāk – anotācija) I sadaļas 2. punktam pamatojums prokuratūrai apstrādāt Invaliditātes informatīvajā sistēmā (turpmāk – informācijas sistēma) iekļautos datus ir Kriminālprocesa  likuma 244. panta otrajā daļā noteiktā nepieciešamība procesa virzītājam ņemt vērā aizdomās turētā vai apsūdzētā personību un citus apstākļus, izvēloties drošības līdzekli un izvērtējot noziedzīga nodarījuma raksturu un kaitīgumu, kā arī Kriminālprocesa likuma 596. panta regulējums, kas noteic, ka procesa virzītājs nosaka tiesas psihiatrisko ekspertīzi aizdomās turētajam vai apsūdzētajam, ja kriminālprocesā ir iegūtas ziņas par to, ka persona, kas slimojusi ar psihiskiem traucējumiem, izdarījusi noziedzīgu nodarījumu, būdama nepieskaitāmības stāvoklī, vai saslimusi pēc noziedzīga nodarījuma izdarīšanas. Savukārt kā datu apstrādes mērķis anotācijā ir norādīta nepieciešamība prokuratūrai nodrošināt minēto Kriminālprocesa likuma noteikumu </w:t>
            </w:r>
            <w:r w:rsidRPr="00F23727">
              <w:rPr>
                <w:rFonts w:ascii="Times New Roman" w:eastAsia="Times New Roman" w:hAnsi="Times New Roman" w:cs="Times New Roman"/>
                <w:sz w:val="24"/>
                <w:szCs w:val="24"/>
                <w:lang w:eastAsia="lv-LV"/>
              </w:rPr>
              <w:lastRenderedPageBreak/>
              <w:t>īstenošanu personām, kurām noteikta invaliditāte, lai netiktu pieļauta lēmuma pieņemšana par nepamatotu un neatbilstošu procesuālā piespiedu līdzekļa piemērošanu personai.</w:t>
            </w:r>
          </w:p>
          <w:p w14:paraId="2189048A" w14:textId="77777777" w:rsidR="00F23727" w:rsidRPr="00F23727"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Saskaņā ar Kriminālprocesa likuma 27. panta pirmo daļu procesa virzītājs ir amatpersona vai tiesa, kas konkrētajā brīdī vada kriminālprocesu. Kriminālprocesa likuma 27. panta otrā daļa noteic, ka izmeklēšanā procesa virzītājs ir izmeklētājs vai izņēmuma gadījumā prokurors. Izmeklētājs atbilstoši Kriminālprocesa likuma 28. pantam ir izmeklēšanas iestādes amatpersona, kura ar izmeklēšanas iestādes vadītāja rīkojumu pilnvarota izdarīt izmeklēšanu kriminālprocesā. Savukārt izmeklēšanas iestāžu uzskaitījums ir sniegts Kriminālprocesa likuma 386. pantā. Līdz ar to vēršama uzmanība uz to, ka visu Kriminālprocesa likuma 386. pantā minēto izmeklēšanas iestāžu izmeklētājiem kā procesa virzītājiem, izvēloties procesuālo piespiedu līdzekli kriminālprocesā, atbilstoši Kriminālprocesa 244. pantā noteiktajam, cita starpā jāņem vērā aizdomās turētās personas veselības stāvoklis un citi apstākļi. Tāpat ir norādāms, ka atbilstoši Kriminālprocesa likuma 596. pantam tiesu psihiatrisko ekspertīzi aizdomās turētajam nosaka jebkuras izmeklēšanas iestādes procesa virzītājs. Savukārt gadījumā, ja persona sirgst ar psihiskiem traucējumiem un tā ir atzīta par nepieskaitāmu vai ierobežoti pieskaitāmu, izmeklētājs saskaņā ar Kriminālprocesa likuma 401. panta pirmās daļas 4. punktu pabeidz izmeklēšanu ar rakstveida lēmumu, ierosinot turpināt procesu medicīniska rakstura piespiedu līdzekļu noteikšanai un nododot krimināllietas materiālus prokuroram.</w:t>
            </w:r>
          </w:p>
          <w:p w14:paraId="207FF288" w14:textId="24D0579F" w:rsidR="00F23727" w:rsidRPr="00F23727"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 xml:space="preserve">Tāpat vēlamies vērst uzmanību arī uz Kriminālprocesa likumā ietverto regulējumu par īpaši aizsargājamo cietušo, </w:t>
            </w:r>
            <w:r w:rsidRPr="00F23727">
              <w:rPr>
                <w:rFonts w:ascii="Times New Roman" w:eastAsia="Times New Roman" w:hAnsi="Times New Roman" w:cs="Times New Roman"/>
                <w:sz w:val="24"/>
                <w:szCs w:val="24"/>
                <w:lang w:eastAsia="lv-LV"/>
              </w:rPr>
              <w:lastRenderedPageBreak/>
              <w:t xml:space="preserve">jo atbilstoši Kriminālprocesa likuma 96.1panta pirmās daļas 2. punktam īpaši aizsargājamais cietušais ir arī persona, kura garīga rakstura vai cita veselības traucējuma dēļ pati nespēj izmantot savas procesuālās tiesības. Īpaši aizsargājamam cietušajam saskaņā ar Kriminālprocesa likuma 96.1panta piekto daļu ir tiesības ar procesa virzītāja atļauju piedalīties procesuālajās darbībās kopā ar uzticības personu. Kā arī ir jāņem vērā Kriminālprocesa likuma 83. panta pirmās daļas 1. punkta regulējums, kas paredz, ka aizstāvja piedalīšanās kriminālprocesā ir obligāta, ja tiesības uz aizstāvību ir ierobežoti pieskaitāmai personai. </w:t>
            </w:r>
          </w:p>
          <w:p w14:paraId="6788216C" w14:textId="77777777" w:rsidR="00F23727" w:rsidRPr="00F23727"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 xml:space="preserve">Ievērojot minēto, kā arī likumprojekta anotācijā ietverto pamatojumu, lai nodrošinātu Kriminālprocesa likumā noteikto noteikumu īstenošanu pret personām ar invaliditāti, piekļuve informācijas sistēmā iekļautajiem datiem ir nepieciešama ne tikai prokuratūrai, bet arī visām Kriminālprocesa likuma 386. pantā minētajām izmeklēšanas iestādēm. </w:t>
            </w:r>
          </w:p>
          <w:p w14:paraId="2DCDC346" w14:textId="77777777" w:rsidR="00E60C31" w:rsidRDefault="00F2372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F23727">
              <w:rPr>
                <w:rFonts w:ascii="Times New Roman" w:eastAsia="Times New Roman" w:hAnsi="Times New Roman" w:cs="Times New Roman"/>
                <w:sz w:val="24"/>
                <w:szCs w:val="24"/>
                <w:lang w:eastAsia="lv-LV"/>
              </w:rPr>
              <w:t>Līdz ar to papildināt likumprojekta 2. pantā ietverto Invaliditātes likuma 3.</w:t>
            </w:r>
            <w:r w:rsidRPr="00872352">
              <w:rPr>
                <w:rFonts w:ascii="Times New Roman" w:eastAsia="Times New Roman" w:hAnsi="Times New Roman" w:cs="Times New Roman"/>
                <w:sz w:val="24"/>
                <w:szCs w:val="24"/>
                <w:vertAlign w:val="superscript"/>
                <w:lang w:eastAsia="lv-LV"/>
              </w:rPr>
              <w:t>1</w:t>
            </w:r>
            <w:r w:rsidRPr="00F23727">
              <w:rPr>
                <w:rFonts w:ascii="Times New Roman" w:eastAsia="Times New Roman" w:hAnsi="Times New Roman" w:cs="Times New Roman"/>
                <w:sz w:val="24"/>
                <w:szCs w:val="24"/>
                <w:lang w:eastAsia="lv-LV"/>
              </w:rPr>
              <w:t>panta trešās daļas 31. punktu pirms vārda “prokuratūrām” ar vārdu “</w:t>
            </w:r>
            <w:bookmarkStart w:id="0" w:name="_Hlk74833328"/>
            <w:r w:rsidRPr="00F23727">
              <w:rPr>
                <w:rFonts w:ascii="Times New Roman" w:eastAsia="Times New Roman" w:hAnsi="Times New Roman" w:cs="Times New Roman"/>
                <w:sz w:val="24"/>
                <w:szCs w:val="24"/>
                <w:lang w:eastAsia="lv-LV"/>
              </w:rPr>
              <w:t>izmeklēšanas iestādēm un</w:t>
            </w:r>
            <w:bookmarkEnd w:id="0"/>
            <w:r w:rsidRPr="00F23727">
              <w:rPr>
                <w:rFonts w:ascii="Times New Roman" w:eastAsia="Times New Roman" w:hAnsi="Times New Roman" w:cs="Times New Roman"/>
                <w:sz w:val="24"/>
                <w:szCs w:val="24"/>
                <w:lang w:eastAsia="lv-LV"/>
              </w:rPr>
              <w:t>”.</w:t>
            </w:r>
          </w:p>
          <w:p w14:paraId="418BB215" w14:textId="77777777" w:rsidR="00872352" w:rsidRDefault="00872352"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45B61D90" w14:textId="77777777" w:rsidR="00872352" w:rsidRDefault="00872352"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3D4ED0">
              <w:rPr>
                <w:rFonts w:ascii="Times New Roman" w:eastAsia="Times New Roman" w:hAnsi="Times New Roman" w:cs="Times New Roman"/>
                <w:b/>
                <w:bCs/>
                <w:sz w:val="24"/>
                <w:szCs w:val="24"/>
                <w:lang w:eastAsia="lv-LV"/>
              </w:rPr>
              <w:t>Tieslietu ministrija:</w:t>
            </w:r>
          </w:p>
          <w:p w14:paraId="4BF657A1"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Likumprojekta 2. pants paredz papildināt Invaliditātes likuma 3.</w:t>
            </w:r>
            <w:r w:rsidRPr="007E7DF6">
              <w:rPr>
                <w:rFonts w:ascii="Times New Roman" w:eastAsia="Times New Roman" w:hAnsi="Times New Roman" w:cs="Times New Roman"/>
                <w:sz w:val="24"/>
                <w:szCs w:val="24"/>
                <w:vertAlign w:val="superscript"/>
                <w:lang w:eastAsia="lv-LV"/>
              </w:rPr>
              <w:t>1</w:t>
            </w:r>
            <w:r w:rsidRPr="007E7DF6">
              <w:rPr>
                <w:rFonts w:ascii="Times New Roman" w:eastAsia="Times New Roman" w:hAnsi="Times New Roman" w:cs="Times New Roman"/>
                <w:sz w:val="24"/>
                <w:szCs w:val="24"/>
                <w:lang w:eastAsia="lv-LV"/>
              </w:rPr>
              <w:t> panta trešo daļu ar 30., 31. un 32. punktu šādā redakcijā:</w:t>
            </w:r>
          </w:p>
          <w:p w14:paraId="448CA882"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“30) Būvniecības valsts kontroles birojam;</w:t>
            </w:r>
          </w:p>
          <w:p w14:paraId="63296814"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  31) </w:t>
            </w:r>
            <w:r w:rsidRPr="007E7DF6">
              <w:rPr>
                <w:rFonts w:ascii="Times New Roman" w:eastAsia="Times New Roman" w:hAnsi="Times New Roman" w:cs="Times New Roman"/>
                <w:sz w:val="24"/>
                <w:szCs w:val="24"/>
                <w:u w:val="single"/>
                <w:lang w:eastAsia="lv-LV"/>
              </w:rPr>
              <w:t>prokuratūrām</w:t>
            </w:r>
            <w:r w:rsidRPr="007E7DF6">
              <w:rPr>
                <w:rFonts w:ascii="Times New Roman" w:eastAsia="Times New Roman" w:hAnsi="Times New Roman" w:cs="Times New Roman"/>
                <w:sz w:val="24"/>
                <w:szCs w:val="24"/>
                <w:lang w:eastAsia="lv-LV"/>
              </w:rPr>
              <w:t>;</w:t>
            </w:r>
          </w:p>
          <w:p w14:paraId="468AB3D6"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  32) Slimību profilakses un kontroles centram.”</w:t>
            </w:r>
          </w:p>
          <w:p w14:paraId="5221FA26"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Proti, prokuratūrai tiek piešķirtas tiesības apstrādāt informācijas sistēmā iekļauto informāciju saistībā ar prognozējamu invaliditāti un invaliditāti, tostarp personas </w:t>
            </w:r>
            <w:r w:rsidRPr="007E7DF6">
              <w:rPr>
                <w:rFonts w:ascii="Times New Roman" w:eastAsia="Times New Roman" w:hAnsi="Times New Roman" w:cs="Times New Roman"/>
                <w:sz w:val="24"/>
                <w:szCs w:val="24"/>
                <w:lang w:eastAsia="lv-LV"/>
              </w:rPr>
              <w:lastRenderedPageBreak/>
              <w:t xml:space="preserve">datus. Likumprojekta anotācijā, </w:t>
            </w:r>
            <w:proofErr w:type="spellStart"/>
            <w:r w:rsidRPr="007E7DF6">
              <w:rPr>
                <w:rFonts w:ascii="Times New Roman" w:eastAsia="Times New Roman" w:hAnsi="Times New Roman" w:cs="Times New Roman"/>
                <w:sz w:val="24"/>
                <w:szCs w:val="24"/>
                <w:lang w:eastAsia="lv-LV"/>
              </w:rPr>
              <w:t>citastarp</w:t>
            </w:r>
            <w:proofErr w:type="spellEnd"/>
            <w:r w:rsidRPr="007E7DF6">
              <w:rPr>
                <w:rFonts w:ascii="Times New Roman" w:eastAsia="Times New Roman" w:hAnsi="Times New Roman" w:cs="Times New Roman"/>
                <w:sz w:val="24"/>
                <w:szCs w:val="24"/>
                <w:lang w:eastAsia="lv-LV"/>
              </w:rPr>
              <w:t>, norādīts, ka minētās tiesības prokuratūrai nepieciešamas, lai īstenotu Prokuratūras likumā un Kriminālprocesa likumā noteiktos pienākumus. Proti, Kriminālprocesa likuma 244. panta otrā daļa nosaka nepieciešamību procesa virzītājam ņemt vērā aizdomās turētā vai apsūdzētā personības, viņa ģimenes stāvokli, veselību un citus apstākļus, izvēloties drošības līdzekli un izvērtējot noziedzīga nodarījuma raksturu un kaitīgumu. Tāpat Kriminālprocesa likuma 596. pants paredz, ka procesa virzītājs nosaka tiesas psihiatrisko ekspertīzi aizdomās turētajam vai apsūdzētajam, ja kriminālprocesā ir iegūtas ziņas par to, ka persona, kas slimojusi ar psihiskiem traucējumiem, izdarījusi noziedzīgu nodarījumu, būdama nepieskaitāmības stāvoklī, vai saslimusi pēc noziedzīga nodarījuma izdarīšanas. Par ekspertīzes laiku un vietu procesa virzītājs paziņo aizdomās turētajam vai apsūdzētajam, kā arī tā pārstāvim un aizstāvim, ja tie jau iepriekš ir piedalījušies procesā citu iemeslu dēļ.</w:t>
            </w:r>
          </w:p>
          <w:p w14:paraId="3CDA424C" w14:textId="77777777" w:rsidR="00872352" w:rsidRDefault="007E7DF6"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Vēlamies vērst uzmanību, ka atbilstoši Kriminālprocesa likuma 27. panta otrajai daļai par procesa virzītāju </w:t>
            </w:r>
            <w:proofErr w:type="spellStart"/>
            <w:r w:rsidRPr="007E7DF6">
              <w:rPr>
                <w:rFonts w:ascii="Times New Roman" w:eastAsia="Times New Roman" w:hAnsi="Times New Roman" w:cs="Times New Roman"/>
                <w:sz w:val="24"/>
                <w:szCs w:val="24"/>
                <w:lang w:eastAsia="lv-LV"/>
              </w:rPr>
              <w:t>pirmstiesas</w:t>
            </w:r>
            <w:proofErr w:type="spellEnd"/>
            <w:r w:rsidRPr="007E7DF6">
              <w:rPr>
                <w:rFonts w:ascii="Times New Roman" w:eastAsia="Times New Roman" w:hAnsi="Times New Roman" w:cs="Times New Roman"/>
                <w:sz w:val="24"/>
                <w:szCs w:val="24"/>
                <w:lang w:eastAsia="lv-LV"/>
              </w:rPr>
              <w:t xml:space="preserve"> kriminālprocesā var būt gan prokurors, gan arī izmeklētājs. Proti, izmeklēšanā procesa virzītājs ir izmeklētājs vai izņēmuma gadījumā prokurors, savukārt kriminālvajāšanā — prokurors. Līdz ar to likumprojekta anotācijā norādīto pienākumu izpilde </w:t>
            </w:r>
            <w:proofErr w:type="spellStart"/>
            <w:r w:rsidRPr="007E7DF6">
              <w:rPr>
                <w:rFonts w:ascii="Times New Roman" w:eastAsia="Times New Roman" w:hAnsi="Times New Roman" w:cs="Times New Roman"/>
                <w:sz w:val="24"/>
                <w:szCs w:val="24"/>
                <w:lang w:eastAsia="lv-LV"/>
              </w:rPr>
              <w:t>pirmstiesas</w:t>
            </w:r>
            <w:proofErr w:type="spellEnd"/>
            <w:r w:rsidRPr="007E7DF6">
              <w:rPr>
                <w:rFonts w:ascii="Times New Roman" w:eastAsia="Times New Roman" w:hAnsi="Times New Roman" w:cs="Times New Roman"/>
                <w:sz w:val="24"/>
                <w:szCs w:val="24"/>
                <w:lang w:eastAsia="lv-LV"/>
              </w:rPr>
              <w:t xml:space="preserve"> procesā var attiekties ne vien uz prokuroru, bet arī uz izmeklētāju. Ņemot vērā, ka nav skaidrs, kādēļ tiesības apstrādāt informācijas sistēmā iekļauto informāciju saistībā ar prognozējamu invaliditāti un invaliditāti, tostarp personas datus, ir piešķirtas tikai prokuroram kā procesa virzītājam, lūdzam papildināt likumprojekta anotāciju, ietverot tajā pamatojumu šāda specifiska nosacījuma nepieciešamībai, </w:t>
            </w:r>
            <w:r w:rsidRPr="007E7DF6">
              <w:rPr>
                <w:rFonts w:ascii="Times New Roman" w:eastAsia="Times New Roman" w:hAnsi="Times New Roman" w:cs="Times New Roman"/>
                <w:sz w:val="24"/>
                <w:szCs w:val="24"/>
                <w:lang w:eastAsia="lv-LV"/>
              </w:rPr>
              <w:lastRenderedPageBreak/>
              <w:t xml:space="preserve">vai arī izvērtēt iespējamību likumprojekta 2. pantu papildināt ar jaunu punktu un tiesību normā minētās tiesības piešķirt arī izmeklēšanas iestāžu amatpersonām (Kriminālprocesa likuma 386. pants). </w:t>
            </w:r>
          </w:p>
          <w:p w14:paraId="34DE1F45" w14:textId="77777777" w:rsidR="007E7DF6" w:rsidRDefault="007E7DF6"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p>
          <w:p w14:paraId="3D7EACB4" w14:textId="77777777" w:rsidR="007E7DF6" w:rsidRDefault="007E7DF6"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b/>
                <w:bCs/>
                <w:sz w:val="24"/>
                <w:szCs w:val="24"/>
                <w:lang w:eastAsia="lv-LV"/>
              </w:rPr>
              <w:t>Biedrība “Latvijas Transportlīdzekļu apdrošinātāju birojs”</w:t>
            </w:r>
            <w:r w:rsidRPr="007E7DF6">
              <w:rPr>
                <w:rFonts w:ascii="Times New Roman" w:eastAsia="Times New Roman" w:hAnsi="Times New Roman" w:cs="Times New Roman"/>
                <w:sz w:val="24"/>
                <w:szCs w:val="24"/>
                <w:lang w:eastAsia="lv-LV"/>
              </w:rPr>
              <w:t xml:space="preserve"> (turpmāk – LTAB)</w:t>
            </w:r>
            <w:r w:rsidRPr="007E7DF6">
              <w:rPr>
                <w:rFonts w:ascii="Times New Roman" w:eastAsia="Times New Roman" w:hAnsi="Times New Roman" w:cs="Times New Roman"/>
                <w:b/>
                <w:bCs/>
                <w:sz w:val="24"/>
                <w:szCs w:val="24"/>
                <w:lang w:eastAsia="lv-LV"/>
              </w:rPr>
              <w:t>:</w:t>
            </w:r>
          </w:p>
          <w:p w14:paraId="426F5984"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likumprojekta 2.pantu - Invaliditātes likuma 3.</w:t>
            </w:r>
            <w:r w:rsidRPr="003601CA">
              <w:rPr>
                <w:rFonts w:ascii="Times New Roman" w:eastAsia="Times New Roman" w:hAnsi="Times New Roman" w:cs="Times New Roman"/>
                <w:sz w:val="24"/>
                <w:szCs w:val="24"/>
                <w:vertAlign w:val="superscript"/>
                <w:lang w:eastAsia="lv-LV"/>
              </w:rPr>
              <w:t>1</w:t>
            </w:r>
            <w:r w:rsidRPr="007E7DF6">
              <w:rPr>
                <w:rFonts w:ascii="Times New Roman" w:eastAsia="Times New Roman" w:hAnsi="Times New Roman" w:cs="Times New Roman"/>
                <w:sz w:val="24"/>
                <w:szCs w:val="24"/>
                <w:lang w:eastAsia="lv-LV"/>
              </w:rPr>
              <w:t xml:space="preserve"> panta trešo daļu papildināt ar 33.punktu šādā redakcijā:</w:t>
            </w:r>
          </w:p>
          <w:p w14:paraId="650A1622" w14:textId="77777777" w:rsid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“33) </w:t>
            </w:r>
            <w:bookmarkStart w:id="1" w:name="_Hlk74836012"/>
            <w:r w:rsidRPr="007E7DF6">
              <w:rPr>
                <w:rFonts w:ascii="Times New Roman" w:eastAsia="Times New Roman" w:hAnsi="Times New Roman" w:cs="Times New Roman"/>
                <w:sz w:val="24"/>
                <w:szCs w:val="24"/>
                <w:lang w:eastAsia="lv-LV"/>
              </w:rPr>
              <w:t>apdrošināšanas sabiedrībām, kuras veic sauszemes transportlīdzekļu īpašnieku civiltiesiskās atbildības obligāto apdrošināšanu.”.</w:t>
            </w:r>
            <w:bookmarkEnd w:id="1"/>
          </w:p>
          <w:p w14:paraId="7BB5C4A1"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tā kā šobrīd tiek virzīti grozījumi Sauszemes transportlīdzekļu īpašnieku civiltiesiskās atbildības obligātās apdrošināšanas likumā (turpmāk – OCTA likums) (VSS-617), kas paredz OCTA likuma 54. pantu papildināt ar trešo daļu šādā redakcijā: </w:t>
            </w:r>
          </w:p>
          <w:p w14:paraId="07455119" w14:textId="77777777"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“(3) Pēc apdrošinātāja vai Transportlīdzekļu apdrošinātāju biroja pieprasījuma Veselības un darbspēju ekspertīzes ārstu valsts komisija sniedz lēmuma par invaliditāti un ekspertīzes akta kopiju, lai saskaņā ar šo likumu apdrošinātājs un Transportlīdzekļu apdrošinātāju birojs varētu izvērtēt cietušajai personai noteiktās invaliditātes saistību ar ceļu satiksmes negadījumā gūtajām traumām un pieņemt lēmumu par apdrošināšanas atlīdzību.”,</w:t>
            </w:r>
          </w:p>
          <w:p w14:paraId="0944E242" w14:textId="67BE2529"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ab/>
              <w:t>attiecīgi grozījumi nepieciešami arī Invaliditātes likumā, lai paredzētu, ka apdrošināšanas sabiedrībām, kuras veic sauszemes transportlīdzekļu īpašnieku civiltiesiskās atbildības obligāto apdrošināšanu, ir tiesības apstrādāt Invaliditātes informatīvajā sistēmā iekļauto informāciju. Šobrīd šādas tiesības ir paredzētas tikai LTAB.</w:t>
            </w:r>
          </w:p>
          <w:p w14:paraId="32A8BDF7" w14:textId="04A4764B"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lastRenderedPageBreak/>
              <w:t xml:space="preserve">Grozījumi OCTA likuma 54. pantā nepieciešami, lai novērstu praksē konstatētās problēmas un apdrošinātāji un LTAB varētu no Veselības un darbspēju ekspertīzes ārstu valsts komisijas (turpmāk – VDEĀVK) saņemt darbam nepieciešamo informāciju, kas ļautu izvērtēt ceļu satiksmes negadījumā (turpmāk -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cietušajai personai noteiktās invaliditātes saistību ar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gūtajām traumām, pieņemt lēmumu par apdrošināšanas atlīdzību saskaņā ar OCTA likumu, atlīdzinot zaudējumus gan pašai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cietušajai personai, tās tuviniekiem (apgādniekiem, apgādājamiem un laulātajam), ja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cietušajai personai noteikta 1.grupas invaliditāte, gan atlīdzinot valsts budžeta un pašvaldību budžeta izdevumus, kas izlietoti saistībā ar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cietušo personu.</w:t>
            </w:r>
          </w:p>
          <w:p w14:paraId="0E8C8B38" w14:textId="09E56B4B" w:rsidR="007E7DF6" w:rsidRPr="007E7DF6"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t xml:space="preserve">2019.gadā LTAB no VDEĀVK saņēma informāciju par to, ka, ņemot vērā Vispārējās datu aizsardzības regulas ((ES) 2016/679) (turpmāk – Datu regula) prasības, it īpaši Regulas 9.pantu, kas regulē īpašu kategoriju personas datu apstrādi, kā arī to, ka VDEĀVK nav ārstniecības iestāde Ārstniecības likuma izpratnē, VDEĀVK turpmāk nesniegs apdrošinātājiem un LTAB informāciju, kas ļautu pārliecināties par personu veselības stāvokli, kā arī par to, vai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gūtajām traumām ir cēloņsakarība ar personai noteikto invaliditāti. VDEĀVK informēja, ka turpmāk apdrošinātājiem un LTAB netiks izsniegts Nosūtījums uz VDEĀVK (</w:t>
            </w:r>
            <w:r w:rsidRPr="007E7DF6">
              <w:rPr>
                <w:rFonts w:ascii="Times New Roman" w:eastAsia="Times New Roman" w:hAnsi="Times New Roman" w:cs="Times New Roman"/>
                <w:bCs/>
                <w:sz w:val="24"/>
                <w:szCs w:val="24"/>
                <w:lang w:eastAsia="lv-LV"/>
              </w:rPr>
              <w:t>veidlapa Nr.088/u "Nosūtījums uz Veselības un darbspēju ekspertīzes ārstu valsts komisiju"</w:t>
            </w:r>
            <w:r w:rsidRPr="007E7DF6">
              <w:rPr>
                <w:rFonts w:ascii="Times New Roman" w:eastAsia="Times New Roman" w:hAnsi="Times New Roman" w:cs="Times New Roman"/>
                <w:sz w:val="24"/>
                <w:szCs w:val="24"/>
                <w:lang w:eastAsia="lv-LV"/>
              </w:rPr>
              <w:t xml:space="preserve">), Ekspertīzes akts un Lēmums par invaliditāti. Tas savukārt ietekmē apdrošinātāju un LTAB lēmumu pieņemšanas procesu saskaņā ar OCTA likumu, lai atlīdzinātu gan valsts budžeta izdevumus, gan </w:t>
            </w:r>
            <w:proofErr w:type="spellStart"/>
            <w:r w:rsidRPr="007E7DF6">
              <w:rPr>
                <w:rFonts w:ascii="Times New Roman" w:eastAsia="Times New Roman" w:hAnsi="Times New Roman" w:cs="Times New Roman"/>
                <w:sz w:val="24"/>
                <w:szCs w:val="24"/>
                <w:lang w:eastAsia="lv-LV"/>
              </w:rPr>
              <w:t>CSNg</w:t>
            </w:r>
            <w:proofErr w:type="spellEnd"/>
            <w:r w:rsidRPr="007E7DF6">
              <w:rPr>
                <w:rFonts w:ascii="Times New Roman" w:eastAsia="Times New Roman" w:hAnsi="Times New Roman" w:cs="Times New Roman"/>
                <w:sz w:val="24"/>
                <w:szCs w:val="24"/>
                <w:lang w:eastAsia="lv-LV"/>
              </w:rPr>
              <w:t xml:space="preserve"> cietušajām personām un tās tuviniekiem nodarītos zaudējumus. </w:t>
            </w:r>
          </w:p>
          <w:p w14:paraId="61255A57" w14:textId="7D4F7EB5" w:rsidR="007E7DF6" w:rsidRPr="00E60C31" w:rsidRDefault="007E7DF6" w:rsidP="007E7DF6">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7E7DF6">
              <w:rPr>
                <w:rFonts w:ascii="Times New Roman" w:eastAsia="Times New Roman" w:hAnsi="Times New Roman" w:cs="Times New Roman"/>
                <w:sz w:val="24"/>
                <w:szCs w:val="24"/>
                <w:lang w:eastAsia="lv-LV"/>
              </w:rPr>
              <w:lastRenderedPageBreak/>
              <w:t>Lai rastu risinājumu, 2019. gada nogalē un 2020.gada sākumā LTAB rīkoja vairākas sanāksmes, kurās piedalījās LTAB, Finanšu ministrijas (turpmāk – FM), Labklājības ministrijas (turpmāk – LM), VDEĀVK, Veselības ministrijas un Valsts sociālās apdrošināšanas aģentūras pārstāvji, lai diskutētu par nepieciešamajām izmaiņām tiesību aktos, kas ļautu VDEĀVK</w:t>
            </w:r>
            <w:r w:rsidRPr="007E7DF6" w:rsidDel="0039301D">
              <w:rPr>
                <w:rFonts w:ascii="Times New Roman" w:eastAsia="Times New Roman" w:hAnsi="Times New Roman" w:cs="Times New Roman"/>
                <w:sz w:val="24"/>
                <w:szCs w:val="24"/>
                <w:lang w:eastAsia="lv-LV"/>
              </w:rPr>
              <w:t xml:space="preserve"> </w:t>
            </w:r>
            <w:r w:rsidRPr="007E7DF6">
              <w:rPr>
                <w:rFonts w:ascii="Times New Roman" w:eastAsia="Times New Roman" w:hAnsi="Times New Roman" w:cs="Times New Roman"/>
                <w:sz w:val="24"/>
                <w:szCs w:val="24"/>
                <w:lang w:eastAsia="lv-LV"/>
              </w:rPr>
              <w:t>sniegt apdrošinātājiem un LTAB darbam nepieciešamo informāciju. Tika apzināti nepieciešamie grozījumi OCTA likumā, kuri konceptuāli saskaņoti ar visiem sanāksmes dalībniekiem. Ņemot vērā grozījumu aktualitāti un nepieciešamību, priekšlikumi grozījumiem OCTA likuma 54.pantā atkārtoti pārrunāti un saskaņoti 2020.gada 12.oktobra sanāksmē, kurā piedalījās FM, LM, VDEĀVK, LTAB un Datu valsts inspekcijas pārstāvji. Vienlaikus sanāksmes dalībnieki vienojās, ka grozījumi nepieciešami arī Invaliditātes likuma 3.</w:t>
            </w:r>
            <w:r w:rsidRPr="007E7DF6">
              <w:rPr>
                <w:rFonts w:ascii="Times New Roman" w:eastAsia="Times New Roman" w:hAnsi="Times New Roman" w:cs="Times New Roman"/>
                <w:sz w:val="24"/>
                <w:szCs w:val="24"/>
                <w:vertAlign w:val="superscript"/>
                <w:lang w:eastAsia="lv-LV"/>
              </w:rPr>
              <w:t>1</w:t>
            </w:r>
            <w:r w:rsidRPr="007E7DF6">
              <w:rPr>
                <w:rFonts w:ascii="Times New Roman" w:eastAsia="Times New Roman" w:hAnsi="Times New Roman" w:cs="Times New Roman"/>
                <w:sz w:val="24"/>
                <w:szCs w:val="24"/>
                <w:lang w:eastAsia="lv-LV"/>
              </w:rPr>
              <w:t xml:space="preserve"> panta trešajā daļā, to papildinot ar jaunu punktu, kas paredzētu apdrošinātājiem tiesības apstrādāt datus Invaliditātes informatīvajā sistēmā, jo šobrīd šādas tiesības ir paredzētas tikai LTAB, un ka FM sadarbībā ar LM gatavos nepieciešamos grozījumus arī Invaliditātes likumā.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8A4A45" w14:textId="77777777" w:rsidR="00E60C31" w:rsidRPr="000E14C7" w:rsidRDefault="00F23727" w:rsidP="00E60C31">
            <w:pPr>
              <w:suppressAutoHyphens/>
              <w:autoSpaceDN w:val="0"/>
              <w:spacing w:after="0" w:line="240" w:lineRule="auto"/>
              <w:jc w:val="both"/>
              <w:textAlignment w:val="baseline"/>
              <w:rPr>
                <w:rFonts w:ascii="Times New Roman" w:eastAsia="Times New Roman" w:hAnsi="Times New Roman" w:cs="Times New Roman"/>
                <w:b/>
                <w:bCs/>
                <w:sz w:val="24"/>
                <w:szCs w:val="24"/>
                <w:lang w:eastAsia="lv-LV"/>
              </w:rPr>
            </w:pPr>
            <w:r w:rsidRPr="000E14C7">
              <w:rPr>
                <w:rFonts w:ascii="Times New Roman" w:eastAsia="Times New Roman" w:hAnsi="Times New Roman" w:cs="Times New Roman"/>
                <w:b/>
                <w:bCs/>
                <w:sz w:val="24"/>
                <w:szCs w:val="24"/>
                <w:lang w:eastAsia="lv-LV"/>
              </w:rPr>
              <w:lastRenderedPageBreak/>
              <w:t>Ņemts vērā.</w:t>
            </w:r>
          </w:p>
          <w:p w14:paraId="6D9EE5A4" w14:textId="0C0D0D3E" w:rsidR="00F23727" w:rsidRPr="00E60C31" w:rsidRDefault="00F23727"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Precizēta likumprojekta </w:t>
            </w:r>
            <w:r w:rsidR="000E14C7">
              <w:rPr>
                <w:rFonts w:ascii="Times New Roman" w:eastAsia="Times New Roman" w:hAnsi="Times New Roman" w:cs="Times New Roman"/>
                <w:sz w:val="24"/>
                <w:szCs w:val="24"/>
                <w:lang w:eastAsia="lv-LV"/>
              </w:rPr>
              <w:t xml:space="preserve">redakcija un </w:t>
            </w:r>
            <w:r w:rsidR="00967FBE" w:rsidRPr="00967FBE">
              <w:rPr>
                <w:rFonts w:ascii="Times New Roman" w:eastAsia="Times New Roman" w:hAnsi="Times New Roman" w:cs="Times New Roman"/>
                <w:sz w:val="24"/>
                <w:szCs w:val="24"/>
                <w:lang w:eastAsia="lv-LV"/>
              </w:rPr>
              <w:t>sākotnējās ietekmes novērtējuma ziņojuma (anotācijas) I sadaļas 2.punkts</w:t>
            </w:r>
            <w:r w:rsidR="000E14C7">
              <w:rPr>
                <w:rFonts w:ascii="Times New Roman" w:eastAsia="Times New Roman" w:hAnsi="Times New Roman" w:cs="Times New Roman"/>
                <w:sz w:val="24"/>
                <w:szCs w:val="24"/>
                <w:lang w:eastAsia="lv-LV"/>
              </w:rPr>
              <w:t>.</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4D34A" w14:textId="77777777" w:rsidR="00F23727" w:rsidRPr="00F23727" w:rsidRDefault="00F23727" w:rsidP="00F23727">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F23727">
              <w:rPr>
                <w:rFonts w:ascii="Times New Roman" w:eastAsia="Calibri" w:hAnsi="Times New Roman" w:cs="Times New Roman"/>
                <w:sz w:val="24"/>
                <w:szCs w:val="24"/>
              </w:rPr>
              <w:t>3.</w:t>
            </w:r>
            <w:r w:rsidRPr="00F23727">
              <w:rPr>
                <w:rFonts w:ascii="Times New Roman" w:eastAsia="Calibri" w:hAnsi="Times New Roman" w:cs="Times New Roman"/>
                <w:sz w:val="24"/>
                <w:szCs w:val="24"/>
                <w:vertAlign w:val="superscript"/>
              </w:rPr>
              <w:t>1</w:t>
            </w:r>
            <w:r w:rsidRPr="00F23727">
              <w:rPr>
                <w:rFonts w:ascii="Times New Roman" w:eastAsia="Calibri" w:hAnsi="Times New Roman" w:cs="Times New Roman"/>
                <w:sz w:val="24"/>
                <w:szCs w:val="24"/>
              </w:rPr>
              <w:t xml:space="preserve"> pantā:</w:t>
            </w:r>
          </w:p>
          <w:p w14:paraId="042AA30A" w14:textId="77777777" w:rsidR="00F23727" w:rsidRPr="00F23727" w:rsidRDefault="00F23727" w:rsidP="00F23727">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77726E52"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izteikt pirmās daļas otro teikumu šādā redakcijā:</w:t>
            </w:r>
          </w:p>
          <w:p w14:paraId="7BFF38A5"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“Informācijas sistēmas pārzinis ir tiešās valsts pārvaldes iestāde “Veselības un darbspēju ekspertīzes ārstu valsts komisija” (turpmāk – Valsts komisija).”;</w:t>
            </w:r>
          </w:p>
          <w:p w14:paraId="092D11B3"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210CA7F7"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aizstāt otrajā daļā vārdus “Veselības un darbspēju ekspertīzes ārstu valsts komisijas” ar vārdiem “Valsts komisijas”;</w:t>
            </w:r>
          </w:p>
          <w:p w14:paraId="7D948173"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453706FF"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izteikt trešās daļas 1.punktu šādā redakcijā:</w:t>
            </w:r>
          </w:p>
          <w:p w14:paraId="6B1445F7"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lastRenderedPageBreak/>
              <w:t>“1) Valsts komisijai;”;</w:t>
            </w:r>
          </w:p>
          <w:p w14:paraId="03CD1310"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6D6109E0"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izslēgt trešās daļas 14. punktu;</w:t>
            </w:r>
          </w:p>
          <w:p w14:paraId="3EC4D800"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209F5B22"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izteikt trešās daļas 21.punktu šādā redakcijā:</w:t>
            </w:r>
          </w:p>
          <w:p w14:paraId="1C77E6BE"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“21) Uzturlīdzekļu garantiju fonda administrācijai;”</w:t>
            </w:r>
          </w:p>
          <w:p w14:paraId="3EDBD420"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1265A5F2"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izslēgt trešās daļas 24. punktu;</w:t>
            </w:r>
          </w:p>
          <w:p w14:paraId="609BF1FB"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599F0572"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papildināt trešo daļu ar 30., 31., 32. un 33. punktu šādā redakcijā:</w:t>
            </w:r>
          </w:p>
          <w:p w14:paraId="44A0C965"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“30) Būvniecības valsts kontroles birojam;</w:t>
            </w:r>
          </w:p>
          <w:p w14:paraId="675AFF81"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 xml:space="preserve">  31) izmeklēšanas iestādēm un prokuratūrām;</w:t>
            </w:r>
          </w:p>
          <w:p w14:paraId="2908F392" w14:textId="77777777" w:rsidR="00DA6FF6" w:rsidRPr="00DA6FF6"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 xml:space="preserve">  32) Slimību profilakses un kontroles centram;</w:t>
            </w:r>
          </w:p>
          <w:p w14:paraId="0C80883B" w14:textId="06681857" w:rsidR="00E60C31" w:rsidRDefault="00DA6FF6"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A6FF6">
              <w:rPr>
                <w:rFonts w:ascii="Times New Roman" w:eastAsia="Calibri" w:hAnsi="Times New Roman" w:cs="Times New Roman"/>
                <w:sz w:val="24"/>
                <w:szCs w:val="24"/>
              </w:rPr>
              <w:t xml:space="preserve">  33) apdrošināšanas sabiedrībām, kuras veic sauszemes transportlīdzekļu īpašnieku civiltiesiskās atbildības obligāto apdrošināšanu.”</w:t>
            </w:r>
          </w:p>
          <w:p w14:paraId="389CBC2B" w14:textId="1E6E0E34" w:rsidR="00A64FCF" w:rsidRPr="00A64FCF" w:rsidRDefault="00A64FCF" w:rsidP="00A64FCF">
            <w:pPr>
              <w:widowControl w:val="0"/>
              <w:suppressAutoHyphens/>
              <w:autoSpaceDN w:val="0"/>
              <w:spacing w:after="0" w:line="240" w:lineRule="auto"/>
              <w:jc w:val="both"/>
              <w:textAlignment w:val="baseline"/>
              <w:rPr>
                <w:rFonts w:ascii="Times New Roman" w:eastAsia="Calibri" w:hAnsi="Times New Roman" w:cs="Times New Roman"/>
                <w:sz w:val="24"/>
                <w:szCs w:val="24"/>
              </w:rPr>
            </w:pPr>
            <w:bookmarkStart w:id="2" w:name="_GoBack"/>
            <w:bookmarkEnd w:id="2"/>
          </w:p>
          <w:p w14:paraId="2AC9A78C" w14:textId="77777777" w:rsidR="005A2FA1" w:rsidRDefault="005A2FA1" w:rsidP="00DA6FF6">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14:paraId="394E1876" w14:textId="0DB6C7CA" w:rsidR="00223ED9" w:rsidRPr="00E60C31" w:rsidRDefault="00223ED9" w:rsidP="00E60C3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Skatīt </w:t>
            </w:r>
            <w:r w:rsidRPr="00223ED9">
              <w:rPr>
                <w:rFonts w:ascii="Times New Roman" w:eastAsia="Calibri" w:hAnsi="Times New Roman" w:cs="Times New Roman"/>
                <w:sz w:val="24"/>
                <w:szCs w:val="24"/>
              </w:rPr>
              <w:t>anotācijas I sadaļas 2.punkt</w:t>
            </w:r>
            <w:r w:rsidR="000B3022">
              <w:rPr>
                <w:rFonts w:ascii="Times New Roman" w:eastAsia="Calibri" w:hAnsi="Times New Roman" w:cs="Times New Roman"/>
                <w:sz w:val="24"/>
                <w:szCs w:val="24"/>
              </w:rPr>
              <w:t>u.</w:t>
            </w:r>
          </w:p>
        </w:tc>
      </w:tr>
      <w:tr w:rsidR="000E14C7" w:rsidRPr="00E60C31" w14:paraId="4DA47F9D" w14:textId="77777777" w:rsidTr="00893A2C">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B0B5E5" w14:textId="30AEBFA9" w:rsidR="000E14C7" w:rsidRPr="00E60C31" w:rsidRDefault="000E14C7"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p>
        </w:tc>
        <w:tc>
          <w:tcPr>
            <w:tcW w:w="23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3EFC5E" w14:textId="19F4EDBC" w:rsidR="000E14C7" w:rsidRPr="00F23727" w:rsidRDefault="004653FD" w:rsidP="00F23727">
            <w:pPr>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4F25DA">
              <w:rPr>
                <w:rFonts w:ascii="Times New Roman" w:eastAsia="Times New Roman" w:hAnsi="Times New Roman" w:cs="Times New Roman"/>
                <w:sz w:val="24"/>
                <w:szCs w:val="24"/>
                <w:lang w:eastAsia="lv-LV"/>
              </w:rPr>
              <w:t>Likumprojekta sākotnējās ietekmes novērtējuma ziņojuma (anotācijas) I sadaļas 2.punkts</w:t>
            </w:r>
            <w:r w:rsidR="0072371C">
              <w:rPr>
                <w:rFonts w:ascii="Times New Roman" w:eastAsia="Times New Roman" w:hAnsi="Times New Roman" w:cs="Times New Roman"/>
                <w:sz w:val="24"/>
                <w:szCs w:val="24"/>
                <w:lang w:eastAsia="lv-LV"/>
              </w:rPr>
              <w:t>.</w:t>
            </w:r>
          </w:p>
        </w:tc>
        <w:tc>
          <w:tcPr>
            <w:tcW w:w="58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5E785D" w14:textId="59C8AE1F" w:rsidR="00225D97" w:rsidRDefault="00225D9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Tieslietu ministrija:</w:t>
            </w:r>
          </w:p>
          <w:p w14:paraId="7E646462" w14:textId="165A46E5" w:rsidR="000E14C7" w:rsidRPr="0046412E" w:rsidRDefault="00225D97" w:rsidP="00F23727">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sz w:val="24"/>
                <w:szCs w:val="24"/>
                <w:lang w:eastAsia="lv-LV"/>
              </w:rPr>
            </w:pPr>
            <w:r w:rsidRPr="0046412E">
              <w:rPr>
                <w:rFonts w:ascii="Times New Roman" w:eastAsia="Times New Roman" w:hAnsi="Times New Roman" w:cs="Times New Roman"/>
                <w:sz w:val="24"/>
                <w:szCs w:val="24"/>
                <w:lang w:eastAsia="lv-LV"/>
              </w:rPr>
              <w:t xml:space="preserve">Izvērtējot likumprojekta anotācijas I sadaļas 2. punktu, secināms, ka tajā faktiski nav veikta Ministru kabineta noteikumu Nr.805 “Prognozējamas invaliditātes, invaliditātes un darbspēju zaudējuma noteikšanas un invaliditāti apliecinoša dokumenta izsniegšanas noteikumi” un Ministru kabineta 2016. gada 12. jūlija noteikumu Nr.459 “Aizsargātā lietotāja tirdzniecības pakalpojuma sniegšanas, obligātā iepirkuma komponentes un sadales sistēmas pakalpojuma kompensēšanas kārtība” (turpmāk - MK noteikumi) tiesību normu savstarpējās saderības un ietekmes analīze. Ņemot vērā iepriekš minēto, </w:t>
            </w:r>
            <w:r w:rsidRPr="0046412E">
              <w:rPr>
                <w:rFonts w:ascii="Times New Roman" w:eastAsia="Times New Roman" w:hAnsi="Times New Roman" w:cs="Times New Roman"/>
                <w:sz w:val="24"/>
                <w:szCs w:val="24"/>
                <w:lang w:eastAsia="lv-LV"/>
              </w:rPr>
              <w:lastRenderedPageBreak/>
              <w:t>lūdzam papildināt likumprojekta anotāciju, veicot likumprojekta analīzi kopsakarā ar MK noteikumu tiesību normām.</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14BAB9" w14:textId="77777777" w:rsidR="000E14C7" w:rsidRDefault="004653FD" w:rsidP="00E60C31">
            <w:pPr>
              <w:suppressAutoHyphens/>
              <w:autoSpaceDN w:val="0"/>
              <w:spacing w:after="0" w:line="240" w:lineRule="auto"/>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Ņemts vērā</w:t>
            </w:r>
          </w:p>
          <w:p w14:paraId="6C6BF351" w14:textId="1DCD0D77" w:rsidR="006D0E93" w:rsidRPr="006D0E93" w:rsidRDefault="00FB31B0" w:rsidP="00E60C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Precizēta anotācija.</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2640A" w14:textId="499AA007" w:rsidR="000E14C7" w:rsidRPr="00F23727" w:rsidRDefault="000B3022" w:rsidP="00F23727">
            <w:pPr>
              <w:widowControl w:val="0"/>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Skatīt </w:t>
            </w:r>
            <w:r w:rsidRPr="000B3022">
              <w:rPr>
                <w:rFonts w:ascii="Times New Roman" w:eastAsia="Calibri" w:hAnsi="Times New Roman" w:cs="Times New Roman"/>
                <w:sz w:val="24"/>
                <w:szCs w:val="24"/>
              </w:rPr>
              <w:t>anotācijas I sadaļas 2.</w:t>
            </w:r>
            <w:r w:rsidR="001C271C">
              <w:rPr>
                <w:rFonts w:ascii="Times New Roman" w:eastAsia="Calibri" w:hAnsi="Times New Roman" w:cs="Times New Roman"/>
                <w:sz w:val="24"/>
                <w:szCs w:val="24"/>
              </w:rPr>
              <w:t xml:space="preserve"> </w:t>
            </w:r>
            <w:r w:rsidRPr="000B3022">
              <w:rPr>
                <w:rFonts w:ascii="Times New Roman" w:eastAsia="Calibri" w:hAnsi="Times New Roman" w:cs="Times New Roman"/>
                <w:sz w:val="24"/>
                <w:szCs w:val="24"/>
              </w:rPr>
              <w:t>punkt</w:t>
            </w:r>
            <w:r>
              <w:rPr>
                <w:rFonts w:ascii="Times New Roman" w:eastAsia="Calibri" w:hAnsi="Times New Roman" w:cs="Times New Roman"/>
                <w:sz w:val="24"/>
                <w:szCs w:val="24"/>
              </w:rPr>
              <w:t>u</w:t>
            </w:r>
            <w:r w:rsidR="001C271C">
              <w:rPr>
                <w:rFonts w:ascii="Times New Roman" w:eastAsia="Calibri" w:hAnsi="Times New Roman" w:cs="Times New Roman"/>
                <w:sz w:val="24"/>
                <w:szCs w:val="24"/>
              </w:rPr>
              <w:t xml:space="preserve"> un IV sadaļas 1.punktu.</w:t>
            </w:r>
          </w:p>
        </w:tc>
      </w:tr>
      <w:tr w:rsidR="00E60C31" w:rsidRPr="00E60C31" w14:paraId="59831B8D" w14:textId="77777777" w:rsidTr="00893A2C">
        <w:trPr>
          <w:trHeight w:val="1822"/>
        </w:trPr>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058D9F" w14:textId="6CE4A0AD" w:rsidR="00E60C31" w:rsidRPr="00E60C31" w:rsidRDefault="0072371C" w:rsidP="00E60C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23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D3D846" w14:textId="2799C34E" w:rsidR="00E60C31" w:rsidRPr="00E60C31" w:rsidRDefault="0072371C" w:rsidP="00E60C31">
            <w:pPr>
              <w:suppressAutoHyphens/>
              <w:autoSpaceDN w:val="0"/>
              <w:spacing w:before="100" w:after="100" w:line="240" w:lineRule="auto"/>
              <w:ind w:firstLine="1"/>
              <w:contextualSpacing/>
              <w:jc w:val="both"/>
              <w:textAlignment w:val="baseline"/>
              <w:rPr>
                <w:rFonts w:ascii="Times New Roman" w:eastAsia="Times New Roman" w:hAnsi="Times New Roman" w:cs="Times New Roman"/>
                <w:sz w:val="24"/>
                <w:szCs w:val="24"/>
                <w:lang w:eastAsia="lv-LV"/>
              </w:rPr>
            </w:pPr>
            <w:r w:rsidRPr="0072371C">
              <w:rPr>
                <w:rFonts w:ascii="Times New Roman" w:eastAsia="Times New Roman" w:hAnsi="Times New Roman" w:cs="Times New Roman"/>
                <w:sz w:val="24"/>
                <w:szCs w:val="24"/>
                <w:lang w:eastAsia="lv-LV"/>
              </w:rPr>
              <w:t>Likumprojekta sākotnējās ietekmes novērtējuma ziņojuma (anotācijas) I sadaļas 2.punkts.</w:t>
            </w:r>
          </w:p>
        </w:tc>
        <w:tc>
          <w:tcPr>
            <w:tcW w:w="5812" w:type="dxa"/>
            <w:gridSpan w:val="3"/>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72AC627F" w14:textId="77777777" w:rsidR="00916F51" w:rsidRDefault="00916F51" w:rsidP="00916F51">
            <w:pPr>
              <w:tabs>
                <w:tab w:val="left" w:pos="317"/>
              </w:tabs>
              <w:suppressAutoHyphens/>
              <w:autoSpaceDN w:val="0"/>
              <w:spacing w:after="0" w:line="240" w:lineRule="auto"/>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Tieslietu ministrija:</w:t>
            </w:r>
          </w:p>
          <w:p w14:paraId="2DC271F4" w14:textId="0CF93566" w:rsidR="00E60C31" w:rsidRPr="00916F51" w:rsidRDefault="00916F51" w:rsidP="00E60C31">
            <w:pPr>
              <w:suppressAutoHyphens/>
              <w:autoSpaceDN w:val="0"/>
              <w:spacing w:after="0" w:line="240" w:lineRule="auto"/>
              <w:jc w:val="both"/>
              <w:textAlignment w:val="baseline"/>
              <w:rPr>
                <w:rFonts w:ascii="Times New Roman" w:eastAsia="Times New Roman" w:hAnsi="Times New Roman" w:cs="Times New Roman"/>
                <w:bCs/>
                <w:sz w:val="24"/>
                <w:szCs w:val="24"/>
                <w:lang w:eastAsia="lv-LV"/>
              </w:rPr>
            </w:pPr>
            <w:r w:rsidRPr="00916F51">
              <w:rPr>
                <w:rFonts w:ascii="Times New Roman" w:eastAsia="Times New Roman" w:hAnsi="Times New Roman" w:cs="Times New Roman"/>
                <w:bCs/>
                <w:sz w:val="24"/>
                <w:szCs w:val="24"/>
                <w:lang w:eastAsia="lv-LV"/>
              </w:rPr>
              <w:t>Lūdzam atbilstoši Ministru kabineta 2009. gada 15. decembra instrukcijas Nr. 19. “Tiesību akta projekta sākotnējās ietekmes izvērtēšanas kārtība” 14. punktam precizēt likumprojekta anotācijas I sadaļas 2. punktu, norādot pamatojumu Slimību profilakses un kontroles centra darbībai - iegūt, apkopot, apstrādāt un analizēt sabiedrības veselības un veselības aprūpes statistiku.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3C6EAD" w14:textId="77777777" w:rsidR="0072371C" w:rsidRDefault="0072371C" w:rsidP="0072371C">
            <w:pPr>
              <w:suppressAutoHyphens/>
              <w:autoSpaceDN w:val="0"/>
              <w:spacing w:after="0" w:line="240" w:lineRule="auto"/>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Ņemts vērā</w:t>
            </w:r>
          </w:p>
          <w:p w14:paraId="0A1B6214" w14:textId="4F6EC66D" w:rsidR="00E60C31" w:rsidRPr="00E60C31" w:rsidRDefault="0072371C" w:rsidP="0072371C">
            <w:pPr>
              <w:suppressAutoHyphens/>
              <w:autoSpaceDN w:val="0"/>
              <w:spacing w:after="0" w:line="240" w:lineRule="auto"/>
              <w:jc w:val="center"/>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Precizēta anotācija.</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95A0" w14:textId="27FAE3D2" w:rsidR="00E60C31" w:rsidRPr="00E60C31" w:rsidRDefault="0072371C" w:rsidP="00E60C31">
            <w:pPr>
              <w:widowControl w:val="0"/>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Skatīt </w:t>
            </w:r>
            <w:r w:rsidRPr="000B3022">
              <w:rPr>
                <w:rFonts w:ascii="Times New Roman" w:eastAsia="Calibri" w:hAnsi="Times New Roman" w:cs="Times New Roman"/>
                <w:sz w:val="24"/>
                <w:szCs w:val="24"/>
              </w:rPr>
              <w:t>anotācijas I sadaļas 2.</w:t>
            </w:r>
            <w:r>
              <w:rPr>
                <w:rFonts w:ascii="Times New Roman" w:eastAsia="Calibri" w:hAnsi="Times New Roman" w:cs="Times New Roman"/>
                <w:sz w:val="24"/>
                <w:szCs w:val="24"/>
              </w:rPr>
              <w:t xml:space="preserve"> </w:t>
            </w:r>
            <w:r w:rsidRPr="000B3022">
              <w:rPr>
                <w:rFonts w:ascii="Times New Roman" w:eastAsia="Calibri" w:hAnsi="Times New Roman" w:cs="Times New Roman"/>
                <w:sz w:val="24"/>
                <w:szCs w:val="24"/>
              </w:rPr>
              <w:t>punkt</w:t>
            </w:r>
            <w:r>
              <w:rPr>
                <w:rFonts w:ascii="Times New Roman" w:eastAsia="Calibri" w:hAnsi="Times New Roman" w:cs="Times New Roman"/>
                <w:sz w:val="24"/>
                <w:szCs w:val="24"/>
              </w:rPr>
              <w:t>u.</w:t>
            </w:r>
          </w:p>
        </w:tc>
      </w:tr>
      <w:tr w:rsidR="00E60C31" w:rsidRPr="00E60C31" w14:paraId="25D2920B" w14:textId="77777777" w:rsidTr="00893A2C">
        <w:tc>
          <w:tcPr>
            <w:tcW w:w="3333" w:type="dxa"/>
            <w:gridSpan w:val="3"/>
            <w:shd w:val="clear" w:color="auto" w:fill="auto"/>
            <w:tcMar>
              <w:top w:w="0" w:type="dxa"/>
              <w:left w:w="108" w:type="dxa"/>
              <w:bottom w:w="0" w:type="dxa"/>
              <w:right w:w="108" w:type="dxa"/>
            </w:tcMar>
          </w:tcPr>
          <w:p w14:paraId="2763D64B" w14:textId="095779AD" w:rsidR="00E60C31"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E3A86E" w14:textId="77777777" w:rsidR="00893A2C" w:rsidRPr="00E60C31" w:rsidRDefault="00893A2C"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3C20B551" w14:textId="77777777" w:rsidR="00E60C31" w:rsidRPr="00E60C31" w:rsidRDefault="00E60C31" w:rsidP="001F51CE">
            <w:pPr>
              <w:suppressAutoHyphens/>
              <w:autoSpaceDN w:val="0"/>
              <w:spacing w:after="0" w:line="240" w:lineRule="auto"/>
              <w:ind w:right="-773"/>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Atbildīgā amatpersona</w:t>
            </w:r>
            <w:r w:rsidR="001F51CE">
              <w:rPr>
                <w:rFonts w:ascii="Times New Roman" w:eastAsia="Times New Roman" w:hAnsi="Times New Roman" w:cs="Times New Roman"/>
                <w:sz w:val="24"/>
                <w:szCs w:val="24"/>
                <w:lang w:eastAsia="lv-LV"/>
              </w:rPr>
              <w:t xml:space="preserve"> </w:t>
            </w:r>
          </w:p>
        </w:tc>
        <w:tc>
          <w:tcPr>
            <w:tcW w:w="5052" w:type="dxa"/>
            <w:shd w:val="clear" w:color="auto" w:fill="auto"/>
            <w:tcMar>
              <w:top w:w="0" w:type="dxa"/>
              <w:left w:w="108" w:type="dxa"/>
              <w:bottom w:w="0" w:type="dxa"/>
              <w:right w:w="108" w:type="dxa"/>
            </w:tcMar>
          </w:tcPr>
          <w:p w14:paraId="4DD8B57F" w14:textId="77777777" w:rsidR="001F51CE" w:rsidRDefault="001F51CE" w:rsidP="001F51CE">
            <w:pPr>
              <w:suppressAutoHyphens/>
              <w:autoSpaceDN w:val="0"/>
              <w:spacing w:after="0" w:line="240" w:lineRule="auto"/>
              <w:ind w:left="1266" w:firstLine="2117"/>
              <w:textAlignment w:val="baseline"/>
              <w:rPr>
                <w:rFonts w:ascii="Times New Roman" w:eastAsia="Times New Roman" w:hAnsi="Times New Roman" w:cs="Times New Roman"/>
                <w:sz w:val="24"/>
                <w:szCs w:val="24"/>
                <w:lang w:eastAsia="lv-LV"/>
              </w:rPr>
            </w:pPr>
          </w:p>
          <w:p w14:paraId="0DB7B782" w14:textId="7418E252" w:rsidR="00E60C31" w:rsidRPr="00E60C31" w:rsidRDefault="002E114C" w:rsidP="001F51CE">
            <w:pPr>
              <w:suppressAutoHyphens/>
              <w:autoSpaceDN w:val="0"/>
              <w:spacing w:after="0" w:line="240" w:lineRule="auto"/>
              <w:ind w:left="1266" w:firstLine="709"/>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Ruta Veidliņa</w:t>
            </w:r>
          </w:p>
        </w:tc>
        <w:tc>
          <w:tcPr>
            <w:tcW w:w="2947" w:type="dxa"/>
            <w:gridSpan w:val="2"/>
            <w:shd w:val="clear" w:color="auto" w:fill="auto"/>
            <w:tcMar>
              <w:top w:w="0" w:type="dxa"/>
              <w:left w:w="10" w:type="dxa"/>
              <w:bottom w:w="0" w:type="dxa"/>
              <w:right w:w="10" w:type="dxa"/>
            </w:tcMar>
          </w:tcPr>
          <w:p w14:paraId="5C07BF0E"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c>
          <w:tcPr>
            <w:tcW w:w="2873" w:type="dxa"/>
            <w:shd w:val="clear" w:color="auto" w:fill="auto"/>
            <w:tcMar>
              <w:top w:w="0" w:type="dxa"/>
              <w:left w:w="10" w:type="dxa"/>
              <w:bottom w:w="0" w:type="dxa"/>
              <w:right w:w="10" w:type="dxa"/>
            </w:tcMar>
          </w:tcPr>
          <w:p w14:paraId="30396B35"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r w:rsidR="00E60C31" w:rsidRPr="00E60C31" w14:paraId="02632843" w14:textId="77777777" w:rsidTr="00893A2C">
        <w:tc>
          <w:tcPr>
            <w:tcW w:w="3333" w:type="dxa"/>
            <w:gridSpan w:val="3"/>
            <w:shd w:val="clear" w:color="auto" w:fill="auto"/>
            <w:tcMar>
              <w:top w:w="0" w:type="dxa"/>
              <w:left w:w="108" w:type="dxa"/>
              <w:bottom w:w="0" w:type="dxa"/>
              <w:right w:w="108" w:type="dxa"/>
            </w:tcMar>
          </w:tcPr>
          <w:p w14:paraId="1A3975E8"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c>
          <w:tcPr>
            <w:tcW w:w="5052" w:type="dxa"/>
            <w:tcBorders>
              <w:top w:val="single" w:sz="6" w:space="0" w:color="000000"/>
            </w:tcBorders>
            <w:shd w:val="clear" w:color="auto" w:fill="auto"/>
            <w:tcMar>
              <w:top w:w="0" w:type="dxa"/>
              <w:left w:w="108" w:type="dxa"/>
              <w:bottom w:w="0" w:type="dxa"/>
              <w:right w:w="108" w:type="dxa"/>
            </w:tcMar>
          </w:tcPr>
          <w:p w14:paraId="296D0AD1"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sidRPr="00E60C31">
              <w:rPr>
                <w:rFonts w:ascii="Times New Roman" w:eastAsia="Times New Roman" w:hAnsi="Times New Roman" w:cs="Times New Roman"/>
                <w:sz w:val="24"/>
                <w:szCs w:val="24"/>
                <w:lang w:eastAsia="lv-LV"/>
              </w:rPr>
              <w:t xml:space="preserve">                           (vārds un uzvārds)</w:t>
            </w:r>
          </w:p>
        </w:tc>
        <w:tc>
          <w:tcPr>
            <w:tcW w:w="2947" w:type="dxa"/>
            <w:gridSpan w:val="2"/>
            <w:shd w:val="clear" w:color="auto" w:fill="auto"/>
            <w:tcMar>
              <w:top w:w="0" w:type="dxa"/>
              <w:left w:w="10" w:type="dxa"/>
              <w:bottom w:w="0" w:type="dxa"/>
              <w:right w:w="10" w:type="dxa"/>
            </w:tcMar>
          </w:tcPr>
          <w:p w14:paraId="5744BCFB"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c>
          <w:tcPr>
            <w:tcW w:w="2873" w:type="dxa"/>
            <w:shd w:val="clear" w:color="auto" w:fill="auto"/>
            <w:tcMar>
              <w:top w:w="0" w:type="dxa"/>
              <w:left w:w="10" w:type="dxa"/>
              <w:bottom w:w="0" w:type="dxa"/>
              <w:right w:w="10" w:type="dxa"/>
            </w:tcMar>
          </w:tcPr>
          <w:p w14:paraId="0312C6D9" w14:textId="77777777" w:rsidR="00E60C31" w:rsidRPr="00E60C31" w:rsidRDefault="00E60C31" w:rsidP="00E60C31">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tc>
      </w:tr>
    </w:tbl>
    <w:p w14:paraId="310C3303" w14:textId="77777777" w:rsidR="00E60C31" w:rsidRPr="00E60C31" w:rsidRDefault="00E60C31" w:rsidP="00E60C31">
      <w:pPr>
        <w:suppressAutoHyphens/>
        <w:autoSpaceDN w:val="0"/>
        <w:spacing w:after="0" w:line="240" w:lineRule="auto"/>
        <w:ind w:firstLine="720"/>
        <w:jc w:val="both"/>
        <w:textAlignment w:val="baseline"/>
        <w:rPr>
          <w:rFonts w:ascii="Times New Roman" w:eastAsia="Times New Roman" w:hAnsi="Times New Roman" w:cs="Times New Roman"/>
          <w:sz w:val="24"/>
          <w:szCs w:val="24"/>
          <w:lang w:eastAsia="lv-LV"/>
        </w:rPr>
      </w:pPr>
    </w:p>
    <w:p w14:paraId="3C0DCC0F" w14:textId="77777777" w:rsidR="00E60C31" w:rsidRPr="003062EF" w:rsidRDefault="00E60C31" w:rsidP="00E60C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85A22B4" w14:textId="566784A9" w:rsidR="00874CA6" w:rsidRPr="00874CA6" w:rsidRDefault="002E114C" w:rsidP="00874CA6">
      <w:pPr>
        <w:contextualSpacing/>
        <w:rPr>
          <w:rFonts w:ascii="Times New Roman" w:hAnsi="Times New Roman" w:cs="Times New Roman"/>
          <w:sz w:val="24"/>
          <w:szCs w:val="24"/>
        </w:rPr>
      </w:pPr>
      <w:r>
        <w:rPr>
          <w:rFonts w:ascii="Times New Roman" w:hAnsi="Times New Roman" w:cs="Times New Roman"/>
          <w:sz w:val="24"/>
          <w:szCs w:val="24"/>
        </w:rPr>
        <w:t>Ruta Veidliņa</w:t>
      </w:r>
    </w:p>
    <w:p w14:paraId="4DFF713E" w14:textId="77777777" w:rsidR="00874CA6" w:rsidRPr="00874CA6" w:rsidRDefault="00874CA6" w:rsidP="00874CA6">
      <w:pPr>
        <w:contextualSpacing/>
        <w:rPr>
          <w:rFonts w:ascii="Times New Roman" w:hAnsi="Times New Roman" w:cs="Times New Roman"/>
          <w:sz w:val="24"/>
          <w:szCs w:val="24"/>
        </w:rPr>
      </w:pPr>
      <w:r w:rsidRPr="00874CA6">
        <w:rPr>
          <w:rFonts w:ascii="Times New Roman" w:hAnsi="Times New Roman" w:cs="Times New Roman"/>
          <w:sz w:val="24"/>
          <w:szCs w:val="24"/>
        </w:rPr>
        <w:t xml:space="preserve">Sociālās </w:t>
      </w:r>
      <w:r>
        <w:rPr>
          <w:rFonts w:ascii="Times New Roman" w:hAnsi="Times New Roman" w:cs="Times New Roman"/>
          <w:sz w:val="24"/>
          <w:szCs w:val="24"/>
        </w:rPr>
        <w:t>iekļaušanas politikas</w:t>
      </w:r>
      <w:r w:rsidRPr="00874CA6">
        <w:rPr>
          <w:rFonts w:ascii="Times New Roman" w:hAnsi="Times New Roman" w:cs="Times New Roman"/>
          <w:sz w:val="24"/>
          <w:szCs w:val="24"/>
        </w:rPr>
        <w:t xml:space="preserve"> departamenta vecākā eksperte</w:t>
      </w:r>
    </w:p>
    <w:p w14:paraId="5BA82380" w14:textId="01354807" w:rsidR="00874CA6" w:rsidRDefault="00874CA6" w:rsidP="00874CA6">
      <w:pPr>
        <w:contextualSpacing/>
        <w:rPr>
          <w:rFonts w:ascii="Times New Roman" w:hAnsi="Times New Roman" w:cs="Times New Roman"/>
          <w:sz w:val="24"/>
          <w:szCs w:val="24"/>
        </w:rPr>
      </w:pPr>
      <w:r w:rsidRPr="00874CA6">
        <w:rPr>
          <w:rFonts w:ascii="Times New Roman" w:hAnsi="Times New Roman" w:cs="Times New Roman"/>
          <w:sz w:val="24"/>
          <w:szCs w:val="24"/>
        </w:rPr>
        <w:t>Tālr.67</w:t>
      </w:r>
      <w:r w:rsidR="002E114C">
        <w:rPr>
          <w:rFonts w:ascii="Times New Roman" w:hAnsi="Times New Roman" w:cs="Times New Roman"/>
          <w:sz w:val="24"/>
          <w:szCs w:val="24"/>
        </w:rPr>
        <w:t>782951</w:t>
      </w:r>
      <w:r w:rsidRPr="00874CA6">
        <w:rPr>
          <w:rFonts w:ascii="Times New Roman" w:hAnsi="Times New Roman" w:cs="Times New Roman"/>
          <w:sz w:val="24"/>
          <w:szCs w:val="24"/>
        </w:rPr>
        <w:t>,</w:t>
      </w:r>
    </w:p>
    <w:p w14:paraId="2CAA1FE9" w14:textId="488714C9" w:rsidR="00893A2C" w:rsidRPr="00893A2C" w:rsidRDefault="002E114C" w:rsidP="00266499">
      <w:pPr>
        <w:contextualSpacing/>
        <w:rPr>
          <w:rFonts w:ascii="Times New Roman" w:hAnsi="Times New Roman" w:cs="Times New Roman"/>
          <w:sz w:val="24"/>
          <w:szCs w:val="24"/>
        </w:rPr>
      </w:pPr>
      <w:r>
        <w:rPr>
          <w:rFonts w:ascii="Times New Roman" w:hAnsi="Times New Roman" w:cs="Times New Roman"/>
          <w:sz w:val="24"/>
          <w:szCs w:val="24"/>
        </w:rPr>
        <w:t>Ruta.Veidlina</w:t>
      </w:r>
      <w:r w:rsidR="00874CA6" w:rsidRPr="00874CA6">
        <w:rPr>
          <w:rFonts w:ascii="Times New Roman" w:hAnsi="Times New Roman" w:cs="Times New Roman"/>
          <w:sz w:val="24"/>
          <w:szCs w:val="24"/>
        </w:rPr>
        <w:t>@lm.gov.lv</w:t>
      </w:r>
    </w:p>
    <w:sectPr w:rsidR="00893A2C" w:rsidRPr="00893A2C">
      <w:headerReference w:type="default" r:id="rId7"/>
      <w:footerReference w:type="default" r:id="rId8"/>
      <w:footerReference w:type="first" r:id="rId9"/>
      <w:pgSz w:w="16838" w:h="11906" w:orient="landscape"/>
      <w:pgMar w:top="1418" w:right="1134" w:bottom="993" w:left="1701" w:header="709" w:footer="87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9B937" w14:textId="77777777" w:rsidR="00552571" w:rsidRDefault="00552571">
      <w:pPr>
        <w:spacing w:after="0" w:line="240" w:lineRule="auto"/>
      </w:pPr>
      <w:r>
        <w:separator/>
      </w:r>
    </w:p>
  </w:endnote>
  <w:endnote w:type="continuationSeparator" w:id="0">
    <w:p w14:paraId="68761CF6" w14:textId="77777777" w:rsidR="00552571" w:rsidRDefault="0055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F97B6" w14:textId="793EE6AA" w:rsidR="00266499" w:rsidRPr="00266499" w:rsidRDefault="00266499">
    <w:pPr>
      <w:pStyle w:val="Footer"/>
      <w:rPr>
        <w:sz w:val="20"/>
        <w:szCs w:val="20"/>
      </w:rPr>
    </w:pPr>
    <w:r w:rsidRPr="00266499">
      <w:rPr>
        <w:sz w:val="20"/>
        <w:szCs w:val="20"/>
      </w:rPr>
      <w:t>LMizz_</w:t>
    </w:r>
    <w:r w:rsidR="00762ED3">
      <w:rPr>
        <w:sz w:val="20"/>
        <w:szCs w:val="20"/>
      </w:rPr>
      <w:t>13</w:t>
    </w:r>
    <w:r w:rsidRPr="00266499">
      <w:rPr>
        <w:sz w:val="20"/>
        <w:szCs w:val="20"/>
      </w:rPr>
      <w:t>0821_IL_469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1E05D" w14:textId="58F3467D" w:rsidR="002C7040" w:rsidRPr="00266499" w:rsidRDefault="00266499">
    <w:pPr>
      <w:pStyle w:val="Footer"/>
      <w:rPr>
        <w:sz w:val="20"/>
        <w:szCs w:val="20"/>
      </w:rPr>
    </w:pPr>
    <w:r w:rsidRPr="00266499">
      <w:rPr>
        <w:sz w:val="20"/>
        <w:szCs w:val="20"/>
      </w:rPr>
      <w:t>LMizz_</w:t>
    </w:r>
    <w:r w:rsidR="004C0237">
      <w:rPr>
        <w:sz w:val="20"/>
        <w:szCs w:val="20"/>
      </w:rPr>
      <w:t>13</w:t>
    </w:r>
    <w:r w:rsidRPr="00266499">
      <w:rPr>
        <w:sz w:val="20"/>
        <w:szCs w:val="20"/>
      </w:rPr>
      <w:t>0821_IL_469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64F8C" w14:textId="77777777" w:rsidR="00552571" w:rsidRDefault="00552571">
      <w:pPr>
        <w:pStyle w:val="Footer"/>
      </w:pPr>
    </w:p>
    <w:p w14:paraId="03566E4D" w14:textId="77777777" w:rsidR="00552571" w:rsidRDefault="00552571"/>
    <w:p w14:paraId="25D23B8B" w14:textId="77777777" w:rsidR="00552571" w:rsidRDefault="00552571">
      <w:pPr>
        <w:pStyle w:val="Footer"/>
      </w:pPr>
    </w:p>
    <w:p w14:paraId="0D43067C" w14:textId="77777777" w:rsidR="00552571" w:rsidRDefault="00552571"/>
    <w:p w14:paraId="5F5C855B" w14:textId="77777777" w:rsidR="00552571" w:rsidRDefault="00552571">
      <w:pPr>
        <w:pStyle w:val="Header"/>
      </w:pPr>
    </w:p>
    <w:p w14:paraId="7B74EABE" w14:textId="77777777" w:rsidR="00552571" w:rsidRDefault="00552571"/>
    <w:p w14:paraId="4F5E706F" w14:textId="77777777" w:rsidR="00552571" w:rsidRDefault="00552571">
      <w:pPr>
        <w:pStyle w:val="Footer"/>
      </w:pPr>
    </w:p>
    <w:p w14:paraId="750C4470" w14:textId="77777777" w:rsidR="00552571" w:rsidRDefault="00552571"/>
    <w:p w14:paraId="72AA6F06" w14:textId="77777777" w:rsidR="00552571" w:rsidRDefault="00552571">
      <w:pPr>
        <w:pStyle w:val="Footer"/>
      </w:pPr>
    </w:p>
    <w:p w14:paraId="0F724094" w14:textId="77777777" w:rsidR="00552571" w:rsidRDefault="00552571"/>
    <w:p w14:paraId="2D2429EF" w14:textId="77777777" w:rsidR="00552571" w:rsidRDefault="00552571">
      <w:pPr>
        <w:pStyle w:val="Header"/>
      </w:pPr>
    </w:p>
    <w:p w14:paraId="5F698A31" w14:textId="77777777" w:rsidR="00552571" w:rsidRDefault="00552571"/>
    <w:p w14:paraId="6EE767DE" w14:textId="77777777" w:rsidR="00552571" w:rsidRDefault="00552571">
      <w:pPr>
        <w:spacing w:after="0" w:line="240" w:lineRule="auto"/>
      </w:pPr>
      <w:r>
        <w:separator/>
      </w:r>
    </w:p>
  </w:footnote>
  <w:footnote w:type="continuationSeparator" w:id="0">
    <w:p w14:paraId="1BD4FB1F" w14:textId="77777777" w:rsidR="00552571" w:rsidRDefault="00552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655932"/>
      <w:docPartObj>
        <w:docPartGallery w:val="Page Numbers (Top of Page)"/>
        <w:docPartUnique/>
      </w:docPartObj>
    </w:sdtPr>
    <w:sdtEndPr>
      <w:rPr>
        <w:noProof/>
      </w:rPr>
    </w:sdtEndPr>
    <w:sdtContent>
      <w:p w14:paraId="41D91A1B" w14:textId="51A6C73B" w:rsidR="00A64FCF" w:rsidRDefault="00A64FC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369FAA8" w14:textId="77777777" w:rsidR="00A64FCF" w:rsidRDefault="00A64F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943AA"/>
    <w:multiLevelType w:val="hybridMultilevel"/>
    <w:tmpl w:val="D69A8890"/>
    <w:lvl w:ilvl="0" w:tplc="93D282A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481697"/>
    <w:multiLevelType w:val="hybridMultilevel"/>
    <w:tmpl w:val="DC902F4E"/>
    <w:lvl w:ilvl="0" w:tplc="0D143118">
      <w:start w:val="1"/>
      <w:numFmt w:val="decimal"/>
      <w:lvlText w:val="%1."/>
      <w:lvlJc w:val="left"/>
      <w:pPr>
        <w:ind w:left="360" w:hanging="360"/>
      </w:pPr>
      <w:rPr>
        <w:rFonts w:ascii="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F80DDE"/>
    <w:multiLevelType w:val="hybridMultilevel"/>
    <w:tmpl w:val="ABE4EB58"/>
    <w:lvl w:ilvl="0" w:tplc="51020D0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E91992"/>
    <w:multiLevelType w:val="hybridMultilevel"/>
    <w:tmpl w:val="D69A8890"/>
    <w:lvl w:ilvl="0" w:tplc="93D282A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1D5C82"/>
    <w:multiLevelType w:val="hybridMultilevel"/>
    <w:tmpl w:val="D3B09664"/>
    <w:lvl w:ilvl="0" w:tplc="1C58AD0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802559"/>
    <w:multiLevelType w:val="hybridMultilevel"/>
    <w:tmpl w:val="72942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FD2910"/>
    <w:multiLevelType w:val="hybridMultilevel"/>
    <w:tmpl w:val="FC0E7030"/>
    <w:lvl w:ilvl="0" w:tplc="90C085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C31"/>
    <w:rsid w:val="00012387"/>
    <w:rsid w:val="00055607"/>
    <w:rsid w:val="00093971"/>
    <w:rsid w:val="000B3022"/>
    <w:rsid w:val="000E14C7"/>
    <w:rsid w:val="001C271C"/>
    <w:rsid w:val="001D3010"/>
    <w:rsid w:val="001F51CE"/>
    <w:rsid w:val="00223ED9"/>
    <w:rsid w:val="00225D97"/>
    <w:rsid w:val="00250F0D"/>
    <w:rsid w:val="00266499"/>
    <w:rsid w:val="002C7040"/>
    <w:rsid w:val="002E114C"/>
    <w:rsid w:val="003062EF"/>
    <w:rsid w:val="003601CA"/>
    <w:rsid w:val="003D4ED0"/>
    <w:rsid w:val="0046412E"/>
    <w:rsid w:val="004653FD"/>
    <w:rsid w:val="00465A44"/>
    <w:rsid w:val="004C0237"/>
    <w:rsid w:val="004F25DA"/>
    <w:rsid w:val="005200D2"/>
    <w:rsid w:val="005361F7"/>
    <w:rsid w:val="00552571"/>
    <w:rsid w:val="005A2FA1"/>
    <w:rsid w:val="006866F9"/>
    <w:rsid w:val="006A3813"/>
    <w:rsid w:val="006D0E93"/>
    <w:rsid w:val="006E468F"/>
    <w:rsid w:val="006F1BED"/>
    <w:rsid w:val="0072371C"/>
    <w:rsid w:val="00762ED3"/>
    <w:rsid w:val="00793868"/>
    <w:rsid w:val="007E7DF6"/>
    <w:rsid w:val="00833B81"/>
    <w:rsid w:val="00872352"/>
    <w:rsid w:val="00874CA6"/>
    <w:rsid w:val="00893A2C"/>
    <w:rsid w:val="00916F51"/>
    <w:rsid w:val="00967FBE"/>
    <w:rsid w:val="009A1A8E"/>
    <w:rsid w:val="00A304BF"/>
    <w:rsid w:val="00A64B57"/>
    <w:rsid w:val="00A64FCF"/>
    <w:rsid w:val="00B4001D"/>
    <w:rsid w:val="00B9719A"/>
    <w:rsid w:val="00C23051"/>
    <w:rsid w:val="00C43D3D"/>
    <w:rsid w:val="00D07FAD"/>
    <w:rsid w:val="00D85428"/>
    <w:rsid w:val="00DA6FF6"/>
    <w:rsid w:val="00E3326D"/>
    <w:rsid w:val="00E60C31"/>
    <w:rsid w:val="00E74C0C"/>
    <w:rsid w:val="00EB324E"/>
    <w:rsid w:val="00EB62AD"/>
    <w:rsid w:val="00F23727"/>
    <w:rsid w:val="00F46F03"/>
    <w:rsid w:val="00FB31B0"/>
    <w:rsid w:val="00FE32E2"/>
    <w:rsid w:val="00FF0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3403"/>
  <w15:chartTrackingRefBased/>
  <w15:docId w15:val="{EEA6C75A-0E7C-4AA7-87D8-73CE6DCC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0C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E60C31"/>
    <w:rPr>
      <w:rFonts w:ascii="Times New Roman" w:eastAsia="Times New Roman" w:hAnsi="Times New Roman" w:cs="Times New Roman"/>
      <w:sz w:val="24"/>
      <w:szCs w:val="24"/>
      <w:lang w:eastAsia="lv-LV"/>
    </w:rPr>
  </w:style>
  <w:style w:type="character" w:styleId="PageNumber">
    <w:name w:val="page number"/>
    <w:rsid w:val="00E60C31"/>
    <w:rPr>
      <w:rFonts w:cs="Times New Roman"/>
    </w:rPr>
  </w:style>
  <w:style w:type="paragraph" w:styleId="Footer">
    <w:name w:val="footer"/>
    <w:basedOn w:val="Normal"/>
    <w:link w:val="FooterChar"/>
    <w:uiPriority w:val="99"/>
    <w:rsid w:val="00E60C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E60C31"/>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60C31"/>
    <w:pPr>
      <w:ind w:left="720"/>
      <w:contextualSpacing/>
    </w:pPr>
  </w:style>
  <w:style w:type="character" w:styleId="CommentReference">
    <w:name w:val="annotation reference"/>
    <w:basedOn w:val="DefaultParagraphFont"/>
    <w:uiPriority w:val="99"/>
    <w:semiHidden/>
    <w:unhideWhenUsed/>
    <w:rsid w:val="00E60C31"/>
    <w:rPr>
      <w:sz w:val="16"/>
      <w:szCs w:val="16"/>
    </w:rPr>
  </w:style>
  <w:style w:type="paragraph" w:styleId="CommentText">
    <w:name w:val="annotation text"/>
    <w:basedOn w:val="Normal"/>
    <w:link w:val="CommentTextChar"/>
    <w:uiPriority w:val="99"/>
    <w:semiHidden/>
    <w:unhideWhenUsed/>
    <w:rsid w:val="00E60C31"/>
    <w:pPr>
      <w:spacing w:line="240" w:lineRule="auto"/>
    </w:pPr>
    <w:rPr>
      <w:sz w:val="20"/>
      <w:szCs w:val="20"/>
    </w:rPr>
  </w:style>
  <w:style w:type="character" w:customStyle="1" w:styleId="CommentTextChar">
    <w:name w:val="Comment Text Char"/>
    <w:basedOn w:val="DefaultParagraphFont"/>
    <w:link w:val="CommentText"/>
    <w:uiPriority w:val="99"/>
    <w:semiHidden/>
    <w:rsid w:val="00E60C31"/>
    <w:rPr>
      <w:sz w:val="20"/>
      <w:szCs w:val="20"/>
    </w:rPr>
  </w:style>
  <w:style w:type="paragraph" w:styleId="CommentSubject">
    <w:name w:val="annotation subject"/>
    <w:basedOn w:val="CommentText"/>
    <w:next w:val="CommentText"/>
    <w:link w:val="CommentSubjectChar"/>
    <w:uiPriority w:val="99"/>
    <w:semiHidden/>
    <w:unhideWhenUsed/>
    <w:rsid w:val="00E60C31"/>
    <w:rPr>
      <w:b/>
      <w:bCs/>
    </w:rPr>
  </w:style>
  <w:style w:type="character" w:customStyle="1" w:styleId="CommentSubjectChar">
    <w:name w:val="Comment Subject Char"/>
    <w:basedOn w:val="CommentTextChar"/>
    <w:link w:val="CommentSubject"/>
    <w:uiPriority w:val="99"/>
    <w:semiHidden/>
    <w:rsid w:val="00E60C31"/>
    <w:rPr>
      <w:b/>
      <w:bCs/>
      <w:sz w:val="20"/>
      <w:szCs w:val="20"/>
    </w:rPr>
  </w:style>
  <w:style w:type="paragraph" w:styleId="BalloonText">
    <w:name w:val="Balloon Text"/>
    <w:basedOn w:val="Normal"/>
    <w:link w:val="BalloonTextChar"/>
    <w:uiPriority w:val="99"/>
    <w:semiHidden/>
    <w:unhideWhenUsed/>
    <w:rsid w:val="00E60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5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9856</Words>
  <Characters>5619</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Invaliditātes likumā</vt:lpstr>
      <vt:lpstr>Grozījumi Invaliditātes likumā</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Invaliditātes likumā</dc:title>
  <dc:subject/>
  <dc:creator>Ruta Veidliņa</dc:creator>
  <cp:keywords/>
  <dc:description>Ruta.Veidlina@lm.gov.lv_x000d_
67782951</dc:description>
  <cp:lastModifiedBy>Ruta Veidlina</cp:lastModifiedBy>
  <cp:revision>3</cp:revision>
  <cp:lastPrinted>2017-12-29T09:04:00Z</cp:lastPrinted>
  <dcterms:created xsi:type="dcterms:W3CDTF">2021-08-17T14:00:00Z</dcterms:created>
  <dcterms:modified xsi:type="dcterms:W3CDTF">2021-08-17T14:36:00Z</dcterms:modified>
</cp:coreProperties>
</file>