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4F03D7" w14:textId="77777777" w:rsidR="0053208C" w:rsidRDefault="00C227AB">
      <w:pPr>
        <w:pStyle w:val="naisnod"/>
        <w:spacing w:before="0" w:after="0"/>
        <w:ind w:firstLine="720"/>
      </w:pPr>
      <w:r>
        <w:t>Izziņa par atzinumos sniegtajiem iebildumiem</w:t>
      </w:r>
    </w:p>
    <w:p w14:paraId="344F03D8" w14:textId="77777777" w:rsidR="0053208C" w:rsidRDefault="0053208C">
      <w:pPr>
        <w:pStyle w:val="naisf"/>
        <w:spacing w:before="0" w:after="0"/>
        <w:ind w:firstLine="720"/>
      </w:pPr>
    </w:p>
    <w:tbl>
      <w:tblPr>
        <w:tblW w:w="0" w:type="auto"/>
        <w:jc w:val="center"/>
        <w:tblLook w:val="00A0" w:firstRow="1" w:lastRow="0" w:firstColumn="1" w:lastColumn="0" w:noHBand="0" w:noVBand="0"/>
      </w:tblPr>
      <w:tblGrid>
        <w:gridCol w:w="10188"/>
      </w:tblGrid>
      <w:tr w:rsidR="0053208C" w14:paraId="344F03DA" w14:textId="77777777" w:rsidTr="55DDF53A">
        <w:trPr>
          <w:jc w:val="center"/>
        </w:trPr>
        <w:tc>
          <w:tcPr>
            <w:tcW w:w="10188" w:type="dxa"/>
            <w:tcBorders>
              <w:bottom w:val="single" w:sz="6" w:space="0" w:color="000000" w:themeColor="text1"/>
            </w:tcBorders>
          </w:tcPr>
          <w:p w14:paraId="344F03D9" w14:textId="116AD478" w:rsidR="0053208C" w:rsidRDefault="00C227AB">
            <w:pPr>
              <w:ind w:firstLine="720"/>
            </w:pPr>
            <w:r>
              <w:t>"</w:t>
            </w:r>
            <w:r w:rsidR="00102FEB" w:rsidRPr="00102FEB">
              <w:t>Speciālo radiolīdzekļu izmantošanas kārtība</w:t>
            </w:r>
            <w:r>
              <w:t>" (VSS-775)</w:t>
            </w:r>
          </w:p>
        </w:tc>
      </w:tr>
    </w:tbl>
    <w:p w14:paraId="344F03DB" w14:textId="77777777" w:rsidR="0053208C" w:rsidRDefault="00C227AB">
      <w:pPr>
        <w:pStyle w:val="naisc"/>
        <w:spacing w:before="0" w:after="0"/>
        <w:ind w:firstLine="1080"/>
      </w:pPr>
      <w:r>
        <w:t>(dokumenta veids un nosaukums)</w:t>
      </w:r>
    </w:p>
    <w:p w14:paraId="344F03DC" w14:textId="77777777" w:rsidR="0053208C" w:rsidRDefault="0053208C">
      <w:pPr>
        <w:pStyle w:val="naisf"/>
        <w:spacing w:before="0" w:after="0"/>
        <w:ind w:firstLine="720"/>
      </w:pPr>
    </w:p>
    <w:p w14:paraId="344F03DD" w14:textId="77777777" w:rsidR="0053208C" w:rsidRDefault="00C227AB">
      <w:pPr>
        <w:pStyle w:val="naisf"/>
        <w:spacing w:before="0" w:after="0"/>
        <w:ind w:firstLine="0"/>
        <w:jc w:val="center"/>
        <w:rPr>
          <w:b/>
        </w:rPr>
      </w:pPr>
      <w:r>
        <w:rPr>
          <w:b/>
        </w:rPr>
        <w:t>I. Jautājumi, par kuriem saskaņošanā vienošanās nav panākta</w:t>
      </w:r>
    </w:p>
    <w:tbl>
      <w:tblPr>
        <w:tblW w:w="14699"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843"/>
        <w:gridCol w:w="2835"/>
        <w:gridCol w:w="3969"/>
        <w:gridCol w:w="2275"/>
        <w:gridCol w:w="1836"/>
        <w:gridCol w:w="2941"/>
      </w:tblGrid>
      <w:tr w:rsidR="0053208C" w14:paraId="344F03E4" w14:textId="77777777">
        <w:trPr>
          <w:trHeight w:val="2344"/>
        </w:trPr>
        <w:tc>
          <w:tcPr>
            <w:tcW w:w="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44F03DE" w14:textId="77777777" w:rsidR="0053208C" w:rsidRDefault="00C227AB">
            <w:pPr>
              <w:pStyle w:val="naisc"/>
              <w:spacing w:before="0" w:after="0"/>
            </w:pPr>
            <w:r>
              <w:t>Nr. p. k.</w:t>
            </w:r>
          </w:p>
        </w:tc>
        <w:tc>
          <w:tcPr>
            <w:tcW w:w="283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44F03DF" w14:textId="77777777" w:rsidR="0053208C" w:rsidRDefault="00C227AB">
            <w:pPr>
              <w:pStyle w:val="naisc"/>
              <w:spacing w:before="0" w:after="0"/>
              <w:ind w:firstLine="12"/>
            </w:pPr>
            <w:r>
              <w:t>Saskaņošanai nosūtītā projekta redakcija (konkrēta punkta (panta) redakcija)</w:t>
            </w:r>
          </w:p>
        </w:tc>
        <w:tc>
          <w:tcPr>
            <w:tcW w:w="396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44F03E0" w14:textId="77777777" w:rsidR="0053208C" w:rsidRDefault="00C227AB">
            <w:pPr>
              <w:pStyle w:val="naisc"/>
              <w:spacing w:before="0" w:after="0"/>
              <w:ind w:right="3"/>
            </w:pPr>
            <w:r>
              <w:t>Atzinumā norādītais ministrijas (citas institūcijas) iebildums, kā arī saskaņošanā papildus izteiktais iebildums par projekta konkrēto punktu (pantu)</w:t>
            </w:r>
          </w:p>
        </w:tc>
        <w:tc>
          <w:tcPr>
            <w:tcW w:w="227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44F03E1" w14:textId="77777777" w:rsidR="0053208C" w:rsidRDefault="00C227AB">
            <w:pPr>
              <w:pStyle w:val="naisc"/>
              <w:spacing w:before="0" w:after="0"/>
              <w:ind w:firstLine="21"/>
            </w:pPr>
            <w:r>
              <w:t>Atbildīgās ministrijas pamatojums iebilduma noraidījumam</w:t>
            </w:r>
          </w:p>
        </w:tc>
        <w:tc>
          <w:tcPr>
            <w:tcW w:w="1836" w:type="dxa"/>
            <w:tcBorders>
              <w:top w:val="single" w:sz="4" w:space="0" w:color="auto"/>
              <w:left w:val="single" w:sz="4" w:space="0" w:color="auto"/>
              <w:bottom w:val="single" w:sz="4" w:space="0" w:color="auto"/>
              <w:right w:val="single" w:sz="4" w:space="0" w:color="auto"/>
            </w:tcBorders>
            <w:vAlign w:val="center"/>
          </w:tcPr>
          <w:p w14:paraId="344F03E2" w14:textId="77777777" w:rsidR="0053208C" w:rsidRDefault="00C227AB">
            <w:r>
              <w:t>Atzinuma sniedzēja uzturētais iebildums, ja tas atšķiras no atzinumā norādītā iebilduma pamatojuma</w:t>
            </w:r>
          </w:p>
        </w:tc>
        <w:tc>
          <w:tcPr>
            <w:tcW w:w="2941" w:type="dxa"/>
            <w:tcBorders>
              <w:top w:val="single" w:sz="4" w:space="0" w:color="auto"/>
              <w:left w:val="single" w:sz="4" w:space="0" w:color="auto"/>
              <w:bottom w:val="single" w:sz="4" w:space="0" w:color="auto"/>
            </w:tcBorders>
            <w:vAlign w:val="center"/>
          </w:tcPr>
          <w:p w14:paraId="344F03E3" w14:textId="77777777" w:rsidR="0053208C" w:rsidRDefault="00C227AB">
            <w:r>
              <w:t>Projekta attiecīgā punkta (panta) galīgā redakcija</w:t>
            </w:r>
          </w:p>
        </w:tc>
      </w:tr>
      <w:tr w:rsidR="0053208C" w14:paraId="344F03EB" w14:textId="77777777">
        <w:trPr>
          <w:trHeight w:val="277"/>
        </w:trPr>
        <w:tc>
          <w:tcPr>
            <w:tcW w:w="843" w:type="dxa"/>
            <w:tcBorders>
              <w:top w:val="single" w:sz="6" w:space="0" w:color="000000" w:themeColor="text1"/>
              <w:left w:val="single" w:sz="6" w:space="0" w:color="000000" w:themeColor="text1"/>
              <w:bottom w:val="single" w:sz="4" w:space="0" w:color="auto"/>
              <w:right w:val="single" w:sz="6" w:space="0" w:color="000000" w:themeColor="text1"/>
            </w:tcBorders>
            <w:vAlign w:val="center"/>
          </w:tcPr>
          <w:p w14:paraId="344F03E5" w14:textId="77777777" w:rsidR="0053208C" w:rsidRDefault="00C227AB">
            <w:pPr>
              <w:pStyle w:val="naisc"/>
              <w:spacing w:before="0" w:after="0"/>
            </w:pPr>
            <w:r>
              <w:t>1</w:t>
            </w:r>
          </w:p>
        </w:tc>
        <w:tc>
          <w:tcPr>
            <w:tcW w:w="2835" w:type="dxa"/>
            <w:tcBorders>
              <w:top w:val="single" w:sz="6" w:space="0" w:color="000000" w:themeColor="text1"/>
              <w:left w:val="single" w:sz="6" w:space="0" w:color="000000" w:themeColor="text1"/>
              <w:bottom w:val="single" w:sz="4" w:space="0" w:color="auto"/>
              <w:right w:val="single" w:sz="6" w:space="0" w:color="000000" w:themeColor="text1"/>
            </w:tcBorders>
            <w:vAlign w:val="center"/>
          </w:tcPr>
          <w:p w14:paraId="344F03E6" w14:textId="77777777" w:rsidR="0053208C" w:rsidRDefault="00C227AB">
            <w:pPr>
              <w:pStyle w:val="naisc"/>
              <w:spacing w:before="0" w:after="0"/>
              <w:ind w:firstLine="12"/>
            </w:pPr>
            <w:r>
              <w:t>2</w:t>
            </w:r>
          </w:p>
        </w:tc>
        <w:tc>
          <w:tcPr>
            <w:tcW w:w="3969" w:type="dxa"/>
            <w:tcBorders>
              <w:top w:val="single" w:sz="6" w:space="0" w:color="000000" w:themeColor="text1"/>
              <w:left w:val="single" w:sz="6" w:space="0" w:color="000000" w:themeColor="text1"/>
              <w:bottom w:val="single" w:sz="4" w:space="0" w:color="auto"/>
              <w:right w:val="single" w:sz="6" w:space="0" w:color="000000" w:themeColor="text1"/>
            </w:tcBorders>
            <w:vAlign w:val="center"/>
          </w:tcPr>
          <w:p w14:paraId="344F03E7" w14:textId="77777777" w:rsidR="0053208C" w:rsidRDefault="00C227AB">
            <w:pPr>
              <w:pStyle w:val="naisc"/>
              <w:spacing w:before="0" w:after="0"/>
              <w:ind w:right="3"/>
            </w:pPr>
            <w:r>
              <w:t>3</w:t>
            </w:r>
          </w:p>
        </w:tc>
        <w:tc>
          <w:tcPr>
            <w:tcW w:w="2275" w:type="dxa"/>
            <w:tcBorders>
              <w:top w:val="single" w:sz="6" w:space="0" w:color="000000" w:themeColor="text1"/>
              <w:left w:val="single" w:sz="6" w:space="0" w:color="000000" w:themeColor="text1"/>
              <w:bottom w:val="single" w:sz="4" w:space="0" w:color="auto"/>
              <w:right w:val="single" w:sz="6" w:space="0" w:color="000000" w:themeColor="text1"/>
            </w:tcBorders>
            <w:vAlign w:val="center"/>
          </w:tcPr>
          <w:p w14:paraId="344F03E8" w14:textId="77777777" w:rsidR="0053208C" w:rsidRDefault="00C227AB">
            <w:pPr>
              <w:pStyle w:val="naisc"/>
              <w:spacing w:before="0" w:after="0"/>
              <w:ind w:firstLine="21"/>
            </w:pPr>
            <w:r>
              <w:t>4</w:t>
            </w:r>
          </w:p>
        </w:tc>
        <w:tc>
          <w:tcPr>
            <w:tcW w:w="1836" w:type="dxa"/>
            <w:tcBorders>
              <w:top w:val="single" w:sz="4" w:space="0" w:color="auto"/>
              <w:left w:val="single" w:sz="4" w:space="0" w:color="auto"/>
              <w:bottom w:val="single" w:sz="4" w:space="0" w:color="auto"/>
              <w:right w:val="single" w:sz="4" w:space="0" w:color="auto"/>
            </w:tcBorders>
            <w:vAlign w:val="center"/>
          </w:tcPr>
          <w:p w14:paraId="344F03E9" w14:textId="77777777" w:rsidR="0053208C" w:rsidRDefault="00C227AB">
            <w:r>
              <w:t>5</w:t>
            </w:r>
          </w:p>
        </w:tc>
        <w:tc>
          <w:tcPr>
            <w:tcW w:w="2941" w:type="dxa"/>
            <w:tcBorders>
              <w:top w:val="single" w:sz="4" w:space="0" w:color="auto"/>
              <w:left w:val="single" w:sz="4" w:space="0" w:color="auto"/>
              <w:bottom w:val="single" w:sz="4" w:space="0" w:color="auto"/>
            </w:tcBorders>
            <w:vAlign w:val="center"/>
          </w:tcPr>
          <w:p w14:paraId="344F03EA" w14:textId="77777777" w:rsidR="0053208C" w:rsidRDefault="00C227AB">
            <w:r>
              <w:t>6</w:t>
            </w:r>
          </w:p>
        </w:tc>
      </w:tr>
      <w:tr w:rsidR="0053208C" w14:paraId="344F03F2" w14:textId="77777777">
        <w:trPr>
          <w:trHeight w:val="277"/>
        </w:trPr>
        <w:tc>
          <w:tcPr>
            <w:tcW w:w="843" w:type="dxa"/>
            <w:tcBorders>
              <w:top w:val="single" w:sz="4" w:space="0" w:color="auto"/>
              <w:left w:val="single" w:sz="4" w:space="0" w:color="auto"/>
              <w:bottom w:val="single" w:sz="4" w:space="0" w:color="auto"/>
              <w:right w:val="single" w:sz="4" w:space="0" w:color="auto"/>
            </w:tcBorders>
            <w:vAlign w:val="center"/>
          </w:tcPr>
          <w:p w14:paraId="344F03EC" w14:textId="77777777" w:rsidR="0053208C" w:rsidRDefault="0053208C">
            <w:pPr>
              <w:pStyle w:val="naisc"/>
              <w:numPr>
                <w:ilvl w:val="0"/>
                <w:numId w:val="3"/>
              </w:numPr>
              <w:spacing w:before="0" w:after="0"/>
              <w:ind w:left="357" w:hanging="357"/>
              <w:jc w:val="left"/>
            </w:pPr>
          </w:p>
        </w:tc>
        <w:tc>
          <w:tcPr>
            <w:tcW w:w="2835" w:type="dxa"/>
            <w:tcBorders>
              <w:top w:val="single" w:sz="4" w:space="0" w:color="auto"/>
              <w:left w:val="single" w:sz="4" w:space="0" w:color="auto"/>
              <w:bottom w:val="single" w:sz="4" w:space="0" w:color="auto"/>
              <w:right w:val="single" w:sz="4" w:space="0" w:color="auto"/>
            </w:tcBorders>
          </w:tcPr>
          <w:p w14:paraId="344F03ED" w14:textId="77777777" w:rsidR="0053208C" w:rsidRDefault="0053208C">
            <w:pPr>
              <w:pStyle w:val="naisc"/>
              <w:spacing w:before="0" w:after="0"/>
              <w:ind w:firstLine="12"/>
              <w:jc w:val="both"/>
            </w:pPr>
          </w:p>
        </w:tc>
        <w:tc>
          <w:tcPr>
            <w:tcW w:w="3969" w:type="dxa"/>
            <w:tcBorders>
              <w:top w:val="single" w:sz="4" w:space="0" w:color="auto"/>
              <w:left w:val="single" w:sz="4" w:space="0" w:color="auto"/>
              <w:bottom w:val="single" w:sz="4" w:space="0" w:color="auto"/>
              <w:right w:val="single" w:sz="4" w:space="0" w:color="auto"/>
            </w:tcBorders>
          </w:tcPr>
          <w:p w14:paraId="344F03EE" w14:textId="77777777" w:rsidR="0053208C" w:rsidRDefault="0053208C">
            <w:pPr>
              <w:pStyle w:val="naisc"/>
              <w:jc w:val="left"/>
              <w:rPr>
                <w:u w:val="single"/>
              </w:rPr>
            </w:pPr>
          </w:p>
        </w:tc>
        <w:tc>
          <w:tcPr>
            <w:tcW w:w="2275" w:type="dxa"/>
            <w:tcBorders>
              <w:top w:val="single" w:sz="4" w:space="0" w:color="auto"/>
              <w:left w:val="single" w:sz="4" w:space="0" w:color="auto"/>
              <w:bottom w:val="single" w:sz="4" w:space="0" w:color="auto"/>
              <w:right w:val="single" w:sz="4" w:space="0" w:color="auto"/>
            </w:tcBorders>
          </w:tcPr>
          <w:p w14:paraId="344F03EF" w14:textId="77777777" w:rsidR="0053208C" w:rsidRDefault="0053208C">
            <w:pPr>
              <w:pStyle w:val="naisc"/>
              <w:spacing w:before="0" w:after="0"/>
              <w:ind w:firstLine="21"/>
            </w:pPr>
          </w:p>
        </w:tc>
        <w:tc>
          <w:tcPr>
            <w:tcW w:w="1836" w:type="dxa"/>
            <w:tcBorders>
              <w:top w:val="single" w:sz="4" w:space="0" w:color="auto"/>
              <w:left w:val="single" w:sz="4" w:space="0" w:color="auto"/>
              <w:bottom w:val="single" w:sz="4" w:space="0" w:color="auto"/>
              <w:right w:val="single" w:sz="4" w:space="0" w:color="auto"/>
            </w:tcBorders>
          </w:tcPr>
          <w:p w14:paraId="344F03F0" w14:textId="77777777" w:rsidR="0053208C" w:rsidRDefault="0053208C">
            <w:pPr>
              <w:jc w:val="both"/>
            </w:pPr>
          </w:p>
        </w:tc>
        <w:tc>
          <w:tcPr>
            <w:tcW w:w="2941" w:type="dxa"/>
            <w:tcBorders>
              <w:top w:val="single" w:sz="4" w:space="0" w:color="auto"/>
              <w:left w:val="single" w:sz="4" w:space="0" w:color="auto"/>
              <w:bottom w:val="single" w:sz="4" w:space="0" w:color="auto"/>
            </w:tcBorders>
          </w:tcPr>
          <w:p w14:paraId="344F03F1" w14:textId="77777777" w:rsidR="0053208C" w:rsidRDefault="0053208C">
            <w:pPr>
              <w:jc w:val="both"/>
            </w:pPr>
          </w:p>
        </w:tc>
      </w:tr>
    </w:tbl>
    <w:p w14:paraId="344F03F3" w14:textId="77777777" w:rsidR="0053208C" w:rsidRDefault="0053208C"/>
    <w:p w14:paraId="344F03F4" w14:textId="77777777" w:rsidR="0053208C" w:rsidRDefault="0053208C"/>
    <w:p w14:paraId="344F03F5" w14:textId="77777777" w:rsidR="0053208C" w:rsidRDefault="00C227AB">
      <w:pPr>
        <w:spacing w:after="160" w:line="259" w:lineRule="auto"/>
        <w:jc w:val="left"/>
      </w:pPr>
      <w:r>
        <w:br w:type="page"/>
      </w:r>
    </w:p>
    <w:p w14:paraId="344F03F6" w14:textId="77777777" w:rsidR="0053208C" w:rsidRDefault="00C227AB">
      <w:pPr>
        <w:spacing w:after="160" w:line="259" w:lineRule="auto"/>
        <w:rPr>
          <w:b/>
        </w:rPr>
      </w:pPr>
      <w:r>
        <w:rPr>
          <w:b/>
        </w:rPr>
        <w:lastRenderedPageBreak/>
        <w:t>II. Jautājumi, par kuriem saskaņošanā vienošanās ir panākta</w:t>
      </w:r>
    </w:p>
    <w:p w14:paraId="344F03F7" w14:textId="77777777" w:rsidR="0053208C" w:rsidRDefault="0053208C">
      <w:pPr>
        <w:ind w:firstLine="720"/>
        <w:jc w:val="both"/>
      </w:pPr>
    </w:p>
    <w:tbl>
      <w:tblPr>
        <w:tblW w:w="15035" w:type="dxa"/>
        <w:tblInd w:w="-292"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10"/>
        <w:gridCol w:w="2551"/>
        <w:gridCol w:w="5387"/>
        <w:gridCol w:w="3118"/>
        <w:gridCol w:w="3269"/>
      </w:tblGrid>
      <w:tr w:rsidR="0053208C" w14:paraId="344F03FE" w14:textId="77777777">
        <w:trPr>
          <w:trHeight w:val="1294"/>
        </w:trPr>
        <w:tc>
          <w:tcPr>
            <w:tcW w:w="7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44F03F8" w14:textId="77777777" w:rsidR="0053208C" w:rsidRDefault="00C227AB">
            <w:pPr>
              <w:rPr>
                <w:color w:val="000000"/>
              </w:rPr>
            </w:pPr>
            <w:r>
              <w:rPr>
                <w:color w:val="000000" w:themeColor="text1"/>
              </w:rPr>
              <w:t>Nr.</w:t>
            </w:r>
          </w:p>
          <w:p w14:paraId="344F03F9" w14:textId="77777777" w:rsidR="0053208C" w:rsidRDefault="00C227AB">
            <w:pPr>
              <w:rPr>
                <w:color w:val="000000"/>
              </w:rPr>
            </w:pPr>
            <w:r>
              <w:rPr>
                <w:color w:val="000000" w:themeColor="text1"/>
              </w:rPr>
              <w:t>p. k.</w:t>
            </w:r>
          </w:p>
        </w:tc>
        <w:tc>
          <w:tcPr>
            <w:tcW w:w="255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44F03FA" w14:textId="77777777" w:rsidR="0053208C" w:rsidRDefault="00C227AB">
            <w:pPr>
              <w:ind w:firstLine="12"/>
            </w:pPr>
            <w:r>
              <w:t>Saskaņošanai nosūtītā projekta redakcija (konkrēta punkta (panta) redakcija)</w:t>
            </w:r>
          </w:p>
        </w:tc>
        <w:tc>
          <w:tcPr>
            <w:tcW w:w="538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44F03FB" w14:textId="77777777" w:rsidR="0053208C" w:rsidRDefault="00C227AB">
            <w:pPr>
              <w:ind w:right="3"/>
            </w:pPr>
            <w:r>
              <w:t>Atzinumā norādītais ministrijas (citas institūcijas) iebildums, kā arī saskaņošanā papildus izteiktais iebildums par projekta konkrēto punktu (pantu)</w:t>
            </w:r>
          </w:p>
        </w:tc>
        <w:tc>
          <w:tcPr>
            <w:tcW w:w="311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44F03FC" w14:textId="77777777" w:rsidR="0053208C" w:rsidRDefault="00C227AB">
            <w:pPr>
              <w:ind w:firstLine="21"/>
            </w:pPr>
            <w:r>
              <w:t>Atbildīgās ministrijas norāde par to, ka iebildums ir ņemts vērā, vai informācija par saskaņošanā panākto alternatīvo risinājumu</w:t>
            </w:r>
          </w:p>
        </w:tc>
        <w:tc>
          <w:tcPr>
            <w:tcW w:w="3269" w:type="dxa"/>
            <w:tcBorders>
              <w:top w:val="single" w:sz="4" w:space="0" w:color="auto"/>
              <w:left w:val="single" w:sz="4" w:space="0" w:color="auto"/>
              <w:bottom w:val="single" w:sz="4" w:space="0" w:color="auto"/>
            </w:tcBorders>
            <w:vAlign w:val="center"/>
          </w:tcPr>
          <w:p w14:paraId="344F03FD" w14:textId="77777777" w:rsidR="0053208C" w:rsidRDefault="00C227AB">
            <w:r>
              <w:t>Projekta attiecīgā punkta (panta) galīgā redakcija</w:t>
            </w:r>
          </w:p>
        </w:tc>
      </w:tr>
      <w:tr w:rsidR="0053208C" w14:paraId="344F0404" w14:textId="77777777">
        <w:trPr>
          <w:trHeight w:val="304"/>
        </w:trPr>
        <w:tc>
          <w:tcPr>
            <w:tcW w:w="7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44F03FF" w14:textId="77777777" w:rsidR="0053208C" w:rsidRDefault="00C227AB">
            <w:pPr>
              <w:pStyle w:val="ListParagraph"/>
              <w:ind w:left="0"/>
              <w:rPr>
                <w:color w:val="000000"/>
              </w:rPr>
            </w:pPr>
            <w:r>
              <w:rPr>
                <w:color w:val="000000" w:themeColor="text1"/>
              </w:rPr>
              <w:t>1</w:t>
            </w:r>
          </w:p>
        </w:tc>
        <w:tc>
          <w:tcPr>
            <w:tcW w:w="255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44F0400" w14:textId="77777777" w:rsidR="0053208C" w:rsidRDefault="00C227AB">
            <w:pPr>
              <w:pStyle w:val="naisc"/>
              <w:rPr>
                <w:b/>
                <w:bCs/>
              </w:rPr>
            </w:pPr>
            <w:r>
              <w:t>2</w:t>
            </w:r>
          </w:p>
        </w:tc>
        <w:tc>
          <w:tcPr>
            <w:tcW w:w="538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44F0401" w14:textId="77777777" w:rsidR="0053208C" w:rsidRDefault="00C227AB">
            <w:pPr>
              <w:pStyle w:val="naisc"/>
              <w:rPr>
                <w:b/>
                <w:bCs/>
              </w:rPr>
            </w:pPr>
            <w:r>
              <w:t>3</w:t>
            </w:r>
          </w:p>
        </w:tc>
        <w:tc>
          <w:tcPr>
            <w:tcW w:w="311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44F0402" w14:textId="77777777" w:rsidR="0053208C" w:rsidRDefault="00C227AB">
            <w:pPr>
              <w:pStyle w:val="naisc"/>
              <w:spacing w:before="0" w:after="0"/>
            </w:pPr>
            <w:r>
              <w:t>4</w:t>
            </w:r>
          </w:p>
        </w:tc>
        <w:tc>
          <w:tcPr>
            <w:tcW w:w="3269" w:type="dxa"/>
            <w:tcBorders>
              <w:top w:val="single" w:sz="4" w:space="0" w:color="auto"/>
              <w:left w:val="single" w:sz="4" w:space="0" w:color="auto"/>
              <w:bottom w:val="single" w:sz="4" w:space="0" w:color="auto"/>
              <w:right w:val="single" w:sz="4" w:space="0" w:color="auto"/>
            </w:tcBorders>
            <w:vAlign w:val="center"/>
          </w:tcPr>
          <w:p w14:paraId="344F0403" w14:textId="77777777" w:rsidR="0053208C" w:rsidRDefault="00C227AB">
            <w:r>
              <w:t>5</w:t>
            </w:r>
          </w:p>
        </w:tc>
      </w:tr>
      <w:tr w:rsidR="0053208C" w14:paraId="344F040F" w14:textId="77777777">
        <w:trPr>
          <w:trHeight w:val="304"/>
        </w:trPr>
        <w:tc>
          <w:tcPr>
            <w:tcW w:w="7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44F0405" w14:textId="77777777" w:rsidR="0053208C" w:rsidRPr="00082C69" w:rsidRDefault="00C227AB" w:rsidP="00082C69">
            <w:pPr>
              <w:pStyle w:val="ListParagraph"/>
              <w:numPr>
                <w:ilvl w:val="0"/>
                <w:numId w:val="7"/>
              </w:numPr>
              <w:rPr>
                <w:color w:val="000000"/>
              </w:rPr>
            </w:pPr>
            <w:r w:rsidRPr="00082C69">
              <w:rPr>
                <w:color w:val="000000" w:themeColor="text1"/>
              </w:rPr>
              <w:t>1.</w:t>
            </w:r>
          </w:p>
        </w:tc>
        <w:tc>
          <w:tcPr>
            <w:tcW w:w="2551" w:type="dxa"/>
            <w:tcBorders>
              <w:top w:val="single" w:sz="4" w:space="0" w:color="auto"/>
              <w:left w:val="single" w:sz="4" w:space="0" w:color="auto"/>
              <w:bottom w:val="single" w:sz="4" w:space="0" w:color="auto"/>
              <w:right w:val="single" w:sz="4" w:space="0" w:color="auto"/>
            </w:tcBorders>
          </w:tcPr>
          <w:p w14:paraId="344F0406" w14:textId="77777777" w:rsidR="0053208C" w:rsidRDefault="0053208C">
            <w:pPr>
              <w:pStyle w:val="naisc"/>
              <w:jc w:val="both"/>
            </w:pPr>
          </w:p>
        </w:tc>
        <w:tc>
          <w:tcPr>
            <w:tcW w:w="5387" w:type="dxa"/>
            <w:tcBorders>
              <w:top w:val="single" w:sz="4" w:space="0" w:color="auto"/>
              <w:left w:val="single" w:sz="4" w:space="0" w:color="auto"/>
              <w:bottom w:val="single" w:sz="4" w:space="0" w:color="auto"/>
              <w:right w:val="single" w:sz="4" w:space="0" w:color="auto"/>
            </w:tcBorders>
          </w:tcPr>
          <w:p w14:paraId="344F0407" w14:textId="5E8A63E2" w:rsidR="0053208C" w:rsidRDefault="00C227AB">
            <w:pPr>
              <w:tabs>
                <w:tab w:val="left" w:pos="851"/>
              </w:tabs>
              <w:ind w:right="12"/>
              <w:contextualSpacing/>
              <w:jc w:val="both"/>
              <w:rPr>
                <w:b/>
                <w:bCs/>
              </w:rPr>
            </w:pPr>
            <w:r>
              <w:rPr>
                <w:b/>
                <w:bCs/>
              </w:rPr>
              <w:t>TM (pēc VSS 190821)</w:t>
            </w:r>
            <w:r w:rsidR="000C3D49">
              <w:rPr>
                <w:b/>
                <w:bCs/>
              </w:rPr>
              <w:t xml:space="preserve"> (iebildums)</w:t>
            </w:r>
          </w:p>
          <w:p w14:paraId="344F0408" w14:textId="77777777" w:rsidR="0053208C" w:rsidRDefault="00C227AB">
            <w:pPr>
              <w:tabs>
                <w:tab w:val="left" w:pos="851"/>
              </w:tabs>
              <w:ind w:right="12"/>
              <w:contextualSpacing/>
              <w:jc w:val="both"/>
            </w:pPr>
            <w:r>
              <w:rPr>
                <w:rFonts w:eastAsia="Calibri"/>
                <w:lang w:eastAsia="en-US"/>
              </w:rPr>
              <w:t>Tieslietu ministrija ir izskatījusi Satiksmes ministrijas</w:t>
            </w:r>
            <w:r>
              <w:t xml:space="preserve"> sagatavoto "Noteikumi par speciālo radiolīdzekļu izmantošanas kārtību un tehniskajām prasībām to darbībai"</w:t>
            </w:r>
            <w:r>
              <w:rPr>
                <w:i/>
                <w:iCs/>
              </w:rPr>
              <w:t xml:space="preserve"> </w:t>
            </w:r>
            <w:r>
              <w:t xml:space="preserve"> (turpm</w:t>
            </w:r>
            <w:r>
              <w:rPr>
                <w:rFonts w:eastAsia="Calibri"/>
                <w:lang w:eastAsia="en-US"/>
              </w:rPr>
              <w:t xml:space="preserve">āk – projekts) </w:t>
            </w:r>
            <w:r>
              <w:t>un neatbalsta tā virzību, izsakot šādu iebildumu:</w:t>
            </w:r>
          </w:p>
          <w:p w14:paraId="344F0409" w14:textId="77777777" w:rsidR="0053208C" w:rsidRDefault="00C227AB">
            <w:pPr>
              <w:pStyle w:val="NormalWeb"/>
              <w:widowControl w:val="0"/>
              <w:spacing w:before="0" w:after="0"/>
              <w:ind w:firstLine="720"/>
              <w:jc w:val="both"/>
            </w:pPr>
            <w:r>
              <w:t xml:space="preserve">Projekta anotācijas kopsavilkumā norādīts, ka projekts sagatavots, pamatojoties uz likumprojektu "Elektronisko sakaru likums" (turpmāk – likumprojekts). Stājoties spēkā likumprojektam, zaudēs spēku Ministru kabineta noteikumi elektronisko sakaru jomā, kas izdoti uz spēkā esošā Elektronisko sakaru likuma pamata. Ministru kabineta noteikumi elektronisko sakaru jomā stājas spēkā vienlaikus ar likumprojektu, kura spēkā stāšanās paredzēta 2021. gada 30. novembrī. </w:t>
            </w:r>
          </w:p>
          <w:p w14:paraId="344F040A" w14:textId="77777777" w:rsidR="0053208C" w:rsidRDefault="00C227AB">
            <w:pPr>
              <w:pStyle w:val="NormalWeb"/>
              <w:widowControl w:val="0"/>
              <w:spacing w:before="0" w:after="0"/>
              <w:ind w:firstLine="720"/>
              <w:jc w:val="both"/>
            </w:pPr>
            <w:r>
              <w:t xml:space="preserve">No Valsts sekretāru sanāksmes 2021. gada 8. jūlija protokola Nr. 26 31.§ izriet, ka likumprojekts vēl ir izstrādes stadijā, tai skaitā uzdots precizēt likumprojektu un atkārtoti to saskaņot ar visām iesaistītajām institūcijām.  </w:t>
            </w:r>
          </w:p>
          <w:p w14:paraId="344F040B" w14:textId="77777777" w:rsidR="0053208C" w:rsidRDefault="00C227AB">
            <w:pPr>
              <w:pStyle w:val="NormalWeb"/>
              <w:widowControl w:val="0"/>
              <w:spacing w:before="0" w:after="0"/>
              <w:ind w:firstLine="720"/>
              <w:jc w:val="both"/>
            </w:pPr>
            <w:r>
              <w:t xml:space="preserve">Vēršam uzmanību, ka saskaņā ar Valsts iestāžu juridisko dienestu 2010. gada 12. marta sanāksmes protokollēmuma "Par grozījumiem Ministru kabineta 2009. gada 7. aprīļa noteikumos Nr. 300 "Ministru kabineta kārtības rullis" (Ministru kabineta 2010. gada </w:t>
            </w:r>
            <w:r>
              <w:lastRenderedPageBreak/>
              <w:t xml:space="preserve">23. februāra noteikumi Nr. 170)" (prot. Nr. 2 1. §) 8. punktā noteikto ir atbalstāma Ministru kabineta noteikumu projektu izsludināšana Valsts sekretāru sanāksmē, kad likumprojekts Latvijas Republikas Saeimā (turpmāk – Saeima) izskatīts otrajā lasījumā, kā arī šādi Ministru kabineta noteikumu projekti var tikt izskatīti Ministru kabinetā pēc tam, kad likumprojekts pieņemts Saeimā. </w:t>
            </w:r>
          </w:p>
          <w:p w14:paraId="18BFAF60" w14:textId="77777777" w:rsidR="0053208C" w:rsidRDefault="00C227AB">
            <w:pPr>
              <w:pStyle w:val="naisc"/>
              <w:jc w:val="both"/>
              <w:rPr>
                <w:u w:val="single"/>
              </w:rPr>
            </w:pPr>
            <w:r>
              <w:t xml:space="preserve">Ievērojot minēto, kā arī ņemot vērā, ka nav iespējams sniegt korektu atzinumu par projektu, kas izstrādāts uz joprojām saskaņošanas procesā esoša likumprojekta pamata, </w:t>
            </w:r>
            <w:r>
              <w:rPr>
                <w:u w:val="single"/>
              </w:rPr>
              <w:t>projekts virzāms saskaņošanai pēc tam, kad likumprojekts būs pieņemts Saeimā otrajā lasījumā.</w:t>
            </w:r>
          </w:p>
          <w:p w14:paraId="344F040C" w14:textId="48A0B522" w:rsidR="00DF49E3" w:rsidRPr="00DF49E3" w:rsidRDefault="00DF49E3">
            <w:pPr>
              <w:pStyle w:val="naisc"/>
              <w:jc w:val="both"/>
            </w:pPr>
          </w:p>
        </w:tc>
        <w:tc>
          <w:tcPr>
            <w:tcW w:w="31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03BBE4B" w14:textId="77777777" w:rsidR="0053208C" w:rsidRPr="00CA76D4" w:rsidRDefault="00C227AB">
            <w:pPr>
              <w:jc w:val="both"/>
              <w:rPr>
                <w:b/>
                <w:bCs/>
              </w:rPr>
            </w:pPr>
            <w:r w:rsidRPr="00CA76D4">
              <w:rPr>
                <w:b/>
                <w:bCs/>
              </w:rPr>
              <w:lastRenderedPageBreak/>
              <w:t>Iebildums ņemts vērā</w:t>
            </w:r>
            <w:r w:rsidR="00082C69" w:rsidRPr="00CA76D4">
              <w:rPr>
                <w:b/>
                <w:bCs/>
              </w:rPr>
              <w:t>.</w:t>
            </w:r>
          </w:p>
          <w:p w14:paraId="344F040D" w14:textId="3AE7ECBA" w:rsidR="00082C69" w:rsidRDefault="00AA33BF">
            <w:pPr>
              <w:jc w:val="both"/>
            </w:pPr>
            <w:r>
              <w:t xml:space="preserve">Ņemot vērā, ka Elektronisko sakaru likuma </w:t>
            </w:r>
            <w:r w:rsidR="00D4783F">
              <w:t>projekts</w:t>
            </w:r>
            <w:r w:rsidR="00D347F8">
              <w:t xml:space="preserve"> (</w:t>
            </w:r>
            <w:r w:rsidR="00D347F8" w:rsidRPr="00D347F8">
              <w:t>Nr: 1377/Lp13</w:t>
            </w:r>
            <w:r w:rsidR="00D347F8">
              <w:t>)</w:t>
            </w:r>
            <w:r w:rsidR="00D4783F">
              <w:t xml:space="preserve"> </w:t>
            </w:r>
            <w:r w:rsidR="00FC4A9A">
              <w:t xml:space="preserve">ir </w:t>
            </w:r>
            <w:r w:rsidR="001243B3">
              <w:t>izs</w:t>
            </w:r>
            <w:r w:rsidR="00493CE9">
              <w:t>katīts un pieņemts</w:t>
            </w:r>
            <w:r w:rsidR="000673D9">
              <w:t xml:space="preserve"> Saeimā 2.lasījumā</w:t>
            </w:r>
            <w:r w:rsidR="0083267C">
              <w:t xml:space="preserve">, </w:t>
            </w:r>
            <w:r w:rsidR="005B4BC5">
              <w:t>Satiksmes ministrija atsāk pre</w:t>
            </w:r>
            <w:r w:rsidR="00CA76D4">
              <w:t xml:space="preserve">cizētā </w:t>
            </w:r>
            <w:r w:rsidR="005B4BC5">
              <w:t>noteikumu projekta saskaņošanu.</w:t>
            </w:r>
          </w:p>
        </w:tc>
        <w:tc>
          <w:tcPr>
            <w:tcW w:w="3269" w:type="dxa"/>
            <w:tcBorders>
              <w:top w:val="single" w:sz="4" w:space="0" w:color="auto"/>
              <w:left w:val="single" w:sz="4" w:space="0" w:color="auto"/>
              <w:bottom w:val="single" w:sz="4" w:space="0" w:color="auto"/>
            </w:tcBorders>
          </w:tcPr>
          <w:p w14:paraId="344F040E" w14:textId="77777777" w:rsidR="0053208C" w:rsidRDefault="0053208C">
            <w:pPr>
              <w:jc w:val="both"/>
            </w:pPr>
          </w:p>
        </w:tc>
      </w:tr>
      <w:tr w:rsidR="0053208C" w14:paraId="344F041F" w14:textId="77777777">
        <w:trPr>
          <w:trHeight w:val="304"/>
        </w:trPr>
        <w:tc>
          <w:tcPr>
            <w:tcW w:w="7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44F0419" w14:textId="77777777" w:rsidR="0053208C" w:rsidRDefault="0053208C" w:rsidP="00082C69">
            <w:pPr>
              <w:pStyle w:val="ListParagraph"/>
              <w:numPr>
                <w:ilvl w:val="0"/>
                <w:numId w:val="7"/>
              </w:numPr>
              <w:rPr>
                <w:color w:val="000000"/>
              </w:rPr>
            </w:pPr>
          </w:p>
        </w:tc>
        <w:tc>
          <w:tcPr>
            <w:tcW w:w="2551" w:type="dxa"/>
            <w:tcBorders>
              <w:top w:val="single" w:sz="4" w:space="0" w:color="auto"/>
              <w:left w:val="single" w:sz="4" w:space="0" w:color="auto"/>
              <w:bottom w:val="single" w:sz="4" w:space="0" w:color="auto"/>
              <w:right w:val="single" w:sz="4" w:space="0" w:color="auto"/>
            </w:tcBorders>
          </w:tcPr>
          <w:p w14:paraId="344F041A" w14:textId="77777777" w:rsidR="0053208C" w:rsidRDefault="00C227AB">
            <w:pPr>
              <w:pStyle w:val="naisc"/>
              <w:jc w:val="both"/>
            </w:pPr>
            <w:r>
              <w:t>1. "Noteikumi par speciālo radiolīdzekļu izmantošanas kārtību un tehniskajām prasībām to darbībai"</w:t>
            </w:r>
          </w:p>
        </w:tc>
        <w:tc>
          <w:tcPr>
            <w:tcW w:w="5387" w:type="dxa"/>
            <w:tcBorders>
              <w:top w:val="single" w:sz="4" w:space="0" w:color="auto"/>
              <w:left w:val="single" w:sz="4" w:space="0" w:color="auto"/>
              <w:bottom w:val="single" w:sz="4" w:space="0" w:color="auto"/>
              <w:right w:val="single" w:sz="4" w:space="0" w:color="auto"/>
            </w:tcBorders>
          </w:tcPr>
          <w:p w14:paraId="344F041B" w14:textId="77777777" w:rsidR="0053208C" w:rsidRDefault="00C227AB">
            <w:pPr>
              <w:pStyle w:val="naisc"/>
              <w:jc w:val="left"/>
              <w:rPr>
                <w:b/>
                <w:bCs/>
              </w:rPr>
            </w:pPr>
            <w:r>
              <w:rPr>
                <w:b/>
                <w:bCs/>
              </w:rPr>
              <w:t>TM (pēc VSS 190821) (priekšlikums):</w:t>
            </w:r>
          </w:p>
          <w:p w14:paraId="344F041C" w14:textId="77777777" w:rsidR="0053208C" w:rsidRDefault="00C227AB">
            <w:pPr>
              <w:pStyle w:val="naisc"/>
              <w:jc w:val="both"/>
            </w:pPr>
            <w:r>
              <w:t>1. Nepieciešams precizēt projekta nosaukumu atbilstoši Ministru kabineta 2009. gada 3. februāra noteikumu Nr. 108 "Normatīvo aktu projektu sagatavošanas noteikumi" (turpmāk – NAP noteikumi) 90., 91. un 92. punktam, kas noteic, ka noteikumu projekta nosaukumu veido iespējami īsu un atbilstošu likumā noteiktajam pilnvarojumam Ministru kabinetam un noteikumu saturam, vārdus “kārtība”, “noteikumi” v.tml. rakstot kā nosaukuma pēdējo vārdu un ka nosaukumu ar vārdiem “Noteikumi par” iesāk tikai retos izņēmuma gadījumos.</w:t>
            </w:r>
          </w:p>
        </w:tc>
        <w:tc>
          <w:tcPr>
            <w:tcW w:w="31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44F041D" w14:textId="77D8549F" w:rsidR="0053208C" w:rsidRPr="00CA76D4" w:rsidRDefault="000C3D49">
            <w:pPr>
              <w:jc w:val="both"/>
              <w:rPr>
                <w:b/>
                <w:bCs/>
              </w:rPr>
            </w:pPr>
            <w:r>
              <w:rPr>
                <w:b/>
                <w:bCs/>
              </w:rPr>
              <w:t>Priekšlikums</w:t>
            </w:r>
            <w:r w:rsidR="00C227AB" w:rsidRPr="00CA76D4">
              <w:rPr>
                <w:b/>
                <w:bCs/>
              </w:rPr>
              <w:t xml:space="preserve"> ņemts vērā</w:t>
            </w:r>
          </w:p>
        </w:tc>
        <w:tc>
          <w:tcPr>
            <w:tcW w:w="3269" w:type="dxa"/>
            <w:tcBorders>
              <w:top w:val="single" w:sz="4" w:space="0" w:color="auto"/>
              <w:left w:val="single" w:sz="4" w:space="0" w:color="auto"/>
              <w:bottom w:val="single" w:sz="4" w:space="0" w:color="auto"/>
            </w:tcBorders>
          </w:tcPr>
          <w:p w14:paraId="344F041E" w14:textId="4298E7E2" w:rsidR="0053208C" w:rsidRPr="00535CF5" w:rsidRDefault="00760C44">
            <w:pPr>
              <w:jc w:val="both"/>
              <w:rPr>
                <w:b/>
                <w:bCs/>
              </w:rPr>
            </w:pPr>
            <w:r w:rsidRPr="00535CF5">
              <w:rPr>
                <w:b/>
                <w:bCs/>
              </w:rPr>
              <w:t>Speciālo radiolīdzekļu izmantošanas kārtība</w:t>
            </w:r>
          </w:p>
        </w:tc>
      </w:tr>
      <w:tr w:rsidR="0053208C" w14:paraId="344F0427" w14:textId="77777777">
        <w:trPr>
          <w:trHeight w:val="304"/>
        </w:trPr>
        <w:tc>
          <w:tcPr>
            <w:tcW w:w="7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44F0420" w14:textId="77777777" w:rsidR="0053208C" w:rsidRDefault="0053208C" w:rsidP="00082C69">
            <w:pPr>
              <w:pStyle w:val="ListParagraph"/>
              <w:numPr>
                <w:ilvl w:val="0"/>
                <w:numId w:val="7"/>
              </w:numPr>
              <w:rPr>
                <w:color w:val="000000"/>
              </w:rPr>
            </w:pPr>
          </w:p>
        </w:tc>
        <w:tc>
          <w:tcPr>
            <w:tcW w:w="255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44F0421" w14:textId="77777777" w:rsidR="0053208C" w:rsidRDefault="00C227AB">
            <w:pPr>
              <w:pStyle w:val="naisc"/>
              <w:jc w:val="both"/>
            </w:pPr>
            <w:r>
              <w:t xml:space="preserve">1. Noteikumi nosaka speciālo radiolīdzekļu izmantošanas kārtību, tehniskās prasības speciālo radiolīdzekļu darbībai un elektromagnētiskā </w:t>
            </w:r>
            <w:r>
              <w:lastRenderedPageBreak/>
              <w:t>izstarojuma ierobežošanai, objektus un gadījumus, kuros valsts aizsardzības un drošības vajadzībām var izmantot speciālos radiolīdzekļus nevēlamu radiosakaru pārtraukšanai.</w:t>
            </w:r>
          </w:p>
        </w:tc>
        <w:tc>
          <w:tcPr>
            <w:tcW w:w="538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44F0422" w14:textId="52396B97" w:rsidR="0053208C" w:rsidRDefault="00C227AB">
            <w:pPr>
              <w:pStyle w:val="naisc"/>
              <w:jc w:val="left"/>
              <w:rPr>
                <w:b/>
                <w:bCs/>
              </w:rPr>
            </w:pPr>
            <w:r>
              <w:rPr>
                <w:b/>
                <w:bCs/>
              </w:rPr>
              <w:lastRenderedPageBreak/>
              <w:t>TM (pēc VSS 190821)</w:t>
            </w:r>
            <w:r w:rsidR="000C3D49">
              <w:rPr>
                <w:b/>
                <w:bCs/>
              </w:rPr>
              <w:t xml:space="preserve"> (priekšlikums):</w:t>
            </w:r>
          </w:p>
          <w:p w14:paraId="344F0423" w14:textId="77777777" w:rsidR="0053208C" w:rsidRDefault="00C227AB">
            <w:pPr>
              <w:pStyle w:val="naisc"/>
              <w:jc w:val="both"/>
            </w:pPr>
            <w:r>
              <w:t xml:space="preserve">2. Nepieciešams precizēt projekta 1. punktu atbilstoši NAP noteikumu 100. punktam. Vēršam uzmanību arī uz to, ka likumprojekta 58. panta otrajā daļa pilnvaro Ministru kabinetu noteikt personāla apmācības kārtību un speciālo radiolīdzekļu testēšanas kārtību. Šāds </w:t>
            </w:r>
            <w:r>
              <w:lastRenderedPageBreak/>
              <w:t>regulējums projektā nav ietverts. Tāpat projekts skaidri nenosaka objektus un gadījumus, kuros valsts aizsardzības un drošības vajadzībām var pielietot speciālos radiolīdzekļus nevēlamu radiosakaru pārtraukšanai.</w:t>
            </w:r>
          </w:p>
          <w:p w14:paraId="3FA60624" w14:textId="77777777" w:rsidR="00FC2FD5" w:rsidRDefault="00FC2FD5" w:rsidP="00FC2FD5">
            <w:pPr>
              <w:pStyle w:val="naisc"/>
              <w:jc w:val="both"/>
              <w:rPr>
                <w:u w:val="single"/>
              </w:rPr>
            </w:pPr>
          </w:p>
          <w:p w14:paraId="5F465BD5" w14:textId="03C04392" w:rsidR="00FC2FD5" w:rsidRDefault="00FC2FD5" w:rsidP="00FC2FD5">
            <w:pPr>
              <w:pStyle w:val="naisc"/>
              <w:jc w:val="both"/>
              <w:rPr>
                <w:b/>
                <w:bCs/>
              </w:rPr>
            </w:pPr>
            <w:r w:rsidRPr="00DF49E3">
              <w:rPr>
                <w:b/>
                <w:bCs/>
              </w:rPr>
              <w:t>IeM (</w:t>
            </w:r>
            <w:r>
              <w:rPr>
                <w:b/>
                <w:bCs/>
              </w:rPr>
              <w:t>pēc VSS 190821)</w:t>
            </w:r>
            <w:r w:rsidR="000C3D49">
              <w:rPr>
                <w:b/>
                <w:bCs/>
              </w:rPr>
              <w:t xml:space="preserve"> (iebildums):</w:t>
            </w:r>
          </w:p>
          <w:p w14:paraId="344F0424" w14:textId="293DE288" w:rsidR="00FC2FD5" w:rsidRDefault="00FC2FD5" w:rsidP="00FC2FD5">
            <w:pPr>
              <w:pStyle w:val="naisc"/>
              <w:jc w:val="both"/>
              <w:rPr>
                <w:bCs/>
              </w:rPr>
            </w:pPr>
            <w:r w:rsidRPr="00110D94">
              <w:t>Projektu plānots izdot pamatojoties uz Elektronisko sakaru likuma 58. panta otro daļu. Projekta sākotnējās ietekmes novērtējuma ziņojuma (anotācijas) I sadaļas 2. punktā ir norādīts, ka projektos tiek saglabāta spēkā esošo Ministru kabineta noteikumu redakcija bez saturiskiem grozījumiem, veicot tehniskus precizējumus. Ievērojot minēto, ir norādāms, ka Valsts sekretāru 2021. gada 8. jūlija sanāksmē izskatītā likumprojekta “Elektronisko sakaru likums” (VSS prot. Nr. 26, 31.§) 58. panta otrā daļa paredz, ka Ministru kabinets nosaka ne tikai speciālo radiolīdzekļu izmantošanas kārtību, tehniskās prasības speciālo radiolīdzekļu darbībai un elektromagnētiskā izstarojuma ierobežošanai un objektus un gadījumus, kuros valsts aizsardzības un drošības vajadzībām var pielietot speciālos radiolīdzekļus nevēlamu radiosakaru pārtraukšanai, ka tas ir paredzēts spēkā esošā Elektronisko sakaru likuma 54. panta otrajā daļā, bet arī personāla apmācības kārtību un speciālo līdzekļu testēšanas kārtību. Vēršam uzmanību uz to, ka projektā personāla apmācības kārtība un speciālo līdzekļu testēšanas kārtība nav noteikta. Līdz ar to secināms, ka projektā ietvertais regulējums pilnībā neizpilda likumprojekta “Elektronisko sakaru likums” 58. panta otrajā daļā ietverto pilnvarojumu. Ievērojot minēto, precizēt projektu atbilstoši likumprojekta “Elektronisko sakaru likums” 58. panta otrajā daļā ietvertajam pilnvarojumam.</w:t>
            </w:r>
          </w:p>
        </w:tc>
        <w:tc>
          <w:tcPr>
            <w:tcW w:w="31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44F0425" w14:textId="620DFBB1" w:rsidR="0053208C" w:rsidRPr="00526540" w:rsidRDefault="009346E8">
            <w:pPr>
              <w:jc w:val="both"/>
              <w:rPr>
                <w:b/>
                <w:bCs/>
              </w:rPr>
            </w:pPr>
            <w:r>
              <w:rPr>
                <w:b/>
                <w:bCs/>
              </w:rPr>
              <w:lastRenderedPageBreak/>
              <w:t>Ņ</w:t>
            </w:r>
            <w:r w:rsidR="00C227AB" w:rsidRPr="00526540">
              <w:rPr>
                <w:b/>
                <w:bCs/>
              </w:rPr>
              <w:t>emts vērā</w:t>
            </w:r>
          </w:p>
        </w:tc>
        <w:tc>
          <w:tcPr>
            <w:tcW w:w="3269" w:type="dxa"/>
            <w:tcBorders>
              <w:top w:val="single" w:sz="4" w:space="0" w:color="auto"/>
              <w:left w:val="single" w:sz="4" w:space="0" w:color="auto"/>
              <w:bottom w:val="single" w:sz="4" w:space="0" w:color="auto"/>
            </w:tcBorders>
          </w:tcPr>
          <w:p w14:paraId="5B018C17" w14:textId="77777777" w:rsidR="00243795" w:rsidRDefault="00243795" w:rsidP="00243795">
            <w:pPr>
              <w:jc w:val="both"/>
            </w:pPr>
            <w:r>
              <w:t>1.</w:t>
            </w:r>
            <w:r>
              <w:tab/>
              <w:t>Noteikumi nosaka:</w:t>
            </w:r>
          </w:p>
          <w:p w14:paraId="6568287E" w14:textId="77777777" w:rsidR="00243795" w:rsidRDefault="00243795" w:rsidP="00243795">
            <w:pPr>
              <w:jc w:val="both"/>
            </w:pPr>
            <w:r>
              <w:t>1.1.</w:t>
            </w:r>
            <w:r>
              <w:tab/>
              <w:t xml:space="preserve"> speciālo radiolīdzekļu izmantošanas kārtību un tehniskās prasības speciālo radiolīdzekļu darbībai un elektromagnētiskā izstarojuma ierobežošanai;</w:t>
            </w:r>
          </w:p>
          <w:p w14:paraId="67E65751" w14:textId="77777777" w:rsidR="00243795" w:rsidRDefault="00243795" w:rsidP="00243795">
            <w:pPr>
              <w:jc w:val="both"/>
            </w:pPr>
            <w:r>
              <w:lastRenderedPageBreak/>
              <w:t>1.2.</w:t>
            </w:r>
            <w:r>
              <w:tab/>
              <w:t xml:space="preserve"> personāla apmācības un speciālo radiolīdzekļu testēšanas kārtību;</w:t>
            </w:r>
          </w:p>
          <w:p w14:paraId="144C19EA" w14:textId="77777777" w:rsidR="0053208C" w:rsidRDefault="00243795" w:rsidP="00243795">
            <w:pPr>
              <w:jc w:val="both"/>
            </w:pPr>
            <w:r>
              <w:t>1.3.</w:t>
            </w:r>
            <w:r>
              <w:tab/>
              <w:t>objektus un gadījumus, kuros valsts aizsardzības un drošības vajadzībām var pielietot speciālos radiolīdzekļus nevēlamu radiosakaru pārtraukšanai.</w:t>
            </w:r>
          </w:p>
          <w:p w14:paraId="7C3702E1" w14:textId="77777777" w:rsidR="00526540" w:rsidRDefault="00526540" w:rsidP="00243795">
            <w:pPr>
              <w:jc w:val="both"/>
            </w:pPr>
            <w:r>
              <w:t>…</w:t>
            </w:r>
          </w:p>
          <w:p w14:paraId="072FD59A" w14:textId="77777777" w:rsidR="00526540" w:rsidRDefault="00526540" w:rsidP="00243795">
            <w:pPr>
              <w:jc w:val="both"/>
            </w:pPr>
            <w:r>
              <w:t xml:space="preserve">7. </w:t>
            </w:r>
            <w:r w:rsidRPr="00526540">
              <w:t>Nacionālie bruņotie spēki īslaicīgu speciālo radiolīdzekļu izmantošanas kārtību personāla apmācībām un speciālo radiolīdzekļu testēšanai nosaka Nacionālo bruņoto spēku darbību reglamentējošos iekšējos normatīvajos aktos. Nacionālie bruņotie spēki informē valsts akciju sabiedrību “Elektroniskie sakari” par īslaicīgu speciālo radiolīdzekļu izmantošanu personāla apmācībām un speciālo radiolīdzekļu testēšanai, norādot valsts akciju sabiedrībai “Elektroniskie sakari” informāciju par personāla apmācību un speciālo radiolīdzekļu testēšanas vietu, laiku, robežfrekvences un jaudu.</w:t>
            </w:r>
          </w:p>
          <w:p w14:paraId="344F0426" w14:textId="40F4709B" w:rsidR="00526540" w:rsidRDefault="00526540" w:rsidP="00243795">
            <w:pPr>
              <w:jc w:val="both"/>
            </w:pPr>
            <w:r>
              <w:t xml:space="preserve">7. </w:t>
            </w:r>
            <w:r w:rsidRPr="00526540">
              <w:t xml:space="preserve">Īslaicīgu speciālā radiolīdzekļa izmantošanu organizē tā, lai tas radītu pēc iespējas mazāk radiotraucējumu </w:t>
            </w:r>
            <w:r w:rsidRPr="00526540">
              <w:lastRenderedPageBreak/>
              <w:t>ārpus speciālā radiolīdzekļa izmantošanas vietas. Pirms speciālā radiolīdzekļa izmantošanas valsts drošības iestādes un Nacionālie bruņotie spēki izvērtē nepieciešamo speciālā radiolīdzekļa izmantošanas laiku un izvietojumu, kā arī nepieciešamos speciālā radiolīdzekļa tehniskos parametrus (frekvenču josla, signāla jaudas līmenis).</w:t>
            </w:r>
          </w:p>
        </w:tc>
      </w:tr>
      <w:tr w:rsidR="0053208C" w14:paraId="344F042E" w14:textId="77777777">
        <w:trPr>
          <w:trHeight w:val="304"/>
        </w:trPr>
        <w:tc>
          <w:tcPr>
            <w:tcW w:w="7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44F0428" w14:textId="77777777" w:rsidR="0053208C" w:rsidRDefault="0053208C" w:rsidP="00082C69">
            <w:pPr>
              <w:pStyle w:val="ListParagraph"/>
              <w:numPr>
                <w:ilvl w:val="0"/>
                <w:numId w:val="7"/>
              </w:numPr>
              <w:rPr>
                <w:color w:val="000000"/>
              </w:rPr>
            </w:pPr>
          </w:p>
        </w:tc>
        <w:tc>
          <w:tcPr>
            <w:tcW w:w="255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44F0429" w14:textId="77777777" w:rsidR="0053208C" w:rsidRDefault="0053208C">
            <w:pPr>
              <w:pStyle w:val="naisc"/>
              <w:jc w:val="both"/>
            </w:pPr>
          </w:p>
        </w:tc>
        <w:tc>
          <w:tcPr>
            <w:tcW w:w="538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44F042A" w14:textId="04ECDFD0" w:rsidR="0053208C" w:rsidRDefault="00C227AB">
            <w:pPr>
              <w:pStyle w:val="naisc"/>
              <w:jc w:val="left"/>
              <w:rPr>
                <w:b/>
                <w:bCs/>
              </w:rPr>
            </w:pPr>
            <w:r>
              <w:rPr>
                <w:b/>
                <w:bCs/>
              </w:rPr>
              <w:t>TM (pēc VSS 190821)</w:t>
            </w:r>
            <w:r w:rsidR="000C3D49">
              <w:rPr>
                <w:b/>
                <w:bCs/>
              </w:rPr>
              <w:t xml:space="preserve"> (priekšlikums):</w:t>
            </w:r>
          </w:p>
          <w:p w14:paraId="344F042B" w14:textId="77777777" w:rsidR="0053208C" w:rsidRDefault="00C227AB">
            <w:pPr>
              <w:pStyle w:val="naisc"/>
              <w:jc w:val="both"/>
            </w:pPr>
            <w:r>
              <w:t xml:space="preserve">3. Nepieciešams precizēt projekta nodaļu nosaukumus, kā arī nodaļās ietverto regulējumu atbilstoši likumprojektā ietvertajam pilnvarojumam. Norādām, ka šobrīd projektā ietvertais regulējums pārsniedz likumprojektā ietverto pilnvarojumu. Piemēram, likumprojekts pilnvaro Ministru kabinetam noteikt speciālo radiolīdzekļu izmantošanas </w:t>
            </w:r>
            <w:r>
              <w:rPr>
                <w:u w:val="single"/>
              </w:rPr>
              <w:t>kārtību</w:t>
            </w:r>
            <w:r>
              <w:t xml:space="preserve">, savukārt projekta II nodaļa noteic speciālo radiolīdzekļu izmantošanas </w:t>
            </w:r>
            <w:r>
              <w:rPr>
                <w:u w:val="single"/>
              </w:rPr>
              <w:t xml:space="preserve">pamatprasības </w:t>
            </w:r>
            <w:r>
              <w:t>un kārtību. Norādām, ka likumprojekta 58. panta otrā daļa nepilnvaro Ministru kabinetu projektā ietvert materiālās tiesību normas – pamatprasības speciālo radiolīdzekļu izmantošanai.</w:t>
            </w:r>
          </w:p>
        </w:tc>
        <w:tc>
          <w:tcPr>
            <w:tcW w:w="31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44F042C" w14:textId="181509F1" w:rsidR="0053208C" w:rsidRPr="00526540" w:rsidRDefault="001D7A68">
            <w:pPr>
              <w:jc w:val="both"/>
              <w:rPr>
                <w:b/>
                <w:bCs/>
              </w:rPr>
            </w:pPr>
            <w:r>
              <w:rPr>
                <w:b/>
                <w:bCs/>
              </w:rPr>
              <w:t>Priekšlikums</w:t>
            </w:r>
            <w:r w:rsidR="00526540" w:rsidRPr="00526540">
              <w:rPr>
                <w:b/>
                <w:bCs/>
              </w:rPr>
              <w:t xml:space="preserve"> ņemts vērā</w:t>
            </w:r>
          </w:p>
        </w:tc>
        <w:tc>
          <w:tcPr>
            <w:tcW w:w="3269" w:type="dxa"/>
            <w:tcBorders>
              <w:top w:val="single" w:sz="4" w:space="0" w:color="auto"/>
              <w:left w:val="single" w:sz="4" w:space="0" w:color="auto"/>
              <w:bottom w:val="single" w:sz="4" w:space="0" w:color="auto"/>
            </w:tcBorders>
          </w:tcPr>
          <w:p w14:paraId="344F042D" w14:textId="56F21A30" w:rsidR="0053208C" w:rsidRDefault="000A4A80">
            <w:pPr>
              <w:jc w:val="both"/>
            </w:pPr>
            <w:r>
              <w:t>Ņ</w:t>
            </w:r>
            <w:r w:rsidR="00E22D33">
              <w:t xml:space="preserve">emot vērā, ka </w:t>
            </w:r>
            <w:r w:rsidR="00B1483F">
              <w:t>noteikum</w:t>
            </w:r>
            <w:r w:rsidR="00382F6D">
              <w:t>u projekts</w:t>
            </w:r>
            <w:r w:rsidR="00B1483F">
              <w:t xml:space="preserve"> nav  apjom</w:t>
            </w:r>
            <w:r w:rsidR="00923A36">
              <w:t>īg</w:t>
            </w:r>
            <w:r w:rsidR="00D23F64">
              <w:t>s</w:t>
            </w:r>
            <w:r w:rsidR="00E75D05">
              <w:t>, nodaļu nosaukumi ir svītroti</w:t>
            </w:r>
            <w:r w:rsidR="00FE39CD">
              <w:t>.</w:t>
            </w:r>
          </w:p>
        </w:tc>
      </w:tr>
      <w:tr w:rsidR="0053208C" w14:paraId="344F0435" w14:textId="77777777">
        <w:trPr>
          <w:trHeight w:val="304"/>
        </w:trPr>
        <w:tc>
          <w:tcPr>
            <w:tcW w:w="7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44F042F" w14:textId="77777777" w:rsidR="0053208C" w:rsidRDefault="0053208C" w:rsidP="00082C69">
            <w:pPr>
              <w:pStyle w:val="ListParagraph"/>
              <w:numPr>
                <w:ilvl w:val="0"/>
                <w:numId w:val="7"/>
              </w:numPr>
              <w:rPr>
                <w:color w:val="000000"/>
              </w:rPr>
            </w:pPr>
          </w:p>
        </w:tc>
        <w:tc>
          <w:tcPr>
            <w:tcW w:w="255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44F0430" w14:textId="77777777" w:rsidR="0053208C" w:rsidRDefault="0053208C">
            <w:pPr>
              <w:pStyle w:val="naisc"/>
              <w:jc w:val="both"/>
            </w:pPr>
          </w:p>
        </w:tc>
        <w:tc>
          <w:tcPr>
            <w:tcW w:w="538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44F0431" w14:textId="1B633A91" w:rsidR="0053208C" w:rsidRDefault="00C227AB">
            <w:pPr>
              <w:pStyle w:val="naisc"/>
              <w:jc w:val="left"/>
              <w:rPr>
                <w:b/>
                <w:bCs/>
              </w:rPr>
            </w:pPr>
            <w:r>
              <w:rPr>
                <w:b/>
                <w:bCs/>
              </w:rPr>
              <w:t>TM (pēc VSS 190821)</w:t>
            </w:r>
            <w:r w:rsidR="000C3D49">
              <w:rPr>
                <w:b/>
                <w:bCs/>
              </w:rPr>
              <w:t xml:space="preserve"> (priekšlikums):</w:t>
            </w:r>
          </w:p>
          <w:p w14:paraId="344F0432" w14:textId="77777777" w:rsidR="0053208C" w:rsidRDefault="00C227AB">
            <w:pPr>
              <w:pStyle w:val="naisc"/>
              <w:jc w:val="both"/>
              <w:rPr>
                <w:b/>
                <w:bCs/>
              </w:rPr>
            </w:pPr>
            <w:r>
              <w:t>4. Lūdzam apsvērt, vai ir pamatota šī projekta virzība ar vienotu anotāciju, ņemot vērā, ka projektā regulējamo jautājumu loks skar privātpersonu tiesību ierobežojumus, kuru samērīguma izvērtējumu nepieciešams atspoguļot projekta anotācijā.</w:t>
            </w:r>
          </w:p>
        </w:tc>
        <w:tc>
          <w:tcPr>
            <w:tcW w:w="31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44F0433" w14:textId="53C81C58" w:rsidR="0053208C" w:rsidRPr="00082C69" w:rsidRDefault="00A57FF1">
            <w:pPr>
              <w:jc w:val="both"/>
              <w:rPr>
                <w:b/>
                <w:bCs/>
              </w:rPr>
            </w:pPr>
            <w:r w:rsidRPr="00082C69">
              <w:rPr>
                <w:b/>
                <w:bCs/>
              </w:rPr>
              <w:t>Priekšlikums ņemts vērā</w:t>
            </w:r>
          </w:p>
        </w:tc>
        <w:tc>
          <w:tcPr>
            <w:tcW w:w="3269" w:type="dxa"/>
            <w:tcBorders>
              <w:top w:val="single" w:sz="4" w:space="0" w:color="auto"/>
              <w:left w:val="single" w:sz="4" w:space="0" w:color="auto"/>
              <w:bottom w:val="single" w:sz="4" w:space="0" w:color="auto"/>
            </w:tcBorders>
          </w:tcPr>
          <w:p w14:paraId="344F0434" w14:textId="5FA77ABE" w:rsidR="0053208C" w:rsidRDefault="00EA2DEC">
            <w:pPr>
              <w:jc w:val="both"/>
            </w:pPr>
            <w:r>
              <w:t>Sagatavota atsevišķa anotācija</w:t>
            </w:r>
          </w:p>
        </w:tc>
      </w:tr>
      <w:tr w:rsidR="0085677C" w14:paraId="40B45108" w14:textId="77777777">
        <w:trPr>
          <w:trHeight w:val="304"/>
        </w:trPr>
        <w:tc>
          <w:tcPr>
            <w:tcW w:w="7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8CA9D48" w14:textId="77777777" w:rsidR="0085677C" w:rsidRPr="00082C69" w:rsidRDefault="0085677C" w:rsidP="00082C69">
            <w:pPr>
              <w:pStyle w:val="ListParagraph"/>
              <w:numPr>
                <w:ilvl w:val="0"/>
                <w:numId w:val="7"/>
              </w:numPr>
              <w:rPr>
                <w:color w:val="000000"/>
              </w:rPr>
            </w:pPr>
          </w:p>
        </w:tc>
        <w:tc>
          <w:tcPr>
            <w:tcW w:w="2551" w:type="dxa"/>
            <w:tcBorders>
              <w:top w:val="single" w:sz="4" w:space="0" w:color="auto"/>
              <w:left w:val="single" w:sz="4" w:space="0" w:color="auto"/>
              <w:bottom w:val="single" w:sz="4" w:space="0" w:color="auto"/>
              <w:right w:val="single" w:sz="4" w:space="0" w:color="auto"/>
            </w:tcBorders>
          </w:tcPr>
          <w:p w14:paraId="300096BE" w14:textId="77777777" w:rsidR="0085677C" w:rsidRDefault="0085677C">
            <w:pPr>
              <w:pStyle w:val="naisc"/>
              <w:jc w:val="both"/>
            </w:pPr>
          </w:p>
        </w:tc>
        <w:tc>
          <w:tcPr>
            <w:tcW w:w="5387" w:type="dxa"/>
            <w:tcBorders>
              <w:top w:val="single" w:sz="4" w:space="0" w:color="auto"/>
              <w:left w:val="single" w:sz="4" w:space="0" w:color="auto"/>
              <w:bottom w:val="single" w:sz="4" w:space="0" w:color="auto"/>
              <w:right w:val="single" w:sz="4" w:space="0" w:color="auto"/>
            </w:tcBorders>
          </w:tcPr>
          <w:p w14:paraId="21A3CAB8" w14:textId="13F5208E" w:rsidR="0085677C" w:rsidRDefault="0085677C">
            <w:pPr>
              <w:pStyle w:val="naisc"/>
              <w:jc w:val="both"/>
              <w:rPr>
                <w:b/>
                <w:bCs/>
              </w:rPr>
            </w:pPr>
            <w:r>
              <w:rPr>
                <w:b/>
                <w:bCs/>
              </w:rPr>
              <w:t xml:space="preserve">IeM (pēc VSS 190821) </w:t>
            </w:r>
            <w:r w:rsidR="000C3D49">
              <w:rPr>
                <w:b/>
                <w:bCs/>
              </w:rPr>
              <w:t>(priekšlikums):</w:t>
            </w:r>
          </w:p>
          <w:p w14:paraId="23A4CA90" w14:textId="77777777" w:rsidR="0085677C" w:rsidRDefault="0085677C">
            <w:pPr>
              <w:widowControl w:val="0"/>
              <w:tabs>
                <w:tab w:val="left" w:pos="1134"/>
              </w:tabs>
              <w:spacing w:after="200"/>
              <w:jc w:val="both"/>
              <w:rPr>
                <w:rFonts w:eastAsia="Calibri"/>
                <w:lang w:eastAsia="en-US"/>
              </w:rPr>
            </w:pPr>
            <w:r>
              <w:rPr>
                <w:rFonts w:eastAsia="Calibri"/>
                <w:lang w:eastAsia="en-US"/>
              </w:rPr>
              <w:t>1. Saskaņā ar  Valsts iestāžu juridisko dienestu 2010. gada 12. marta sanāksmes protokola Nr. 2 1.§ “Par grozījumiem Ministru kabineta 2009. gada 7. aprīļa noteikumos Nr. 300 “Ministru kabineta kārtības rullis” (Ministru kabineta 2010. gada 23. februāra noteikumi Nr. 170)” 8. punktu ir atbalstāma Ministru kabineta noteikumu projektu izsludināšana Valsts sekretāru sanāksmē, kad likumprojekts, kurā ir ietverts pilnvarojums Ministru kabinetam, izskatīts Saeimā 2. lasījumā, savukārt Ministru kabineta sēdē šādi Ministru kabineta noteikumu projekti var tikt izskatīti, kad likumprojekts izskatīts Saeimā 3. lasījumā.</w:t>
            </w:r>
          </w:p>
          <w:p w14:paraId="03FBC85D" w14:textId="77777777" w:rsidR="0085677C" w:rsidRDefault="0085677C">
            <w:pPr>
              <w:widowControl w:val="0"/>
              <w:tabs>
                <w:tab w:val="left" w:pos="1134"/>
              </w:tabs>
              <w:jc w:val="both"/>
              <w:rPr>
                <w:rFonts w:eastAsia="Calibri"/>
                <w:lang w:eastAsia="en-US"/>
              </w:rPr>
            </w:pPr>
            <w:r>
              <w:rPr>
                <w:rFonts w:eastAsia="Calibri"/>
                <w:lang w:eastAsia="en-US"/>
              </w:rPr>
              <w:t xml:space="preserve">Projekta sākotnējās ietekmes novērtējuma ziņojuma (anotācijas) I sadaļas 2. punktā norādīts, ka ievērojot paredzēto Elektronisko sakaru likuma spēkā stāšanos 2021. gada 30. novembrī, lai nodrošinātu uz tā pamata izdoto Ministru kabineta noteikumu spēkā stāšanos paredzētajā termiņā, Satiksmes ministrija pirms likumprojekta “Elektronisko sakaru likums” izskatīšanas uzsākšanas Saeimā virza izsludināšanai Valsts sekretāru sanāksmē uz tā pamata izdodamos Ministru kabineta noteikumu projektus. Vēršam uzmanību uz to, ka no projekta sākotnējās ietekmes novērtējuma ziņojuma (anotācijas) I sadaļas 2. punktā sniegtās informācijas par likumprojekta “Elektronisko sakaru likums” saskaņošanas gaitu, nav saprotams, vai Satiksmes ministrija ir izpildījusi tai Valsts sekretāru 2021. gada 8. jūlija sanāksmē doto uzdevumu, proti, vai likumprojekts un tā sākotnējās ietekmes novērtējuma ziņojums (anotācija) ir precizēti atbilstoši sanāksmes laikā panāktajiem saskaņojumiem, vai precizētais likumprojekts ir saskaņots ar visām </w:t>
            </w:r>
            <w:r>
              <w:rPr>
                <w:rFonts w:eastAsia="Calibri"/>
                <w:lang w:eastAsia="en-US"/>
              </w:rPr>
              <w:lastRenderedPageBreak/>
              <w:t>iesaistītajām ministrijām un nevalstiskajām organizācijām, vai ir organizēta starpinstitūciju sanāksme, lai atkārtoti izdiskutētu atlikušos iebildumus un pēc iespējas panāktu kopīgu vienošanos, kā arī vai precizētais likumprojekts “Elektronisko sakaru likums” ir iesniegts izskatīšanai Ministru kabineta sēdē.</w:t>
            </w:r>
          </w:p>
          <w:p w14:paraId="6D42474A" w14:textId="77777777" w:rsidR="0085677C" w:rsidRDefault="0085677C">
            <w:pPr>
              <w:widowControl w:val="0"/>
              <w:tabs>
                <w:tab w:val="left" w:pos="1134"/>
              </w:tabs>
              <w:spacing w:after="200"/>
              <w:jc w:val="both"/>
              <w:rPr>
                <w:rFonts w:eastAsia="Calibri"/>
                <w:lang w:eastAsia="en-US"/>
              </w:rPr>
            </w:pPr>
            <w:r>
              <w:rPr>
                <w:rFonts w:eastAsia="Calibri"/>
                <w:lang w:eastAsia="en-US"/>
              </w:rPr>
              <w:t>Ievērojot minēto, kā arī to, ka atbilstoši likumprojekta “Elektronisko sakaru likums” Pārejas noteikumu 2. punktā noteiktajam Ministru kabinetam divu mēnešu laikā no šā likuma spēkā stāšanās dienas ir jāizdod šajā likumā paredzētie Ministru kabineta noteikumi, un to, ka līdz šo noteikumu spēkā stāšanās dienai ir piemērojami uz iepriekšējā likuma pamata izdotie Ministru kabineta noteikumi, tai skaitā, Ministru kabineta 2011. gada 1. februāra noteikumi Nr. 93 “Noteikumi par speciālo radiolīdzekļu izmantošanas kārtību un tehniskajām prasībām to darbībai”, izsakām aicinājumu projekta saskaņošanu turpināt pēc likumprojekta “Elektronisko sakaru likums” pieņemšanas Saeimā 2. lasījumā.</w:t>
            </w:r>
          </w:p>
        </w:tc>
        <w:tc>
          <w:tcPr>
            <w:tcW w:w="31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0D20DCD" w14:textId="77777777" w:rsidR="0085677C" w:rsidRDefault="0085677C">
            <w:pPr>
              <w:jc w:val="both"/>
              <w:rPr>
                <w:b/>
                <w:bCs/>
              </w:rPr>
            </w:pPr>
            <w:r w:rsidRPr="005E6E81">
              <w:rPr>
                <w:b/>
                <w:bCs/>
              </w:rPr>
              <w:lastRenderedPageBreak/>
              <w:t>Priekšlikums ņemts vērā</w:t>
            </w:r>
          </w:p>
          <w:p w14:paraId="22B5C1DE" w14:textId="5568458B" w:rsidR="00E2641D" w:rsidRPr="005E6E81" w:rsidRDefault="00E2641D">
            <w:pPr>
              <w:jc w:val="both"/>
              <w:rPr>
                <w:b/>
                <w:bCs/>
              </w:rPr>
            </w:pPr>
            <w:r>
              <w:t>Ņemot vērā, ka Elektronisko sakaru likuma projekts (</w:t>
            </w:r>
            <w:r w:rsidRPr="00D347F8">
              <w:t>Nr: 1377/Lp13</w:t>
            </w:r>
            <w:r>
              <w:t>) ir izskatīts un pieņemts Saeimā 2.lasījumā, Satiksmes ministrija atsāk precizētā noteikumu projekta saskaņošanu.</w:t>
            </w:r>
          </w:p>
        </w:tc>
        <w:tc>
          <w:tcPr>
            <w:tcW w:w="3269" w:type="dxa"/>
            <w:tcBorders>
              <w:top w:val="single" w:sz="4" w:space="0" w:color="auto"/>
              <w:left w:val="single" w:sz="4" w:space="0" w:color="auto"/>
              <w:bottom w:val="single" w:sz="4" w:space="0" w:color="auto"/>
            </w:tcBorders>
          </w:tcPr>
          <w:p w14:paraId="31DB2F5A" w14:textId="77777777" w:rsidR="0085677C" w:rsidRDefault="0085677C">
            <w:pPr>
              <w:jc w:val="both"/>
            </w:pPr>
          </w:p>
        </w:tc>
      </w:tr>
      <w:tr w:rsidR="0053208C" w14:paraId="344F043C" w14:textId="77777777">
        <w:trPr>
          <w:trHeight w:val="304"/>
        </w:trPr>
        <w:tc>
          <w:tcPr>
            <w:tcW w:w="7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44F0436" w14:textId="77777777" w:rsidR="0053208C" w:rsidRDefault="0053208C" w:rsidP="00082C69">
            <w:pPr>
              <w:pStyle w:val="ListParagraph"/>
              <w:numPr>
                <w:ilvl w:val="0"/>
                <w:numId w:val="7"/>
              </w:numPr>
              <w:rPr>
                <w:color w:val="000000"/>
              </w:rPr>
            </w:pPr>
          </w:p>
        </w:tc>
        <w:tc>
          <w:tcPr>
            <w:tcW w:w="255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44F0437" w14:textId="77777777" w:rsidR="0053208C" w:rsidRDefault="00C227AB">
            <w:pPr>
              <w:pStyle w:val="naisc"/>
              <w:jc w:val="both"/>
            </w:pPr>
            <w:r>
              <w:t>19. Par speciālo radiolīdzekļu izmantošanas atbilstību šo noteikumu prasībām atbild attiecīgi Ieslodzījuma vietu pārvalde vai Valsts policija.</w:t>
            </w:r>
          </w:p>
        </w:tc>
        <w:tc>
          <w:tcPr>
            <w:tcW w:w="538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44F0438" w14:textId="06971CCA" w:rsidR="0053208C" w:rsidRDefault="00C227AB">
            <w:pPr>
              <w:pStyle w:val="naisc"/>
              <w:jc w:val="left"/>
              <w:rPr>
                <w:b/>
                <w:bCs/>
              </w:rPr>
            </w:pPr>
            <w:r>
              <w:rPr>
                <w:b/>
                <w:bCs/>
              </w:rPr>
              <w:t xml:space="preserve">IeM (pēc VSS 190821) </w:t>
            </w:r>
            <w:r w:rsidR="000C3D49">
              <w:rPr>
                <w:b/>
                <w:bCs/>
              </w:rPr>
              <w:t>(priekšlikums):</w:t>
            </w:r>
          </w:p>
          <w:p w14:paraId="344F0439" w14:textId="77777777" w:rsidR="0053208C" w:rsidRDefault="00C227AB">
            <w:pPr>
              <w:widowControl w:val="0"/>
              <w:tabs>
                <w:tab w:val="left" w:pos="1134"/>
              </w:tabs>
              <w:jc w:val="both"/>
              <w:rPr>
                <w:rFonts w:eastAsia="Calibri"/>
                <w:bCs/>
                <w:lang w:eastAsia="en-US"/>
              </w:rPr>
            </w:pPr>
            <w:r>
              <w:rPr>
                <w:rFonts w:eastAsia="Calibri"/>
                <w:lang w:eastAsia="en-US"/>
              </w:rPr>
              <w:t xml:space="preserve">2. Atbilstoši projekta </w:t>
            </w:r>
            <w:r>
              <w:rPr>
                <w:rFonts w:eastAsia="Calibri"/>
                <w:bCs/>
                <w:lang w:eastAsia="en-US"/>
              </w:rPr>
              <w:t>4. punktam speciālo radiolīdzekļu izmantošana var būt īslaicīga (uz laiku līdz trim diennaktīm) vai pastāvīga. Ievērojot to, ka projekta 5. punktā ir norādīts, ka par īslaicīgu speciālo radiolīdzekļu izmantošanu atbild valsts drošības iestādes un Nacionālie bruņotie spēki, atbilstoši ir precizējams arī projekta 19. punkts, proti, precīzi nosakot, ka šajā punktā minētās iestādes atbild par pastāvīgas speciālo radiolīdzekļu izmantošanas atbilstību šo noteikumu prasībām.</w:t>
            </w:r>
          </w:p>
        </w:tc>
        <w:tc>
          <w:tcPr>
            <w:tcW w:w="31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44F043A" w14:textId="3E83B75B" w:rsidR="0053208C" w:rsidRPr="005E6E81" w:rsidRDefault="005E6E81">
            <w:pPr>
              <w:jc w:val="both"/>
              <w:rPr>
                <w:b/>
                <w:bCs/>
              </w:rPr>
            </w:pPr>
            <w:r w:rsidRPr="005E6E81">
              <w:rPr>
                <w:b/>
                <w:bCs/>
              </w:rPr>
              <w:t>Priekšlikums ir ņemts vērā.</w:t>
            </w:r>
          </w:p>
        </w:tc>
        <w:tc>
          <w:tcPr>
            <w:tcW w:w="3269" w:type="dxa"/>
            <w:tcBorders>
              <w:top w:val="single" w:sz="4" w:space="0" w:color="auto"/>
              <w:left w:val="single" w:sz="4" w:space="0" w:color="auto"/>
              <w:bottom w:val="single" w:sz="4" w:space="0" w:color="auto"/>
            </w:tcBorders>
          </w:tcPr>
          <w:p w14:paraId="344F043B" w14:textId="77777777" w:rsidR="0053208C" w:rsidRDefault="00C227AB">
            <w:pPr>
              <w:jc w:val="both"/>
            </w:pPr>
            <w:r>
              <w:t>19. Par speciālo radiolīdzekļu izmantošanas atbilstību šo noteikumu prasībām atbild attiecīgi Ieslodzījuma vietu pārvalde vai Valsts policija.</w:t>
            </w:r>
          </w:p>
        </w:tc>
      </w:tr>
      <w:tr w:rsidR="0053208C" w14:paraId="344F0443" w14:textId="77777777">
        <w:trPr>
          <w:trHeight w:val="304"/>
        </w:trPr>
        <w:tc>
          <w:tcPr>
            <w:tcW w:w="7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44F043D" w14:textId="77777777" w:rsidR="0053208C" w:rsidRDefault="0053208C" w:rsidP="00082C69">
            <w:pPr>
              <w:pStyle w:val="ListParagraph"/>
              <w:numPr>
                <w:ilvl w:val="0"/>
                <w:numId w:val="7"/>
              </w:numPr>
              <w:rPr>
                <w:color w:val="000000"/>
              </w:rPr>
            </w:pPr>
          </w:p>
        </w:tc>
        <w:tc>
          <w:tcPr>
            <w:tcW w:w="255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44F043E" w14:textId="77777777" w:rsidR="0053208C" w:rsidRDefault="00C227AB">
            <w:pPr>
              <w:pStyle w:val="naisc"/>
              <w:jc w:val="both"/>
            </w:pPr>
            <w:r>
              <w:t>Anotācija</w:t>
            </w:r>
          </w:p>
        </w:tc>
        <w:tc>
          <w:tcPr>
            <w:tcW w:w="538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44F043F" w14:textId="7A86421E" w:rsidR="0053208C" w:rsidRDefault="00C227AB">
            <w:pPr>
              <w:pStyle w:val="naisc"/>
              <w:jc w:val="left"/>
              <w:rPr>
                <w:b/>
                <w:bCs/>
              </w:rPr>
            </w:pPr>
            <w:r>
              <w:rPr>
                <w:b/>
                <w:bCs/>
              </w:rPr>
              <w:t xml:space="preserve">IeM (pēc VSS 190821) </w:t>
            </w:r>
            <w:r w:rsidR="000C3D49">
              <w:rPr>
                <w:b/>
                <w:bCs/>
              </w:rPr>
              <w:t>(priekšlikums):</w:t>
            </w:r>
          </w:p>
          <w:p w14:paraId="344F0440" w14:textId="77777777" w:rsidR="0053208C" w:rsidRDefault="00C227AB">
            <w:pPr>
              <w:pStyle w:val="naisc"/>
              <w:jc w:val="both"/>
            </w:pPr>
            <w:r>
              <w:lastRenderedPageBreak/>
              <w:t xml:space="preserve">Precizēt projekta sākotnējās ietekmes novērtējuma ziņojuma (anotācijas) IV sadaļas 1. punktu atbilstoši Ministru kabineta 2009. gada 15. decembra instrukcijas Nr. 19 “Tiesību akta projekta sākotnējās ietekmes izvērtēšanas kārtība” 54.3. apakšpunktam, norādot saistītos tiesību aktu projektus, par kuriem ir sagatavota apvienotais sākotnējās ietekmes novērtējuma ziņojums (anotācija).   </w:t>
            </w:r>
          </w:p>
        </w:tc>
        <w:tc>
          <w:tcPr>
            <w:tcW w:w="31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DEEEA28" w14:textId="4165C271" w:rsidR="0053208C" w:rsidRPr="00FC40B5" w:rsidRDefault="00FC40B5">
            <w:pPr>
              <w:jc w:val="both"/>
              <w:rPr>
                <w:b/>
                <w:bCs/>
              </w:rPr>
            </w:pPr>
            <w:r w:rsidRPr="00FC40B5">
              <w:rPr>
                <w:b/>
                <w:bCs/>
              </w:rPr>
              <w:lastRenderedPageBreak/>
              <w:t>Priekšlikums ir zaudējis aktualitāti.</w:t>
            </w:r>
          </w:p>
          <w:p w14:paraId="344F0441" w14:textId="7698E8EB" w:rsidR="004A0A9D" w:rsidRDefault="004A0A9D">
            <w:pPr>
              <w:jc w:val="both"/>
            </w:pPr>
            <w:r w:rsidRPr="004A0A9D">
              <w:lastRenderedPageBreak/>
              <w:t>Ministru kabineta 2009. gada 15. decembra instrukcija Nr. 19 “Tiesību akta projekta sākotnējās ietekmes izvērtēšanas kārtība”</w:t>
            </w:r>
            <w:r w:rsidR="00FB6875">
              <w:t xml:space="preserve"> ir zaudējusi spēku. Vienlaikus ir </w:t>
            </w:r>
            <w:r w:rsidR="00477058">
              <w:t>tiesību akta projektam i</w:t>
            </w:r>
            <w:r w:rsidR="00FC40B5">
              <w:t xml:space="preserve">r </w:t>
            </w:r>
            <w:r w:rsidR="00FB6875">
              <w:t>sa</w:t>
            </w:r>
            <w:r w:rsidR="00477058">
              <w:t>gatavota atsevišķa anotācija</w:t>
            </w:r>
            <w:r w:rsidR="00FC40B5">
              <w:t>.</w:t>
            </w:r>
          </w:p>
        </w:tc>
        <w:tc>
          <w:tcPr>
            <w:tcW w:w="3269" w:type="dxa"/>
            <w:tcBorders>
              <w:top w:val="single" w:sz="4" w:space="0" w:color="auto"/>
              <w:left w:val="single" w:sz="4" w:space="0" w:color="auto"/>
              <w:bottom w:val="single" w:sz="4" w:space="0" w:color="auto"/>
            </w:tcBorders>
          </w:tcPr>
          <w:p w14:paraId="344F0442" w14:textId="77777777" w:rsidR="0053208C" w:rsidRDefault="0053208C">
            <w:pPr>
              <w:jc w:val="both"/>
            </w:pPr>
          </w:p>
        </w:tc>
      </w:tr>
    </w:tbl>
    <w:p w14:paraId="344F0444" w14:textId="00949A1B" w:rsidR="0053208C" w:rsidRDefault="0053208C"/>
    <w:tbl>
      <w:tblPr>
        <w:tblW w:w="3426" w:type="pct"/>
        <w:tblCellMar>
          <w:top w:w="24" w:type="dxa"/>
          <w:left w:w="24" w:type="dxa"/>
          <w:bottom w:w="24" w:type="dxa"/>
          <w:right w:w="24" w:type="dxa"/>
        </w:tblCellMar>
        <w:tblLook w:val="04A0" w:firstRow="1" w:lastRow="0" w:firstColumn="1" w:lastColumn="0" w:noHBand="0" w:noVBand="1"/>
      </w:tblPr>
      <w:tblGrid>
        <w:gridCol w:w="8476"/>
        <w:gridCol w:w="1391"/>
      </w:tblGrid>
      <w:tr w:rsidR="005406DB" w:rsidRPr="005406DB" w14:paraId="034F4286" w14:textId="77777777" w:rsidTr="00F43984">
        <w:trPr>
          <w:gridAfter w:val="1"/>
          <w:wAfter w:w="705" w:type="pct"/>
          <w:trHeight w:val="360"/>
        </w:trPr>
        <w:tc>
          <w:tcPr>
            <w:tcW w:w="4295" w:type="pct"/>
            <w:tcBorders>
              <w:top w:val="nil"/>
              <w:left w:val="nil"/>
              <w:bottom w:val="nil"/>
              <w:right w:val="nil"/>
            </w:tcBorders>
            <w:noWrap/>
            <w:vAlign w:val="bottom"/>
            <w:hideMark/>
          </w:tcPr>
          <w:p w14:paraId="37D862B3" w14:textId="77777777" w:rsidR="005406DB" w:rsidRPr="005406DB" w:rsidRDefault="005406DB" w:rsidP="005406DB">
            <w:r w:rsidRPr="005406DB">
              <w:t>Atbildīgā amatpersona</w:t>
            </w:r>
          </w:p>
        </w:tc>
      </w:tr>
      <w:tr w:rsidR="005406DB" w:rsidRPr="005406DB" w14:paraId="67C6F92D" w14:textId="77777777" w:rsidTr="00F43984">
        <w:tc>
          <w:tcPr>
            <w:tcW w:w="4295" w:type="pct"/>
            <w:tcBorders>
              <w:top w:val="nil"/>
              <w:left w:val="nil"/>
              <w:bottom w:val="nil"/>
              <w:right w:val="nil"/>
            </w:tcBorders>
            <w:hideMark/>
          </w:tcPr>
          <w:p w14:paraId="12B7CBD3" w14:textId="77777777" w:rsidR="005406DB" w:rsidRPr="005406DB" w:rsidRDefault="005406DB" w:rsidP="005406DB">
            <w:r w:rsidRPr="005406DB">
              <w:t> </w:t>
            </w:r>
          </w:p>
        </w:tc>
        <w:tc>
          <w:tcPr>
            <w:tcW w:w="705" w:type="pct"/>
            <w:tcBorders>
              <w:top w:val="single" w:sz="6" w:space="0" w:color="414142"/>
              <w:left w:val="nil"/>
              <w:bottom w:val="nil"/>
              <w:right w:val="nil"/>
            </w:tcBorders>
            <w:hideMark/>
          </w:tcPr>
          <w:p w14:paraId="30131986" w14:textId="77777777" w:rsidR="005406DB" w:rsidRPr="005406DB" w:rsidRDefault="005406DB" w:rsidP="005406DB">
            <w:r w:rsidRPr="005406DB">
              <w:t>(paraksts)*</w:t>
            </w:r>
          </w:p>
        </w:tc>
      </w:tr>
    </w:tbl>
    <w:p w14:paraId="575228D6" w14:textId="77777777" w:rsidR="005406DB" w:rsidRPr="005406DB" w:rsidRDefault="005406DB" w:rsidP="005406DB">
      <w:r w:rsidRPr="005406DB">
        <w:t>Piezīme. * Dokumenta rekvizītu "paraksts" neaizpilda, ja elektroniskais dokuments ir sagatavots atbilstoši normatīvajiem aktiem par elektronisko dokumentu noformēšanu.</w:t>
      </w:r>
    </w:p>
    <w:tbl>
      <w:tblPr>
        <w:tblW w:w="5000" w:type="pct"/>
        <w:tblCellMar>
          <w:top w:w="24" w:type="dxa"/>
          <w:left w:w="24" w:type="dxa"/>
          <w:bottom w:w="24" w:type="dxa"/>
          <w:right w:w="24" w:type="dxa"/>
        </w:tblCellMar>
        <w:tblLook w:val="04A0" w:firstRow="1" w:lastRow="0" w:firstColumn="1" w:lastColumn="0" w:noHBand="0" w:noVBand="1"/>
      </w:tblPr>
      <w:tblGrid>
        <w:gridCol w:w="13005"/>
        <w:gridCol w:w="1395"/>
      </w:tblGrid>
      <w:tr w:rsidR="005406DB" w:rsidRPr="005406DB" w14:paraId="04A4985D" w14:textId="77777777" w:rsidTr="00F43984">
        <w:trPr>
          <w:trHeight w:val="240"/>
        </w:trPr>
        <w:tc>
          <w:tcPr>
            <w:tcW w:w="13005" w:type="dxa"/>
            <w:tcBorders>
              <w:top w:val="nil"/>
              <w:left w:val="nil"/>
              <w:bottom w:val="single" w:sz="6" w:space="0" w:color="414142"/>
              <w:right w:val="nil"/>
            </w:tcBorders>
            <w:hideMark/>
          </w:tcPr>
          <w:p w14:paraId="05F56C64" w14:textId="7424ABA9" w:rsidR="005406DB" w:rsidRPr="005406DB" w:rsidRDefault="00113FCB" w:rsidP="005406DB">
            <w:r>
              <w:t>Dainis Valdmanis</w:t>
            </w:r>
          </w:p>
        </w:tc>
        <w:tc>
          <w:tcPr>
            <w:tcW w:w="0" w:type="auto"/>
            <w:tcBorders>
              <w:top w:val="nil"/>
              <w:left w:val="nil"/>
              <w:bottom w:val="nil"/>
              <w:right w:val="nil"/>
            </w:tcBorders>
            <w:hideMark/>
          </w:tcPr>
          <w:p w14:paraId="334BF938" w14:textId="77777777" w:rsidR="005406DB" w:rsidRPr="005406DB" w:rsidRDefault="005406DB" w:rsidP="005406DB">
            <w:r w:rsidRPr="005406DB">
              <w:t> </w:t>
            </w:r>
          </w:p>
        </w:tc>
      </w:tr>
      <w:tr w:rsidR="005406DB" w:rsidRPr="005406DB" w14:paraId="60664AED" w14:textId="77777777" w:rsidTr="00F43984">
        <w:trPr>
          <w:trHeight w:val="240"/>
        </w:trPr>
        <w:tc>
          <w:tcPr>
            <w:tcW w:w="13005" w:type="dxa"/>
            <w:tcBorders>
              <w:top w:val="single" w:sz="6" w:space="0" w:color="414142"/>
              <w:left w:val="nil"/>
              <w:bottom w:val="nil"/>
              <w:right w:val="nil"/>
            </w:tcBorders>
            <w:hideMark/>
          </w:tcPr>
          <w:p w14:paraId="3975D20C" w14:textId="77777777" w:rsidR="005406DB" w:rsidRPr="005406DB" w:rsidRDefault="005406DB" w:rsidP="005406DB">
            <w:r w:rsidRPr="005406DB">
              <w:t>(par projektu atbildīgās amatpersonas vārds un uzvārds)</w:t>
            </w:r>
          </w:p>
        </w:tc>
        <w:tc>
          <w:tcPr>
            <w:tcW w:w="0" w:type="auto"/>
            <w:tcBorders>
              <w:top w:val="nil"/>
              <w:left w:val="nil"/>
              <w:bottom w:val="nil"/>
              <w:right w:val="nil"/>
            </w:tcBorders>
            <w:hideMark/>
          </w:tcPr>
          <w:p w14:paraId="7807DAEA" w14:textId="77777777" w:rsidR="005406DB" w:rsidRPr="005406DB" w:rsidRDefault="005406DB" w:rsidP="005406DB">
            <w:r w:rsidRPr="005406DB">
              <w:t> </w:t>
            </w:r>
          </w:p>
        </w:tc>
      </w:tr>
      <w:tr w:rsidR="005406DB" w:rsidRPr="005406DB" w14:paraId="3A71D452" w14:textId="77777777" w:rsidTr="00F43984">
        <w:trPr>
          <w:trHeight w:val="240"/>
        </w:trPr>
        <w:tc>
          <w:tcPr>
            <w:tcW w:w="13005" w:type="dxa"/>
            <w:tcBorders>
              <w:top w:val="nil"/>
              <w:left w:val="nil"/>
              <w:bottom w:val="single" w:sz="6" w:space="0" w:color="414142"/>
              <w:right w:val="nil"/>
            </w:tcBorders>
            <w:hideMark/>
          </w:tcPr>
          <w:p w14:paraId="4F55531E" w14:textId="1DD289E2" w:rsidR="005406DB" w:rsidRPr="005406DB" w:rsidRDefault="005406DB" w:rsidP="005406DB">
            <w:r w:rsidRPr="005406DB">
              <w:t xml:space="preserve"> Sakaru departamenta </w:t>
            </w:r>
            <w:r w:rsidR="00113FCB">
              <w:t>Elekt</w:t>
            </w:r>
            <w:r w:rsidR="00944FA1">
              <w:t>ronisko sakaru un pasta nodaļas</w:t>
            </w:r>
            <w:r w:rsidR="000410E3">
              <w:t xml:space="preserve"> vecākais referents</w:t>
            </w:r>
          </w:p>
        </w:tc>
        <w:tc>
          <w:tcPr>
            <w:tcW w:w="0" w:type="auto"/>
            <w:tcBorders>
              <w:top w:val="nil"/>
              <w:left w:val="nil"/>
              <w:bottom w:val="nil"/>
              <w:right w:val="nil"/>
            </w:tcBorders>
            <w:hideMark/>
          </w:tcPr>
          <w:p w14:paraId="17628AC1" w14:textId="77777777" w:rsidR="005406DB" w:rsidRPr="005406DB" w:rsidRDefault="005406DB" w:rsidP="005406DB">
            <w:r w:rsidRPr="005406DB">
              <w:t> </w:t>
            </w:r>
          </w:p>
        </w:tc>
      </w:tr>
      <w:tr w:rsidR="005406DB" w:rsidRPr="005406DB" w14:paraId="359F4E3E" w14:textId="77777777" w:rsidTr="00F43984">
        <w:trPr>
          <w:trHeight w:val="240"/>
        </w:trPr>
        <w:tc>
          <w:tcPr>
            <w:tcW w:w="13005" w:type="dxa"/>
            <w:tcBorders>
              <w:top w:val="single" w:sz="6" w:space="0" w:color="414142"/>
              <w:left w:val="nil"/>
              <w:bottom w:val="nil"/>
              <w:right w:val="nil"/>
            </w:tcBorders>
            <w:hideMark/>
          </w:tcPr>
          <w:p w14:paraId="3BEB2F32" w14:textId="77777777" w:rsidR="005406DB" w:rsidRPr="005406DB" w:rsidRDefault="005406DB" w:rsidP="005406DB">
            <w:r w:rsidRPr="005406DB">
              <w:t>(amats)</w:t>
            </w:r>
          </w:p>
        </w:tc>
        <w:tc>
          <w:tcPr>
            <w:tcW w:w="0" w:type="auto"/>
            <w:tcBorders>
              <w:top w:val="nil"/>
              <w:left w:val="nil"/>
              <w:bottom w:val="nil"/>
              <w:right w:val="nil"/>
            </w:tcBorders>
            <w:hideMark/>
          </w:tcPr>
          <w:p w14:paraId="487E7019" w14:textId="77777777" w:rsidR="005406DB" w:rsidRPr="005406DB" w:rsidRDefault="005406DB" w:rsidP="005406DB">
            <w:r w:rsidRPr="005406DB">
              <w:t> </w:t>
            </w:r>
          </w:p>
        </w:tc>
      </w:tr>
      <w:tr w:rsidR="005406DB" w:rsidRPr="005406DB" w14:paraId="67F0469B" w14:textId="77777777" w:rsidTr="00F43984">
        <w:trPr>
          <w:trHeight w:val="240"/>
        </w:trPr>
        <w:tc>
          <w:tcPr>
            <w:tcW w:w="13005" w:type="dxa"/>
            <w:tcBorders>
              <w:top w:val="nil"/>
              <w:left w:val="nil"/>
              <w:bottom w:val="single" w:sz="6" w:space="0" w:color="414142"/>
              <w:right w:val="nil"/>
            </w:tcBorders>
            <w:hideMark/>
          </w:tcPr>
          <w:p w14:paraId="3B896E3A" w14:textId="1E6A3908" w:rsidR="005406DB" w:rsidRPr="005406DB" w:rsidRDefault="005406DB" w:rsidP="005406DB">
            <w:r w:rsidRPr="005406DB">
              <w:t>Tālrunis: 67028</w:t>
            </w:r>
            <w:r w:rsidR="00113FCB">
              <w:t>105</w:t>
            </w:r>
            <w:r w:rsidRPr="005406DB">
              <w:t>; fakss: 67217180</w:t>
            </w:r>
          </w:p>
        </w:tc>
        <w:tc>
          <w:tcPr>
            <w:tcW w:w="0" w:type="auto"/>
            <w:tcBorders>
              <w:top w:val="nil"/>
              <w:left w:val="nil"/>
              <w:bottom w:val="nil"/>
              <w:right w:val="nil"/>
            </w:tcBorders>
            <w:hideMark/>
          </w:tcPr>
          <w:p w14:paraId="22566869" w14:textId="77777777" w:rsidR="005406DB" w:rsidRPr="005406DB" w:rsidRDefault="005406DB" w:rsidP="005406DB">
            <w:r w:rsidRPr="005406DB">
              <w:t> </w:t>
            </w:r>
          </w:p>
        </w:tc>
      </w:tr>
      <w:tr w:rsidR="005406DB" w:rsidRPr="005406DB" w14:paraId="68FE3242" w14:textId="77777777" w:rsidTr="00F43984">
        <w:trPr>
          <w:trHeight w:val="240"/>
        </w:trPr>
        <w:tc>
          <w:tcPr>
            <w:tcW w:w="13005" w:type="dxa"/>
            <w:tcBorders>
              <w:top w:val="single" w:sz="6" w:space="0" w:color="414142"/>
              <w:left w:val="nil"/>
              <w:bottom w:val="nil"/>
              <w:right w:val="nil"/>
            </w:tcBorders>
            <w:hideMark/>
          </w:tcPr>
          <w:p w14:paraId="07D18692" w14:textId="77777777" w:rsidR="005406DB" w:rsidRPr="005406DB" w:rsidRDefault="005406DB" w:rsidP="005406DB">
            <w:r w:rsidRPr="005406DB">
              <w:t>(tālruņa un faksa numurs)</w:t>
            </w:r>
          </w:p>
        </w:tc>
        <w:tc>
          <w:tcPr>
            <w:tcW w:w="0" w:type="auto"/>
            <w:tcBorders>
              <w:top w:val="nil"/>
              <w:left w:val="nil"/>
              <w:bottom w:val="nil"/>
              <w:right w:val="nil"/>
            </w:tcBorders>
            <w:hideMark/>
          </w:tcPr>
          <w:p w14:paraId="0C2455DA" w14:textId="77777777" w:rsidR="005406DB" w:rsidRPr="005406DB" w:rsidRDefault="005406DB" w:rsidP="005406DB">
            <w:r w:rsidRPr="005406DB">
              <w:t> </w:t>
            </w:r>
          </w:p>
        </w:tc>
      </w:tr>
      <w:tr w:rsidR="005406DB" w:rsidRPr="005406DB" w14:paraId="414AC5D0" w14:textId="77777777" w:rsidTr="00F43984">
        <w:trPr>
          <w:trHeight w:val="240"/>
        </w:trPr>
        <w:tc>
          <w:tcPr>
            <w:tcW w:w="13005" w:type="dxa"/>
            <w:tcBorders>
              <w:top w:val="nil"/>
              <w:left w:val="nil"/>
              <w:bottom w:val="single" w:sz="6" w:space="0" w:color="414142"/>
              <w:right w:val="nil"/>
            </w:tcBorders>
            <w:hideMark/>
          </w:tcPr>
          <w:p w14:paraId="7ADAF24D" w14:textId="222D71D1" w:rsidR="005406DB" w:rsidRPr="005406DB" w:rsidRDefault="005406DB" w:rsidP="005406DB">
            <w:r w:rsidRPr="005406DB">
              <w:t> </w:t>
            </w:r>
            <w:hyperlink r:id="rId7" w:history="1">
              <w:r w:rsidR="00113FCB" w:rsidRPr="00D520B8">
                <w:rPr>
                  <w:rStyle w:val="Hyperlink"/>
                </w:rPr>
                <w:t>Dainis.Valdmanis@sam.gov.lv</w:t>
              </w:r>
            </w:hyperlink>
            <w:r w:rsidR="00113FCB">
              <w:t xml:space="preserve"> </w:t>
            </w:r>
            <w:r w:rsidRPr="005406DB">
              <w:t xml:space="preserve"> </w:t>
            </w:r>
          </w:p>
        </w:tc>
        <w:tc>
          <w:tcPr>
            <w:tcW w:w="0" w:type="auto"/>
            <w:tcBorders>
              <w:top w:val="nil"/>
              <w:left w:val="nil"/>
              <w:bottom w:val="nil"/>
              <w:right w:val="nil"/>
            </w:tcBorders>
            <w:hideMark/>
          </w:tcPr>
          <w:p w14:paraId="3C8E7C7E" w14:textId="77777777" w:rsidR="005406DB" w:rsidRPr="005406DB" w:rsidRDefault="005406DB" w:rsidP="005406DB">
            <w:r w:rsidRPr="005406DB">
              <w:t> </w:t>
            </w:r>
          </w:p>
        </w:tc>
      </w:tr>
      <w:tr w:rsidR="005406DB" w:rsidRPr="005406DB" w14:paraId="1BD544E1" w14:textId="77777777" w:rsidTr="00F43984">
        <w:trPr>
          <w:trHeight w:val="240"/>
        </w:trPr>
        <w:tc>
          <w:tcPr>
            <w:tcW w:w="13005" w:type="dxa"/>
            <w:tcBorders>
              <w:top w:val="single" w:sz="6" w:space="0" w:color="414142"/>
              <w:left w:val="nil"/>
              <w:bottom w:val="nil"/>
              <w:right w:val="nil"/>
            </w:tcBorders>
            <w:hideMark/>
          </w:tcPr>
          <w:p w14:paraId="6C93A6CF" w14:textId="77777777" w:rsidR="005406DB" w:rsidRPr="005406DB" w:rsidRDefault="005406DB" w:rsidP="005406DB">
            <w:r w:rsidRPr="005406DB">
              <w:t>(e-pasta adrese)</w:t>
            </w:r>
          </w:p>
        </w:tc>
        <w:tc>
          <w:tcPr>
            <w:tcW w:w="0" w:type="auto"/>
            <w:vAlign w:val="center"/>
            <w:hideMark/>
          </w:tcPr>
          <w:p w14:paraId="777342C4" w14:textId="77777777" w:rsidR="005406DB" w:rsidRPr="005406DB" w:rsidRDefault="005406DB" w:rsidP="005406DB"/>
        </w:tc>
      </w:tr>
    </w:tbl>
    <w:p w14:paraId="5FC01FF6" w14:textId="77777777" w:rsidR="005406DB" w:rsidRPr="005406DB" w:rsidRDefault="005406DB" w:rsidP="005406DB"/>
    <w:p w14:paraId="5FE8A3F2" w14:textId="7AE66636" w:rsidR="006104FF" w:rsidRDefault="006104FF"/>
    <w:p w14:paraId="73EC0F1D" w14:textId="77777777" w:rsidR="006104FF" w:rsidRDefault="006104FF"/>
    <w:sectPr w:rsidR="006104FF">
      <w:headerReference w:type="even" r:id="rId8"/>
      <w:headerReference w:type="default" r:id="rId9"/>
      <w:footerReference w:type="even" r:id="rId10"/>
      <w:footerReference w:type="default" r:id="rId11"/>
      <w:headerReference w:type="first" r:id="rId12"/>
      <w:footerReference w:type="first" r:id="rId13"/>
      <w:pgSz w:w="15840" w:h="12240" w:orient="landscape"/>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AF3F00" w14:textId="77777777" w:rsidR="000D5D27" w:rsidRDefault="000D5D27">
      <w:r>
        <w:separator/>
      </w:r>
    </w:p>
  </w:endnote>
  <w:endnote w:type="continuationSeparator" w:id="0">
    <w:p w14:paraId="48F0F13E" w14:textId="77777777" w:rsidR="000D5D27" w:rsidRDefault="000D5D27">
      <w:r>
        <w:continuationSeparator/>
      </w:r>
    </w:p>
  </w:endnote>
  <w:endnote w:type="continuationNotice" w:id="1">
    <w:p w14:paraId="30DA56FE" w14:textId="77777777" w:rsidR="000D5D27" w:rsidRDefault="000D5D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F044C" w14:textId="77777777" w:rsidR="0053208C" w:rsidRDefault="005320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F044D" w14:textId="77777777" w:rsidR="0053208C" w:rsidRDefault="00C227AB">
    <w:pPr>
      <w:pStyle w:val="Footer"/>
      <w:jc w:val="left"/>
      <w:rPr>
        <w:sz w:val="20"/>
        <w:szCs w:val="20"/>
      </w:rPr>
    </w:pPr>
    <w:r>
      <w:rPr>
        <w:sz w:val="20"/>
        <w:szCs w:val="20"/>
      </w:rPr>
      <w:t>SMIzz170921_MK775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F044F" w14:textId="77777777" w:rsidR="0053208C" w:rsidRDefault="005320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2426B7" w14:textId="77777777" w:rsidR="000D5D27" w:rsidRDefault="000D5D27">
      <w:r>
        <w:separator/>
      </w:r>
    </w:p>
  </w:footnote>
  <w:footnote w:type="continuationSeparator" w:id="0">
    <w:p w14:paraId="0D7C9DB6" w14:textId="77777777" w:rsidR="000D5D27" w:rsidRDefault="000D5D27">
      <w:r>
        <w:continuationSeparator/>
      </w:r>
    </w:p>
  </w:footnote>
  <w:footnote w:type="continuationNotice" w:id="1">
    <w:p w14:paraId="21177620" w14:textId="77777777" w:rsidR="000D5D27" w:rsidRDefault="000D5D2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F0449" w14:textId="77777777" w:rsidR="0053208C" w:rsidRDefault="005320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3750820"/>
      <w:docPartObj>
        <w:docPartGallery w:val="Page Numbers (Top of Page)"/>
        <w:docPartUnique/>
      </w:docPartObj>
    </w:sdtPr>
    <w:sdtEndPr/>
    <w:sdtContent>
      <w:p w14:paraId="344F044A" w14:textId="77777777" w:rsidR="0053208C" w:rsidRDefault="00C227AB">
        <w:pPr>
          <w:pStyle w:val="Header"/>
          <w:jc w:val="right"/>
        </w:pPr>
        <w:r>
          <w:fldChar w:fldCharType="begin"/>
        </w:r>
        <w:r>
          <w:instrText xml:space="preserve"> PAGE   \* MERGEFORMAT </w:instrText>
        </w:r>
        <w:r>
          <w:fldChar w:fldCharType="separate"/>
        </w:r>
        <w:r>
          <w:t>2</w:t>
        </w:r>
        <w:r>
          <w:fldChar w:fldCharType="end"/>
        </w:r>
      </w:p>
    </w:sdtContent>
  </w:sdt>
  <w:p w14:paraId="344F044B" w14:textId="77777777" w:rsidR="0053208C" w:rsidRDefault="005320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F044E" w14:textId="77777777" w:rsidR="0053208C" w:rsidRDefault="005320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C6B31"/>
    <w:multiLevelType w:val="multilevel"/>
    <w:tmpl w:val="218079A4"/>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E754CCA"/>
    <w:multiLevelType w:val="hybridMultilevel"/>
    <w:tmpl w:val="458A48A2"/>
    <w:lvl w:ilvl="0" w:tplc="C6FC622E">
      <w:start w:val="1"/>
      <w:numFmt w:val="decimal"/>
      <w:lvlText w:val="%1."/>
      <w:lvlJc w:val="left"/>
      <w:pPr>
        <w:ind w:left="1069" w:hanging="360"/>
      </w:pPr>
      <w:rPr>
        <w:rFonts w:hint="default"/>
      </w:rPr>
    </w:lvl>
    <w:lvl w:ilvl="1" w:tplc="F1DC194E">
      <w:start w:val="1"/>
      <w:numFmt w:val="lowerLetter"/>
      <w:lvlText w:val="%2."/>
      <w:lvlJc w:val="left"/>
      <w:pPr>
        <w:ind w:left="1789" w:hanging="360"/>
      </w:pPr>
    </w:lvl>
    <w:lvl w:ilvl="2" w:tplc="3056A516">
      <w:start w:val="1"/>
      <w:numFmt w:val="lowerRoman"/>
      <w:lvlText w:val="%3."/>
      <w:lvlJc w:val="right"/>
      <w:pPr>
        <w:ind w:left="2509" w:hanging="180"/>
      </w:pPr>
    </w:lvl>
    <w:lvl w:ilvl="3" w:tplc="C1AEC32E">
      <w:start w:val="1"/>
      <w:numFmt w:val="decimal"/>
      <w:lvlText w:val="%4."/>
      <w:lvlJc w:val="left"/>
      <w:pPr>
        <w:ind w:left="3229" w:hanging="360"/>
      </w:pPr>
    </w:lvl>
    <w:lvl w:ilvl="4" w:tplc="50B2283E">
      <w:start w:val="1"/>
      <w:numFmt w:val="lowerLetter"/>
      <w:lvlText w:val="%5."/>
      <w:lvlJc w:val="left"/>
      <w:pPr>
        <w:ind w:left="3949" w:hanging="360"/>
      </w:pPr>
    </w:lvl>
    <w:lvl w:ilvl="5" w:tplc="2AE6050E">
      <w:start w:val="1"/>
      <w:numFmt w:val="lowerRoman"/>
      <w:lvlText w:val="%6."/>
      <w:lvlJc w:val="right"/>
      <w:pPr>
        <w:ind w:left="4669" w:hanging="180"/>
      </w:pPr>
    </w:lvl>
    <w:lvl w:ilvl="6" w:tplc="2EC46AA8">
      <w:start w:val="1"/>
      <w:numFmt w:val="decimal"/>
      <w:lvlText w:val="%7."/>
      <w:lvlJc w:val="left"/>
      <w:pPr>
        <w:ind w:left="5389" w:hanging="360"/>
      </w:pPr>
    </w:lvl>
    <w:lvl w:ilvl="7" w:tplc="2E086D26">
      <w:start w:val="1"/>
      <w:numFmt w:val="lowerLetter"/>
      <w:lvlText w:val="%8."/>
      <w:lvlJc w:val="left"/>
      <w:pPr>
        <w:ind w:left="6109" w:hanging="360"/>
      </w:pPr>
    </w:lvl>
    <w:lvl w:ilvl="8" w:tplc="B7F6EBFE">
      <w:start w:val="1"/>
      <w:numFmt w:val="lowerRoman"/>
      <w:lvlText w:val="%9."/>
      <w:lvlJc w:val="right"/>
      <w:pPr>
        <w:ind w:left="6829" w:hanging="180"/>
      </w:pPr>
    </w:lvl>
  </w:abstractNum>
  <w:abstractNum w:abstractNumId="2" w15:restartNumberingAfterBreak="0">
    <w:nsid w:val="1C232481"/>
    <w:multiLevelType w:val="hybridMultilevel"/>
    <w:tmpl w:val="30A45D2A"/>
    <w:lvl w:ilvl="0" w:tplc="946437C4">
      <w:start w:val="1"/>
      <w:numFmt w:val="decimal"/>
      <w:lvlText w:val="%1."/>
      <w:lvlJc w:val="left"/>
      <w:pPr>
        <w:ind w:left="1080" w:hanging="360"/>
      </w:pPr>
    </w:lvl>
    <w:lvl w:ilvl="1" w:tplc="E59060C2">
      <w:start w:val="1"/>
      <w:numFmt w:val="lowerLetter"/>
      <w:lvlText w:val="%2."/>
      <w:lvlJc w:val="left"/>
      <w:pPr>
        <w:ind w:left="1800" w:hanging="360"/>
      </w:pPr>
    </w:lvl>
    <w:lvl w:ilvl="2" w:tplc="65A83AB0">
      <w:start w:val="1"/>
      <w:numFmt w:val="lowerRoman"/>
      <w:lvlText w:val="%3."/>
      <w:lvlJc w:val="right"/>
      <w:pPr>
        <w:ind w:left="2520" w:hanging="180"/>
      </w:pPr>
    </w:lvl>
    <w:lvl w:ilvl="3" w:tplc="EE283A5E">
      <w:start w:val="1"/>
      <w:numFmt w:val="decimal"/>
      <w:lvlText w:val="%4."/>
      <w:lvlJc w:val="left"/>
      <w:pPr>
        <w:ind w:left="3240" w:hanging="360"/>
      </w:pPr>
    </w:lvl>
    <w:lvl w:ilvl="4" w:tplc="76EA50EC">
      <w:start w:val="1"/>
      <w:numFmt w:val="lowerLetter"/>
      <w:lvlText w:val="%5."/>
      <w:lvlJc w:val="left"/>
      <w:pPr>
        <w:ind w:left="3960" w:hanging="360"/>
      </w:pPr>
    </w:lvl>
    <w:lvl w:ilvl="5" w:tplc="FCD2A248">
      <w:start w:val="1"/>
      <w:numFmt w:val="lowerRoman"/>
      <w:lvlText w:val="%6."/>
      <w:lvlJc w:val="right"/>
      <w:pPr>
        <w:ind w:left="4680" w:hanging="180"/>
      </w:pPr>
    </w:lvl>
    <w:lvl w:ilvl="6" w:tplc="48A8C242">
      <w:start w:val="1"/>
      <w:numFmt w:val="decimal"/>
      <w:lvlText w:val="%7."/>
      <w:lvlJc w:val="left"/>
      <w:pPr>
        <w:ind w:left="5400" w:hanging="360"/>
      </w:pPr>
    </w:lvl>
    <w:lvl w:ilvl="7" w:tplc="FA54037A">
      <w:start w:val="1"/>
      <w:numFmt w:val="lowerLetter"/>
      <w:lvlText w:val="%8."/>
      <w:lvlJc w:val="left"/>
      <w:pPr>
        <w:ind w:left="6120" w:hanging="360"/>
      </w:pPr>
    </w:lvl>
    <w:lvl w:ilvl="8" w:tplc="A9EC3FF6">
      <w:start w:val="1"/>
      <w:numFmt w:val="lowerRoman"/>
      <w:lvlText w:val="%9."/>
      <w:lvlJc w:val="right"/>
      <w:pPr>
        <w:ind w:left="6840" w:hanging="180"/>
      </w:pPr>
    </w:lvl>
  </w:abstractNum>
  <w:abstractNum w:abstractNumId="3" w15:restartNumberingAfterBreak="0">
    <w:nsid w:val="206D2286"/>
    <w:multiLevelType w:val="multilevel"/>
    <w:tmpl w:val="6DBE85AC"/>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1DF51C3"/>
    <w:multiLevelType w:val="hybridMultilevel"/>
    <w:tmpl w:val="F3861A5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6524C08"/>
    <w:multiLevelType w:val="hybridMultilevel"/>
    <w:tmpl w:val="48149736"/>
    <w:lvl w:ilvl="0" w:tplc="7474F6E8">
      <w:start w:val="1"/>
      <w:numFmt w:val="decimal"/>
      <w:lvlText w:val="%1."/>
      <w:lvlJc w:val="left"/>
      <w:pPr>
        <w:ind w:left="1080" w:hanging="360"/>
      </w:pPr>
      <w:rPr>
        <w:rFonts w:hint="default"/>
      </w:rPr>
    </w:lvl>
    <w:lvl w:ilvl="1" w:tplc="DE363EC8">
      <w:start w:val="1"/>
      <w:numFmt w:val="lowerLetter"/>
      <w:lvlText w:val="%2."/>
      <w:lvlJc w:val="left"/>
      <w:pPr>
        <w:ind w:left="1800" w:hanging="360"/>
      </w:pPr>
    </w:lvl>
    <w:lvl w:ilvl="2" w:tplc="E4AE9D94">
      <w:start w:val="1"/>
      <w:numFmt w:val="lowerRoman"/>
      <w:lvlText w:val="%3."/>
      <w:lvlJc w:val="right"/>
      <w:pPr>
        <w:ind w:left="2520" w:hanging="180"/>
      </w:pPr>
    </w:lvl>
    <w:lvl w:ilvl="3" w:tplc="DDCC7578">
      <w:start w:val="1"/>
      <w:numFmt w:val="decimal"/>
      <w:lvlText w:val="%4."/>
      <w:lvlJc w:val="left"/>
      <w:pPr>
        <w:ind w:left="3240" w:hanging="360"/>
      </w:pPr>
    </w:lvl>
    <w:lvl w:ilvl="4" w:tplc="E05A608A">
      <w:start w:val="1"/>
      <w:numFmt w:val="lowerLetter"/>
      <w:lvlText w:val="%5."/>
      <w:lvlJc w:val="left"/>
      <w:pPr>
        <w:ind w:left="3960" w:hanging="360"/>
      </w:pPr>
    </w:lvl>
    <w:lvl w:ilvl="5" w:tplc="1C403CCA">
      <w:start w:val="1"/>
      <w:numFmt w:val="lowerRoman"/>
      <w:lvlText w:val="%6."/>
      <w:lvlJc w:val="right"/>
      <w:pPr>
        <w:ind w:left="4680" w:hanging="180"/>
      </w:pPr>
    </w:lvl>
    <w:lvl w:ilvl="6" w:tplc="70561826">
      <w:start w:val="1"/>
      <w:numFmt w:val="decimal"/>
      <w:lvlText w:val="%7."/>
      <w:lvlJc w:val="left"/>
      <w:pPr>
        <w:ind w:left="5400" w:hanging="360"/>
      </w:pPr>
    </w:lvl>
    <w:lvl w:ilvl="7" w:tplc="E1EC94F4">
      <w:start w:val="1"/>
      <w:numFmt w:val="lowerLetter"/>
      <w:lvlText w:val="%8."/>
      <w:lvlJc w:val="left"/>
      <w:pPr>
        <w:ind w:left="6120" w:hanging="360"/>
      </w:pPr>
    </w:lvl>
    <w:lvl w:ilvl="8" w:tplc="F7AC4458">
      <w:start w:val="1"/>
      <w:numFmt w:val="lowerRoman"/>
      <w:lvlText w:val="%9."/>
      <w:lvlJc w:val="right"/>
      <w:pPr>
        <w:ind w:left="6840" w:hanging="180"/>
      </w:pPr>
    </w:lvl>
  </w:abstractNum>
  <w:abstractNum w:abstractNumId="6" w15:restartNumberingAfterBreak="0">
    <w:nsid w:val="57D43752"/>
    <w:multiLevelType w:val="hybridMultilevel"/>
    <w:tmpl w:val="26F61626"/>
    <w:lvl w:ilvl="0" w:tplc="20F48EDE">
      <w:start w:val="1"/>
      <w:numFmt w:val="decimal"/>
      <w:lvlText w:val="%1."/>
      <w:lvlJc w:val="left"/>
      <w:pPr>
        <w:ind w:left="928" w:hanging="360"/>
      </w:pPr>
    </w:lvl>
    <w:lvl w:ilvl="1" w:tplc="7B32A6E0">
      <w:start w:val="1"/>
      <w:numFmt w:val="lowerLetter"/>
      <w:lvlText w:val="%2."/>
      <w:lvlJc w:val="left"/>
      <w:pPr>
        <w:ind w:left="1440" w:hanging="360"/>
      </w:pPr>
    </w:lvl>
    <w:lvl w:ilvl="2" w:tplc="5AF6E504">
      <w:start w:val="1"/>
      <w:numFmt w:val="lowerRoman"/>
      <w:lvlText w:val="%3."/>
      <w:lvlJc w:val="right"/>
      <w:pPr>
        <w:ind w:left="2160" w:hanging="180"/>
      </w:pPr>
    </w:lvl>
    <w:lvl w:ilvl="3" w:tplc="58D68766">
      <w:start w:val="1"/>
      <w:numFmt w:val="decimal"/>
      <w:lvlText w:val="%4."/>
      <w:lvlJc w:val="left"/>
      <w:pPr>
        <w:ind w:left="2880" w:hanging="360"/>
      </w:pPr>
    </w:lvl>
    <w:lvl w:ilvl="4" w:tplc="EA8810B4">
      <w:start w:val="1"/>
      <w:numFmt w:val="lowerLetter"/>
      <w:lvlText w:val="%5."/>
      <w:lvlJc w:val="left"/>
      <w:pPr>
        <w:ind w:left="3600" w:hanging="360"/>
      </w:pPr>
    </w:lvl>
    <w:lvl w:ilvl="5" w:tplc="0D2A8A86">
      <w:start w:val="1"/>
      <w:numFmt w:val="lowerRoman"/>
      <w:lvlText w:val="%6."/>
      <w:lvlJc w:val="right"/>
      <w:pPr>
        <w:ind w:left="4320" w:hanging="180"/>
      </w:pPr>
    </w:lvl>
    <w:lvl w:ilvl="6" w:tplc="BEAED24C">
      <w:start w:val="1"/>
      <w:numFmt w:val="decimal"/>
      <w:lvlText w:val="%7."/>
      <w:lvlJc w:val="left"/>
      <w:pPr>
        <w:ind w:left="5040" w:hanging="360"/>
      </w:pPr>
    </w:lvl>
    <w:lvl w:ilvl="7" w:tplc="5B2E7782">
      <w:start w:val="1"/>
      <w:numFmt w:val="lowerLetter"/>
      <w:lvlText w:val="%8."/>
      <w:lvlJc w:val="left"/>
      <w:pPr>
        <w:ind w:left="5760" w:hanging="360"/>
      </w:pPr>
    </w:lvl>
    <w:lvl w:ilvl="8" w:tplc="47FA96D0">
      <w:start w:val="1"/>
      <w:numFmt w:val="lowerRoman"/>
      <w:lvlText w:val="%9."/>
      <w:lvlJc w:val="right"/>
      <w:pPr>
        <w:ind w:left="6480" w:hanging="180"/>
      </w:pPr>
    </w:lvl>
  </w:abstractNum>
  <w:num w:numId="1" w16cid:durableId="130482633">
    <w:abstractNumId w:val="0"/>
  </w:num>
  <w:num w:numId="2" w16cid:durableId="1749302880">
    <w:abstractNumId w:val="3"/>
  </w:num>
  <w:num w:numId="3" w16cid:durableId="1135635591">
    <w:abstractNumId w:val="6"/>
  </w:num>
  <w:num w:numId="4" w16cid:durableId="409430563">
    <w:abstractNumId w:val="2"/>
  </w:num>
  <w:num w:numId="5" w16cid:durableId="1854373220">
    <w:abstractNumId w:val="5"/>
  </w:num>
  <w:num w:numId="6" w16cid:durableId="1469476464">
    <w:abstractNumId w:val="1"/>
  </w:num>
  <w:num w:numId="7" w16cid:durableId="4842748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208C"/>
    <w:rsid w:val="000410E3"/>
    <w:rsid w:val="000673D9"/>
    <w:rsid w:val="00082C69"/>
    <w:rsid w:val="0008758B"/>
    <w:rsid w:val="000A4A80"/>
    <w:rsid w:val="000C3D49"/>
    <w:rsid w:val="000D5D27"/>
    <w:rsid w:val="00102FEB"/>
    <w:rsid w:val="00110D94"/>
    <w:rsid w:val="00113FCB"/>
    <w:rsid w:val="001243B3"/>
    <w:rsid w:val="00182733"/>
    <w:rsid w:val="001D7A68"/>
    <w:rsid w:val="00210569"/>
    <w:rsid w:val="00243795"/>
    <w:rsid w:val="002830EC"/>
    <w:rsid w:val="002B252C"/>
    <w:rsid w:val="0030409B"/>
    <w:rsid w:val="00321522"/>
    <w:rsid w:val="00382F6D"/>
    <w:rsid w:val="00427202"/>
    <w:rsid w:val="004478FB"/>
    <w:rsid w:val="00477058"/>
    <w:rsid w:val="00493CE9"/>
    <w:rsid w:val="004A0A9D"/>
    <w:rsid w:val="00526540"/>
    <w:rsid w:val="0053208C"/>
    <w:rsid w:val="00535CF5"/>
    <w:rsid w:val="005406DB"/>
    <w:rsid w:val="005657F9"/>
    <w:rsid w:val="005B4BC5"/>
    <w:rsid w:val="005E6E81"/>
    <w:rsid w:val="006104FF"/>
    <w:rsid w:val="006437CC"/>
    <w:rsid w:val="006B038C"/>
    <w:rsid w:val="006C710C"/>
    <w:rsid w:val="00760C44"/>
    <w:rsid w:val="0083267C"/>
    <w:rsid w:val="0085677C"/>
    <w:rsid w:val="008769D0"/>
    <w:rsid w:val="00884B4D"/>
    <w:rsid w:val="00923A36"/>
    <w:rsid w:val="009346E8"/>
    <w:rsid w:val="00944FA1"/>
    <w:rsid w:val="00A57FF1"/>
    <w:rsid w:val="00A7143E"/>
    <w:rsid w:val="00AA33BF"/>
    <w:rsid w:val="00B1483F"/>
    <w:rsid w:val="00B7155E"/>
    <w:rsid w:val="00BB6EB1"/>
    <w:rsid w:val="00C059DE"/>
    <w:rsid w:val="00C227AB"/>
    <w:rsid w:val="00C26A63"/>
    <w:rsid w:val="00CA76D4"/>
    <w:rsid w:val="00D23F64"/>
    <w:rsid w:val="00D347F8"/>
    <w:rsid w:val="00D4783F"/>
    <w:rsid w:val="00D527C0"/>
    <w:rsid w:val="00D5340D"/>
    <w:rsid w:val="00DF49E3"/>
    <w:rsid w:val="00E22D33"/>
    <w:rsid w:val="00E2641D"/>
    <w:rsid w:val="00E75D05"/>
    <w:rsid w:val="00EA2DEC"/>
    <w:rsid w:val="00FB6875"/>
    <w:rsid w:val="00FC2FD5"/>
    <w:rsid w:val="00FC40B5"/>
    <w:rsid w:val="00FC4A9A"/>
    <w:rsid w:val="00FE191E"/>
    <w:rsid w:val="00FE39CD"/>
    <w:rsid w:val="55DDF5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F03D7"/>
  <w15:docId w15:val="{0F1C3003-C280-4797-92AC-2656C7E62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jc w:val="center"/>
    </w:pPr>
    <w:rPr>
      <w:rFonts w:eastAsia="Times New Roman" w:cs="Times New Roman"/>
      <w:szCs w:val="24"/>
      <w:lang w:val="lv-LV" w:eastAsia="lv-LV"/>
    </w:rPr>
  </w:style>
  <w:style w:type="paragraph" w:styleId="Heading1">
    <w:name w:val="heading 1"/>
    <w:basedOn w:val="Normal"/>
    <w:next w:val="Normal"/>
    <w:link w:val="Heading1Char"/>
    <w:uiPriority w:val="9"/>
    <w:qFormat/>
    <w:pPr>
      <w:keepNext/>
      <w:keepLines/>
      <w:spacing w:before="480" w:after="200"/>
      <w:outlineLvl w:val="0"/>
    </w:pPr>
    <w:rPr>
      <w:rFonts w:ascii="Arial" w:eastAsia="Arial" w:hAnsi="Arial" w:cs="Arial"/>
      <w:sz w:val="40"/>
      <w:szCs w:val="40"/>
    </w:rPr>
  </w:style>
  <w:style w:type="paragraph" w:styleId="Heading2">
    <w:name w:val="heading 2"/>
    <w:basedOn w:val="Normal"/>
    <w:next w:val="Normal"/>
    <w:link w:val="Heading2Char"/>
    <w:uiPriority w:val="9"/>
    <w:unhideWhenUsed/>
    <w:qFormat/>
    <w:pPr>
      <w:keepNext/>
      <w:keepLines/>
      <w:spacing w:before="360" w:after="200"/>
      <w:outlineLvl w:val="1"/>
    </w:pPr>
    <w:rPr>
      <w:rFonts w:ascii="Arial" w:eastAsia="Arial" w:hAnsi="Arial" w:cs="Arial"/>
      <w:sz w:val="34"/>
    </w:rPr>
  </w:style>
  <w:style w:type="paragraph" w:styleId="Heading3">
    <w:name w:val="heading 3"/>
    <w:basedOn w:val="Normal"/>
    <w:next w:val="Normal"/>
    <w:link w:val="Heading3Char"/>
    <w:uiPriority w:val="9"/>
    <w:unhideWhenUsed/>
    <w:qFormat/>
    <w:pPr>
      <w:keepNext/>
      <w:keepLines/>
      <w:spacing w:before="320" w:after="200"/>
      <w:outlineLvl w:val="2"/>
    </w:pPr>
    <w:rPr>
      <w:rFonts w:ascii="Arial" w:eastAsia="Arial" w:hAnsi="Arial" w:cs="Arial"/>
      <w:sz w:val="30"/>
      <w:szCs w:val="30"/>
    </w:rPr>
  </w:style>
  <w:style w:type="paragraph" w:styleId="Heading4">
    <w:name w:val="heading 4"/>
    <w:basedOn w:val="Normal"/>
    <w:next w:val="Normal"/>
    <w:link w:val="Heading4Char"/>
    <w:uiPriority w:val="9"/>
    <w:unhideWhenUsed/>
    <w:qFormat/>
    <w:pPr>
      <w:keepNext/>
      <w:keepLines/>
      <w:spacing w:before="320" w:after="200"/>
      <w:outlineLvl w:val="3"/>
    </w:pPr>
    <w:rPr>
      <w:rFonts w:ascii="Arial" w:eastAsia="Arial" w:hAnsi="Arial" w:cs="Arial"/>
      <w:b/>
      <w:bCs/>
      <w:sz w:val="26"/>
      <w:szCs w:val="26"/>
    </w:rPr>
  </w:style>
  <w:style w:type="paragraph" w:styleId="Heading5">
    <w:name w:val="heading 5"/>
    <w:basedOn w:val="Normal"/>
    <w:next w:val="Normal"/>
    <w:link w:val="Heading5Char"/>
    <w:uiPriority w:val="9"/>
    <w:unhideWhenUsed/>
    <w:qFormat/>
    <w:pPr>
      <w:keepNext/>
      <w:keepLines/>
      <w:spacing w:before="320" w:after="200"/>
      <w:outlineLvl w:val="4"/>
    </w:pPr>
    <w:rPr>
      <w:rFonts w:ascii="Arial" w:eastAsia="Arial" w:hAnsi="Arial" w:cs="Arial"/>
      <w:b/>
      <w:bCs/>
    </w:rPr>
  </w:style>
  <w:style w:type="paragraph" w:styleId="Heading6">
    <w:name w:val="heading 6"/>
    <w:basedOn w:val="Normal"/>
    <w:next w:val="Normal"/>
    <w:link w:val="Heading6Char"/>
    <w:uiPriority w:val="9"/>
    <w:unhideWhenUsed/>
    <w:qFormat/>
    <w:pPr>
      <w:keepNext/>
      <w:keepLines/>
      <w:spacing w:before="320" w:after="200"/>
      <w:outlineLvl w:val="5"/>
    </w:pPr>
    <w:rPr>
      <w:rFonts w:ascii="Arial" w:eastAsia="Arial" w:hAnsi="Arial" w:cs="Arial"/>
      <w:b/>
      <w:bCs/>
      <w:sz w:val="22"/>
      <w:szCs w:val="22"/>
    </w:rPr>
  </w:style>
  <w:style w:type="paragraph" w:styleId="Heading7">
    <w:name w:val="heading 7"/>
    <w:basedOn w:val="Normal"/>
    <w:next w:val="Normal"/>
    <w:link w:val="Heading7Char"/>
    <w:uiPriority w:val="9"/>
    <w:unhideWhenUsed/>
    <w:qFormat/>
    <w:pPr>
      <w:keepNext/>
      <w:keepLines/>
      <w:spacing w:before="320" w:after="200"/>
      <w:outlineLvl w:val="6"/>
    </w:pPr>
    <w:rPr>
      <w:rFonts w:ascii="Arial" w:eastAsia="Arial" w:hAnsi="Arial" w:cs="Arial"/>
      <w:b/>
      <w:bCs/>
      <w:i/>
      <w:iCs/>
      <w:sz w:val="22"/>
      <w:szCs w:val="22"/>
    </w:rPr>
  </w:style>
  <w:style w:type="paragraph" w:styleId="Heading8">
    <w:name w:val="heading 8"/>
    <w:basedOn w:val="Normal"/>
    <w:next w:val="Normal"/>
    <w:link w:val="Heading8Char"/>
    <w:uiPriority w:val="9"/>
    <w:unhideWhenUsed/>
    <w:qFormat/>
    <w:pPr>
      <w:keepNext/>
      <w:keepLines/>
      <w:spacing w:before="320" w:after="200"/>
      <w:outlineLvl w:val="7"/>
    </w:pPr>
    <w:rPr>
      <w:rFonts w:ascii="Arial" w:eastAsia="Arial" w:hAnsi="Arial" w:cs="Arial"/>
      <w:i/>
      <w:iCs/>
      <w:sz w:val="22"/>
      <w:szCs w:val="22"/>
    </w:rPr>
  </w:style>
  <w:style w:type="paragraph" w:styleId="Heading9">
    <w:name w:val="heading 9"/>
    <w:basedOn w:val="Normal"/>
    <w:next w:val="Normal"/>
    <w:link w:val="Heading9Char"/>
    <w:uiPriority w:val="9"/>
    <w:unhideWhenUsed/>
    <w:qFormat/>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Arial" w:eastAsia="Arial" w:hAnsi="Arial" w:cs="Arial"/>
      <w:sz w:val="40"/>
      <w:szCs w:val="40"/>
    </w:rPr>
  </w:style>
  <w:style w:type="character" w:customStyle="1" w:styleId="Heading2Char">
    <w:name w:val="Heading 2 Char"/>
    <w:basedOn w:val="DefaultParagraphFont"/>
    <w:link w:val="Heading2"/>
    <w:uiPriority w:val="9"/>
    <w:rPr>
      <w:rFonts w:ascii="Arial" w:eastAsia="Arial" w:hAnsi="Arial" w:cs="Arial"/>
      <w:sz w:val="3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NoSpacing">
    <w:name w:val="No Spacing"/>
    <w:uiPriority w:val="1"/>
    <w:qFormat/>
    <w:pPr>
      <w:spacing w:after="0" w:line="240" w:lineRule="auto"/>
    </w:pPr>
  </w:style>
  <w:style w:type="paragraph" w:styleId="Title">
    <w:name w:val="Title"/>
    <w:basedOn w:val="Normal"/>
    <w:next w:val="Normal"/>
    <w:link w:val="TitleChar"/>
    <w:uiPriority w:val="10"/>
    <w:qFormat/>
    <w:pPr>
      <w:spacing w:before="300" w:after="200"/>
      <w:contextualSpacing/>
    </w:pPr>
    <w:rPr>
      <w:sz w:val="48"/>
      <w:szCs w:val="48"/>
    </w:rPr>
  </w:style>
  <w:style w:type="character" w:customStyle="1" w:styleId="TitleChar">
    <w:name w:val="Title Char"/>
    <w:basedOn w:val="DefaultParagraphFont"/>
    <w:link w:val="Title"/>
    <w:uiPriority w:val="10"/>
    <w:rPr>
      <w:sz w:val="48"/>
      <w:szCs w:val="48"/>
    </w:rPr>
  </w:style>
  <w:style w:type="paragraph" w:styleId="Subtitle">
    <w:name w:val="Subtitle"/>
    <w:basedOn w:val="Normal"/>
    <w:next w:val="Normal"/>
    <w:link w:val="SubtitleChar"/>
    <w:uiPriority w:val="11"/>
    <w:qFormat/>
    <w:pPr>
      <w:spacing w:before="200" w:after="200"/>
    </w:p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paragraph" w:styleId="Caption">
    <w:name w:val="caption"/>
    <w:basedOn w:val="Normal"/>
    <w:next w:val="Normal"/>
    <w:uiPriority w:val="35"/>
    <w:semiHidden/>
    <w:unhideWhenUsed/>
    <w:qFormat/>
    <w:pPr>
      <w:spacing w:line="276" w:lineRule="auto"/>
    </w:pPr>
    <w:rPr>
      <w:b/>
      <w:bCs/>
      <w:color w:val="4472C4" w:themeColor="accent1"/>
      <w:sz w:val="18"/>
      <w:szCs w:val="18"/>
    </w:rPr>
  </w:style>
  <w:style w:type="character" w:customStyle="1" w:styleId="CaptionChar">
    <w:name w:val="Caption Char"/>
    <w:uiPriority w:val="99"/>
  </w:style>
  <w:style w:type="table" w:styleId="TableGrid">
    <w:name w:val="Table Grid"/>
    <w:basedOn w:val="Table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Light">
    <w:name w:val="Grid Table Light"/>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lainTable2">
    <w:name w:val="Plain Table 2"/>
    <w:basedOn w:val="Table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basedOn w:val="Table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basedOn w:val="Table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1Light-Accent1">
    <w:name w:val="Grid Table 1 Light Accent 1"/>
    <w:basedOn w:val="Table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styleId="GridTable1Light-Accent2">
    <w:name w:val="Grid Table 1 Light Accent 2"/>
    <w:basedOn w:val="Table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styleId="GridTable1Light-Accent3">
    <w:name w:val="Grid Table 1 Light Accent 3"/>
    <w:basedOn w:val="Table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styleId="GridTable1Light-Accent4">
    <w:name w:val="Grid Table 1 Light Accent 4"/>
    <w:basedOn w:val="Table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styleId="GridTable1Light-Accent5">
    <w:name w:val="Grid Table 1 Light Accent 5"/>
    <w:basedOn w:val="Table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styleId="GridTable1Light-Accent6">
    <w:name w:val="Grid Table 1 Light Accent 6"/>
    <w:basedOn w:val="Table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ridTable2">
    <w:name w:val="Grid Table 2"/>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2-Accent1">
    <w:name w:val="Grid Table 2 Accent 1"/>
    <w:basedOn w:val="Table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styleId="GridTable2-Accent2">
    <w:name w:val="Grid Table 2 Accent 2"/>
    <w:basedOn w:val="Table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2-Accent3">
    <w:name w:val="Grid Table 2 Accent 3"/>
    <w:basedOn w:val="Table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2-Accent4">
    <w:name w:val="Grid Table 2 Accent 4"/>
    <w:basedOn w:val="Table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2-Accent5">
    <w:name w:val="Grid Table 2 Accent 5"/>
    <w:basedOn w:val="Table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styleId="GridTable2-Accent6">
    <w:name w:val="Grid Table 2 Accent 6"/>
    <w:basedOn w:val="Table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3">
    <w:name w:val="Grid Table 3"/>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3-Accent1">
    <w:name w:val="Grid Table 3 Accent 1"/>
    <w:basedOn w:val="Table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styleId="GridTable3-Accent2">
    <w:name w:val="Grid Table 3 Accent 2"/>
    <w:basedOn w:val="Table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3-Accent3">
    <w:name w:val="Grid Table 3 Accent 3"/>
    <w:basedOn w:val="Table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3-Accent4">
    <w:name w:val="Grid Table 3 Accent 4"/>
    <w:basedOn w:val="Table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3-Accent5">
    <w:name w:val="Grid Table 3 Accent 5"/>
    <w:basedOn w:val="Table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styleId="GridTable3-Accent6">
    <w:name w:val="Grid Table 3 Accent 6"/>
    <w:basedOn w:val="Table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4">
    <w:name w:val="Grid Table 4"/>
    <w:basedOn w:val="Table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4-Accent1">
    <w:name w:val="Grid Table 4 Accent 1"/>
    <w:basedOn w:val="TableNormal"/>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styleId="GridTable4-Accent2">
    <w:name w:val="Grid Table 4 Accent 2"/>
    <w:basedOn w:val="Table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4-Accent3">
    <w:name w:val="Grid Table 4 Accent 3"/>
    <w:basedOn w:val="Table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4-Accent4">
    <w:name w:val="Grid Table 4 Accent 4"/>
    <w:basedOn w:val="Table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4-Accent5">
    <w:name w:val="Grid Table 4 Accent 5"/>
    <w:basedOn w:val="TableNormal"/>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styleId="GridTable4-Accent6">
    <w:name w:val="Grid Table 4 Accent 6"/>
    <w:basedOn w:val="Table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5Dark">
    <w:name w:val="Grid Table 5 Dark"/>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styleId="GridTable5Dark-Accent2">
    <w:name w:val="Grid Table 5 Dark Accent 2"/>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styleId="GridTable5Dark-Accent3">
    <w:name w:val="Grid Table 5 Dark Accent 3"/>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styleId="GridTable5Dark-Accent5">
    <w:name w:val="Grid Table 5 Dark Accent 5"/>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styleId="GridTable5Dark-Accent6">
    <w:name w:val="Grid Table 5 Dark Accent 6"/>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ridTable6Colorful">
    <w:name w:val="Grid Table 6 Colorful"/>
    <w:basedOn w:val="Table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ridTable6Colorful-Accent1">
    <w:name w:val="Grid Table 6 Colorful Accent 1"/>
    <w:basedOn w:val="TableNormal"/>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styleId="GridTable6Colorful-Accent2">
    <w:name w:val="Grid Table 6 Colorful Accent 2"/>
    <w:basedOn w:val="Table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styleId="GridTable6Colorful-Accent3">
    <w:name w:val="Grid Table 6 Colorful Accent 3"/>
    <w:basedOn w:val="Table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styleId="GridTable6Colorful-Accent4">
    <w:name w:val="Grid Table 6 Colorful Accent 4"/>
    <w:basedOn w:val="Table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styleId="GridTable6Colorful-Accent5">
    <w:name w:val="Grid Table 6 Colorful Accent 5"/>
    <w:basedOn w:val="TableNormal"/>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styleId="GridTable6Colorful-Accent6">
    <w:name w:val="Grid Table 6 Colorful Accent 6"/>
    <w:basedOn w:val="Table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GridTable7Colorful">
    <w:name w:val="Grid Table 7 Colorful"/>
    <w:basedOn w:val="Table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GridTable7Colorful-Accent1">
    <w:name w:val="Grid Table 7 Colorful Accent 1"/>
    <w:basedOn w:val="TableNormal"/>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styleId="GridTable7Colorful-Accent2">
    <w:name w:val="Grid Table 7 Colorful Accent 2"/>
    <w:basedOn w:val="Table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styleId="GridTable7Colorful-Accent3">
    <w:name w:val="Grid Table 7 Colorful Accent 3"/>
    <w:basedOn w:val="Table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styleId="GridTable7Colorful-Accent4">
    <w:name w:val="Grid Table 7 Colorful Accent 4"/>
    <w:basedOn w:val="Table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styleId="GridTable7Colorful-Accent5">
    <w:name w:val="Grid Table 7 Colorful Accent 5"/>
    <w:basedOn w:val="TableNormal"/>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styleId="GridTable7Colorful-Accent6">
    <w:name w:val="Grid Table 7 Colorful Accent 6"/>
    <w:basedOn w:val="Table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Table1Light">
    <w:name w:val="List Table 1 Light"/>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Table1Light-Accent1">
    <w:name w:val="List Table 1 Light Accent 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styleId="ListTable1Light-Accent2">
    <w:name w:val="List Table 1 Light Accent 2"/>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styleId="ListTable1Light-Accent3">
    <w:name w:val="List Table 1 Light Accent 3"/>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styleId="ListTable1Light-Accent4">
    <w:name w:val="List Table 1 Light Accent 4"/>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styleId="ListTable1Light-Accent5">
    <w:name w:val="List Table 1 Light Accent 5"/>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styleId="ListTable1Light-Accent6">
    <w:name w:val="List Table 1 Light Accent 6"/>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Table2">
    <w:name w:val="List Table 2"/>
    <w:basedOn w:val="Table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2-Accent1">
    <w:name w:val="List Table 2 Accent 1"/>
    <w:basedOn w:val="TableNormal"/>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styleId="ListTable2-Accent2">
    <w:name w:val="List Table 2 Accent 2"/>
    <w:basedOn w:val="Table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styleId="ListTable2-Accent3">
    <w:name w:val="List Table 2 Accent 3"/>
    <w:basedOn w:val="Table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styleId="ListTable2-Accent4">
    <w:name w:val="List Table 2 Accent 4"/>
    <w:basedOn w:val="Table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styleId="ListTable2-Accent5">
    <w:name w:val="List Table 2 Accent 5"/>
    <w:basedOn w:val="TableNormal"/>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styleId="ListTable2-Accent6">
    <w:name w:val="List Table 2 Accent 6"/>
    <w:basedOn w:val="Table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Table3">
    <w:name w:val="List Table 3"/>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basedOn w:val="TableNormal"/>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styleId="ListTable3-Accent2">
    <w:name w:val="List Table 3 Accent 2"/>
    <w:basedOn w:val="Table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styleId="ListTable3-Accent3">
    <w:name w:val="List Table 3 Accent 3"/>
    <w:basedOn w:val="Table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styleId="ListTable3-Accent4">
    <w:name w:val="List Table 3 Accent 4"/>
    <w:basedOn w:val="Table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styleId="ListTable3-Accent5">
    <w:name w:val="List Table 3 Accent 5"/>
    <w:basedOn w:val="TableNormal"/>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styleId="ListTable3-Accent6">
    <w:name w:val="List Table 3 Accent 6"/>
    <w:basedOn w:val="Table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Table4">
    <w:name w:val="List Table 4"/>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4-Accent1">
    <w:name w:val="List Table 4 Accent 1"/>
    <w:basedOn w:val="TableNormal"/>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styleId="ListTable4-Accent2">
    <w:name w:val="List Table 4 Accent 2"/>
    <w:basedOn w:val="Table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styleId="ListTable4-Accent3">
    <w:name w:val="List Table 4 Accent 3"/>
    <w:basedOn w:val="Table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styleId="ListTable4-Accent4">
    <w:name w:val="List Table 4 Accent 4"/>
    <w:basedOn w:val="Table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styleId="ListTable4-Accent5">
    <w:name w:val="List Table 4 Accent 5"/>
    <w:basedOn w:val="TableNormal"/>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styleId="ListTable4-Accent6">
    <w:name w:val="List Table 4 Accent 6"/>
    <w:basedOn w:val="Table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Table5Dark">
    <w:name w:val="List Table 5 Dark"/>
    <w:basedOn w:val="Table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Table5Dark-Accent1">
    <w:name w:val="List Table 5 Dark Accent 1"/>
    <w:basedOn w:val="TableNormal"/>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styleId="ListTable5Dark-Accent2">
    <w:name w:val="List Table 5 Dark Accent 2"/>
    <w:basedOn w:val="Table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styleId="ListTable5Dark-Accent3">
    <w:name w:val="List Table 5 Dark Accent 3"/>
    <w:basedOn w:val="Table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styleId="ListTable5Dark-Accent4">
    <w:name w:val="List Table 5 Dark Accent 4"/>
    <w:basedOn w:val="Table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styleId="ListTable5Dark-Accent5">
    <w:name w:val="List Table 5 Dark Accent 5"/>
    <w:basedOn w:val="TableNormal"/>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styleId="ListTable5Dark-Accent6">
    <w:name w:val="List Table 5 Dark Accent 6"/>
    <w:basedOn w:val="Table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Table6Colorful">
    <w:name w:val="List Table 6 Colorful"/>
    <w:basedOn w:val="Table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Table6Colorful-Accent1">
    <w:name w:val="List Table 6 Colorful Accent 1"/>
    <w:basedOn w:val="TableNormal"/>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styleId="ListTable6Colorful-Accent2">
    <w:name w:val="List Table 6 Colorful Accent 2"/>
    <w:basedOn w:val="Table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styleId="ListTable6Colorful-Accent3">
    <w:name w:val="List Table 6 Colorful Accent 3"/>
    <w:basedOn w:val="Table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styleId="ListTable6Colorful-Accent4">
    <w:name w:val="List Table 6 Colorful Accent 4"/>
    <w:basedOn w:val="Table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styleId="ListTable6Colorful-Accent5">
    <w:name w:val="List Table 6 Colorful Accent 5"/>
    <w:basedOn w:val="TableNormal"/>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styleId="ListTable6Colorful-Accent6">
    <w:name w:val="List Table 6 Colorful Accent 6"/>
    <w:basedOn w:val="Table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Table7Colorful">
    <w:name w:val="List Table 7 Colorful"/>
    <w:basedOn w:val="Table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styleId="ListTable7Colorful-Accent1">
    <w:name w:val="List Table 7 Colorful Accent 1"/>
    <w:basedOn w:val="TableNormal"/>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styleId="ListTable7Colorful-Accent2">
    <w:name w:val="List Table 7 Colorful Accent 2"/>
    <w:basedOn w:val="Table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styleId="ListTable7Colorful-Accent3">
    <w:name w:val="List Table 7 Colorful Accent 3"/>
    <w:basedOn w:val="Table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styleId="ListTable7Colorful-Accent4">
    <w:name w:val="List Table 7 Colorful Accent 4"/>
    <w:basedOn w:val="Table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styleId="ListTable7Colorful-Accent5">
    <w:name w:val="List Table 7 Colorful Accent 5"/>
    <w:basedOn w:val="TableNormal"/>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styleId="ListTable7Colorful-Accent6">
    <w:name w:val="List Table 7 Colorful Accent 6"/>
    <w:basedOn w:val="Table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Normal"/>
    <w:uiPriority w:val="99"/>
    <w:pPr>
      <w:spacing w:after="0" w:line="240" w:lineRule="auto"/>
    </w:pPr>
    <w:rPr>
      <w:color w:val="404040"/>
      <w:sz w:val="20"/>
      <w:szCs w:val="20"/>
      <w:lang w:val="lv-LV" w:eastAsia="lv-LV"/>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pPr>
      <w:spacing w:after="0" w:line="240" w:lineRule="auto"/>
    </w:pPr>
    <w:rPr>
      <w:color w:val="404040"/>
      <w:sz w:val="20"/>
      <w:szCs w:val="20"/>
      <w:lang w:val="lv-LV" w:eastAsia="lv-LV"/>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leNormal"/>
    <w:uiPriority w:val="99"/>
    <w:pPr>
      <w:spacing w:after="0" w:line="240" w:lineRule="auto"/>
    </w:pPr>
    <w:rPr>
      <w:color w:val="404040"/>
      <w:sz w:val="20"/>
      <w:szCs w:val="20"/>
      <w:lang w:val="lv-LV" w:eastAsia="lv-LV"/>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Normal"/>
    <w:uiPriority w:val="99"/>
    <w:pPr>
      <w:spacing w:after="0" w:line="240" w:lineRule="auto"/>
    </w:pPr>
    <w:rPr>
      <w:color w:val="404040"/>
      <w:sz w:val="20"/>
      <w:szCs w:val="20"/>
      <w:lang w:val="lv-LV" w:eastAsia="lv-LV"/>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Normal"/>
    <w:uiPriority w:val="99"/>
    <w:pPr>
      <w:spacing w:after="0" w:line="240" w:lineRule="auto"/>
    </w:pPr>
    <w:rPr>
      <w:color w:val="404040"/>
      <w:sz w:val="20"/>
      <w:szCs w:val="20"/>
      <w:lang w:val="lv-LV" w:eastAsia="lv-LV"/>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Normal"/>
    <w:uiPriority w:val="99"/>
    <w:pPr>
      <w:spacing w:after="0" w:line="240" w:lineRule="auto"/>
    </w:pPr>
    <w:rPr>
      <w:color w:val="404040"/>
      <w:sz w:val="20"/>
      <w:szCs w:val="20"/>
      <w:lang w:val="lv-LV" w:eastAsia="lv-LV"/>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leNormal"/>
    <w:uiPriority w:val="99"/>
    <w:pPr>
      <w:spacing w:after="0" w:line="240" w:lineRule="auto"/>
    </w:pPr>
    <w:rPr>
      <w:color w:val="404040"/>
      <w:sz w:val="20"/>
      <w:szCs w:val="20"/>
      <w:lang w:val="lv-LV" w:eastAsia="lv-LV"/>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Normal"/>
    <w:uiPriority w:val="99"/>
    <w:pPr>
      <w:spacing w:after="0" w:line="240" w:lineRule="auto"/>
    </w:pPr>
    <w:rPr>
      <w:color w:val="404040"/>
      <w:sz w:val="20"/>
      <w:szCs w:val="20"/>
      <w:lang w:val="lv-LV" w:eastAsia="lv-LV"/>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pPr>
      <w:spacing w:after="0" w:line="240" w:lineRule="auto"/>
    </w:pPr>
    <w:rPr>
      <w:color w:val="404040"/>
      <w:sz w:val="20"/>
      <w:szCs w:val="20"/>
      <w:lang w:val="lv-LV" w:eastAsia="lv-LV"/>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leNormal"/>
    <w:uiPriority w:val="99"/>
    <w:pPr>
      <w:spacing w:after="0" w:line="240" w:lineRule="auto"/>
    </w:pPr>
    <w:rPr>
      <w:color w:val="404040"/>
      <w:sz w:val="20"/>
      <w:szCs w:val="20"/>
      <w:lang w:val="lv-LV" w:eastAsia="lv-LV"/>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Normal"/>
    <w:uiPriority w:val="99"/>
    <w:pPr>
      <w:spacing w:after="0" w:line="240" w:lineRule="auto"/>
    </w:pPr>
    <w:rPr>
      <w:color w:val="404040"/>
      <w:sz w:val="20"/>
      <w:szCs w:val="20"/>
      <w:lang w:val="lv-LV" w:eastAsia="lv-LV"/>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Normal"/>
    <w:uiPriority w:val="99"/>
    <w:pPr>
      <w:spacing w:after="0" w:line="240" w:lineRule="auto"/>
    </w:pPr>
    <w:rPr>
      <w:color w:val="404040"/>
      <w:sz w:val="20"/>
      <w:szCs w:val="20"/>
      <w:lang w:val="lv-LV" w:eastAsia="lv-LV"/>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Normal"/>
    <w:uiPriority w:val="99"/>
    <w:pPr>
      <w:spacing w:after="0" w:line="240" w:lineRule="auto"/>
    </w:pPr>
    <w:rPr>
      <w:color w:val="404040"/>
      <w:sz w:val="20"/>
      <w:szCs w:val="20"/>
      <w:lang w:val="lv-LV" w:eastAsia="lv-LV"/>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leNormal"/>
    <w:uiPriority w:val="99"/>
    <w:pPr>
      <w:spacing w:after="0" w:line="240" w:lineRule="auto"/>
    </w:pPr>
    <w:rPr>
      <w:color w:val="404040"/>
      <w:sz w:val="20"/>
      <w:szCs w:val="20"/>
      <w:lang w:val="lv-LV" w:eastAsia="lv-LV"/>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FootnoteText">
    <w:name w:val="footnote text"/>
    <w:basedOn w:val="Normal"/>
    <w:link w:val="FootnoteTextChar"/>
    <w:uiPriority w:val="99"/>
    <w:semiHidden/>
    <w:unhideWhenUsed/>
    <w:pPr>
      <w:spacing w:after="40"/>
    </w:pPr>
    <w:rPr>
      <w:sz w:val="18"/>
    </w:rPr>
  </w:style>
  <w:style w:type="character" w:customStyle="1" w:styleId="FootnoteTextChar">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paragraph" w:styleId="EndnoteText">
    <w:name w:val="endnote text"/>
    <w:basedOn w:val="Normal"/>
    <w:link w:val="EndnoteTextChar"/>
    <w:uiPriority w:val="99"/>
    <w:semiHidden/>
    <w:unhideWhenUsed/>
    <w:rPr>
      <w:sz w:val="20"/>
    </w:rPr>
  </w:style>
  <w:style w:type="character" w:customStyle="1" w:styleId="EndnoteTextChar">
    <w:name w:val="Endnote Text Char"/>
    <w:link w:val="EndnoteText"/>
    <w:uiPriority w:val="99"/>
    <w:rPr>
      <w:sz w:val="20"/>
    </w:rPr>
  </w:style>
  <w:style w:type="character" w:styleId="EndnoteReference">
    <w:name w:val="endnote reference"/>
    <w:basedOn w:val="DefaultParagraphFont"/>
    <w:uiPriority w:val="99"/>
    <w:semiHidden/>
    <w:unhideWhenUsed/>
    <w:rPr>
      <w:vertAlign w:val="superscript"/>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style>
  <w:style w:type="paragraph" w:styleId="TableofFigures">
    <w:name w:val="table of figures"/>
    <w:basedOn w:val="Normal"/>
    <w:next w:val="Normal"/>
    <w:uiPriority w:val="99"/>
    <w:unhideWhenUsed/>
  </w:style>
  <w:style w:type="paragraph" w:customStyle="1" w:styleId="naisf">
    <w:name w:val="naisf"/>
    <w:basedOn w:val="Normal"/>
    <w:pPr>
      <w:spacing w:before="75" w:after="75"/>
      <w:ind w:firstLine="375"/>
      <w:jc w:val="both"/>
    </w:pPr>
  </w:style>
  <w:style w:type="paragraph" w:customStyle="1" w:styleId="naisnod">
    <w:name w:val="naisnod"/>
    <w:basedOn w:val="Normal"/>
    <w:uiPriority w:val="99"/>
    <w:pPr>
      <w:spacing w:before="150" w:after="150"/>
    </w:pPr>
    <w:rPr>
      <w:b/>
      <w:bCs/>
    </w:rPr>
  </w:style>
  <w:style w:type="paragraph" w:customStyle="1" w:styleId="naisc">
    <w:name w:val="naisc"/>
    <w:basedOn w:val="Normal"/>
    <w:pPr>
      <w:spacing w:before="75" w:after="75"/>
    </w:p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Pr>
      <w:color w:val="605E5C"/>
      <w:shd w:val="clear" w:color="auto" w:fill="E1DFDD"/>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eastAsia="Times New Roman" w:cs="Times New Roman"/>
      <w:szCs w:val="24"/>
      <w:lang w:val="lv-LV" w:eastAsia="lv-LV"/>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eastAsia="Times New Roman" w:cs="Times New Roman"/>
      <w:szCs w:val="24"/>
      <w:lang w:val="lv-LV" w:eastAsia="lv-LV"/>
    </w:rPr>
  </w:style>
  <w:style w:type="paragraph" w:styleId="NormalWeb">
    <w:name w:val="Normal (Web)"/>
    <w:basedOn w:val="Normal"/>
    <w:uiPriority w:val="99"/>
    <w:qFormat/>
    <w:pPr>
      <w:spacing w:before="75" w:after="75"/>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Dainis.Valdmanis@sam.gov.lv"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8</Pages>
  <Words>2047</Words>
  <Characters>11668</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13688</CharactersWithSpaces>
  <SharedDoc>false</SharedDoc>
  <HLinks>
    <vt:vector size="6" baseType="variant">
      <vt:variant>
        <vt:i4>1900607</vt:i4>
      </vt:variant>
      <vt:variant>
        <vt:i4>0</vt:i4>
      </vt:variant>
      <vt:variant>
        <vt:i4>0</vt:i4>
      </vt:variant>
      <vt:variant>
        <vt:i4>5</vt:i4>
      </vt:variant>
      <vt:variant>
        <vt:lpwstr>mailto:Dainis.Valdmanis@sam.gov.lv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Jūlija Undīne Dindune</dc:creator>
  <cp:keywords/>
  <dc:description/>
  <cp:lastModifiedBy>Dainis Valdmanis</cp:lastModifiedBy>
  <cp:revision>97</cp:revision>
  <dcterms:created xsi:type="dcterms:W3CDTF">2021-09-17T07:13:00Z</dcterms:created>
  <dcterms:modified xsi:type="dcterms:W3CDTF">2022-04-28T14:42:00Z</dcterms:modified>
</cp:coreProperties>
</file>