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6CBF2" w14:textId="3BDF0F35"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Tieslietu ministrija ir izskatījusi Zemkopības ministrijas izstrādāto Ministru kabineta noteikumu projektu "Valsts augu aizsardzības dienesta nolikums" (turpmāk – noteikumu projekts) un tā anotāciju un atbalsta to virzību, izsakot šādus iebildumus:</w:t>
      </w:r>
    </w:p>
    <w:p w14:paraId="147AD44A"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 </w:t>
      </w:r>
    </w:p>
    <w:p w14:paraId="472ED866"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1. Vēršam uzmanību, ka noteikumu projekts ir grūti lasāms un uztverams, daudzviet ietverti pārāk gari, detalizēti un smagnēji teikumi ar sarežģītām teikumu konstrukcijām. Līdz ar to netiek sasniegts viens no iestādes nolikuma mērķiem – lasītājam dot skaidru priekšstatu par iestādes funkcijām un uzdevumiem. Attiecīgi lūdzam pārskatīt noteikumu projektu un to pēc iespējas vienkāršot, padarot to lasītājam vieglāk uztveramu.</w:t>
      </w:r>
    </w:p>
    <w:p w14:paraId="6B309FC3"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Piemēram:</w:t>
      </w:r>
      <w:r w:rsidRPr="00C35E19">
        <w:rPr>
          <w:rStyle w:val="apple-converted-space"/>
          <w:color w:val="002060"/>
        </w:rPr>
        <w:t> </w:t>
      </w:r>
    </w:p>
    <w:p w14:paraId="436DEC75"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1) noteikumu projekta 2. punktā iekļauts dienesta darbības mērķis, tā formulējumā izmantojot daudzus palīgteikumus, rezultātā izveidojot ļoti garu un grūti uztveramu teikumu. Vēršam uzmanību, ka iestādes darbības mērķis ir vēlamais stāvoklis, ko valdība vēlas sasniegt iestādes darbības rezultātā;</w:t>
      </w:r>
    </w:p>
    <w:p w14:paraId="6B151EA4"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2) noteikumu projektā iekļautās normas dažviet nevajadzīgi dublē citos speciālajos normatīvajos aktos jau noteiktās dienesta funkcijas un ļoti detalizēti pārraksta uzdevumus. Vēršam uzmanību, ka, kaut arī Valsts pārvaldes iekārtas likuma 16. panta otrās daļas 3. punkts nosaka, ka iestādes nolikumā norāda iestādes funkcijas, tas nenozīmē, ka tiešās pārvaldes iestādes funkcijas var noteikt tikai nolikumā. Nolikumā norāda tās tiešās pārvaldes iestādes funkcijas, kuras nav minētas speciālajā likumā, ņemot vērā, ka speciālajā likumā ieteicams ietvert tās iestādes funkcijas, ar kurām tiek ierobežotas cilvēka tiesības un brīvības, aizskartas privātpersonu tiesības un intereses, kā arī funkcijas, kuras attiecas uz administratīvo aktu izdošanu. Ja speciālajā likumā ir noteiktas tiešās pārvaldes funkcijas, nolikumā norāda funkcijas, kuras tai ir papildus attiecīgajā likumā noteiktajām funkcijām. Tātad, ja iestādes funkcija (funkcijas) ir noteikta likumā, to nav nepieciešams pārrakstīt noteikumos, bet var atsaukties uz likuma normu, kurā funkcija ir minēta. Attiecīgi</w:t>
      </w:r>
      <w:r>
        <w:rPr>
          <w:b/>
          <w:bCs/>
          <w:i/>
          <w:iCs/>
          <w:color w:val="002060"/>
        </w:rPr>
        <w:t xml:space="preserve"> </w:t>
      </w:r>
      <w:r w:rsidRPr="00C35E19">
        <w:rPr>
          <w:color w:val="002060"/>
        </w:rPr>
        <w:t>lūdzam pārskatīt noteikumu projektu un, kur iespējams, funkciju pārrakstīšanas vietā iekļaut piemērotu atsauci uz attiecīgajiem speciālajiem normatīvajiem aktiem (iekļaujot norādi uz attiecīgo jomu), kuros noteiktas attiecīgās funkcijas;</w:t>
      </w:r>
      <w:r w:rsidRPr="00C35E19">
        <w:rPr>
          <w:rStyle w:val="apple-converted-space"/>
          <w:color w:val="002060"/>
        </w:rPr>
        <w:t> </w:t>
      </w:r>
    </w:p>
    <w:p w14:paraId="24456720"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3) aicinām izvērtēt nepieciešamību iekļaut vispārīgas un smagnēji izteiktas normas, kuras turklāt izriet no citiem normatīvajiem aktiem, nepieciešamības gadījumā tās vienkāršojot (sk., piemēram, 4.43. apakšpunktu);</w:t>
      </w:r>
    </w:p>
    <w:p w14:paraId="1591FFAF"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4) dažviet uzdevumi ir aprakstīti pārāk detalizēti, attiecīgi rosinām tos aprakstīt vispārīgāk. Piemēram, 4.48. apakšpunktā aprakstīto varētu izteikt, iespējams, šādi: “piedalīties starptautisko institūciju, t.sk. (norādīt dažas institūcijas), darba grupās un sanāksmēs dienesta kompetencē esošajās jomās”. Vēršam uzmanību, ka arī 5.5. apakšpunkts varētu tikt vienkāršots, izsakot to, piemēram, šādi: “sadarboties ar citu valstu iestādēm, starpvalstu vai starptautiskajām organizācijām”;</w:t>
      </w:r>
    </w:p>
    <w:p w14:paraId="1D0A93E0"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5) noteikumu projekta 5.4. apakšpunkts ir izteikts pārāk vispārīgi, attiecīgi nepieciešams konkretizēt, par kādām nelikumīgām darbībām ir runa.</w:t>
      </w:r>
    </w:p>
    <w:p w14:paraId="7802B4FB"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 Aicinām izvērtēt nepieciešamību noteikumu projektā atsaukties uz Eiropas Savienības regulām (sk. pie iestādes funkcijām 3.9.1.-3.9.3. apakšpunktu, pie iestādes uzdevumiem 4.19., 4.20., 4.32. apakšpunktu). 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(sk. Eiropas Savienības Tiesas spriedumu lietā Nr. 39/72</w:t>
      </w:r>
      <w:r w:rsidRPr="00C35E19">
        <w:rPr>
          <w:rStyle w:val="apple-converted-space"/>
          <w:color w:val="002060"/>
        </w:rPr>
        <w:t> </w:t>
      </w:r>
      <w:r w:rsidRPr="00C35E19">
        <w:rPr>
          <w:color w:val="002060"/>
        </w:rPr>
        <w:t xml:space="preserve">Komisija pret Itāliju). Tomēr dalībvalstij ir pienākums nodrošināt tādu normatīvo bāzi, lai regulas būtu iespējams tieši piemērot. Tātad, dalībvalsts izstrādā tiesību aktus regulas piemērošanai tikai gadījumos, ja </w:t>
      </w:r>
      <w:r w:rsidRPr="00C35E19">
        <w:rPr>
          <w:color w:val="002060"/>
        </w:rPr>
        <w:lastRenderedPageBreak/>
        <w:t>regulā ir tieši paredzēts dalībvalstij kāds konkrēts pienākums, piemēram, jānosaka kompetentā vai atbildīgā iestāde.</w:t>
      </w:r>
      <w:r w:rsidRPr="00C35E19">
        <w:rPr>
          <w:rStyle w:val="apple-converted-space"/>
          <w:color w:val="002060"/>
        </w:rPr>
        <w:t> </w:t>
      </w:r>
    </w:p>
    <w:p w14:paraId="1AE5FBD8"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Papildus vēršam uzmanību arī uz noteikumu projekta anotācijā norādīto: “Uzdevumi, kas izriet no Augu veselības Regulas ir uzskaitīti noteikumu projekta  4.1., 4.2. un 4.4. apakšpunktos; no Regulas 1107/2009 izrietošie uzdevumi noteikti 4.14.- 4.17. apakšpunktos;  no Regulas 2019/1009 izriet uzdevums, kas noteikts 4.33. apakšpunktā.” Aicinām izvērtēt, vai ar šādu normu (un, iespējams, arī citu normu, piemēram, 4.18., 4.22., 4.30. apakšpunktu) formulējumu nolikuma projektā netiek dublētas attiecīgo regulu normas, kas, ņemot vērā jau iepriekš aprakstīto regulu pārņemšanas aizliegumu, nav atļauts. Turklāt norādām, ka atbilstoši Eiropas Savienības Tiesas spriedumam lietā 34/73</w:t>
      </w:r>
      <w:r w:rsidRPr="00C35E19">
        <w:rPr>
          <w:rStyle w:val="apple-converted-space"/>
          <w:color w:val="002060"/>
        </w:rPr>
        <w:t> </w:t>
      </w:r>
      <w:r w:rsidRPr="00C35E19">
        <w:rPr>
          <w:color w:val="002060"/>
        </w:rPr>
        <w:t>Fratelli Variola S.p.A. v Amministrazione italiana delle Finanze</w:t>
      </w:r>
      <w:r w:rsidRPr="00C35E19">
        <w:rPr>
          <w:rStyle w:val="apple-converted-space"/>
          <w:color w:val="002060"/>
        </w:rPr>
        <w:t> </w:t>
      </w:r>
      <w:r w:rsidRPr="00C35E19">
        <w:rPr>
          <w:color w:val="002060"/>
        </w:rPr>
        <w:t>„nav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14:paraId="03FB4E49"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Attiecīgi lūdzam izvērtēt, vai, iekļaujot attiecīgās normas noteikumu projektā, dienests tiek noteikts kā kompetentā iestāde, kuras kompetencē būs no attiecīgās regulas izrietošo saistību pareiza piemērošana. Vēršam uzmanību, ka, ja tas tā ir, tad tā ir uzskatāma par regulas ieviešanu, un attiecīgi ir aizpildāma anotācijas 5. sadaļa (t.sk. 5.4. sadaļas 1. tabula). Attiecībā uz anotācijā norādītajām normām, kurās iekļauti no regulām izrietošie uzdevumi, lūdzam tad arī iekļaut atbilstošu atsauci uz attiecīgo regulu (piemēram: “Dienests veic [..] Regulas [..] [regulas vienībā] noteiktās kompetentās institūcijas funkcijas [vai uzdevumus].”)</w:t>
      </w:r>
    </w:p>
    <w:p w14:paraId="5AF6FE91"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Taču, ja dienests attiecīgajā regulā paredzēto uzdevumu veikšanai jau ir noteikts kā kompetentā iestāde kādā citā speciālajā nacionālajā normatīvajā aktā (piemēram, Augu aizsardzības likumā), aicinām atsaukties uz konkrēto normatīvo aktu, nevis uz regulu. Vēršam uzmanību, ka tādējādi dienesta nolikums būs stabilāks. Piemēram, ja attiecīgā regula tiks atcelta, būs nepieciešams veikt izmaiņas tikai speciālajā normatīvajā aktā, nevis arī nolikumā. Attiecīgi, ņemot vērā iepriekš minēto, lūdzam pārskatīt un attiecīgi precizēt noteikumu projektu un anotāciju.</w:t>
      </w:r>
    </w:p>
    <w:p w14:paraId="5090D56B"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 </w:t>
      </w:r>
    </w:p>
    <w:p w14:paraId="5F58546B"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3. Lūdzam veidot pareizas norādes uz Eiropas Savienības regulām saskaņā ar Ministru kabineta 2009. gada 3. februāra noteikumu Nr. 108 “Normatīvo aktu projektu sagatavošanas noteikumi” 171. punktu (sk., piemēram, 4.19. punktu).</w:t>
      </w:r>
    </w:p>
    <w:p w14:paraId="5AAB71F3" w14:textId="77777777" w:rsidR="00C35E19"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 </w:t>
      </w:r>
    </w:p>
    <w:p w14:paraId="29BC338E" w14:textId="5006D764" w:rsidR="006311BA" w:rsidRPr="00C35E19" w:rsidRDefault="00C35E19" w:rsidP="00C35E19">
      <w:pPr>
        <w:pStyle w:val="xmsonormal"/>
        <w:spacing w:before="0" w:beforeAutospacing="0" w:after="0" w:afterAutospacing="0"/>
        <w:ind w:firstLine="851"/>
        <w:jc w:val="both"/>
        <w:rPr>
          <w:rFonts w:ascii="Calibri" w:hAnsi="Calibri" w:cs="Calibri"/>
          <w:color w:val="002060"/>
          <w:sz w:val="22"/>
          <w:szCs w:val="22"/>
        </w:rPr>
      </w:pPr>
      <w:r w:rsidRPr="00C35E19">
        <w:rPr>
          <w:color w:val="002060"/>
        </w:rPr>
        <w:t>4. Atšķirībā no Ministru kabineta 2004. gada 16. novembra noteikumu Nr. 944 “Valsts augu aizsardzības dienesta nolikums” 10. punkta noteikumu projekta 7. punktā ir paredzētas dienesta direktora tiesības atcelt tikai amatpersonu prettiesiskus lēmumus. Attiecīgi lūdzam anotācijā skaidrot, kādēļ izvēlēta šāda padotības forma.</w:t>
      </w:r>
    </w:p>
    <w:p w14:paraId="22295EDF"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5. Noteikumu projekta 8.1. apakšpunktā 8.3. apakšpunkts norādīts kā izņēmums, paredzot 8.3. apakšpunktā it kā atšķirīgu regulējumu. Vēršam uzmanību, ka saturiski pēc būtības 8.3. apakšpunkts nav izņēmums no 8.1. apakšpunktā paredzētā regulējuma, jo paredz būtībā tādu pašu regulējumu kā 8.1. apakšpunkts. Proti, lauku apskašu rezultātu jomā administratīvo aktu vai faktisko rīcību var apstrīdēt, iesniedzot iesniegumu jomas departamenta direktoram. Attiecīgi lūdzam vai nu precizēt noteikumu projektu, svītrojot 8.3. apakšpunktu un attiecīgi precizējot 8.1. apakšpunktu, vai alternatīvi lūdzam skaidrot 8.3. apakšpunkta tvērumu.</w:t>
      </w:r>
    </w:p>
    <w:p w14:paraId="282949E2"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530437C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xml:space="preserve">6. Noteikumu projekta 11. punkts, atšķirībā no Ministru kabineta 2004. gada 16. novembra noteikumu Nr. 944 “Valsts augu aizsardzības dienesta nolikums” 13. punkta, neparedz dienesta direktora pienākumu ne retāk kā reizi gadā sniegt zemkopības ministram dienesta darbības pārskatu. Vēršam uzmanību, ka nolikumā ierasti tiek paredzēts, ka iestāde pārskatus sniedz ne retāk kā reizi gadā, nolikumā paredzot tiesības augstākai iestādei pieprasīt </w:t>
      </w:r>
      <w:r w:rsidRPr="00C35E19">
        <w:rPr>
          <w:rFonts w:ascii="Times New Roman" w:eastAsia="Times New Roman" w:hAnsi="Times New Roman" w:cs="Times New Roman"/>
          <w:color w:val="002060"/>
          <w:lang w:eastAsia="en-GB"/>
        </w:rPr>
        <w:lastRenderedPageBreak/>
        <w:t>pārskatu jebkurā laikā. Attiecīgi lūdzam precizēt noteikumu projektu vai skaidrot, kādēļ paredzēta atkāpe no iepriekšminētās prakses.</w:t>
      </w:r>
    </w:p>
    <w:p w14:paraId="63DC642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18FAC8A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Vienlaikus izsakām šādus priekšlikumus:</w:t>
      </w:r>
    </w:p>
    <w:p w14:paraId="67F01650"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1. Aicinām pārskatīt noteikumu projektu un izlabot pareizrakstības un gramatikas kļūdas. </w:t>
      </w:r>
    </w:p>
    <w:p w14:paraId="0094F9FF"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Piemēram: </w:t>
      </w:r>
    </w:p>
    <w:p w14:paraId="6E475392" w14:textId="77777777" w:rsidR="00C35E19" w:rsidRPr="00C35E19" w:rsidRDefault="00C35E19" w:rsidP="00C35E19">
      <w:pPr>
        <w:numPr>
          <w:ilvl w:val="0"/>
          <w:numId w:val="1"/>
        </w:numPr>
        <w:ind w:left="121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3.9. apakšpunktā vārdu “fitosanitārajā” izteikt pareizā locījumā (proti, “fitosanitārās”);</w:t>
      </w:r>
    </w:p>
    <w:p w14:paraId="415E0120" w14:textId="77777777" w:rsidR="00C35E19" w:rsidRPr="00C35E19" w:rsidRDefault="00C35E19" w:rsidP="00C35E19">
      <w:pPr>
        <w:numPr>
          <w:ilvl w:val="0"/>
          <w:numId w:val="1"/>
        </w:numPr>
        <w:ind w:left="121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4.4.9. apakšpunktā lietot mazo sākuma burtu vārdkopā “Starptautiskajām organizācijām”.</w:t>
      </w:r>
    </w:p>
    <w:p w14:paraId="4E5DFC0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069A2C07"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2. Vēršam uzmanību, ka saskaņā ar Ministru kabineta 2009. gada 3. februāra noteikumu Nr. 108 “Normatīvo aktu projektu sagatavošanas noteikumi” 44. punktu saīsinājumos neizmanto abreviatūras (izņemot vispārzināmas). Attiecīgi aicinām izvērtēt abreviatūru lietošanas nepieciešamu noteikumu projektā. Papildus norādām, ka saskaņā ar iepriekšminēto noteikumu 43. punktu saīsinājumu veido aiz saīsināmās vārdkopas, iekavās ierakstot vārdu “turpmāk – “ un attiecīgo saīsināto vārdu. Attiecīgi lūdzam konsekventi ievērot pareizu saīsinājumu veidošanu (sk., piemēram, 4.22., 4.49., 4.54. punktu).</w:t>
      </w:r>
    </w:p>
    <w:p w14:paraId="6397C4B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50624E7C"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3. Vēršam uzmanību, ka šobrīd 4.42. apakšpunkts ir sistēmiski neiederīgs, attiecīgi rosinām 4.42. apakšpunktu ietvert 4.6. un 4.9. apakšpunktos, tos attiecīgi papildinot.</w:t>
      </w:r>
    </w:p>
    <w:p w14:paraId="6669D91D"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05BB2739"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4. Atbilstoši juridiskās tehnikas prasībām aicinām noteikumu projekta 5. punktā iekļautās frāzes “ir tiesīgs” vietā lietot darbības vārdu “var”.</w:t>
      </w:r>
    </w:p>
    <w:p w14:paraId="77DC6895"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 </w:t>
      </w:r>
    </w:p>
    <w:p w14:paraId="5DA502C7"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5. Aicinām izvērtēt iespēju noteikumu projekta 5.1. apakšpunktu pārveidot kā vienu no 4. punkta apakšpunktiem, ņemot vērā, ka šī tiesība (“sagatavot un normatīvajos aktos noteiktajā kārtībā iesniegt priekšlikumus par dienesta uzdevumu veikšanai nepieciešamo finansējumu no valsts budžeta”) būtībā ir drīzāk kā dienesta uzdevums.</w:t>
      </w:r>
    </w:p>
    <w:p w14:paraId="70BC2191" w14:textId="77777777" w:rsidR="00C35E19" w:rsidRPr="00C35E19" w:rsidRDefault="00C35E19" w:rsidP="00C35E19">
      <w:pPr>
        <w:ind w:firstLine="851"/>
        <w:jc w:val="both"/>
        <w:rPr>
          <w:rFonts w:ascii="Calibri" w:eastAsia="Times New Roman" w:hAnsi="Calibri" w:cs="Calibri"/>
          <w:color w:val="002060"/>
          <w:sz w:val="22"/>
          <w:szCs w:val="22"/>
          <w:lang w:eastAsia="en-GB"/>
        </w:rPr>
      </w:pPr>
      <w:r w:rsidRPr="00C35E19">
        <w:rPr>
          <w:rFonts w:ascii="Times New Roman" w:eastAsia="Times New Roman" w:hAnsi="Times New Roman" w:cs="Times New Roman"/>
          <w:color w:val="002060"/>
          <w:lang w:eastAsia="en-GB"/>
        </w:rPr>
        <w:t>6. Noteikumu projekta anotācijas kopsavilkumā norādīts, ka, lai nedublētu Valsts pārvaldes iekārtas likumu, Valsts civildienesta likumu u.c.normatīvos aktus noteikumu projektā nav ietvertas normas, kas attiecas uz dienesta iekšējo darba organizāciju. Vēršam uzmanību, ka šāda norāde nav gluži korekta, jo iestādes iekšējās darba orgnaizācijas noteikšana nolikumā nedublētu Valsts pārvaldes iekārtas likuma, Valsts civildienesta likuma u.c. normatīvos aktu regulējumu, jo tajos jau nav atrunāta konkrētas iestādes iekšējā darba organizācija. Attiecīgi aicinām norādīt korektu pamatojumu dienesta iekšējās darba organizācijas sadaļas neiekļaušanai noteikumu projektā (proti, iekļaujot atbilstošu norādi, ka lēmums nenoteikt amatpersonu kompetenci un iestādes struktūru iestādes nolikumā ir pieņemts attiecībā uz visām LR Zemkopības ministrijas padotības iestādēm).</w:t>
      </w:r>
    </w:p>
    <w:p w14:paraId="24EE2AE6" w14:textId="5F1175BF" w:rsidR="00C35E19" w:rsidRPr="00C35E19" w:rsidRDefault="00C35E19" w:rsidP="00C35E19">
      <w:pPr>
        <w:rPr>
          <w:rFonts w:ascii="Calibri" w:eastAsia="Times New Roman" w:hAnsi="Calibri" w:cs="Calibri"/>
          <w:color w:val="002060"/>
          <w:sz w:val="22"/>
          <w:szCs w:val="22"/>
          <w:lang w:eastAsia="en-GB"/>
        </w:rPr>
      </w:pPr>
      <w:r w:rsidRPr="00C35E19">
        <w:rPr>
          <w:rFonts w:ascii="Calibri" w:eastAsia="Times New Roman" w:hAnsi="Calibri" w:cs="Calibri"/>
          <w:color w:val="002060"/>
          <w:sz w:val="22"/>
          <w:szCs w:val="22"/>
          <w:lang w:eastAsia="en-GB"/>
        </w:rPr>
        <w:t> </w:t>
      </w:r>
    </w:p>
    <w:p w14:paraId="5FF084B5"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Cieņā</w:t>
      </w:r>
    </w:p>
    <w:p w14:paraId="291FF4B6"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 </w:t>
      </w:r>
    </w:p>
    <w:p w14:paraId="49FBC59B"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Renāte Luīze Cietvīra</w:t>
      </w:r>
    </w:p>
    <w:p w14:paraId="5AD89CD4" w14:textId="77777777" w:rsidR="00C35E19" w:rsidRPr="00C35E19" w:rsidRDefault="00C35E19" w:rsidP="00C35E19">
      <w:pPr>
        <w:rPr>
          <w:rFonts w:ascii="Calibri" w:eastAsia="Times New Roman" w:hAnsi="Calibri" w:cs="Calibri"/>
          <w:color w:val="002060"/>
          <w:sz w:val="22"/>
          <w:szCs w:val="22"/>
          <w:lang w:eastAsia="en-GB"/>
        </w:rPr>
      </w:pPr>
      <w:r w:rsidRPr="00C35E19">
        <w:rPr>
          <w:rFonts w:ascii="Calibri" w:eastAsia="Times New Roman" w:hAnsi="Calibri" w:cs="Calibri"/>
          <w:color w:val="002060"/>
          <w:sz w:val="22"/>
          <w:szCs w:val="22"/>
          <w:lang w:eastAsia="en-GB"/>
        </w:rPr>
        <w:t>Tieslietu ministrijas</w:t>
      </w:r>
    </w:p>
    <w:p w14:paraId="430562D5"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Valststiesību departamenta</w:t>
      </w:r>
    </w:p>
    <w:p w14:paraId="40AD5BD9"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Starptautisko publisko tiesību nodaļas juriste</w:t>
      </w:r>
    </w:p>
    <w:p w14:paraId="55A95ED6"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Tālrunis: 67036942</w:t>
      </w:r>
    </w:p>
    <w:p w14:paraId="5DA80AC3" w14:textId="77777777" w:rsidR="00C35E19" w:rsidRPr="00C35E19" w:rsidRDefault="00C35E19" w:rsidP="00C35E19">
      <w:pPr>
        <w:shd w:val="clear" w:color="auto" w:fill="FFFFFF"/>
        <w:rPr>
          <w:rFonts w:ascii="Calibri" w:eastAsia="Times New Roman" w:hAnsi="Calibri" w:cs="Calibri"/>
          <w:color w:val="002060"/>
          <w:sz w:val="22"/>
          <w:szCs w:val="22"/>
          <w:lang w:eastAsia="en-GB"/>
        </w:rPr>
      </w:pPr>
      <w:r w:rsidRPr="00C35E19">
        <w:rPr>
          <w:rFonts w:ascii="Calibri" w:eastAsia="Times New Roman" w:hAnsi="Calibri" w:cs="Calibri"/>
          <w:color w:val="000000"/>
          <w:sz w:val="22"/>
          <w:szCs w:val="22"/>
          <w:lang w:eastAsia="en-GB"/>
        </w:rPr>
        <w:t>E-pasts: </w:t>
      </w:r>
      <w:hyperlink r:id="rId5" w:tgtFrame="_blank" w:history="1">
        <w:r w:rsidRPr="00C35E19">
          <w:rPr>
            <w:rFonts w:ascii="Calibri" w:eastAsia="Times New Roman" w:hAnsi="Calibri" w:cs="Calibri"/>
            <w:color w:val="0000FF"/>
            <w:sz w:val="22"/>
            <w:szCs w:val="22"/>
            <w:u w:val="single"/>
            <w:lang w:eastAsia="en-GB"/>
          </w:rPr>
          <w:t>Renate.Luize.Cietvira@tm.gov.lv</w:t>
        </w:r>
      </w:hyperlink>
    </w:p>
    <w:p w14:paraId="4F910DC3" w14:textId="447FEA63" w:rsidR="00C35E19" w:rsidRPr="00C35E19" w:rsidRDefault="00C35E19" w:rsidP="00C35E19">
      <w:pPr>
        <w:shd w:val="clear" w:color="auto" w:fill="FFFFFF"/>
        <w:rPr>
          <w:rFonts w:ascii="Calibri" w:eastAsia="Times New Roman" w:hAnsi="Calibri" w:cs="Calibri"/>
          <w:color w:val="002060"/>
          <w:sz w:val="22"/>
          <w:szCs w:val="22"/>
          <w:lang w:eastAsia="en-GB"/>
        </w:rPr>
      </w:pPr>
    </w:p>
    <w:sectPr w:rsidR="00C35E19" w:rsidRPr="00C35E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40D30"/>
    <w:multiLevelType w:val="multilevel"/>
    <w:tmpl w:val="4C06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19"/>
    <w:rsid w:val="006311BA"/>
    <w:rsid w:val="00C35E19"/>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4650A342"/>
  <w15:chartTrackingRefBased/>
  <w15:docId w15:val="{8EF3C639-3B39-D54B-A355-15B8D2E0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35E19"/>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C35E19"/>
  </w:style>
  <w:style w:type="paragraph" w:customStyle="1" w:styleId="xmsolistparagraph">
    <w:name w:val="x_msolistparagraph"/>
    <w:basedOn w:val="Normal"/>
    <w:rsid w:val="00C35E1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C35E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69172">
      <w:bodyDiv w:val="1"/>
      <w:marLeft w:val="0"/>
      <w:marRight w:val="0"/>
      <w:marTop w:val="0"/>
      <w:marBottom w:val="0"/>
      <w:divBdr>
        <w:top w:val="none" w:sz="0" w:space="0" w:color="auto"/>
        <w:left w:val="none" w:sz="0" w:space="0" w:color="auto"/>
        <w:bottom w:val="none" w:sz="0" w:space="0" w:color="auto"/>
        <w:right w:val="none" w:sz="0" w:space="0" w:color="auto"/>
      </w:divBdr>
    </w:div>
    <w:div w:id="954285267">
      <w:bodyDiv w:val="1"/>
      <w:marLeft w:val="0"/>
      <w:marRight w:val="0"/>
      <w:marTop w:val="0"/>
      <w:marBottom w:val="0"/>
      <w:divBdr>
        <w:top w:val="none" w:sz="0" w:space="0" w:color="auto"/>
        <w:left w:val="none" w:sz="0" w:space="0" w:color="auto"/>
        <w:bottom w:val="none" w:sz="0" w:space="0" w:color="auto"/>
        <w:right w:val="none" w:sz="0" w:space="0" w:color="auto"/>
      </w:divBdr>
    </w:div>
    <w:div w:id="1040279991">
      <w:bodyDiv w:val="1"/>
      <w:marLeft w:val="0"/>
      <w:marRight w:val="0"/>
      <w:marTop w:val="0"/>
      <w:marBottom w:val="0"/>
      <w:divBdr>
        <w:top w:val="none" w:sz="0" w:space="0" w:color="auto"/>
        <w:left w:val="none" w:sz="0" w:space="0" w:color="auto"/>
        <w:bottom w:val="none" w:sz="0" w:space="0" w:color="auto"/>
        <w:right w:val="none" w:sz="0" w:space="0" w:color="auto"/>
      </w:divBdr>
      <w:divsChild>
        <w:div w:id="1987928576">
          <w:marLeft w:val="0"/>
          <w:marRight w:val="0"/>
          <w:marTop w:val="0"/>
          <w:marBottom w:val="0"/>
          <w:divBdr>
            <w:top w:val="none" w:sz="0" w:space="0" w:color="auto"/>
            <w:left w:val="none" w:sz="0" w:space="0" w:color="auto"/>
            <w:bottom w:val="none" w:sz="0" w:space="0" w:color="auto"/>
            <w:right w:val="none" w:sz="0" w:space="0" w:color="auto"/>
          </w:divBdr>
        </w:div>
        <w:div w:id="1138035274">
          <w:marLeft w:val="0"/>
          <w:marRight w:val="0"/>
          <w:marTop w:val="0"/>
          <w:marBottom w:val="0"/>
          <w:divBdr>
            <w:top w:val="none" w:sz="0" w:space="0" w:color="auto"/>
            <w:left w:val="none" w:sz="0" w:space="0" w:color="auto"/>
            <w:bottom w:val="none" w:sz="0" w:space="0" w:color="auto"/>
            <w:right w:val="none" w:sz="0" w:space="0" w:color="auto"/>
          </w:divBdr>
        </w:div>
      </w:divsChild>
    </w:div>
    <w:div w:id="109166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nate.Luize.Cietvira@t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1601</Words>
  <Characters>9128</Characters>
  <Application>Microsoft Office Word</Application>
  <DocSecurity>0</DocSecurity>
  <Lines>76</Lines>
  <Paragraphs>21</Paragraphs>
  <ScaleCrop>false</ScaleCrop>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Vecmane</dc:creator>
  <cp:keywords/>
  <dc:description/>
  <cp:lastModifiedBy>Baiba Vecmane</cp:lastModifiedBy>
  <cp:revision>1</cp:revision>
  <dcterms:created xsi:type="dcterms:W3CDTF">2022-01-12T14:51:00Z</dcterms:created>
  <dcterms:modified xsi:type="dcterms:W3CDTF">2022-01-12T14:56:00Z</dcterms:modified>
</cp:coreProperties>
</file>