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51B" w:rsidRDefault="006F751B" w:rsidP="006F751B">
      <w:r>
        <w:t xml:space="preserve">-------- </w:t>
      </w:r>
      <w:proofErr w:type="spellStart"/>
      <w:r>
        <w:t>Forwarded</w:t>
      </w:r>
      <w:proofErr w:type="spellEnd"/>
      <w:r>
        <w:t xml:space="preserve"> </w:t>
      </w:r>
      <w:proofErr w:type="spellStart"/>
      <w:r>
        <w:t>Message</w:t>
      </w:r>
      <w:proofErr w:type="spellEnd"/>
      <w:r>
        <w:t xml:space="preserve"> -------- </w:t>
      </w:r>
    </w:p>
    <w:tbl>
      <w:tblPr>
        <w:tblW w:w="0" w:type="auto"/>
        <w:tblCellSpacing w:w="0" w:type="dxa"/>
        <w:tblCellMar>
          <w:left w:w="0" w:type="dxa"/>
          <w:right w:w="0" w:type="dxa"/>
        </w:tblCellMar>
        <w:tblLook w:val="04A0" w:firstRow="1" w:lastRow="0" w:firstColumn="1" w:lastColumn="0" w:noHBand="0" w:noVBand="1"/>
      </w:tblPr>
      <w:tblGrid>
        <w:gridCol w:w="737"/>
        <w:gridCol w:w="7569"/>
      </w:tblGrid>
      <w:tr w:rsidR="006F751B" w:rsidTr="006F751B">
        <w:trPr>
          <w:tblCellSpacing w:w="0" w:type="dxa"/>
        </w:trPr>
        <w:tc>
          <w:tcPr>
            <w:tcW w:w="0" w:type="auto"/>
            <w:noWrap/>
            <w:hideMark/>
          </w:tcPr>
          <w:p w:rsidR="006F751B" w:rsidRDefault="006F751B">
            <w:pPr>
              <w:jc w:val="right"/>
              <w:rPr>
                <w:b/>
                <w:bCs/>
              </w:rPr>
            </w:pPr>
            <w:proofErr w:type="spellStart"/>
            <w:r>
              <w:rPr>
                <w:b/>
                <w:bCs/>
              </w:rPr>
              <w:t>Subject</w:t>
            </w:r>
            <w:proofErr w:type="spellEnd"/>
            <w:r>
              <w:rPr>
                <w:b/>
                <w:bCs/>
              </w:rPr>
              <w:t xml:space="preserve">: </w:t>
            </w:r>
          </w:p>
        </w:tc>
        <w:tc>
          <w:tcPr>
            <w:tcW w:w="0" w:type="auto"/>
            <w:vAlign w:val="center"/>
            <w:hideMark/>
          </w:tcPr>
          <w:p w:rsidR="006F751B" w:rsidRDefault="006F751B">
            <w:r>
              <w:t>RE: Atkārtota saskaņošana - Ministru kabineta noteikumu projekts "Grozījumi Ministru kabineta 2012.gada 21.februāra noteikumos Nr.133 "Noteikumi par valsts nodevu par personu apliecinošu dokumentu izsniegšanu""</w:t>
            </w:r>
          </w:p>
        </w:tc>
      </w:tr>
      <w:tr w:rsidR="006F751B" w:rsidTr="006F751B">
        <w:trPr>
          <w:tblCellSpacing w:w="0" w:type="dxa"/>
        </w:trPr>
        <w:tc>
          <w:tcPr>
            <w:tcW w:w="0" w:type="auto"/>
            <w:noWrap/>
            <w:hideMark/>
          </w:tcPr>
          <w:p w:rsidR="006F751B" w:rsidRDefault="006F751B">
            <w:pPr>
              <w:jc w:val="right"/>
              <w:rPr>
                <w:b/>
                <w:bCs/>
              </w:rPr>
            </w:pPr>
            <w:proofErr w:type="spellStart"/>
            <w:r>
              <w:rPr>
                <w:b/>
                <w:bCs/>
              </w:rPr>
              <w:t>Date</w:t>
            </w:r>
            <w:proofErr w:type="spellEnd"/>
            <w:r>
              <w:rPr>
                <w:b/>
                <w:bCs/>
              </w:rPr>
              <w:t xml:space="preserve">: </w:t>
            </w:r>
          </w:p>
        </w:tc>
        <w:tc>
          <w:tcPr>
            <w:tcW w:w="0" w:type="auto"/>
            <w:vAlign w:val="center"/>
            <w:hideMark/>
          </w:tcPr>
          <w:p w:rsidR="006F751B" w:rsidRDefault="006F751B">
            <w:proofErr w:type="spellStart"/>
            <w:r>
              <w:t>Fri</w:t>
            </w:r>
            <w:proofErr w:type="spellEnd"/>
            <w:r>
              <w:t xml:space="preserve">, 10 </w:t>
            </w:r>
            <w:proofErr w:type="spellStart"/>
            <w:r>
              <w:t>Sep</w:t>
            </w:r>
            <w:proofErr w:type="spellEnd"/>
            <w:r>
              <w:t xml:space="preserve"> 2021 10:46:27 +0000</w:t>
            </w:r>
          </w:p>
        </w:tc>
      </w:tr>
      <w:tr w:rsidR="006F751B" w:rsidTr="006F751B">
        <w:trPr>
          <w:tblCellSpacing w:w="0" w:type="dxa"/>
        </w:trPr>
        <w:tc>
          <w:tcPr>
            <w:tcW w:w="0" w:type="auto"/>
            <w:noWrap/>
            <w:hideMark/>
          </w:tcPr>
          <w:p w:rsidR="006F751B" w:rsidRDefault="006F751B">
            <w:pPr>
              <w:jc w:val="right"/>
              <w:rPr>
                <w:b/>
                <w:bCs/>
              </w:rPr>
            </w:pPr>
            <w:proofErr w:type="spellStart"/>
            <w:r>
              <w:rPr>
                <w:b/>
                <w:bCs/>
              </w:rPr>
              <w:t>From</w:t>
            </w:r>
            <w:proofErr w:type="spellEnd"/>
            <w:r>
              <w:rPr>
                <w:b/>
                <w:bCs/>
              </w:rPr>
              <w:t xml:space="preserve">: </w:t>
            </w:r>
          </w:p>
        </w:tc>
        <w:tc>
          <w:tcPr>
            <w:tcW w:w="0" w:type="auto"/>
            <w:vAlign w:val="center"/>
            <w:hideMark/>
          </w:tcPr>
          <w:p w:rsidR="006F751B" w:rsidRDefault="006F751B">
            <w:r>
              <w:t xml:space="preserve">Viesturs Blūmentāls </w:t>
            </w:r>
            <w:hyperlink r:id="rId4" w:history="1">
              <w:r>
                <w:rPr>
                  <w:rStyle w:val="Hyperlink"/>
                </w:rPr>
                <w:t>&lt;Viesturs.Blumentals@tm.gov.lv&gt;</w:t>
              </w:r>
            </w:hyperlink>
          </w:p>
        </w:tc>
      </w:tr>
      <w:tr w:rsidR="006F751B" w:rsidTr="006F751B">
        <w:trPr>
          <w:tblCellSpacing w:w="0" w:type="dxa"/>
        </w:trPr>
        <w:tc>
          <w:tcPr>
            <w:tcW w:w="0" w:type="auto"/>
            <w:noWrap/>
            <w:hideMark/>
          </w:tcPr>
          <w:p w:rsidR="006F751B" w:rsidRDefault="006F751B">
            <w:pPr>
              <w:jc w:val="right"/>
              <w:rPr>
                <w:b/>
                <w:bCs/>
              </w:rPr>
            </w:pPr>
            <w:r>
              <w:rPr>
                <w:b/>
                <w:bCs/>
              </w:rPr>
              <w:t xml:space="preserve">To: </w:t>
            </w:r>
          </w:p>
        </w:tc>
        <w:tc>
          <w:tcPr>
            <w:tcW w:w="0" w:type="auto"/>
            <w:vAlign w:val="center"/>
            <w:hideMark/>
          </w:tcPr>
          <w:p w:rsidR="006F751B" w:rsidRDefault="006F751B">
            <w:proofErr w:type="spellStart"/>
            <w:r>
              <w:t>Iekšlietu</w:t>
            </w:r>
            <w:proofErr w:type="spellEnd"/>
            <w:r>
              <w:t xml:space="preserve"> ministrijas Kanceleja </w:t>
            </w:r>
            <w:hyperlink r:id="rId5" w:history="1">
              <w:r>
                <w:rPr>
                  <w:rStyle w:val="Hyperlink"/>
                </w:rPr>
                <w:t>&lt;pasts@iem.gov.lv&gt;</w:t>
              </w:r>
            </w:hyperlink>
          </w:p>
        </w:tc>
      </w:tr>
      <w:tr w:rsidR="006F751B" w:rsidTr="006F751B">
        <w:trPr>
          <w:tblCellSpacing w:w="0" w:type="dxa"/>
        </w:trPr>
        <w:tc>
          <w:tcPr>
            <w:tcW w:w="0" w:type="auto"/>
            <w:noWrap/>
            <w:hideMark/>
          </w:tcPr>
          <w:p w:rsidR="006F751B" w:rsidRDefault="006F751B">
            <w:pPr>
              <w:jc w:val="right"/>
              <w:rPr>
                <w:b/>
                <w:bCs/>
              </w:rPr>
            </w:pPr>
            <w:r>
              <w:rPr>
                <w:b/>
                <w:bCs/>
              </w:rPr>
              <w:t xml:space="preserve">CC: </w:t>
            </w:r>
          </w:p>
        </w:tc>
        <w:tc>
          <w:tcPr>
            <w:tcW w:w="0" w:type="auto"/>
            <w:vAlign w:val="center"/>
            <w:hideMark/>
          </w:tcPr>
          <w:p w:rsidR="006F751B" w:rsidRDefault="006F751B">
            <w:hyperlink r:id="rId6" w:history="1">
              <w:r>
                <w:rPr>
                  <w:rStyle w:val="Hyperlink"/>
                </w:rPr>
                <w:t>ginta.dzelme@pmlp.gov.lv</w:t>
              </w:r>
            </w:hyperlink>
            <w:r>
              <w:t xml:space="preserve"> </w:t>
            </w:r>
            <w:hyperlink r:id="rId7" w:history="1">
              <w:r>
                <w:rPr>
                  <w:rStyle w:val="Hyperlink"/>
                </w:rPr>
                <w:t>&lt;ginta.dzelme@pmlp.gov.lv&gt;</w:t>
              </w:r>
            </w:hyperlink>
          </w:p>
        </w:tc>
      </w:tr>
    </w:tbl>
    <w:p w:rsidR="006F751B" w:rsidRDefault="006F751B" w:rsidP="006F751B">
      <w:pPr>
        <w:rPr>
          <w:rFonts w:ascii="Times New Roman" w:hAnsi="Times New Roman"/>
          <w:sz w:val="24"/>
          <w:szCs w:val="24"/>
        </w:rPr>
      </w:pPr>
    </w:p>
    <w:p w:rsidR="006F751B" w:rsidRDefault="006F751B" w:rsidP="006F751B">
      <w:pPr>
        <w:jc w:val="both"/>
      </w:pPr>
      <w:r>
        <w:rPr>
          <w:lang w:eastAsia="en-US"/>
        </w:rPr>
        <w:t>Labdien,</w:t>
      </w:r>
    </w:p>
    <w:p w:rsidR="006F751B" w:rsidRDefault="006F751B" w:rsidP="006F751B">
      <w:pPr>
        <w:jc w:val="both"/>
      </w:pPr>
      <w:r>
        <w:rPr>
          <w:lang w:eastAsia="en-US"/>
        </w:rPr>
        <w:t> </w:t>
      </w:r>
    </w:p>
    <w:p w:rsidR="006F751B" w:rsidRDefault="006F751B" w:rsidP="006F751B">
      <w:pPr>
        <w:jc w:val="both"/>
      </w:pPr>
      <w:r>
        <w:rPr>
          <w:lang w:eastAsia="en-US"/>
        </w:rPr>
        <w:t xml:space="preserve">Tieslietu ministrija ir izskatījusi </w:t>
      </w:r>
      <w:proofErr w:type="spellStart"/>
      <w:r>
        <w:rPr>
          <w:lang w:eastAsia="en-US"/>
        </w:rPr>
        <w:t>Iekšlietu</w:t>
      </w:r>
      <w:proofErr w:type="spellEnd"/>
      <w:r>
        <w:rPr>
          <w:lang w:eastAsia="en-US"/>
        </w:rPr>
        <w:t xml:space="preserve"> ministrijas izstrādāto precizēto Ministru kabineta noteikumu projektu "Grozījumi Ministru kabineta 2012.gada 21.februāra noteikumos Nr.133 "Noteikumi par valsts nodevu par personu apliecinošu dokumentu izsniegšanu"" (turpmāk – noteikumu projekts) un tā anotāciju un atbalsta to virzību </w:t>
      </w:r>
      <w:r>
        <w:rPr>
          <w:b/>
          <w:bCs/>
          <w:lang w:eastAsia="en-US"/>
        </w:rPr>
        <w:t>izsakot šādu iebildumu</w:t>
      </w:r>
      <w:r>
        <w:rPr>
          <w:lang w:eastAsia="en-US"/>
        </w:rPr>
        <w:t>:</w:t>
      </w:r>
    </w:p>
    <w:p w:rsidR="006F751B" w:rsidRDefault="006F751B" w:rsidP="006F751B">
      <w:pPr>
        <w:jc w:val="both"/>
      </w:pPr>
      <w:r>
        <w:rPr>
          <w:lang w:eastAsia="en-US"/>
        </w:rPr>
        <w:t xml:space="preserve">Uzturam iebildumu saistībā ar noteikumu projekta 1., 2. un 3. punkta iespējamo neatbilstību tiesiskās vienlīdzības un samērīguma principa prasībām. Noteikumu projekta anotācijā uzsvērts uz to, ka ārzemnieka personas apliecības saņemšana ir personas brīva izvēle, pretēji tam, ka Latvijas pilsoņa un Latvijas </w:t>
      </w:r>
      <w:proofErr w:type="spellStart"/>
      <w:r>
        <w:rPr>
          <w:lang w:eastAsia="en-US"/>
        </w:rPr>
        <w:t>nepilsoņa</w:t>
      </w:r>
      <w:proofErr w:type="spellEnd"/>
      <w:r>
        <w:rPr>
          <w:lang w:eastAsia="en-US"/>
        </w:rPr>
        <w:t xml:space="preserve"> rīcībā ir obligāti jābūt vai nu personas apliecībai vai pasei (no 2023.gada 1.janvāra obligāta ir personas apliecība), attiecīgi Savienības pilsoņa un trešās valsts pilsoņa rīcībā ir obligāti jābūt personas apliecībai, lai tās turētājs apliecinātu savu statusu un tiesības uzturēties Latvijā. Tomēr vēršam uzmanību, ka noteikumu projekta anotācijā nav sniegts pamatots un detalizēts </w:t>
      </w:r>
      <w:proofErr w:type="spellStart"/>
      <w:r>
        <w:rPr>
          <w:lang w:eastAsia="en-US"/>
        </w:rPr>
        <w:t>izvērtējums</w:t>
      </w:r>
      <w:proofErr w:type="spellEnd"/>
      <w:r>
        <w:rPr>
          <w:lang w:eastAsia="en-US"/>
        </w:rPr>
        <w:t xml:space="preserve"> attiecībā uz tiem apsvērumiem, kurus iepriekš Tieslietu ministrija saskaņošanas gaitā bija paudusi. Papildus arī norādām, ka:</w:t>
      </w:r>
    </w:p>
    <w:p w:rsidR="006F751B" w:rsidRDefault="006F751B" w:rsidP="006F751B">
      <w:pPr>
        <w:jc w:val="both"/>
      </w:pPr>
      <w:r>
        <w:rPr>
          <w:lang w:eastAsia="en-US"/>
        </w:rPr>
        <w:t>1) Noteikumu projektā un arī ar Ministru kabineta 2016.gada 11.augusta rīkojumu Nr.439  “Par Konceptuālo ziņojumu par fizisko personu reģistru” apstiprinātajā konceptuālajā ziņojumā (turpmāk – konceptuālais ziņojums) norādīts uz apgrūtinātu e-pakalpojumu, elektroniskās vides, e-adreses izmantošanu gadījumā,</w:t>
      </w:r>
      <w:r>
        <w:t xml:space="preserve"> </w:t>
      </w:r>
      <w:r>
        <w:rPr>
          <w:lang w:eastAsia="en-US"/>
        </w:rPr>
        <w:t xml:space="preserve">ja personai nebūs izsniegta Latvijas vai ārvalsts </w:t>
      </w:r>
      <w:proofErr w:type="spellStart"/>
      <w:r>
        <w:rPr>
          <w:i/>
          <w:iCs/>
          <w:lang w:eastAsia="en-US"/>
        </w:rPr>
        <w:t>eID</w:t>
      </w:r>
      <w:proofErr w:type="spellEnd"/>
      <w:r>
        <w:rPr>
          <w:lang w:eastAsia="en-US"/>
        </w:rPr>
        <w:t xml:space="preserve"> karte, kas tiek atzīta Latvijā. Attiecīgi secināms, ka tieši šajā ziņā personas apliecība, iespējams, ir vienīgais variants noteiktu tiesību iegūšanai (pakalpojumu saņemšanai) un prasību izpildei ārzemniekiem. Ņemot vērā, ka citām personām (tai skaitā trešo valstu pilsoņiem) minēto attiecīgo tiesību iegūšanai (pakalpojumu saņemšanai) un prasību izpildei ierobežojumi Noteikumos Nr. 133 ir apjoma ziņā mazāki (proti, noteikts mazāks valsts nodevas apmērs par personas apliecības izsniegšanu), paužam bažas, ka tiesiskās vienlīdzības princips netiek ievērots;</w:t>
      </w:r>
    </w:p>
    <w:p w:rsidR="006F751B" w:rsidRDefault="006F751B" w:rsidP="006F751B">
      <w:pPr>
        <w:jc w:val="both"/>
      </w:pPr>
      <w:r>
        <w:rPr>
          <w:lang w:eastAsia="en-US"/>
        </w:rPr>
        <w:t>2) Konceptuālajā ziņojumā</w:t>
      </w:r>
      <w:r>
        <w:t xml:space="preserve"> </w:t>
      </w:r>
      <w:r>
        <w:rPr>
          <w:lang w:eastAsia="en-US"/>
        </w:rPr>
        <w:t xml:space="preserve">norādīts, ka par </w:t>
      </w:r>
      <w:proofErr w:type="spellStart"/>
      <w:r>
        <w:rPr>
          <w:lang w:eastAsia="en-US"/>
        </w:rPr>
        <w:t>eID</w:t>
      </w:r>
      <w:proofErr w:type="spellEnd"/>
      <w:r>
        <w:rPr>
          <w:lang w:eastAsia="en-US"/>
        </w:rPr>
        <w:t xml:space="preserve"> kartes izgatavošanu ārvalstniekiem (ārzemniekiem) tiks iekasēta valsts nodeva atbilstoši Noteikumu Nr.133 4.punktam. Attiecīgi secināms, ka</w:t>
      </w:r>
      <w:r>
        <w:t xml:space="preserve"> risinājums </w:t>
      </w:r>
      <w:r>
        <w:rPr>
          <w:lang w:eastAsia="en-US"/>
        </w:rPr>
        <w:t>ārzemniekiem, kas pieprasīs ārzemnieka personas apliecību, noteikt atšķirīgu valsts nodevas apjomu un metodiku valsts nodevas apjoma par ārzemnieka personas apliecības izsniegšanu noteikšanai, iespējams, neatbilst arī konceptuālajam ziņojumam.</w:t>
      </w:r>
    </w:p>
    <w:p w:rsidR="006F751B" w:rsidRDefault="006F751B" w:rsidP="006F751B">
      <w:pPr>
        <w:jc w:val="both"/>
      </w:pPr>
      <w:r>
        <w:rPr>
          <w:lang w:eastAsia="en-US"/>
        </w:rPr>
        <w:t> </w:t>
      </w:r>
    </w:p>
    <w:p w:rsidR="006F751B" w:rsidRDefault="006F751B" w:rsidP="006F751B">
      <w:pPr>
        <w:jc w:val="both"/>
      </w:pPr>
      <w:r>
        <w:rPr>
          <w:lang w:eastAsia="en-US"/>
        </w:rPr>
        <w:t>Vienlaikus izsakām šādus priekšlikumus:</w:t>
      </w:r>
    </w:p>
    <w:p w:rsidR="006F751B" w:rsidRDefault="006F751B" w:rsidP="006F751B">
      <w:pPr>
        <w:jc w:val="both"/>
      </w:pPr>
      <w:r>
        <w:rPr>
          <w:lang w:eastAsia="en-US"/>
        </w:rPr>
        <w:t>1. Lūdzam, ja nav nepieciešams izdarīt grozījumus Personu apliecinošu dokumentu likumā un Ministru kabineta 2012.gada 21.februāra noteikumos Nr.134 “Personu apliecinošu dokumentu noteikumi”, lūdzam noteikumu projekta anotācijas IV sadaļu neaizpildīt, jo to darīt nav pamatoti.</w:t>
      </w:r>
    </w:p>
    <w:p w:rsidR="006F751B" w:rsidRDefault="006F751B" w:rsidP="006F751B">
      <w:pPr>
        <w:jc w:val="both"/>
      </w:pPr>
      <w:r>
        <w:rPr>
          <w:lang w:eastAsia="en-US"/>
        </w:rPr>
        <w:t xml:space="preserve">2. Lūdzam salāgot valsts nodevas apmēru (80 </w:t>
      </w:r>
      <w:proofErr w:type="spellStart"/>
      <w:r>
        <w:rPr>
          <w:i/>
          <w:iCs/>
          <w:lang w:eastAsia="en-US"/>
        </w:rPr>
        <w:t>euro</w:t>
      </w:r>
      <w:proofErr w:type="spellEnd"/>
      <w:r>
        <w:rPr>
          <w:lang w:eastAsia="en-US"/>
        </w:rPr>
        <w:t>) ar noteikumu projekta anotācijas metodikā aprēķināto valsts nodevas apmēru (80,01 </w:t>
      </w:r>
      <w:proofErr w:type="spellStart"/>
      <w:r>
        <w:rPr>
          <w:i/>
          <w:iCs/>
          <w:lang w:eastAsia="en-US"/>
        </w:rPr>
        <w:t>euro</w:t>
      </w:r>
      <w:proofErr w:type="spellEnd"/>
      <w:r>
        <w:rPr>
          <w:lang w:eastAsia="en-US"/>
        </w:rPr>
        <w:t>).</w:t>
      </w:r>
    </w:p>
    <w:p w:rsidR="006F751B" w:rsidRDefault="006F751B" w:rsidP="006F751B">
      <w:pPr>
        <w:jc w:val="both"/>
      </w:pPr>
      <w:r>
        <w:rPr>
          <w:lang w:eastAsia="en-US"/>
        </w:rPr>
        <w:t> </w:t>
      </w:r>
    </w:p>
    <w:p w:rsidR="00451518" w:rsidRDefault="006F751B" w:rsidP="006F751B">
      <w:pPr>
        <w:jc w:val="both"/>
      </w:pPr>
      <w:r>
        <w:t> </w:t>
      </w:r>
      <w:bookmarkStart w:id="0" w:name="_GoBack"/>
      <w:bookmarkEnd w:id="0"/>
    </w:p>
    <w:sectPr w:rsidR="004515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916"/>
    <w:rsid w:val="00451518"/>
    <w:rsid w:val="00510916"/>
    <w:rsid w:val="006F75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D01F6D-A0E8-4C62-A5D8-6F2A0D56E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51B"/>
    <w:pPr>
      <w:spacing w:after="0" w:line="240" w:lineRule="auto"/>
    </w:pPr>
    <w:rPr>
      <w:rFonts w:ascii="Calibri" w:eastAsia="Times New Roman"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75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61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ginta.dzelme@pmlp.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inta.dzelme@pmlp.gov.lv" TargetMode="External"/><Relationship Id="rId5" Type="http://schemas.openxmlformats.org/officeDocument/2006/relationships/hyperlink" Target="mailto:pasts@iem.gov.lv" TargetMode="External"/><Relationship Id="rId4" Type="http://schemas.openxmlformats.org/officeDocument/2006/relationships/hyperlink" Target="mailto:Viesturs.Blumentals@t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2354</Words>
  <Characters>1343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Dzelme</dc:creator>
  <cp:keywords/>
  <dc:description/>
  <cp:lastModifiedBy>Ginta Dzelme</cp:lastModifiedBy>
  <cp:revision>2</cp:revision>
  <dcterms:created xsi:type="dcterms:W3CDTF">2021-09-14T12:56:00Z</dcterms:created>
  <dcterms:modified xsi:type="dcterms:W3CDTF">2021-09-14T12:58:00Z</dcterms:modified>
</cp:coreProperties>
</file>