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22-TA-1821: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un valsts ārkārtas pielāgošanas atbalsta piešķiršanas kārtība cūkkopības, mājputnu audzēšanas un segto platību dārzeņkopības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un valsts ārkārtas pielāgošanas atbalsta piešķiršanas kārtība cūkkopības, mājputnu audzēšanas un segto platību dārzeņkopības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izskatīšanai Ministru kabineta sēdē virzāms vienlaikus ar Zemkopības ministrijas izstrādāto informatīvo ziņojumu “Par esošo situāciju lauksaimniecībā un iespējamajiem risinājumiem ar Krievijas militāro iebrukumu Ukrainā saistītās krīzes risināšanai” (22-TA-1956) vai pēc tā atbalstīšanas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esošo situāciju lauksaimniecībā un iespējamajiem risinājumiem ar Krievijas militāro iebrukumu Ukrainā saistītās krīzes risināšanai” (22-TA-1956) ir iekļauts izskatīšanai MInistru kabineta 2022. gada 21. jūnija sēdes darba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un valsts ārkārtas pielāgošanas atbalsta piešķiršanas kārtība cūkkopības, mājputnu audzēšanas un segto platību dārzeņkopības nozarē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Atbalstu piešķir, lai laikposmā no 2022. gada 1. februāra līdz 30. jūnijam (turpmāk – 2022. gada laikposms) salīdzinājumā ar laikposmu no 2021. gada 1. februāra līdz 30. jūnijam (turpmāk – 2021. gada laikposms) daļēji segtu šādu ražošanas resursu izmaksu pieaugumu saimniecībā: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Likuma par budžetu un finanšu vadību 46. pantu budžeta finansētu institūciju vadītāji ir atbildīgi par Likuma par budžetu un finanšu vadību likumā noteiktās kārtības un prasību ievērošanu, izpildi un kontroli, kā arī par budžeta līdzekļu efektīvu un ekonomisku izlietošanu atbilstoši paredzētajiem mērķiem. Tādējādi nozares ministrija ir atbildīga par to, vai noteikumu projekta īstenošanai paredzētie līdzekļi tiks izmantoti atbilstoši prasībām, ko nosaka Eiropas Komisija. Ņemot vērā minēto, vēršam uzmanību, ka Komisijas regulā 2022/467 noteikts, ka dalībvalstu veiktajiem pasākumiem jāveicina pārtikas nodrošinājums un jānovērš tirgus nelīdzsvarotība, attiecīgi aicinām anotācijā plašāk skaidrot, kā noteikumu projekta 5.punktā noteiktais, ka atbalstu piešķir, lai daļēji segtu ražošanas resursu izmaksu pieaugumu saimniecībās, risinās pārtikas nodrošinājumu un novērsīs tirgus nelīdzsvarotību.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saistībā ar pārtikas nodoršinājuma veicināšanu regulā 2022/467 ietvertā atbalsta pasākuma mērķis nav šo pārtikas nodrošinājumu paaugstināt, bet gan saglabāt esošajā līmenī vai vismaz nepieļaut būtisku samazināšanos. Norādām, ka Eiropas Savienība kopumā ir lielākais lauksaimniecības un pārtikas eksportētājs pasaulē, jo saražo daudz vairāk nekā ir nepieciešams iekšējam patēriņam. Tādēļ pārtikas nodoršinājuma veicināšana šajā kontekstā nav jāskaidro ar mērķi, piemēram, vēl vairāk palielināt eksporta apjomus, bet gan turpināt nodrošināt pārtiku līdzšinējā apmērā. Arī tirgus stabilizācijas mērķis atbalsta pasākumā vairāk saistāms ar apstākli, lai tirgū ir pieejams nepieciešamais pārtikas apjoms.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FM atzinumā pausto lūgumu skaidrot kā projektā ietvertais regulējums par ražošanas resursu izmaksu pieauguma daļēju segšanu risinās pārtikas nodrošinājumu un novērsīs tirgus nelīdzvsarotību, anotācijas 1.5. punktā "Ex-post izvērtējums" trešās rindkopas vidusdaļā ietvertā informācija ir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atbalsta pasākumi veicinās pārtikas nodrošinājumu no 3 atbalsttiesīgajām nozarēm, jo uzņēmumiem būs pieejami līdzekļi ražošanai nepieciešamo resursu iegādei un uzņēmumi tādējādi spēs turpināt ražošanu un nodrošināt iedzīvotāju apgādi ar pārtiku, t.i., piegādāt savu ražoto produkciju tieši patērētājam vai pārstrādes uzņēmumam (atkarībā no atbalsta saņēmēja specifikas). Kā arī, atbalsts veicinās tirgus stabilizāciju jeb tirgus nelīdzsvarotības novēršanu, jo apstāklis, ka saimniecības turpinās darbību savā nozarē un turpinās produkcijas ražošanu, nozīmē, ka tirgū pieejamais produkcijas apjoms (līdz ar to arī, saražotās pārtikas apjoms) kopumā netiks būtiski ietekmēts. Atbalstam sedzot faktisko izmaksu pieaugumu, tiek neitralizēta tā negatīvā ietekme uz ražošanu."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Atbalstu piešķir, lai laikposmā no 2022. gada 1. februāra līdz 30. jūnijam (turpmāk – 2022. gada laikposms) salīdzinājumā ar laikposmu no 2021. gada 1. februāra līdz 30. jūnijam (turpmāk – 2021. gada laikposms) daļēji segtu šādu ražošanas resursu izmaksu pieaugumu saimniecībā: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Atbalstu piešķir 70 procentu apmērā no katra šo noteikumu </w:t>
            </w:r>
            <w:r w:rsidR="00000000" w:rsidRPr="00000000" w:rsidDel="00000000">
              <w:rPr>
                <w:rtl w:val="0"/>
              </w:rPr>
              <w:t xml:space="preserve">5. </w:t>
            </w:r>
            <w:r w:rsidR="00000000" w:rsidRPr="00000000" w:rsidDel="00000000">
              <w:rPr>
                <w:rtl w:val="0"/>
              </w:rPr>
              <w:t xml:space="preserve">punktu</w:t>
            </w:r>
            <w:r w:rsidR="00000000" w:rsidRPr="00000000" w:rsidDel="00000000">
              <w:rPr>
                <w:rtl w:val="0"/>
              </w:rPr>
              <w:t xml:space="preserve"> minētā ražošanas resursa izmaksu pieauguma, ko aprēķina: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15.punkta 15.1.1., 15.2.1., 15.3.1. un 15.4.1.apakšpunktos minētais, ka 2022.gada laikposma apjoma ierobežojums būtu jānosaka 150% apmērā no 2021.gada laikposma apjoma, norāda, ka šobrīd tiek piedāvāts sniegt atbalstu arī par lielāku patēriņu (dīzeļdegvielas, elektroenerģijas, kurināmā un minerālmēslu gadījumā) vai lielāku skaitu (lopbarības gadījumā) nevis tikai par izmaksu pieaugumu. Attiecīgi aicinām izvērtēt un precizēt minētos nosacījumus, vai 2022.gada laikposma apjoma ierobežojums nebūtu jānosaka 100% apmērā no 2021.gada laikposma apjoma. Attiecīgi aicinām precizēt arī anotācijā sniegto informāciju par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latvijas lauksaimniecības nozarēs nepārtraukti notiek strukturālas pārmaiņas, piemēram, mainoties paaudzēm, saimniecībām pārorientējoties uz citām nozarēm utml. Tādēļ mēdz mainīties arī saimniecību ekonomiskie lielumi, piemēram, vienai saimniecībai pārņemot citu vai pārpērkot citas saimniecības zemi, dzīvniekus utml. Turklāt, tirgus orientētas saimniecības un integrētie pārtikas uzņēmumi (kam ir gan primārā ražošana, gan pārstrāde) investē ražošanas apjomu palielināšanā, lai kāpinātu savu konkurētspēju gan iekšējā, gan ārējā tirgū. Tādēļ situācija, ka atbalsta pretendentam pa gadiem ir palielinājies ražošanas apjoms (dzīvnieku skaits un/vai apsaimniekotā platība), kā dēļ tam bijuši nepieciešami lielāki resursu daudzumi nekā gadu iepriekš, ir pamatota un iespējama. Tomēr, lai novērstu, ka ar atbalstu tiktu segta mākslīgu resursu uzkrājumu veidošana, projekts paredz, ka atbalsta periodā nopirktais resursu daudzums nepārsniedz 150% no references periodā nopirktā. Proti, par šo pārsniegto daudzumu netiks aprēķināts un piešķirts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skaidrojums iekļauts arī anotācijas 1.3. sadaļas "1.3. Pašreizējā situācija, problēmas un risinājumi" daļā "Risinājuma apraksts" 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Zemkopības ministrija secina, ka nav nepieciešams pārskatīt projektā iekļauto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Atbalstu piešķir 70 procentu apmērā no katra šo noteikumu </w:t>
            </w:r>
            <w:r w:rsidR="00000000" w:rsidRPr="00000000" w:rsidDel="00000000">
              <w:rPr>
                <w:rtl w:val="0"/>
              </w:rPr>
              <w:t xml:space="preserve">5. </w:t>
            </w:r>
            <w:r w:rsidR="00000000" w:rsidRPr="00000000" w:rsidDel="00000000">
              <w:rPr>
                <w:rtl w:val="0"/>
              </w:rPr>
              <w:t xml:space="preserve">punktu</w:t>
            </w:r>
            <w:r w:rsidR="00000000" w:rsidRPr="00000000" w:rsidDel="00000000">
              <w:rPr>
                <w:rtl w:val="0"/>
              </w:rPr>
              <w:t xml:space="preserve"> minētā ražošanas resursa izmaksu pieauguma, ko aprēķina: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5. sadaļas 1. tabulu, norādot visas noteikumu projekta vienības, kurās ieviestas Eiropas Savienības regulas, t.i., papildinot ar noteikumu projekta 2., 6., 7., 10. un 23. punktu un 22.3. un  22.4.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skatīt anotācijas 5. sadaļas 1. tabulu.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6.2.punktu papildināt vismaz ar aprēķina pieņēmumiem, kas pamato kopējo nepieciešamo finansējuma apmēru, kā arī aicinām papildināt šo sadaļu ar informāciju, ka Zemkopības ministrija, īstenojot noteikumu projekta paredzētā atbalsta sniegšanu, nodrošinās vienotu pieeju visiem atbalsta saņēmējiem, kuri saskaņā ar noteikumu projektu var pretendēt uz atbalsta sniegšanu, nepieļaujot saņēmēju selektivitāti situācijā, ja pieprasījums pārsniegs atbalsta sniegšanai pieejamo finansējumu, tādējādi apstiprinot, ka noteikumu projekta īstenošana tiks nodrošināta tam paredzētā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6.2. punkts ir papildināts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22.3. apakšpunktu situācija, ja kopējais aprēķinātais atbalsta apmērs pārsniegs pieejamo finansējumu, Lauku atbalsta dienests proporcionāli samazinās atbalstu visiem pretendentiem, lai netiktu pārsniegts pieejamais budžets. Projekts neparedz prioritizēt atbalsta saņēmējus vai citādi piemērot selektivitāti starp atbalsta saņēmējiem attiecībā uz tiem izmaksājamām atbalsta summām.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Zemkopības ministrijas rīcībā nav informācijas par potenciālo atbalsta pretendentu izmaksu pieaugumiem katrā individuālajā gadījumā, nav iespējams provizoriski aplēst faktisko finansējuma nepieciešamību. Jāņem arī vērā, ka atbalstam var pieteikties dažāda ekonomiskā lielumam saimniecības un uzņēmumi, līdz ar to katrā gadījumā situācija būs atšķirīga. Projektā paredzētais finansējums ir balstīts uz Regulas 2022/467 pielikumā Latvijai piešķirto ES finansējumu un Regulas 2022/467 2. pantā paredzēto iespēju dalībvalstīm piešķirt valsts papildu atbalstu līdz 200% apmērā, taču valsts papildu atbalsts tiek noteikts tādā apmērā, kā to paredz Zemkopības ministrijas izstrādātais informatīvis ziņojums “Par esošo situāciju lauksaimniecībā un iespējamajiem risinājumiem ar Krievijas militāro iebrukumu Ukrainā saistītās krīzes risināšanai” (22-TA-1956)."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svītrot trešo un ceturto teikumu un 3.sadaļas punktā “Cita informācija” norādīt, ka Zemkopības ministrija normatīvajos aktos noteiktajā kārtībā valsts budžeta finansējumu 5 000 000 euro apmērā pieprasīs no 74. resora "Gadskārtējā valsts budžeta izpildes procesā pārdalāmais finansējums" programmas 80.00.00 "Nesadalītais finansējums Eiropas Savienības politiku instrumentu un pārējās ārvalstu finanšu palīdzības līdzfinansēto projektu un pasākumu īstenošanai", ievērojot piedāvātos risinājumus, kas sniegti Zemkopības ministrijas izstrādātajā informatīvajā ziņojumā “Par esošo situāciju lauksaimniecībā un iespējamajiem risinājumiem ar Krievijas militāro iebrukumu Ukrainā saistītās krīzes risināšanai” un tam pievienotajā protokollēmumā (22-TA-1956).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veiktas attiecīgās izmaiņas, skatīt 3. sadaļas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22-TA-1821</w:t>
    </w:r>
    <w:r>
      <w:br/>
    </w:r>
    <w:r w:rsidR="00000000" w:rsidRPr="00000000" w:rsidDel="00000000">
      <w:rPr>
        <w:rtl w:val="0"/>
      </w:rPr>
      <w:t xml:space="preserve">21.06.2022. 12.02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22-TA-1821</w:t>
    </w:r>
    <w:r>
      <w:br/>
    </w:r>
    <w:r w:rsidR="00000000" w:rsidRPr="00000000" w:rsidDel="00000000">
      <w:rPr>
        <w:rtl w:val="0"/>
      </w:rPr>
      <w:t xml:space="preserve">21.06.2022. 12.02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Izziņa_22-TA-1821.docx</dc:title>
</cp:coreProperties>
</file>

<file path=docProps/custom.xml><?xml version="1.0" encoding="utf-8"?>
<Properties xmlns="http://schemas.openxmlformats.org/officeDocument/2006/custom-properties" xmlns:vt="http://schemas.openxmlformats.org/officeDocument/2006/docPropsVTypes"/>
</file>