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A980E" w14:textId="1DCC7ED9" w:rsidR="00E24F2F" w:rsidRPr="003759B2" w:rsidRDefault="00E24F2F" w:rsidP="005F057C">
      <w:pPr>
        <w:pStyle w:val="H4"/>
        <w:spacing w:after="480"/>
        <w:rPr>
          <w:lang w:eastAsia="lv-LV"/>
        </w:rPr>
      </w:pPr>
      <w:r w:rsidRPr="003759B2">
        <w:rPr>
          <w:lang w:eastAsia="lv-LV"/>
        </w:rPr>
        <w:t>28. Augstākā tiesa</w:t>
      </w:r>
    </w:p>
    <w:p w14:paraId="22B09749" w14:textId="77777777" w:rsidR="00E02EDB" w:rsidRPr="003759B2" w:rsidRDefault="00E02EDB" w:rsidP="00E02EDB">
      <w:pPr>
        <w:pStyle w:val="Funkcijasbold"/>
        <w:spacing w:after="480"/>
        <w:jc w:val="left"/>
      </w:pPr>
      <w:r w:rsidRPr="003759B2">
        <w:rPr>
          <w:u w:val="single"/>
        </w:rPr>
        <w:t>Augstākās tiesas darbības jomas</w:t>
      </w:r>
      <w:r w:rsidRPr="003759B2">
        <w:t>:</w:t>
      </w:r>
    </w:p>
    <w:p w14:paraId="6BA89E63" w14:textId="06AEDC7D" w:rsidR="00E02EDB" w:rsidRPr="003759B2" w:rsidRDefault="00E02EDB" w:rsidP="00E02EDB">
      <w:pPr>
        <w:pStyle w:val="Funkcijasbold"/>
        <w:spacing w:after="480"/>
        <w:jc w:val="left"/>
      </w:pPr>
      <w:r w:rsidRPr="003759B2">
        <w:rPr>
          <w:noProof/>
          <w:lang w:eastAsia="lv-LV"/>
        </w:rPr>
        <w:drawing>
          <wp:inline distT="0" distB="0" distL="0" distR="0" wp14:anchorId="7DCFFE67" wp14:editId="146C69C1">
            <wp:extent cx="5486400" cy="844826"/>
            <wp:effectExtent l="0" t="57150" r="0" b="1270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ED1381F" w14:textId="77777777" w:rsidR="00E02EDB" w:rsidRPr="003759B2" w:rsidRDefault="00E02EDB" w:rsidP="00E02EDB">
      <w:pPr>
        <w:pStyle w:val="Funkcijasbold"/>
        <w:spacing w:before="480"/>
        <w:rPr>
          <w:szCs w:val="24"/>
          <w:lang w:eastAsia="lv-LV"/>
        </w:rPr>
      </w:pPr>
      <w:r w:rsidRPr="003759B2">
        <w:rPr>
          <w:szCs w:val="24"/>
          <w:u w:val="single"/>
          <w:lang w:eastAsia="lv-LV"/>
        </w:rPr>
        <w:t>Augstākās tiesas galvenie pasākumi 2022. gadā</w:t>
      </w:r>
      <w:r w:rsidRPr="003759B2">
        <w:rPr>
          <w:szCs w:val="24"/>
          <w:lang w:eastAsia="lv-LV"/>
        </w:rPr>
        <w:t>:</w:t>
      </w:r>
    </w:p>
    <w:p w14:paraId="7B62D659" w14:textId="77777777" w:rsidR="00E02EDB" w:rsidRPr="003759B2" w:rsidRDefault="00E02EDB" w:rsidP="00B91EAC">
      <w:pPr>
        <w:pStyle w:val="ListParagraph"/>
        <w:numPr>
          <w:ilvl w:val="0"/>
          <w:numId w:val="3"/>
        </w:numPr>
        <w:spacing w:before="120"/>
        <w:rPr>
          <w:bCs/>
          <w:szCs w:val="24"/>
          <w:lang w:eastAsia="lv-LV"/>
        </w:rPr>
      </w:pPr>
      <w:r w:rsidRPr="003759B2">
        <w:rPr>
          <w:bCs/>
          <w:szCs w:val="24"/>
          <w:lang w:eastAsia="lv-LV"/>
        </w:rPr>
        <w:t>stabilas judikatūras veidošana</w:t>
      </w:r>
      <w:r w:rsidRPr="003759B2">
        <w:rPr>
          <w:szCs w:val="24"/>
        </w:rPr>
        <w:t>;</w:t>
      </w:r>
    </w:p>
    <w:p w14:paraId="19C6136A" w14:textId="77777777" w:rsidR="00E02EDB" w:rsidRPr="003759B2" w:rsidRDefault="00E02EDB" w:rsidP="00B91EAC">
      <w:pPr>
        <w:pStyle w:val="NormalWeb"/>
        <w:numPr>
          <w:ilvl w:val="0"/>
          <w:numId w:val="3"/>
        </w:numPr>
        <w:spacing w:before="120" w:beforeAutospacing="0" w:after="120" w:afterAutospacing="0"/>
        <w:jc w:val="both"/>
        <w:textAlignment w:val="baseline"/>
        <w:rPr>
          <w:color w:val="000000"/>
          <w:lang w:val="lv-LV"/>
        </w:rPr>
      </w:pPr>
      <w:r w:rsidRPr="003759B2">
        <w:rPr>
          <w:color w:val="000000"/>
          <w:lang w:val="lv-LV"/>
        </w:rPr>
        <w:t>efektīva kasācijas procesa nodrošināšana;</w:t>
      </w:r>
    </w:p>
    <w:p w14:paraId="5EE37F61" w14:textId="77777777" w:rsidR="00E02EDB" w:rsidRPr="003759B2" w:rsidRDefault="00E02EDB" w:rsidP="00B91EAC">
      <w:pPr>
        <w:pStyle w:val="Funkcijasbold"/>
        <w:numPr>
          <w:ilvl w:val="0"/>
          <w:numId w:val="3"/>
        </w:numPr>
        <w:spacing w:before="120"/>
        <w:rPr>
          <w:b w:val="0"/>
          <w:szCs w:val="24"/>
          <w:lang w:eastAsia="lv-LV"/>
        </w:rPr>
      </w:pPr>
      <w:r w:rsidRPr="003759B2">
        <w:rPr>
          <w:b w:val="0"/>
          <w:szCs w:val="24"/>
        </w:rPr>
        <w:t xml:space="preserve">resursu izmantošanas un iekšējo procesu </w:t>
      </w:r>
      <w:proofErr w:type="spellStart"/>
      <w:r w:rsidRPr="003759B2">
        <w:rPr>
          <w:b w:val="0"/>
          <w:szCs w:val="24"/>
        </w:rPr>
        <w:t>efektivizēšana</w:t>
      </w:r>
      <w:proofErr w:type="spellEnd"/>
      <w:r w:rsidRPr="003759B2">
        <w:rPr>
          <w:b w:val="0"/>
          <w:szCs w:val="24"/>
        </w:rPr>
        <w:t>;</w:t>
      </w:r>
    </w:p>
    <w:p w14:paraId="589A9D14" w14:textId="5622F443" w:rsidR="00E02EDB" w:rsidRPr="003759B2" w:rsidRDefault="00E02EDB" w:rsidP="00B91EAC">
      <w:pPr>
        <w:pStyle w:val="Funkcijasbold"/>
        <w:numPr>
          <w:ilvl w:val="0"/>
          <w:numId w:val="3"/>
        </w:numPr>
        <w:spacing w:before="120"/>
        <w:rPr>
          <w:b w:val="0"/>
          <w:szCs w:val="24"/>
          <w:lang w:eastAsia="lv-LV"/>
        </w:rPr>
      </w:pPr>
      <w:r w:rsidRPr="003759B2">
        <w:rPr>
          <w:b w:val="0"/>
          <w:szCs w:val="24"/>
          <w:lang w:eastAsia="lv-LV"/>
        </w:rPr>
        <w:t>sadarbība un dialogs;</w:t>
      </w:r>
    </w:p>
    <w:p w14:paraId="2A8E4817" w14:textId="4049E9F7" w:rsidR="004A30F9" w:rsidRPr="00B91EAC" w:rsidRDefault="00E02EDB" w:rsidP="00B91EAC">
      <w:pPr>
        <w:pStyle w:val="Funkcijasbold"/>
        <w:numPr>
          <w:ilvl w:val="0"/>
          <w:numId w:val="3"/>
        </w:numPr>
        <w:spacing w:before="120" w:after="480"/>
        <w:rPr>
          <w:b w:val="0"/>
          <w:szCs w:val="24"/>
          <w:lang w:eastAsia="lv-LV"/>
        </w:rPr>
      </w:pPr>
      <w:r w:rsidRPr="003759B2">
        <w:rPr>
          <w:b w:val="0"/>
          <w:szCs w:val="24"/>
          <w:lang w:eastAsia="lv-LV"/>
        </w:rPr>
        <w:t>sabiedrības informēšana un izglītošana.</w:t>
      </w:r>
    </w:p>
    <w:p w14:paraId="30F1A83E" w14:textId="1118FDDB" w:rsidR="00E02EDB" w:rsidRPr="003759B2" w:rsidRDefault="00E02EDB" w:rsidP="00C14ACA">
      <w:pPr>
        <w:pStyle w:val="Funkcijasbold"/>
        <w:spacing w:after="240"/>
        <w:jc w:val="center"/>
        <w:rPr>
          <w:u w:val="single"/>
          <w:lang w:eastAsia="lv-LV"/>
        </w:rPr>
      </w:pPr>
      <w:r w:rsidRPr="003759B2">
        <w:rPr>
          <w:u w:val="single"/>
          <w:lang w:eastAsia="lv-LV"/>
        </w:rPr>
        <w:t>Augstākās tiesas kopējo izdevumu izmaiņas no 2020. līdz 2024. gadam</w:t>
      </w:r>
    </w:p>
    <w:p w14:paraId="41D0174F" w14:textId="4646A4FE" w:rsidR="00E02EDB" w:rsidRPr="003759B2" w:rsidRDefault="00E02EDB" w:rsidP="00E02EDB">
      <w:pPr>
        <w:pStyle w:val="Funkcijasbold"/>
        <w:spacing w:after="0"/>
        <w:ind w:left="851"/>
        <w:jc w:val="right"/>
        <w:rPr>
          <w:b w:val="0"/>
          <w:i/>
          <w:sz w:val="18"/>
          <w:lang w:eastAsia="lv-LV"/>
        </w:rPr>
      </w:pPr>
      <w:proofErr w:type="spellStart"/>
      <w:r w:rsidRPr="003759B2">
        <w:rPr>
          <w:b w:val="0"/>
          <w:i/>
          <w:sz w:val="18"/>
          <w:lang w:eastAsia="lv-LV"/>
        </w:rPr>
        <w:t>Euro</w:t>
      </w:r>
      <w:proofErr w:type="spellEnd"/>
    </w:p>
    <w:p w14:paraId="671B01CC" w14:textId="016531D3" w:rsidR="00E02EDB" w:rsidRPr="003759B2" w:rsidRDefault="009A27AC" w:rsidP="00E02EDB">
      <w:pPr>
        <w:pStyle w:val="Tabuluvirsraksti"/>
        <w:spacing w:after="0"/>
        <w:rPr>
          <w:b/>
          <w:lang w:eastAsia="lv-LV"/>
        </w:rPr>
      </w:pPr>
      <w:r w:rsidRPr="00B251BC">
        <w:rPr>
          <w:b/>
          <w:noProof/>
          <w:lang w:eastAsia="lv-LV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F47E37" wp14:editId="2B5F2079">
                <wp:simplePos x="0" y="0"/>
                <wp:positionH relativeFrom="column">
                  <wp:posOffset>819785</wp:posOffset>
                </wp:positionH>
                <wp:positionV relativeFrom="paragraph">
                  <wp:posOffset>581697</wp:posOffset>
                </wp:positionV>
                <wp:extent cx="492981" cy="222278"/>
                <wp:effectExtent l="0" t="0" r="0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981" cy="2222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AAFE4" w14:textId="72BD4299" w:rsidR="00B251BC" w:rsidRPr="00B91EAC" w:rsidRDefault="00B251BC" w:rsidP="00B251BC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B91EAC">
                              <w:rPr>
                                <w:b/>
                                <w:bCs/>
                                <w:sz w:val="20"/>
                                <w:szCs w:val="16"/>
                                <w:lang w:val="en-US"/>
                              </w:rPr>
                              <w:t>3 451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47E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4.55pt;margin-top:45.8pt;width:38.8pt;height:1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w4CAIAAPEDAAAOAAAAZHJzL2Uyb0RvYy54bWysU8Fu2zAMvQ/YPwi6L06MZE2MOEXXrsOA&#10;rhvQ7gMYWY6FSaImKbGzrx8lp2mw3YbpIEgi+cj3SK2vB6PZQfqg0NZ8NplyJq3ARtldzb8/379b&#10;chYi2AY0Wlnzowz8evP2zbp3lSyxQ91IzwjEhqp3Ne9idFVRBNFJA2GCTloytugNRLr6XdF46And&#10;6KKcTt8XPfrGeRQyBHq9G418k/HbVor4tW2DjEzXnGqLefd536a92Kyh2nlwnRKnMuAfqjCgLCU9&#10;Q91BBLb36i8oo4THgG2cCDQFtq0SMnMgNrPpH2yeOnAycyFxgjvLFP4frHg8fPNMNTWfc2bBUIue&#10;5RDZBxxYmdTpXajI6cmRWxzombqcmQb3gOJHYBZvO7A7eeM99p2EhqqbpcjiInTECQlk23/BhtLA&#10;PmIGGlpvknQkBiN06tLx3JlUiqDH+apcLWecCTKVtK6WOQNUL8HOh/hJomHpUHNPjc/gcHgIMRUD&#10;1YtLymXxXmmdm68t62u+WpSLHHBhMSrSbGplar6cpjVOS+L40TY5OILS45kSaHsinXiOjOOwHcgx&#10;KbHF5kj0PY4zSH+GDh36X5z1NH81Dz/34CVn+rMlCVez+TwNbL7MF1clXfylZXtpASsIquaRs/F4&#10;G/OQj1xvSOpWZRleKznVSnOV1Tn9gTS4l/fs9fpTN78BAAD//wMAUEsDBBQABgAIAAAAIQAg7T59&#10;3AAAAAoBAAAPAAAAZHJzL2Rvd25yZXYueG1sTI/LTsMwEEX3SPyDNUjsqJ0IDAlxKgRiC6I8JHZu&#10;PE0i4nEUu034e6Yrury6R3fOVOvFD+KAU+wDGchWCgRSE1xPrYGP9+erOxAxWXJ2CIQGfjHCuj4/&#10;q2zpwkxveNikVvAIxdIa6FIaSylj06G3cRVGJO52YfI2cZxa6SY787gfZK6Ult72xBc6O+Jjh83P&#10;Zu8NfL7svr+u1Wv75G/GOSxKki+kMZcXy8M9iIRL+ofhqM/qULPTNuzJRTFwzouMUQNFpkEwkCt9&#10;C2J7bLQGWVfy9IX6DwAA//8DAFBLAQItABQABgAIAAAAIQC2gziS/gAAAOEBAAATAAAAAAAAAAAA&#10;AAAAAAAAAABbQ29udGVudF9UeXBlc10ueG1sUEsBAi0AFAAGAAgAAAAhADj9If/WAAAAlAEAAAsA&#10;AAAAAAAAAAAAAAAALwEAAF9yZWxzLy5yZWxzUEsBAi0AFAAGAAgAAAAhAIDCbDgIAgAA8QMAAA4A&#10;AAAAAAAAAAAAAAAALgIAAGRycy9lMm9Eb2MueG1sUEsBAi0AFAAGAAgAAAAhACDtPn3cAAAACgEA&#10;AA8AAAAAAAAAAAAAAAAAYgQAAGRycy9kb3ducmV2LnhtbFBLBQYAAAAABAAEAPMAAABrBQAAAAA=&#10;" filled="f" stroked="f">
                <v:textbox>
                  <w:txbxContent>
                    <w:p w14:paraId="3A6AAFE4" w14:textId="72BD4299" w:rsidR="00B251BC" w:rsidRPr="00B91EAC" w:rsidRDefault="00B251BC" w:rsidP="00B251BC">
                      <w:pPr>
                        <w:ind w:firstLine="0"/>
                        <w:rPr>
                          <w:b/>
                          <w:bCs/>
                          <w:sz w:val="20"/>
                          <w:szCs w:val="16"/>
                          <w:lang w:val="en-US"/>
                        </w:rPr>
                      </w:pPr>
                      <w:r w:rsidRPr="00B91EAC">
                        <w:rPr>
                          <w:b/>
                          <w:bCs/>
                          <w:sz w:val="20"/>
                          <w:szCs w:val="16"/>
                          <w:lang w:val="en-US"/>
                        </w:rPr>
                        <w:t>3 451</w:t>
                      </w:r>
                    </w:p>
                  </w:txbxContent>
                </v:textbox>
              </v:shape>
            </w:pict>
          </mc:Fallback>
        </mc:AlternateContent>
      </w:r>
      <w:r w:rsidR="00B91EAC" w:rsidRPr="00B251BC">
        <w:rPr>
          <w:b/>
          <w:noProof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517701" wp14:editId="605E6ACD">
                <wp:simplePos x="0" y="0"/>
                <wp:positionH relativeFrom="column">
                  <wp:posOffset>748665</wp:posOffset>
                </wp:positionH>
                <wp:positionV relativeFrom="paragraph">
                  <wp:posOffset>1591503</wp:posOffset>
                </wp:positionV>
                <wp:extent cx="691515" cy="286247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" cy="2862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4F519" w14:textId="461AC50C" w:rsidR="00B251BC" w:rsidRPr="00B91EAC" w:rsidRDefault="00B251BC" w:rsidP="00B251BC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B91EAC">
                              <w:rPr>
                                <w:b/>
                                <w:bCs/>
                                <w:sz w:val="20"/>
                                <w:szCs w:val="16"/>
                                <w:lang w:val="en-US"/>
                              </w:rPr>
                              <w:t>5 861 265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17701" id="_x0000_s1027" type="#_x0000_t202" style="position:absolute;left:0;text-align:left;margin-left:58.95pt;margin-top:125.3pt;width:54.45pt;height:2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3vdDAIAAPoDAAAOAAAAZHJzL2Uyb0RvYy54bWysU9uO2yAQfa/Uf0C8N46tXK2Q1Xa3W1Xa&#10;XqTdfgDBOEYFhgKJnX59B5zNRu1bVR4QwzBn5pwZNjeD0eQofVBgGS0nU0qkFdAou2f0+/PDuxUl&#10;IXLbcA1WMnqSgd5s377Z9K6WFXSgG+kJgthQ947RLkZXF0UQnTQ8TMBJi84WvOERTb8vGs97RDe6&#10;qKbTRdGDb5wHIUPA2/vRSbcZv22liF/bNshINKNYW8y7z/su7cV2w+u9565T4lwG/4cqDFcWk16g&#10;7nnk5ODVX1BGCQ8B2jgRYApoWyVk5oBsyukfbJ467mTmguIEd5Ep/D9Y8eX4zRPVMFqVS0osN9ik&#10;ZzlE8h4GUiV9ehdqfPbk8GEc8Br7nLkG9wjiRyAW7jpu9/LWe+g7yRusr0yRxVXoiBMSyK7/DA2m&#10;4YcIGWhovUnioRwE0bFPp0tvUikCLxfrcl7OKRHoqlaLarbMGXj9Eux8iB8lGJIOjHpsfQbnx8cQ&#10;UzG8fnmScll4UFrn9mtLekbX82qeA648RkWcTq0Mo6tpWuO8JI4fbJODI1d6PGMCbc+kE8+RcRx2&#10;Q9Y3K5IE2UFzQhU8jMOInwcPHfhflPQ4iIyGnwfuJSX6k0Ul1+VsliY3G7P5skLDX3t21x5uBUIx&#10;GikZj3cxT/tI+RYVb1VW47WSc8k4YFmk82dIE3xt51evX3b7GwAA//8DAFBLAwQUAAYACAAAACEA&#10;wukrL94AAAALAQAADwAAAGRycy9kb3ducmV2LnhtbEyPy07DMBBF90j9B2uQ2FG7EUlJiFNVILZU&#10;lIfEzo2nSUQ8jmK3CX/PdAW7uZqj+yg3s+vFGcfQedKwWioQSLW3HTUa3t+eb+9BhGjImt4TavjB&#10;AJtqcVWawvqJXvG8j41gEwqF0dDGOBRShrpFZ8LSD0j8O/rRmchybKQdzcTmrpeJUpl0piNOaM2A&#10;jy3W3/uT0/Dxcvz6vFO75smlw+RnJcnlUuub63n7ACLiHP9guNTn6lBxp4M/kQ2iZ71a54xqSFKV&#10;gWAiSTIec+AjT9cgq1L+31D9AgAA//8DAFBLAQItABQABgAIAAAAIQC2gziS/gAAAOEBAAATAAAA&#10;AAAAAAAAAAAAAAAAAABbQ29udGVudF9UeXBlc10ueG1sUEsBAi0AFAAGAAgAAAAhADj9If/WAAAA&#10;lAEAAAsAAAAAAAAAAAAAAAAALwEAAF9yZWxzLy5yZWxzUEsBAi0AFAAGAAgAAAAhAHlze90MAgAA&#10;+gMAAA4AAAAAAAAAAAAAAAAALgIAAGRycy9lMm9Eb2MueG1sUEsBAi0AFAAGAAgAAAAhAMLpKy/e&#10;AAAACwEAAA8AAAAAAAAAAAAAAAAAZgQAAGRycy9kb3ducmV2LnhtbFBLBQYAAAAABAAEAPMAAABx&#10;BQAAAAA=&#10;" filled="f" stroked="f">
                <v:textbox>
                  <w:txbxContent>
                    <w:p w14:paraId="1834F519" w14:textId="461AC50C" w:rsidR="00B251BC" w:rsidRPr="00B91EAC" w:rsidRDefault="00B251BC" w:rsidP="00B251BC">
                      <w:pPr>
                        <w:ind w:firstLine="0"/>
                        <w:rPr>
                          <w:b/>
                          <w:bCs/>
                          <w:sz w:val="20"/>
                          <w:szCs w:val="16"/>
                          <w:lang w:val="en-US"/>
                        </w:rPr>
                      </w:pPr>
                      <w:r w:rsidRPr="00B91EAC">
                        <w:rPr>
                          <w:b/>
                          <w:bCs/>
                          <w:sz w:val="20"/>
                          <w:szCs w:val="16"/>
                          <w:lang w:val="en-US"/>
                        </w:rPr>
                        <w:t>5 861 265</w:t>
                      </w:r>
                    </w:p>
                  </w:txbxContent>
                </v:textbox>
              </v:shape>
            </w:pict>
          </mc:Fallback>
        </mc:AlternateContent>
      </w:r>
      <w:r w:rsidR="00E02EDB" w:rsidRPr="003759B2">
        <w:rPr>
          <w:noProof/>
        </w:rPr>
        <w:drawing>
          <wp:inline distT="0" distB="0" distL="0" distR="0" wp14:anchorId="03325B2F" wp14:editId="0B06804A">
            <wp:extent cx="5760085" cy="3512185"/>
            <wp:effectExtent l="0" t="0" r="12065" b="1206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220CF9F" w14:textId="77777777" w:rsidR="00E02EDB" w:rsidRPr="003759B2" w:rsidRDefault="00E02EDB" w:rsidP="00E02EDB">
      <w:pPr>
        <w:pStyle w:val="Tabuluvirsraksti"/>
        <w:spacing w:before="480" w:after="240"/>
        <w:rPr>
          <w:b/>
          <w:lang w:eastAsia="lv-LV"/>
        </w:rPr>
      </w:pPr>
    </w:p>
    <w:p w14:paraId="2738DB50" w14:textId="77777777" w:rsidR="00E52853" w:rsidRDefault="00E52853" w:rsidP="00E02EDB">
      <w:pPr>
        <w:pStyle w:val="Tabuluvirsraksti"/>
        <w:spacing w:before="480" w:after="240"/>
        <w:rPr>
          <w:b/>
          <w:lang w:eastAsia="lv-LV"/>
        </w:rPr>
      </w:pPr>
    </w:p>
    <w:p w14:paraId="0FC9B871" w14:textId="72C5BEE2" w:rsidR="00E02EDB" w:rsidRPr="003759B2" w:rsidRDefault="00E02EDB" w:rsidP="001E1430">
      <w:pPr>
        <w:pStyle w:val="Tabuluvirsraksti"/>
        <w:spacing w:after="240"/>
        <w:rPr>
          <w:b/>
          <w:lang w:eastAsia="lv-LV"/>
        </w:rPr>
      </w:pPr>
      <w:r w:rsidRPr="003759B2">
        <w:rPr>
          <w:b/>
          <w:lang w:eastAsia="lv-LV"/>
        </w:rPr>
        <w:lastRenderedPageBreak/>
        <w:t>Vidējais amata vietu skaits no 2020. līdz 2024.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E02EDB" w:rsidRPr="003759B2" w14:paraId="3FFD1141" w14:textId="77777777" w:rsidTr="00EB2ABF">
        <w:trPr>
          <w:trHeight w:val="332"/>
          <w:tblHeader/>
          <w:jc w:val="center"/>
        </w:trPr>
        <w:tc>
          <w:tcPr>
            <w:tcW w:w="1601" w:type="pct"/>
            <w:shd w:val="clear" w:color="auto" w:fill="auto"/>
          </w:tcPr>
          <w:p w14:paraId="48B58AF0" w14:textId="77777777" w:rsidR="00E02EDB" w:rsidRPr="003759B2" w:rsidRDefault="00E02EDB" w:rsidP="00EB2ABF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779FE264" w14:textId="77777777" w:rsidR="00E02EDB" w:rsidRPr="003759B2" w:rsidRDefault="00E02EDB" w:rsidP="00EB2ABF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2020.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</w:tcPr>
          <w:p w14:paraId="4BBD01ED" w14:textId="77777777" w:rsidR="00E02EDB" w:rsidRPr="003759B2" w:rsidRDefault="00E02EDB" w:rsidP="00EB2ABF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lang w:eastAsia="lv-LV"/>
              </w:rPr>
              <w:t>2021. gada     plāns</w:t>
            </w:r>
          </w:p>
        </w:tc>
        <w:tc>
          <w:tcPr>
            <w:tcW w:w="680" w:type="pct"/>
          </w:tcPr>
          <w:p w14:paraId="2CFFB4A5" w14:textId="77777777" w:rsidR="00E02EDB" w:rsidRPr="003759B2" w:rsidRDefault="00E02EDB" w:rsidP="00EB2ABF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2022. gada projekts</w:t>
            </w:r>
          </w:p>
        </w:tc>
        <w:tc>
          <w:tcPr>
            <w:tcW w:w="680" w:type="pct"/>
          </w:tcPr>
          <w:p w14:paraId="68C1E5B8" w14:textId="77777777" w:rsidR="00E02EDB" w:rsidRPr="003759B2" w:rsidRDefault="00E02EDB" w:rsidP="00EB2ABF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2023. gada </w:t>
            </w:r>
            <w:r w:rsidRPr="003759B2">
              <w:rPr>
                <w:lang w:eastAsia="lv-LV"/>
              </w:rPr>
              <w:t>prognoze</w:t>
            </w:r>
          </w:p>
        </w:tc>
        <w:tc>
          <w:tcPr>
            <w:tcW w:w="680" w:type="pct"/>
          </w:tcPr>
          <w:p w14:paraId="7196C47E" w14:textId="77777777" w:rsidR="00E02EDB" w:rsidRPr="003759B2" w:rsidRDefault="00E02EDB" w:rsidP="00EB2ABF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2024. gada </w:t>
            </w:r>
            <w:r w:rsidRPr="003759B2">
              <w:rPr>
                <w:lang w:eastAsia="lv-LV"/>
              </w:rPr>
              <w:t>prognoze</w:t>
            </w:r>
          </w:p>
        </w:tc>
      </w:tr>
      <w:tr w:rsidR="00E02EDB" w:rsidRPr="003759B2" w14:paraId="419F92C2" w14:textId="77777777" w:rsidTr="00EB2ABF">
        <w:trPr>
          <w:trHeight w:val="182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6A8BD1A3" w14:textId="77777777" w:rsidR="00E02EDB" w:rsidRPr="003759B2" w:rsidRDefault="00E02EDB" w:rsidP="00EB2ABF">
            <w:pPr>
              <w:pStyle w:val="tabteksts"/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10F6510E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138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54903CB5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146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3C75D58E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156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0F8E6E59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662C03ED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152</w:t>
            </w:r>
          </w:p>
        </w:tc>
      </w:tr>
      <w:tr w:rsidR="00E02EDB" w:rsidRPr="003759B2" w14:paraId="75E52DCB" w14:textId="77777777" w:rsidTr="00EB2ABF">
        <w:trPr>
          <w:trHeight w:val="225"/>
          <w:jc w:val="center"/>
        </w:trPr>
        <w:tc>
          <w:tcPr>
            <w:tcW w:w="5000" w:type="pct"/>
            <w:gridSpan w:val="6"/>
          </w:tcPr>
          <w:p w14:paraId="21CDF964" w14:textId="77777777" w:rsidR="00E02EDB" w:rsidRPr="003759B2" w:rsidRDefault="00E02EDB" w:rsidP="00EB2ABF">
            <w:pPr>
              <w:pStyle w:val="tabteksts"/>
            </w:pPr>
            <w:r w:rsidRPr="003759B2">
              <w:rPr>
                <w:i/>
              </w:rPr>
              <w:t>Tajā skaitā:</w:t>
            </w:r>
          </w:p>
        </w:tc>
      </w:tr>
      <w:tr w:rsidR="00E02EDB" w:rsidRPr="003759B2" w14:paraId="3F9E2BA5" w14:textId="77777777" w:rsidTr="00EB2ABF">
        <w:trPr>
          <w:trHeight w:val="225"/>
          <w:jc w:val="center"/>
        </w:trPr>
        <w:tc>
          <w:tcPr>
            <w:tcW w:w="5000" w:type="pct"/>
            <w:gridSpan w:val="6"/>
          </w:tcPr>
          <w:p w14:paraId="741AB4FC" w14:textId="77777777" w:rsidR="00E02EDB" w:rsidRPr="003759B2" w:rsidRDefault="00E02EDB" w:rsidP="00EB2ABF">
            <w:pPr>
              <w:pStyle w:val="tabteksts"/>
              <w:ind w:firstLine="313"/>
            </w:pPr>
            <w:r w:rsidRPr="003759B2">
              <w:rPr>
                <w:i/>
              </w:rPr>
              <w:t>Valsts pamatfunkciju īstenošana</w:t>
            </w:r>
          </w:p>
        </w:tc>
      </w:tr>
      <w:tr w:rsidR="00E02EDB" w:rsidRPr="003759B2" w14:paraId="3C99777B" w14:textId="77777777" w:rsidTr="00EB2ABF">
        <w:trPr>
          <w:trHeight w:val="205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31FD3BC6" w14:textId="77777777" w:rsidR="00E02EDB" w:rsidRPr="003759B2" w:rsidRDefault="00E02EDB" w:rsidP="00EB2ABF">
            <w:pPr>
              <w:pStyle w:val="tabteksts"/>
              <w:rPr>
                <w:lang w:eastAsia="lv-LV"/>
              </w:rPr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AEAE4CF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138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0058B6CA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146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66911D6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156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7DE3042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1EE4352" w14:textId="77777777" w:rsidR="00E02EDB" w:rsidRPr="003759B2" w:rsidRDefault="00E02EDB" w:rsidP="00EB2ABF">
            <w:pPr>
              <w:pStyle w:val="tabteksts"/>
              <w:jc w:val="right"/>
            </w:pPr>
            <w:r w:rsidRPr="003759B2">
              <w:t>152</w:t>
            </w:r>
          </w:p>
        </w:tc>
      </w:tr>
    </w:tbl>
    <w:p w14:paraId="66898997" w14:textId="77777777" w:rsidR="00E02EDB" w:rsidRPr="003759B2" w:rsidRDefault="00E02EDB" w:rsidP="0099050B">
      <w:pPr>
        <w:spacing w:before="480" w:after="240"/>
        <w:ind w:firstLine="431"/>
        <w:jc w:val="center"/>
        <w:rPr>
          <w:sz w:val="18"/>
          <w:szCs w:val="18"/>
        </w:rPr>
      </w:pPr>
      <w:r w:rsidRPr="003759B2">
        <w:rPr>
          <w:b/>
          <w:szCs w:val="24"/>
          <w:u w:val="single"/>
          <w:lang w:eastAsia="lv-LV"/>
        </w:rPr>
        <w:t>Darbības virziena un resursu vadības karte</w:t>
      </w:r>
    </w:p>
    <w:p w14:paraId="457052E0" w14:textId="0688C2AA" w:rsidR="00E02EDB" w:rsidRPr="003759B2" w:rsidRDefault="009A27AC" w:rsidP="009A27AC">
      <w:pPr>
        <w:pStyle w:val="Tabuluvirsraksti"/>
        <w:jc w:val="both"/>
        <w:rPr>
          <w:b/>
          <w:lang w:eastAsia="lv-LV"/>
        </w:rPr>
      </w:pPr>
      <w:r>
        <w:rPr>
          <w:b/>
          <w:lang w:eastAsia="lv-LV"/>
        </w:rPr>
        <w:t>1. </w:t>
      </w:r>
      <w:r w:rsidR="00E02EDB" w:rsidRPr="003759B2">
        <w:rPr>
          <w:b/>
          <w:lang w:eastAsia="lv-LV"/>
        </w:rPr>
        <w:t>Augstākā tiesa- tiesiskuma īstenošana, veidojot vienotu un stabilu tiesību piemērošanas praksi kasācijas instancē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E02EDB" w:rsidRPr="003759B2" w14:paraId="0034DDA5" w14:textId="77777777" w:rsidTr="00EB2ABF">
        <w:trPr>
          <w:trHeight w:val="283"/>
        </w:trPr>
        <w:tc>
          <w:tcPr>
            <w:tcW w:w="5000" w:type="pct"/>
            <w:shd w:val="clear" w:color="auto" w:fill="D9D9D9" w:themeFill="background1" w:themeFillShade="D9"/>
          </w:tcPr>
          <w:p w14:paraId="0128403C" w14:textId="77777777" w:rsidR="00E02EDB" w:rsidRPr="003759B2" w:rsidRDefault="00E02EDB" w:rsidP="00EB2ABF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3759B2">
              <w:rPr>
                <w:b/>
                <w:sz w:val="18"/>
                <w:szCs w:val="18"/>
                <w:lang w:eastAsia="lv-LV"/>
              </w:rPr>
              <w:t>Darbības mērķis</w:t>
            </w:r>
            <w:r w:rsidRPr="003759B2">
              <w:rPr>
                <w:sz w:val="18"/>
                <w:szCs w:val="18"/>
                <w:lang w:eastAsia="lv-LV"/>
              </w:rPr>
              <w:t xml:space="preserve">: </w:t>
            </w:r>
            <w:r w:rsidRPr="003759B2">
              <w:rPr>
                <w:b/>
                <w:sz w:val="18"/>
                <w:szCs w:val="18"/>
                <w:lang w:eastAsia="lv-LV"/>
              </w:rPr>
              <w:t xml:space="preserve">nodrošināt Augstākās tiesas darbību </w:t>
            </w:r>
            <w:r w:rsidRPr="003759B2">
              <w:rPr>
                <w:i/>
                <w:sz w:val="18"/>
                <w:szCs w:val="18"/>
                <w:lang w:eastAsia="lv-LV"/>
              </w:rPr>
              <w:t>/ Satversmes 82.pants un likums “Par tiesu varu”</w:t>
            </w:r>
          </w:p>
        </w:tc>
      </w:tr>
    </w:tbl>
    <w:p w14:paraId="0727BDFD" w14:textId="77777777" w:rsidR="00E02EDB" w:rsidRPr="003759B2" w:rsidRDefault="00E02EDB" w:rsidP="00E02EDB">
      <w:pPr>
        <w:spacing w:after="0"/>
        <w:ind w:firstLine="0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6"/>
        <w:gridCol w:w="1245"/>
        <w:gridCol w:w="1245"/>
        <w:gridCol w:w="1245"/>
        <w:gridCol w:w="1243"/>
        <w:gridCol w:w="1247"/>
      </w:tblGrid>
      <w:tr w:rsidR="00E02EDB" w:rsidRPr="003759B2" w14:paraId="04DC6DC0" w14:textId="77777777" w:rsidTr="00EB2ABF">
        <w:trPr>
          <w:trHeight w:val="283"/>
        </w:trPr>
        <w:tc>
          <w:tcPr>
            <w:tcW w:w="1565" w:type="pct"/>
          </w:tcPr>
          <w:p w14:paraId="1AB056FC" w14:textId="77777777" w:rsidR="00E02EDB" w:rsidRPr="003759B2" w:rsidRDefault="00E02EDB" w:rsidP="00EB2ABF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87" w:type="pct"/>
          </w:tcPr>
          <w:p w14:paraId="7A05B4DF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2020.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7" w:type="pct"/>
          </w:tcPr>
          <w:p w14:paraId="47F8B91C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2021. gada     plāns</w:t>
            </w:r>
          </w:p>
        </w:tc>
        <w:tc>
          <w:tcPr>
            <w:tcW w:w="687" w:type="pct"/>
          </w:tcPr>
          <w:p w14:paraId="2BE248CE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2022. gada projekts</w:t>
            </w:r>
          </w:p>
        </w:tc>
        <w:tc>
          <w:tcPr>
            <w:tcW w:w="686" w:type="pct"/>
          </w:tcPr>
          <w:p w14:paraId="230FD450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2023. gada prognoze</w:t>
            </w:r>
          </w:p>
        </w:tc>
        <w:tc>
          <w:tcPr>
            <w:tcW w:w="688" w:type="pct"/>
          </w:tcPr>
          <w:p w14:paraId="3150D3DC" w14:textId="77777777" w:rsidR="00E02EDB" w:rsidRPr="003759B2" w:rsidRDefault="00E02EDB" w:rsidP="00EB2ABF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 w:rsidRPr="003759B2">
              <w:rPr>
                <w:sz w:val="18"/>
                <w:szCs w:val="18"/>
                <w:lang w:eastAsia="lv-LV"/>
              </w:rPr>
              <w:t>2024. gada prognoze</w:t>
            </w:r>
          </w:p>
        </w:tc>
      </w:tr>
      <w:tr w:rsidR="00E02EDB" w:rsidRPr="003759B2" w14:paraId="0225870E" w14:textId="77777777" w:rsidTr="00EB2ABF">
        <w:tc>
          <w:tcPr>
            <w:tcW w:w="5000" w:type="pct"/>
            <w:gridSpan w:val="6"/>
            <w:shd w:val="clear" w:color="auto" w:fill="D9D9D9" w:themeFill="background1" w:themeFillShade="D9"/>
          </w:tcPr>
          <w:p w14:paraId="176B1586" w14:textId="77777777" w:rsidR="00E02EDB" w:rsidRPr="003759B2" w:rsidRDefault="00E02EDB" w:rsidP="00EB2AB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759B2">
              <w:rPr>
                <w:b/>
                <w:sz w:val="18"/>
                <w:szCs w:val="18"/>
              </w:rPr>
              <w:t>Ieguldījumi</w:t>
            </w:r>
          </w:p>
        </w:tc>
      </w:tr>
      <w:tr w:rsidR="00E02EDB" w:rsidRPr="003759B2" w14:paraId="53064F19" w14:textId="77777777" w:rsidTr="00EB2ABF">
        <w:trPr>
          <w:trHeight w:val="142"/>
        </w:trPr>
        <w:tc>
          <w:tcPr>
            <w:tcW w:w="1565" w:type="pct"/>
            <w:vMerge w:val="restart"/>
          </w:tcPr>
          <w:p w14:paraId="74BAE199" w14:textId="77777777" w:rsidR="00E02EDB" w:rsidRPr="003759B2" w:rsidRDefault="00E02EDB" w:rsidP="00EB2ABF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3759B2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3759B2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3759B2">
              <w:rPr>
                <w:i/>
                <w:sz w:val="18"/>
                <w:szCs w:val="18"/>
                <w:lang w:eastAsia="lv-LV"/>
              </w:rPr>
              <w:t>,</w:t>
            </w:r>
            <w:r w:rsidRPr="003759B2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406DAFA8" w14:textId="77777777" w:rsidR="00E02EDB" w:rsidRPr="003759B2" w:rsidRDefault="00E02EDB" w:rsidP="00EB2ABF">
            <w:pPr>
              <w:spacing w:after="0"/>
              <w:ind w:firstLine="0"/>
              <w:rPr>
                <w:sz w:val="18"/>
                <w:szCs w:val="18"/>
              </w:rPr>
            </w:pPr>
            <w:r w:rsidRPr="003759B2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3759B2">
              <w:rPr>
                <w:sz w:val="18"/>
                <w:szCs w:val="18"/>
                <w:lang w:eastAsia="lv-LV"/>
              </w:rPr>
              <w:t xml:space="preserve"> </w:t>
            </w:r>
            <w:r w:rsidRPr="003759B2">
              <w:rPr>
                <w:b/>
                <w:sz w:val="18"/>
                <w:szCs w:val="18"/>
                <w:lang w:eastAsia="lv-LV"/>
              </w:rPr>
              <w:t>kopā</w:t>
            </w:r>
            <w:r w:rsidRPr="003759B2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87" w:type="pct"/>
          </w:tcPr>
          <w:p w14:paraId="4AF8A15D" w14:textId="77777777" w:rsidR="00E02EDB" w:rsidRPr="003759B2" w:rsidRDefault="00E02EDB" w:rsidP="00EB2ABF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 w:rsidRPr="003759B2">
              <w:rPr>
                <w:b/>
                <w:bCs/>
                <w:szCs w:val="18"/>
                <w:lang w:eastAsia="lv-LV"/>
              </w:rPr>
              <w:t>5 864 716</w:t>
            </w:r>
          </w:p>
        </w:tc>
        <w:tc>
          <w:tcPr>
            <w:tcW w:w="687" w:type="pct"/>
          </w:tcPr>
          <w:p w14:paraId="3F5344C0" w14:textId="77777777" w:rsidR="00E02EDB" w:rsidRPr="003759B2" w:rsidRDefault="00E02EDB" w:rsidP="00EB2ABF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 w:rsidRPr="003759B2">
              <w:rPr>
                <w:b/>
                <w:bCs/>
                <w:szCs w:val="18"/>
              </w:rPr>
              <w:t>6 749 474</w:t>
            </w:r>
          </w:p>
        </w:tc>
        <w:tc>
          <w:tcPr>
            <w:tcW w:w="687" w:type="pct"/>
          </w:tcPr>
          <w:p w14:paraId="78815D07" w14:textId="77777777" w:rsidR="00E02EDB" w:rsidRPr="003759B2" w:rsidRDefault="00E02EDB" w:rsidP="00EB2ABF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 w:rsidRPr="003759B2">
              <w:rPr>
                <w:b/>
                <w:bCs/>
                <w:szCs w:val="18"/>
              </w:rPr>
              <w:t>7 614 020</w:t>
            </w:r>
          </w:p>
        </w:tc>
        <w:tc>
          <w:tcPr>
            <w:tcW w:w="686" w:type="pct"/>
          </w:tcPr>
          <w:p w14:paraId="15DAC93C" w14:textId="77777777" w:rsidR="00E02EDB" w:rsidRPr="003759B2" w:rsidRDefault="00E02EDB" w:rsidP="00EB2ABF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 w:rsidRPr="003759B2">
              <w:rPr>
                <w:b/>
                <w:bCs/>
                <w:szCs w:val="18"/>
              </w:rPr>
              <w:t>7 306 714</w:t>
            </w:r>
          </w:p>
        </w:tc>
        <w:tc>
          <w:tcPr>
            <w:tcW w:w="688" w:type="pct"/>
          </w:tcPr>
          <w:p w14:paraId="0566C7A9" w14:textId="77777777" w:rsidR="00E02EDB" w:rsidRPr="003759B2" w:rsidRDefault="00E02EDB" w:rsidP="00EB2ABF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</w:rPr>
            </w:pPr>
            <w:r w:rsidRPr="003759B2">
              <w:rPr>
                <w:b/>
                <w:bCs/>
                <w:sz w:val="18"/>
                <w:szCs w:val="18"/>
              </w:rPr>
              <w:t>7 264 214</w:t>
            </w:r>
          </w:p>
        </w:tc>
      </w:tr>
      <w:tr w:rsidR="00E02EDB" w:rsidRPr="003759B2" w14:paraId="69F4B78B" w14:textId="77777777" w:rsidTr="00EB2ABF">
        <w:trPr>
          <w:trHeight w:val="425"/>
        </w:trPr>
        <w:tc>
          <w:tcPr>
            <w:tcW w:w="1565" w:type="pct"/>
            <w:vMerge/>
          </w:tcPr>
          <w:p w14:paraId="34154E78" w14:textId="77777777" w:rsidR="00E02EDB" w:rsidRPr="003759B2" w:rsidRDefault="00E02EDB" w:rsidP="00EB2ABF">
            <w:pPr>
              <w:rPr>
                <w:sz w:val="18"/>
                <w:szCs w:val="18"/>
              </w:rPr>
            </w:pPr>
          </w:p>
        </w:tc>
        <w:tc>
          <w:tcPr>
            <w:tcW w:w="687" w:type="pct"/>
          </w:tcPr>
          <w:p w14:paraId="30702A03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3759B2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687" w:type="pct"/>
          </w:tcPr>
          <w:p w14:paraId="5A087574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3759B2">
              <w:rPr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687" w:type="pct"/>
          </w:tcPr>
          <w:p w14:paraId="118EBE1B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3759B2">
              <w:rPr>
                <w:b/>
                <w:bCs/>
                <w:sz w:val="18"/>
                <w:szCs w:val="18"/>
              </w:rPr>
              <w:t>156</w:t>
            </w:r>
            <w:r w:rsidRPr="003759B2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686" w:type="pct"/>
          </w:tcPr>
          <w:p w14:paraId="2C1FD8EB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3759B2">
              <w:rPr>
                <w:b/>
                <w:bCs/>
                <w:sz w:val="18"/>
                <w:szCs w:val="18"/>
              </w:rPr>
              <w:t>152</w:t>
            </w:r>
          </w:p>
        </w:tc>
        <w:tc>
          <w:tcPr>
            <w:tcW w:w="688" w:type="pct"/>
          </w:tcPr>
          <w:p w14:paraId="5CD1714E" w14:textId="77777777" w:rsidR="00E02EDB" w:rsidRPr="003759B2" w:rsidRDefault="00E02EDB" w:rsidP="00EB2ABF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</w:rPr>
            </w:pPr>
            <w:r w:rsidRPr="003759B2">
              <w:rPr>
                <w:b/>
                <w:bCs/>
                <w:sz w:val="18"/>
                <w:szCs w:val="18"/>
              </w:rPr>
              <w:t>152</w:t>
            </w:r>
          </w:p>
        </w:tc>
      </w:tr>
      <w:tr w:rsidR="00E02EDB" w:rsidRPr="003759B2" w14:paraId="023EFD1F" w14:textId="77777777" w:rsidTr="00EB2ABF">
        <w:trPr>
          <w:trHeight w:val="142"/>
        </w:trPr>
        <w:tc>
          <w:tcPr>
            <w:tcW w:w="1565" w:type="pct"/>
            <w:vMerge w:val="restart"/>
            <w:vAlign w:val="center"/>
          </w:tcPr>
          <w:p w14:paraId="6C323326" w14:textId="77777777" w:rsidR="00E02EDB" w:rsidRPr="003759B2" w:rsidRDefault="00E02EDB" w:rsidP="00764A57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3759B2">
              <w:rPr>
                <w:sz w:val="18"/>
                <w:szCs w:val="18"/>
                <w:lang w:eastAsia="lv-LV"/>
              </w:rPr>
              <w:t>01.00.00 Tiesa</w:t>
            </w:r>
          </w:p>
        </w:tc>
        <w:tc>
          <w:tcPr>
            <w:tcW w:w="687" w:type="pct"/>
          </w:tcPr>
          <w:p w14:paraId="5CE128F9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5 861 265</w:t>
            </w:r>
          </w:p>
        </w:tc>
        <w:tc>
          <w:tcPr>
            <w:tcW w:w="687" w:type="pct"/>
          </w:tcPr>
          <w:p w14:paraId="44EDAF26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6 749 474</w:t>
            </w:r>
          </w:p>
        </w:tc>
        <w:tc>
          <w:tcPr>
            <w:tcW w:w="687" w:type="pct"/>
          </w:tcPr>
          <w:p w14:paraId="6D6524B6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7 614 020</w:t>
            </w:r>
          </w:p>
        </w:tc>
        <w:tc>
          <w:tcPr>
            <w:tcW w:w="686" w:type="pct"/>
          </w:tcPr>
          <w:p w14:paraId="5C3E4723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7 306 714</w:t>
            </w:r>
          </w:p>
        </w:tc>
        <w:tc>
          <w:tcPr>
            <w:tcW w:w="688" w:type="pct"/>
          </w:tcPr>
          <w:p w14:paraId="5C3BEEA4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7 264 214</w:t>
            </w:r>
          </w:p>
        </w:tc>
      </w:tr>
      <w:tr w:rsidR="00E02EDB" w:rsidRPr="003759B2" w14:paraId="4EA9D117" w14:textId="77777777" w:rsidTr="00EB2ABF">
        <w:trPr>
          <w:trHeight w:val="142"/>
        </w:trPr>
        <w:tc>
          <w:tcPr>
            <w:tcW w:w="1565" w:type="pct"/>
            <w:vMerge/>
            <w:vAlign w:val="center"/>
          </w:tcPr>
          <w:p w14:paraId="4581452F" w14:textId="77777777" w:rsidR="00E02EDB" w:rsidRPr="003759B2" w:rsidRDefault="00E02EDB" w:rsidP="00EB2ABF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0B47FB64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138</w:t>
            </w:r>
          </w:p>
        </w:tc>
        <w:tc>
          <w:tcPr>
            <w:tcW w:w="687" w:type="pct"/>
          </w:tcPr>
          <w:p w14:paraId="6383D13D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146</w:t>
            </w:r>
          </w:p>
        </w:tc>
        <w:tc>
          <w:tcPr>
            <w:tcW w:w="687" w:type="pct"/>
          </w:tcPr>
          <w:p w14:paraId="52FF0DEA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156</w:t>
            </w:r>
          </w:p>
        </w:tc>
        <w:tc>
          <w:tcPr>
            <w:tcW w:w="686" w:type="pct"/>
          </w:tcPr>
          <w:p w14:paraId="1DC5B469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152</w:t>
            </w:r>
          </w:p>
        </w:tc>
        <w:tc>
          <w:tcPr>
            <w:tcW w:w="688" w:type="pct"/>
          </w:tcPr>
          <w:p w14:paraId="44A6D0EC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152</w:t>
            </w:r>
          </w:p>
        </w:tc>
      </w:tr>
      <w:tr w:rsidR="00E02EDB" w:rsidRPr="003759B2" w14:paraId="470CC2A4" w14:textId="77777777" w:rsidTr="00EB2ABF">
        <w:trPr>
          <w:trHeight w:val="142"/>
        </w:trPr>
        <w:tc>
          <w:tcPr>
            <w:tcW w:w="1565" w:type="pct"/>
            <w:vMerge w:val="restart"/>
            <w:vAlign w:val="center"/>
          </w:tcPr>
          <w:p w14:paraId="63C733A6" w14:textId="77777777" w:rsidR="00E02EDB" w:rsidRPr="003759B2" w:rsidRDefault="00E02EDB" w:rsidP="00EB2ABF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3759B2">
              <w:rPr>
                <w:sz w:val="18"/>
                <w:szCs w:val="18"/>
                <w:lang w:eastAsia="lv-LV"/>
              </w:rPr>
              <w:t>73.06.00  Ziemeļvalstu Ministru padomes biroja finansētie projekti</w:t>
            </w:r>
          </w:p>
        </w:tc>
        <w:tc>
          <w:tcPr>
            <w:tcW w:w="687" w:type="pct"/>
          </w:tcPr>
          <w:p w14:paraId="6C154E67" w14:textId="77777777" w:rsidR="00E02EDB" w:rsidRPr="003759B2" w:rsidRDefault="00E02EDB" w:rsidP="00EB2ABF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3 451</w:t>
            </w:r>
          </w:p>
        </w:tc>
        <w:tc>
          <w:tcPr>
            <w:tcW w:w="687" w:type="pct"/>
          </w:tcPr>
          <w:p w14:paraId="086DC33A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75E73AA5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686" w:type="pct"/>
          </w:tcPr>
          <w:p w14:paraId="42C1BD15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688" w:type="pct"/>
          </w:tcPr>
          <w:p w14:paraId="1D7FB343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-</w:t>
            </w:r>
          </w:p>
        </w:tc>
      </w:tr>
      <w:tr w:rsidR="00E02EDB" w:rsidRPr="003759B2" w14:paraId="02BE8AFD" w14:textId="77777777" w:rsidTr="00EB2ABF">
        <w:trPr>
          <w:trHeight w:val="142"/>
        </w:trPr>
        <w:tc>
          <w:tcPr>
            <w:tcW w:w="1565" w:type="pct"/>
            <w:vMerge/>
            <w:vAlign w:val="center"/>
          </w:tcPr>
          <w:p w14:paraId="4F93FB59" w14:textId="77777777" w:rsidR="00E02EDB" w:rsidRPr="003759B2" w:rsidRDefault="00E02EDB" w:rsidP="00EB2ABF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7B1E6324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57CE45CD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3759B2"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1F58AEB4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686" w:type="pct"/>
          </w:tcPr>
          <w:p w14:paraId="2832F214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688" w:type="pct"/>
          </w:tcPr>
          <w:p w14:paraId="457DB611" w14:textId="77777777" w:rsidR="00E02EDB" w:rsidRPr="003759B2" w:rsidRDefault="00E02EDB" w:rsidP="00EB2ABF">
            <w:pPr>
              <w:spacing w:after="0"/>
              <w:ind w:firstLine="0"/>
              <w:jc w:val="center"/>
              <w:rPr>
                <w:bCs/>
                <w:sz w:val="18"/>
                <w:szCs w:val="18"/>
              </w:rPr>
            </w:pPr>
            <w:r w:rsidRPr="003759B2">
              <w:rPr>
                <w:bCs/>
                <w:sz w:val="18"/>
                <w:szCs w:val="18"/>
              </w:rPr>
              <w:t>-</w:t>
            </w:r>
          </w:p>
        </w:tc>
      </w:tr>
      <w:tr w:rsidR="00E02EDB" w:rsidRPr="003759B2" w14:paraId="47719FD9" w14:textId="77777777" w:rsidTr="00EB2ABF">
        <w:trPr>
          <w:trHeight w:val="142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2E6B319" w14:textId="77777777" w:rsidR="00E02EDB" w:rsidRPr="003759B2" w:rsidRDefault="00E02EDB" w:rsidP="00EB2ABF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3759B2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E02EDB" w:rsidRPr="003759B2" w14:paraId="5E0FB9A1" w14:textId="77777777" w:rsidTr="00EB2ABF">
        <w:trPr>
          <w:trHeight w:val="142"/>
        </w:trPr>
        <w:tc>
          <w:tcPr>
            <w:tcW w:w="1565" w:type="pct"/>
          </w:tcPr>
          <w:p w14:paraId="6D0E2989" w14:textId="77777777" w:rsidR="00E02EDB" w:rsidRPr="003759B2" w:rsidRDefault="00E02EDB" w:rsidP="00EB2ABF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3759B2">
              <w:rPr>
                <w:i/>
                <w:sz w:val="18"/>
                <w:szCs w:val="18"/>
                <w:lang w:eastAsia="lv-LV"/>
              </w:rPr>
              <w:t>Civillietu departamenta izskatītās lietas (skaits)</w:t>
            </w:r>
          </w:p>
        </w:tc>
        <w:tc>
          <w:tcPr>
            <w:tcW w:w="687" w:type="pct"/>
          </w:tcPr>
          <w:p w14:paraId="535C6793" w14:textId="7D2600B3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1</w:t>
            </w:r>
            <w:r w:rsidR="00345585" w:rsidRPr="009A27AC">
              <w:rPr>
                <w:iCs/>
                <w:sz w:val="18"/>
                <w:szCs w:val="18"/>
              </w:rPr>
              <w:t> </w:t>
            </w:r>
            <w:r w:rsidRPr="009A27AC">
              <w:rPr>
                <w:iCs/>
                <w:sz w:val="18"/>
                <w:szCs w:val="18"/>
              </w:rPr>
              <w:t>389</w:t>
            </w:r>
          </w:p>
        </w:tc>
        <w:tc>
          <w:tcPr>
            <w:tcW w:w="687" w:type="pct"/>
          </w:tcPr>
          <w:p w14:paraId="1AFE6785" w14:textId="35F5E00B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1</w:t>
            </w:r>
            <w:r w:rsidR="00345585" w:rsidRPr="009A27AC">
              <w:rPr>
                <w:iCs/>
                <w:sz w:val="18"/>
                <w:szCs w:val="18"/>
              </w:rPr>
              <w:t> </w:t>
            </w:r>
            <w:r w:rsidRPr="009A27AC">
              <w:rPr>
                <w:iCs/>
                <w:sz w:val="18"/>
                <w:szCs w:val="18"/>
              </w:rPr>
              <w:t>700</w:t>
            </w:r>
          </w:p>
        </w:tc>
        <w:tc>
          <w:tcPr>
            <w:tcW w:w="687" w:type="pct"/>
          </w:tcPr>
          <w:p w14:paraId="2CD6091F" w14:textId="35C4793C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1</w:t>
            </w:r>
            <w:r w:rsidR="00345585" w:rsidRPr="009A27AC">
              <w:rPr>
                <w:iCs/>
                <w:sz w:val="18"/>
                <w:szCs w:val="18"/>
              </w:rPr>
              <w:t> </w:t>
            </w:r>
            <w:r w:rsidRPr="009A27AC">
              <w:rPr>
                <w:iCs/>
                <w:sz w:val="18"/>
                <w:szCs w:val="18"/>
              </w:rPr>
              <w:t>400</w:t>
            </w:r>
          </w:p>
        </w:tc>
        <w:tc>
          <w:tcPr>
            <w:tcW w:w="686" w:type="pct"/>
          </w:tcPr>
          <w:p w14:paraId="2A28BFC2" w14:textId="4D6BB868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1</w:t>
            </w:r>
            <w:r w:rsidR="00345585" w:rsidRPr="009A27AC">
              <w:rPr>
                <w:iCs/>
                <w:sz w:val="18"/>
                <w:szCs w:val="18"/>
              </w:rPr>
              <w:t> </w:t>
            </w:r>
            <w:r w:rsidRPr="009A27AC">
              <w:rPr>
                <w:iCs/>
                <w:sz w:val="18"/>
                <w:szCs w:val="18"/>
              </w:rPr>
              <w:t>400</w:t>
            </w:r>
          </w:p>
        </w:tc>
        <w:tc>
          <w:tcPr>
            <w:tcW w:w="688" w:type="pct"/>
          </w:tcPr>
          <w:p w14:paraId="7851329D" w14:textId="388E3DCE" w:rsidR="00E02EDB" w:rsidRPr="009A27AC" w:rsidRDefault="00E02EDB" w:rsidP="00EB2ABF">
            <w:pPr>
              <w:spacing w:after="0"/>
              <w:ind w:firstLine="5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1</w:t>
            </w:r>
            <w:r w:rsidR="00345585" w:rsidRPr="009A27AC">
              <w:rPr>
                <w:iCs/>
                <w:sz w:val="18"/>
                <w:szCs w:val="18"/>
              </w:rPr>
              <w:t> </w:t>
            </w:r>
            <w:r w:rsidRPr="009A27AC">
              <w:rPr>
                <w:iCs/>
                <w:sz w:val="18"/>
                <w:szCs w:val="18"/>
              </w:rPr>
              <w:t>400</w:t>
            </w:r>
          </w:p>
        </w:tc>
      </w:tr>
      <w:tr w:rsidR="00E02EDB" w:rsidRPr="003759B2" w14:paraId="21A84228" w14:textId="77777777" w:rsidTr="00EB2ABF">
        <w:trPr>
          <w:trHeight w:val="142"/>
        </w:trPr>
        <w:tc>
          <w:tcPr>
            <w:tcW w:w="1565" w:type="pct"/>
          </w:tcPr>
          <w:p w14:paraId="1C51346D" w14:textId="77777777" w:rsidR="00E02EDB" w:rsidRPr="003759B2" w:rsidRDefault="00E02EDB" w:rsidP="00EB2ABF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3759B2">
              <w:rPr>
                <w:i/>
                <w:sz w:val="18"/>
                <w:szCs w:val="18"/>
                <w:lang w:eastAsia="lv-LV"/>
              </w:rPr>
              <w:t>Administratīvo lietu departamenta izskatītās lietas (skaits)</w:t>
            </w:r>
          </w:p>
        </w:tc>
        <w:tc>
          <w:tcPr>
            <w:tcW w:w="687" w:type="pct"/>
          </w:tcPr>
          <w:p w14:paraId="7254F264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940</w:t>
            </w:r>
          </w:p>
        </w:tc>
        <w:tc>
          <w:tcPr>
            <w:tcW w:w="687" w:type="pct"/>
          </w:tcPr>
          <w:p w14:paraId="3FE3DA64" w14:textId="43E5E160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1</w:t>
            </w:r>
            <w:r w:rsidR="00345585" w:rsidRPr="009A27AC">
              <w:rPr>
                <w:iCs/>
                <w:sz w:val="18"/>
                <w:szCs w:val="18"/>
              </w:rPr>
              <w:t> </w:t>
            </w:r>
            <w:r w:rsidRPr="009A27AC">
              <w:rPr>
                <w:iCs/>
                <w:sz w:val="18"/>
                <w:szCs w:val="18"/>
              </w:rPr>
              <w:t>020</w:t>
            </w:r>
          </w:p>
        </w:tc>
        <w:tc>
          <w:tcPr>
            <w:tcW w:w="687" w:type="pct"/>
          </w:tcPr>
          <w:p w14:paraId="233E161B" w14:textId="6503FC09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1</w:t>
            </w:r>
            <w:r w:rsidR="00345585" w:rsidRPr="009A27AC">
              <w:rPr>
                <w:iCs/>
                <w:sz w:val="18"/>
                <w:szCs w:val="18"/>
              </w:rPr>
              <w:t> </w:t>
            </w:r>
            <w:r w:rsidRPr="009A27AC">
              <w:rPr>
                <w:iCs/>
                <w:sz w:val="18"/>
                <w:szCs w:val="18"/>
              </w:rPr>
              <w:t>020</w:t>
            </w:r>
          </w:p>
        </w:tc>
        <w:tc>
          <w:tcPr>
            <w:tcW w:w="686" w:type="pct"/>
          </w:tcPr>
          <w:p w14:paraId="1FE2D33E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950</w:t>
            </w:r>
          </w:p>
        </w:tc>
        <w:tc>
          <w:tcPr>
            <w:tcW w:w="688" w:type="pct"/>
          </w:tcPr>
          <w:p w14:paraId="5BCEA54C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950</w:t>
            </w:r>
          </w:p>
        </w:tc>
      </w:tr>
      <w:tr w:rsidR="00E02EDB" w:rsidRPr="003759B2" w14:paraId="2138F466" w14:textId="77777777" w:rsidTr="00EB2ABF">
        <w:trPr>
          <w:trHeight w:val="142"/>
        </w:trPr>
        <w:tc>
          <w:tcPr>
            <w:tcW w:w="1565" w:type="pct"/>
          </w:tcPr>
          <w:p w14:paraId="4EFEC170" w14:textId="77777777" w:rsidR="00E02EDB" w:rsidRPr="003759B2" w:rsidRDefault="00E02EDB" w:rsidP="00EB2ABF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3759B2">
              <w:rPr>
                <w:i/>
                <w:sz w:val="18"/>
                <w:szCs w:val="18"/>
                <w:lang w:eastAsia="lv-LV"/>
              </w:rPr>
              <w:t>Krimināllietu departamenta izskatītās lietas (skaits)</w:t>
            </w:r>
          </w:p>
        </w:tc>
        <w:tc>
          <w:tcPr>
            <w:tcW w:w="687" w:type="pct"/>
          </w:tcPr>
          <w:p w14:paraId="1E4FB56A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656</w:t>
            </w:r>
          </w:p>
        </w:tc>
        <w:tc>
          <w:tcPr>
            <w:tcW w:w="687" w:type="pct"/>
          </w:tcPr>
          <w:p w14:paraId="72EF612C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770</w:t>
            </w:r>
          </w:p>
        </w:tc>
        <w:tc>
          <w:tcPr>
            <w:tcW w:w="687" w:type="pct"/>
          </w:tcPr>
          <w:p w14:paraId="646FC1A1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700</w:t>
            </w:r>
          </w:p>
        </w:tc>
        <w:tc>
          <w:tcPr>
            <w:tcW w:w="686" w:type="pct"/>
          </w:tcPr>
          <w:p w14:paraId="2E642604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700</w:t>
            </w:r>
          </w:p>
        </w:tc>
        <w:tc>
          <w:tcPr>
            <w:tcW w:w="688" w:type="pct"/>
          </w:tcPr>
          <w:p w14:paraId="531329D7" w14:textId="77777777" w:rsidR="00E02EDB" w:rsidRPr="009A27AC" w:rsidRDefault="00E02EDB" w:rsidP="00EB2ABF">
            <w:pPr>
              <w:spacing w:after="0"/>
              <w:ind w:firstLine="0"/>
              <w:jc w:val="center"/>
              <w:rPr>
                <w:iCs/>
                <w:sz w:val="18"/>
                <w:szCs w:val="18"/>
              </w:rPr>
            </w:pPr>
            <w:r w:rsidRPr="009A27AC">
              <w:rPr>
                <w:iCs/>
                <w:sz w:val="18"/>
                <w:szCs w:val="18"/>
              </w:rPr>
              <w:t>700</w:t>
            </w:r>
          </w:p>
        </w:tc>
      </w:tr>
    </w:tbl>
    <w:p w14:paraId="2104B7FC" w14:textId="77777777" w:rsidR="00E02EDB" w:rsidRPr="003759B2" w:rsidRDefault="00E02EDB" w:rsidP="000D662C">
      <w:pPr>
        <w:spacing w:after="0"/>
        <w:ind w:firstLine="432"/>
        <w:jc w:val="left"/>
        <w:rPr>
          <w:sz w:val="18"/>
          <w:szCs w:val="18"/>
          <w:lang w:eastAsia="lv-LV"/>
        </w:rPr>
      </w:pPr>
      <w:bookmarkStart w:id="0" w:name="_Hlk84061203"/>
      <w:r w:rsidRPr="003759B2">
        <w:rPr>
          <w:sz w:val="18"/>
          <w:szCs w:val="18"/>
          <w:lang w:eastAsia="lv-LV"/>
        </w:rPr>
        <w:t>Piezīmes.</w:t>
      </w:r>
    </w:p>
    <w:p w14:paraId="4D130A99" w14:textId="77777777" w:rsidR="00E02EDB" w:rsidRPr="003759B2" w:rsidRDefault="00E02EDB" w:rsidP="000D662C">
      <w:pPr>
        <w:spacing w:after="0"/>
        <w:ind w:firstLine="432"/>
        <w:jc w:val="left"/>
        <w:rPr>
          <w:bCs/>
          <w:sz w:val="18"/>
          <w:szCs w:val="18"/>
          <w:lang w:eastAsia="lv-LV"/>
        </w:rPr>
      </w:pPr>
      <w:r w:rsidRPr="003759B2">
        <w:rPr>
          <w:sz w:val="18"/>
          <w:szCs w:val="18"/>
          <w:vertAlign w:val="superscript"/>
          <w:lang w:eastAsia="lv-LV"/>
        </w:rPr>
        <w:t>1</w:t>
      </w:r>
      <w:r w:rsidRPr="003759B2">
        <w:rPr>
          <w:bCs/>
          <w:sz w:val="18"/>
          <w:szCs w:val="18"/>
          <w:lang w:eastAsia="lv-LV"/>
        </w:rPr>
        <w:t>Augstākās tiesas amata vietu izmaiņas 2022.gadā salīdzinājumā ar 2021.gadu:</w:t>
      </w:r>
    </w:p>
    <w:p w14:paraId="6E8A776E" w14:textId="77777777" w:rsidR="00E02EDB" w:rsidRPr="003759B2" w:rsidRDefault="00E02EDB" w:rsidP="009A27AC">
      <w:pPr>
        <w:spacing w:after="0"/>
        <w:ind w:left="851" w:hanging="284"/>
        <w:jc w:val="left"/>
        <w:rPr>
          <w:iCs/>
          <w:sz w:val="18"/>
          <w:szCs w:val="18"/>
          <w:lang w:eastAsia="lv-LV"/>
        </w:rPr>
      </w:pPr>
      <w:r w:rsidRPr="003759B2">
        <w:rPr>
          <w:bCs/>
          <w:sz w:val="18"/>
          <w:szCs w:val="18"/>
          <w:lang w:eastAsia="lv-LV"/>
        </w:rPr>
        <w:t xml:space="preserve"> 1) Administratīvo lietu departamentam, saskaņā ar </w:t>
      </w:r>
      <w:r w:rsidRPr="003759B2">
        <w:rPr>
          <w:iCs/>
          <w:sz w:val="18"/>
          <w:szCs w:val="18"/>
          <w:lang w:eastAsia="lv-LV"/>
        </w:rPr>
        <w:t>Tieslietu padomes 27.11.2020 lēmumu Nr.69, uz laiku līdz 2022.gada 31.decembrim no apgabaltiesas ir pārcelti darbā 2  tiesneši un 2 tiesnešu palīgi;</w:t>
      </w:r>
    </w:p>
    <w:p w14:paraId="5114ADB9" w14:textId="77777777" w:rsidR="00E02EDB" w:rsidRPr="003759B2" w:rsidRDefault="00E02EDB" w:rsidP="009A27AC">
      <w:pPr>
        <w:spacing w:after="0"/>
        <w:ind w:left="851" w:hanging="284"/>
        <w:jc w:val="left"/>
        <w:rPr>
          <w:iCs/>
          <w:sz w:val="18"/>
          <w:szCs w:val="18"/>
          <w:lang w:eastAsia="lv-LV"/>
        </w:rPr>
      </w:pPr>
      <w:r w:rsidRPr="003759B2">
        <w:rPr>
          <w:iCs/>
          <w:sz w:val="18"/>
          <w:szCs w:val="18"/>
          <w:lang w:eastAsia="lv-LV"/>
        </w:rPr>
        <w:t xml:space="preserve"> 2) Augstākās tiesas kapacitātes stiprināšanai tiks izveidotas 4 jaunas amata vietas; </w:t>
      </w:r>
    </w:p>
    <w:p w14:paraId="2159684D" w14:textId="77777777" w:rsidR="00E02EDB" w:rsidRPr="003759B2" w:rsidRDefault="00E02EDB" w:rsidP="009A27AC">
      <w:pPr>
        <w:spacing w:after="480"/>
        <w:ind w:left="851" w:hanging="284"/>
        <w:jc w:val="left"/>
        <w:rPr>
          <w:bCs/>
          <w:iCs/>
          <w:sz w:val="18"/>
          <w:szCs w:val="18"/>
          <w:lang w:eastAsia="lv-LV"/>
        </w:rPr>
      </w:pPr>
      <w:r w:rsidRPr="003759B2">
        <w:rPr>
          <w:iCs/>
          <w:sz w:val="18"/>
          <w:szCs w:val="18"/>
          <w:lang w:eastAsia="lv-LV"/>
        </w:rPr>
        <w:t xml:space="preserve"> 3) Tieslietu padomes stiprināšanai tiks izveidotas 2 jaunas amata vietas.</w:t>
      </w:r>
    </w:p>
    <w:bookmarkEnd w:id="0"/>
    <w:p w14:paraId="7E03207E" w14:textId="77777777" w:rsidR="00E02EDB" w:rsidRPr="003759B2" w:rsidRDefault="00E02EDB" w:rsidP="00E02EDB">
      <w:pPr>
        <w:pStyle w:val="Funkcijasbold"/>
        <w:spacing w:before="480" w:after="0"/>
        <w:jc w:val="center"/>
        <w:rPr>
          <w:rFonts w:eastAsia="Calibri"/>
          <w:u w:val="single"/>
        </w:rPr>
      </w:pPr>
      <w:r w:rsidRPr="003759B2">
        <w:rPr>
          <w:rFonts w:eastAsia="Calibri"/>
          <w:u w:val="single"/>
        </w:rPr>
        <w:t xml:space="preserve">Prioritārajiem pasākumiem </w:t>
      </w:r>
    </w:p>
    <w:p w14:paraId="59028FC3" w14:textId="77777777" w:rsidR="00E02EDB" w:rsidRPr="003759B2" w:rsidRDefault="00E02EDB" w:rsidP="009A27AC">
      <w:pPr>
        <w:pStyle w:val="Funkcijasbold"/>
        <w:spacing w:after="240"/>
        <w:jc w:val="center"/>
        <w:rPr>
          <w:u w:val="single"/>
        </w:rPr>
      </w:pPr>
      <w:r w:rsidRPr="003759B2">
        <w:rPr>
          <w:rFonts w:eastAsia="Calibri"/>
          <w:u w:val="single"/>
        </w:rPr>
        <w:t>papildu piešķirtais finansējums no 2022.</w:t>
      </w:r>
      <w:r w:rsidRPr="003759B2">
        <w:rPr>
          <w:u w:val="single"/>
        </w:rPr>
        <w:t xml:space="preserve"> līdz 2024. gadam</w:t>
      </w:r>
    </w:p>
    <w:tbl>
      <w:tblPr>
        <w:tblStyle w:val="TableGrid4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E02EDB" w:rsidRPr="003759B2" w14:paraId="53E7049B" w14:textId="77777777" w:rsidTr="00EB2ABF">
        <w:trPr>
          <w:tblHeader/>
          <w:jc w:val="center"/>
        </w:trPr>
        <w:tc>
          <w:tcPr>
            <w:tcW w:w="558" w:type="dxa"/>
            <w:vMerge w:val="restart"/>
            <w:vAlign w:val="center"/>
          </w:tcPr>
          <w:p w14:paraId="52520DC5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Nr.</w:t>
            </w:r>
          </w:p>
          <w:p w14:paraId="30E727EB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p.k.</w:t>
            </w:r>
          </w:p>
        </w:tc>
        <w:tc>
          <w:tcPr>
            <w:tcW w:w="4115" w:type="dxa"/>
            <w:vMerge w:val="restart"/>
            <w:vAlign w:val="center"/>
          </w:tcPr>
          <w:p w14:paraId="2EF324AF" w14:textId="77777777" w:rsidR="00E02EDB" w:rsidRPr="003759B2" w:rsidRDefault="00E02EDB" w:rsidP="00EB2ABF">
            <w:pPr>
              <w:pStyle w:val="tabteksts"/>
              <w:jc w:val="both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 xml:space="preserve">Pasākuma nosaukums </w:t>
            </w:r>
          </w:p>
          <w:p w14:paraId="40D31DE6" w14:textId="77777777" w:rsidR="00E02EDB" w:rsidRPr="003759B2" w:rsidRDefault="00E02EDB" w:rsidP="00EB2ABF">
            <w:pPr>
              <w:pStyle w:val="tabteksts"/>
              <w:jc w:val="both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Darbības apraksts</w:t>
            </w:r>
            <w:r w:rsidRPr="003759B2">
              <w:rPr>
                <w:rFonts w:eastAsia="Calibri" w:cs="Times New Roman"/>
                <w:i/>
                <w:szCs w:val="18"/>
              </w:rPr>
              <w:t xml:space="preserve"> </w:t>
            </w:r>
            <w:r w:rsidRPr="003759B2">
              <w:rPr>
                <w:rFonts w:eastAsia="Calibri" w:cs="Times New Roman"/>
                <w:b/>
                <w:i/>
                <w:szCs w:val="18"/>
              </w:rPr>
              <w:t>ar norādi uz līdzekļu izlietojumu</w:t>
            </w:r>
            <w:r w:rsidRPr="003759B2">
              <w:rPr>
                <w:rFonts w:eastAsia="Calibri" w:cs="Times New Roman"/>
                <w:b/>
                <w:szCs w:val="18"/>
              </w:rPr>
              <w:t xml:space="preserve"> </w:t>
            </w:r>
          </w:p>
          <w:p w14:paraId="7E2ECF9A" w14:textId="77777777" w:rsidR="00E02EDB" w:rsidRPr="003759B2" w:rsidRDefault="00E02EDB" w:rsidP="00EB2ABF">
            <w:pPr>
              <w:pStyle w:val="tabteksts"/>
              <w:ind w:left="284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Darbības rezultāts</w:t>
            </w:r>
          </w:p>
          <w:p w14:paraId="64DF38FC" w14:textId="77777777" w:rsidR="00E02EDB" w:rsidRPr="003759B2" w:rsidRDefault="00E02EDB" w:rsidP="00EB2ABF">
            <w:pPr>
              <w:pStyle w:val="tabteksts"/>
              <w:ind w:left="603"/>
              <w:rPr>
                <w:rFonts w:eastAsia="Calibri" w:cs="Times New Roman"/>
                <w:i/>
                <w:szCs w:val="18"/>
              </w:rPr>
            </w:pPr>
            <w:r w:rsidRPr="003759B2">
              <w:rPr>
                <w:rFonts w:eastAsia="Calibri" w:cs="Times New Roman"/>
                <w:i/>
                <w:szCs w:val="18"/>
              </w:rPr>
              <w:t>Rezultatīvais rādītājs</w:t>
            </w:r>
          </w:p>
          <w:p w14:paraId="629A0711" w14:textId="77777777" w:rsidR="00E02EDB" w:rsidRPr="003759B2" w:rsidRDefault="00E02EDB" w:rsidP="00EB2ABF">
            <w:pPr>
              <w:pStyle w:val="tabteksts"/>
              <w:ind w:left="36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vAlign w:val="center"/>
          </w:tcPr>
          <w:p w14:paraId="4A0E0A1E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 xml:space="preserve">Izdevumi,  </w:t>
            </w:r>
            <w:proofErr w:type="spellStart"/>
            <w:r w:rsidRPr="003759B2">
              <w:rPr>
                <w:rFonts w:eastAsia="Calibri" w:cs="Times New Roman"/>
                <w:i/>
                <w:szCs w:val="18"/>
              </w:rPr>
              <w:t>euro</w:t>
            </w:r>
            <w:proofErr w:type="spellEnd"/>
            <w:r w:rsidRPr="003759B2">
              <w:rPr>
                <w:rFonts w:eastAsia="Calibri" w:cs="Times New Roman"/>
                <w:szCs w:val="18"/>
              </w:rPr>
              <w:t xml:space="preserve"> /</w:t>
            </w:r>
          </w:p>
          <w:p w14:paraId="17A6ECCE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 xml:space="preserve"> rādītāji,</w:t>
            </w:r>
            <w:r w:rsidRPr="003759B2">
              <w:rPr>
                <w:rFonts w:eastAsia="Calibri" w:cs="Times New Roman"/>
                <w:i/>
                <w:szCs w:val="18"/>
              </w:rPr>
              <w:t xml:space="preserve"> vērtība</w:t>
            </w:r>
            <w:r w:rsidRPr="003759B2">
              <w:rPr>
                <w:rFonts w:eastAsia="Calibri" w:cs="Times New Roman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79D74E62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Pamatojums</w:t>
            </w:r>
          </w:p>
        </w:tc>
      </w:tr>
      <w:tr w:rsidR="00E02EDB" w:rsidRPr="003759B2" w14:paraId="35C82AD7" w14:textId="77777777" w:rsidTr="00EB2ABF">
        <w:trPr>
          <w:tblHeader/>
          <w:jc w:val="center"/>
        </w:trPr>
        <w:tc>
          <w:tcPr>
            <w:tcW w:w="558" w:type="dxa"/>
            <w:vMerge/>
            <w:vAlign w:val="center"/>
          </w:tcPr>
          <w:p w14:paraId="60A883A6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</w:p>
        </w:tc>
        <w:tc>
          <w:tcPr>
            <w:tcW w:w="4115" w:type="dxa"/>
            <w:vMerge/>
            <w:vAlign w:val="center"/>
          </w:tcPr>
          <w:p w14:paraId="3BCF733D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  <w:highlight w:val="yellow"/>
              </w:rPr>
            </w:pPr>
          </w:p>
        </w:tc>
        <w:tc>
          <w:tcPr>
            <w:tcW w:w="1086" w:type="dxa"/>
            <w:vAlign w:val="center"/>
          </w:tcPr>
          <w:p w14:paraId="2084AF46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2022. gadā</w:t>
            </w:r>
          </w:p>
        </w:tc>
        <w:tc>
          <w:tcPr>
            <w:tcW w:w="1087" w:type="dxa"/>
            <w:vAlign w:val="center"/>
          </w:tcPr>
          <w:p w14:paraId="1D44C82E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2023. gadā</w:t>
            </w:r>
          </w:p>
        </w:tc>
        <w:tc>
          <w:tcPr>
            <w:tcW w:w="1087" w:type="dxa"/>
            <w:vAlign w:val="center"/>
          </w:tcPr>
          <w:p w14:paraId="72C04594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2024. gadā</w:t>
            </w:r>
          </w:p>
        </w:tc>
        <w:tc>
          <w:tcPr>
            <w:tcW w:w="1139" w:type="dxa"/>
            <w:vMerge/>
          </w:tcPr>
          <w:p w14:paraId="553A39CC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  <w:highlight w:val="yellow"/>
              </w:rPr>
            </w:pPr>
          </w:p>
        </w:tc>
      </w:tr>
      <w:tr w:rsidR="00E02EDB" w:rsidRPr="003759B2" w14:paraId="62BD253D" w14:textId="77777777" w:rsidTr="00C91283">
        <w:trPr>
          <w:trHeight w:val="345"/>
          <w:jc w:val="center"/>
        </w:trPr>
        <w:tc>
          <w:tcPr>
            <w:tcW w:w="558" w:type="dxa"/>
            <w:vMerge w:val="restart"/>
          </w:tcPr>
          <w:p w14:paraId="5B204AE0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1.</w:t>
            </w:r>
          </w:p>
        </w:tc>
        <w:tc>
          <w:tcPr>
            <w:tcW w:w="4115" w:type="dxa"/>
            <w:shd w:val="clear" w:color="auto" w:fill="D9D9D9" w:themeFill="background1" w:themeFillShade="D9"/>
          </w:tcPr>
          <w:p w14:paraId="00E56C3D" w14:textId="77777777" w:rsidR="00E02EDB" w:rsidRPr="003759B2" w:rsidRDefault="00E02EDB" w:rsidP="00C91283">
            <w:pPr>
              <w:spacing w:after="0"/>
              <w:ind w:firstLine="0"/>
              <w:jc w:val="left"/>
              <w:rPr>
                <w:rFonts w:eastAsia="Calibri" w:cs="Times New Roman"/>
                <w:b/>
                <w:i/>
                <w:sz w:val="18"/>
                <w:szCs w:val="14"/>
                <w:highlight w:val="yellow"/>
              </w:rPr>
            </w:pPr>
            <w:r w:rsidRPr="003759B2">
              <w:rPr>
                <w:rFonts w:eastAsia="Calibri" w:cs="Times New Roman"/>
                <w:b/>
                <w:sz w:val="18"/>
                <w:szCs w:val="14"/>
              </w:rPr>
              <w:t>Konkurētspējīgas Augstākās tiesas darbinieku atalgojuma sistēmas izveidošana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14:paraId="7C76131C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218 545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58C806CB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218 545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0CB9753D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218 545</w:t>
            </w:r>
          </w:p>
        </w:tc>
        <w:tc>
          <w:tcPr>
            <w:tcW w:w="1139" w:type="dxa"/>
            <w:vMerge w:val="restart"/>
          </w:tcPr>
          <w:p w14:paraId="41D35052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</w:rPr>
              <w:t>MK 24.09.2021. sēdes protokols Nr.63</w:t>
            </w:r>
            <w:r w:rsidRPr="003759B2">
              <w:rPr>
                <w:rFonts w:eastAsia="Calibri" w:cs="Times New Roman"/>
                <w:szCs w:val="18"/>
              </w:rPr>
              <w:t xml:space="preserve"> 1.§</w:t>
            </w:r>
            <w:r w:rsidRPr="003759B2">
              <w:rPr>
                <w:rFonts w:eastAsia="Calibri" w:cs="Times New Roman"/>
              </w:rPr>
              <w:t xml:space="preserve"> 2.punkts</w:t>
            </w:r>
          </w:p>
        </w:tc>
      </w:tr>
      <w:tr w:rsidR="00E02EDB" w:rsidRPr="003759B2" w14:paraId="408FB54B" w14:textId="77777777" w:rsidTr="00EB2ABF">
        <w:trPr>
          <w:trHeight w:val="487"/>
          <w:jc w:val="center"/>
        </w:trPr>
        <w:tc>
          <w:tcPr>
            <w:tcW w:w="558" w:type="dxa"/>
            <w:vMerge/>
          </w:tcPr>
          <w:p w14:paraId="0D4A91FE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00CF8848" w14:textId="03C21F9D" w:rsidR="00E02EDB" w:rsidRPr="003759B2" w:rsidRDefault="00E02EDB" w:rsidP="00EB2ABF">
            <w:pPr>
              <w:pStyle w:val="tabteksts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Atalgojuma sistēmas izveidošana, nodrošinot konkurētspējīgu atalgojumu Augstākās tiesas darbiniekiem</w:t>
            </w:r>
          </w:p>
        </w:tc>
        <w:tc>
          <w:tcPr>
            <w:tcW w:w="1139" w:type="dxa"/>
            <w:vMerge/>
          </w:tcPr>
          <w:p w14:paraId="34ABDED1" w14:textId="77777777" w:rsidR="00E02EDB" w:rsidRPr="003759B2" w:rsidRDefault="00E02EDB" w:rsidP="00EB2ABF">
            <w:pPr>
              <w:pStyle w:val="tabteksts"/>
              <w:ind w:left="284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5A039DAC" w14:textId="77777777" w:rsidTr="007E40E6">
        <w:trPr>
          <w:trHeight w:val="217"/>
          <w:jc w:val="center"/>
        </w:trPr>
        <w:tc>
          <w:tcPr>
            <w:tcW w:w="558" w:type="dxa"/>
            <w:vMerge/>
          </w:tcPr>
          <w:p w14:paraId="642ADA85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5B0E016C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i/>
                <w:szCs w:val="18"/>
                <w:highlight w:val="yellow"/>
              </w:rPr>
            </w:pPr>
            <w:r w:rsidRPr="003759B2">
              <w:rPr>
                <w:rFonts w:eastAsia="Calibri" w:cs="Times New Roman"/>
                <w:i/>
                <w:szCs w:val="18"/>
              </w:rPr>
              <w:t>01.00.00  Tiesa</w:t>
            </w:r>
          </w:p>
        </w:tc>
        <w:tc>
          <w:tcPr>
            <w:tcW w:w="1139" w:type="dxa"/>
            <w:vMerge/>
          </w:tcPr>
          <w:p w14:paraId="435975A9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4C79B452" w14:textId="77777777" w:rsidTr="00C91283">
        <w:trPr>
          <w:trHeight w:val="255"/>
          <w:jc w:val="center"/>
        </w:trPr>
        <w:tc>
          <w:tcPr>
            <w:tcW w:w="558" w:type="dxa"/>
            <w:vMerge w:val="restart"/>
          </w:tcPr>
          <w:p w14:paraId="57C4C20C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2.</w:t>
            </w:r>
          </w:p>
        </w:tc>
        <w:tc>
          <w:tcPr>
            <w:tcW w:w="4115" w:type="dxa"/>
            <w:shd w:val="clear" w:color="auto" w:fill="D9D9D9" w:themeFill="background1" w:themeFillShade="D9"/>
          </w:tcPr>
          <w:p w14:paraId="32553C26" w14:textId="77777777" w:rsidR="00E02EDB" w:rsidRPr="003759B2" w:rsidRDefault="00E02EDB" w:rsidP="00C91283">
            <w:pPr>
              <w:spacing w:after="0"/>
              <w:ind w:firstLine="0"/>
              <w:jc w:val="left"/>
              <w:rPr>
                <w:rFonts w:eastAsiaTheme="minorHAnsi" w:cs="Times New Roman"/>
                <w:b/>
                <w:color w:val="000000"/>
                <w:sz w:val="18"/>
                <w:szCs w:val="18"/>
              </w:rPr>
            </w:pPr>
            <w:r w:rsidRPr="003759B2">
              <w:rPr>
                <w:rFonts w:eastAsia="Calibri" w:cs="Times New Roman"/>
                <w:b/>
                <w:sz w:val="18"/>
                <w:szCs w:val="18"/>
              </w:rPr>
              <w:t>Augstākās tiesas kapacitātes stiprināšana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14:paraId="0AF145F7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szCs w:val="18"/>
                <w:highlight w:val="yellow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200 709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6515C522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181 669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0F38903B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181 669</w:t>
            </w:r>
          </w:p>
        </w:tc>
        <w:tc>
          <w:tcPr>
            <w:tcW w:w="1139" w:type="dxa"/>
            <w:vMerge w:val="restart"/>
          </w:tcPr>
          <w:p w14:paraId="0801E9F9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</w:rPr>
              <w:t>MK 24.09.2021. sēdes protokols Nr.63</w:t>
            </w:r>
            <w:r w:rsidRPr="003759B2">
              <w:rPr>
                <w:rFonts w:eastAsia="Calibri" w:cs="Times New Roman"/>
                <w:szCs w:val="18"/>
              </w:rPr>
              <w:t xml:space="preserve"> 1.§</w:t>
            </w:r>
            <w:r w:rsidRPr="003759B2">
              <w:rPr>
                <w:rFonts w:eastAsia="Calibri" w:cs="Times New Roman"/>
              </w:rPr>
              <w:t xml:space="preserve"> 2.punkts</w:t>
            </w:r>
          </w:p>
        </w:tc>
      </w:tr>
      <w:tr w:rsidR="00E02EDB" w:rsidRPr="003759B2" w14:paraId="6F8222C6" w14:textId="77777777" w:rsidTr="00EB2ABF">
        <w:trPr>
          <w:trHeight w:val="363"/>
          <w:jc w:val="center"/>
        </w:trPr>
        <w:tc>
          <w:tcPr>
            <w:tcW w:w="558" w:type="dxa"/>
            <w:vMerge/>
          </w:tcPr>
          <w:p w14:paraId="740796D6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623282E8" w14:textId="49436F80" w:rsidR="00E02EDB" w:rsidRPr="003759B2" w:rsidRDefault="00E02EDB" w:rsidP="007E40E6">
            <w:pPr>
              <w:pStyle w:val="tabteksts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Kasācijas procesa efektivitātes palielināšana, lietu izskatīšanas termiņu un tiesnešu noslodzes mazināšana, palielinot zinātniski analītisko padomnieku skaitu Senāta departamentos. Tiks izveidotas 4 jaunas amata vietas – katrā departamentā viena zinātniski analītiskā padomnieka vieta un jurista amata vieta Kancelejā</w:t>
            </w:r>
          </w:p>
        </w:tc>
        <w:tc>
          <w:tcPr>
            <w:tcW w:w="1139" w:type="dxa"/>
            <w:vMerge/>
          </w:tcPr>
          <w:p w14:paraId="46D4DF2A" w14:textId="77777777" w:rsidR="00E02EDB" w:rsidRPr="003759B2" w:rsidRDefault="00E02EDB" w:rsidP="00EB2ABF">
            <w:pPr>
              <w:pStyle w:val="tabteksts"/>
              <w:ind w:left="284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0706A8AD" w14:textId="77777777" w:rsidTr="00EB2ABF">
        <w:trPr>
          <w:trHeight w:val="333"/>
          <w:jc w:val="center"/>
        </w:trPr>
        <w:tc>
          <w:tcPr>
            <w:tcW w:w="558" w:type="dxa"/>
            <w:vMerge/>
          </w:tcPr>
          <w:p w14:paraId="6E7D01EF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4CC01F57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i/>
                <w:szCs w:val="18"/>
                <w:highlight w:val="yellow"/>
              </w:rPr>
            </w:pPr>
            <w:r w:rsidRPr="003759B2">
              <w:rPr>
                <w:rFonts w:eastAsia="Calibri" w:cs="Times New Roman"/>
                <w:i/>
                <w:szCs w:val="18"/>
              </w:rPr>
              <w:t>01.00.00  Tiesa</w:t>
            </w:r>
          </w:p>
        </w:tc>
        <w:tc>
          <w:tcPr>
            <w:tcW w:w="1139" w:type="dxa"/>
            <w:vMerge/>
          </w:tcPr>
          <w:p w14:paraId="017F2DA4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242DE528" w14:textId="77777777" w:rsidTr="00C91283">
        <w:trPr>
          <w:trHeight w:val="201"/>
          <w:jc w:val="center"/>
        </w:trPr>
        <w:tc>
          <w:tcPr>
            <w:tcW w:w="558" w:type="dxa"/>
            <w:vMerge w:val="restart"/>
          </w:tcPr>
          <w:p w14:paraId="25819BE3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3.</w:t>
            </w:r>
          </w:p>
        </w:tc>
        <w:tc>
          <w:tcPr>
            <w:tcW w:w="4115" w:type="dxa"/>
            <w:shd w:val="clear" w:color="auto" w:fill="D9D9D9" w:themeFill="background1" w:themeFillShade="D9"/>
          </w:tcPr>
          <w:p w14:paraId="78462ACA" w14:textId="77777777" w:rsidR="00E02EDB" w:rsidRPr="003759B2" w:rsidRDefault="00E02EDB" w:rsidP="00EB2ABF">
            <w:pPr>
              <w:ind w:firstLine="0"/>
              <w:rPr>
                <w:rFonts w:eastAsiaTheme="minorHAnsi" w:cs="Times New Roman"/>
                <w:b/>
                <w:bCs/>
                <w:sz w:val="18"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iCs/>
                <w:sz w:val="18"/>
                <w:szCs w:val="18"/>
              </w:rPr>
              <w:t>Tieslietu padomes kapacitātes stiprināšana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14:paraId="36E48F57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78 977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795BD9E3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70 057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53C2DF23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70 057</w:t>
            </w:r>
          </w:p>
        </w:tc>
        <w:tc>
          <w:tcPr>
            <w:tcW w:w="1139" w:type="dxa"/>
            <w:vMerge w:val="restart"/>
          </w:tcPr>
          <w:p w14:paraId="75F71D59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</w:rPr>
              <w:t>MK 24.09.2021. sēdes protokols Nr.63</w:t>
            </w:r>
            <w:r w:rsidRPr="003759B2">
              <w:rPr>
                <w:rFonts w:eastAsia="Calibri" w:cs="Times New Roman"/>
                <w:szCs w:val="18"/>
              </w:rPr>
              <w:t xml:space="preserve"> 1.§</w:t>
            </w:r>
            <w:r w:rsidRPr="003759B2">
              <w:rPr>
                <w:rFonts w:eastAsia="Calibri" w:cs="Times New Roman"/>
              </w:rPr>
              <w:t xml:space="preserve"> 2.punkts</w:t>
            </w:r>
          </w:p>
        </w:tc>
      </w:tr>
      <w:tr w:rsidR="00E02EDB" w:rsidRPr="003759B2" w14:paraId="240FA5A1" w14:textId="77777777" w:rsidTr="00EB2ABF">
        <w:trPr>
          <w:trHeight w:val="405"/>
          <w:jc w:val="center"/>
        </w:trPr>
        <w:tc>
          <w:tcPr>
            <w:tcW w:w="558" w:type="dxa"/>
            <w:vMerge/>
          </w:tcPr>
          <w:p w14:paraId="0FBCF2E5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5EBEF9FB" w14:textId="55C9762D" w:rsidR="00E02EDB" w:rsidRPr="003759B2" w:rsidRDefault="00E02EDB" w:rsidP="00EB2ABF">
            <w:pPr>
              <w:pStyle w:val="tabteksts"/>
              <w:jc w:val="both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Tieslietu padomes sekretariāta kapacitātes palielināšana, ieviešot divas jaunas amata vietas – padomnieks un konsultants, kas strādās Tieslietu padomes uzdevumā</w:t>
            </w:r>
          </w:p>
        </w:tc>
        <w:tc>
          <w:tcPr>
            <w:tcW w:w="1139" w:type="dxa"/>
            <w:vMerge/>
          </w:tcPr>
          <w:p w14:paraId="5F88F443" w14:textId="77777777" w:rsidR="00E02EDB" w:rsidRPr="003759B2" w:rsidRDefault="00E02EDB" w:rsidP="00EB2ABF">
            <w:pPr>
              <w:pStyle w:val="tabteksts"/>
              <w:ind w:left="284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6A779E44" w14:textId="77777777" w:rsidTr="00382B35">
        <w:trPr>
          <w:trHeight w:val="246"/>
          <w:jc w:val="center"/>
        </w:trPr>
        <w:tc>
          <w:tcPr>
            <w:tcW w:w="558" w:type="dxa"/>
            <w:vMerge/>
          </w:tcPr>
          <w:p w14:paraId="0751CB90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67FAFE05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i/>
                <w:szCs w:val="18"/>
                <w:highlight w:val="yellow"/>
              </w:rPr>
            </w:pPr>
            <w:r w:rsidRPr="003759B2">
              <w:rPr>
                <w:rFonts w:eastAsia="Calibri" w:cs="Times New Roman"/>
                <w:i/>
                <w:szCs w:val="18"/>
              </w:rPr>
              <w:t>01.00.00  Tiesa</w:t>
            </w:r>
          </w:p>
        </w:tc>
        <w:tc>
          <w:tcPr>
            <w:tcW w:w="1139" w:type="dxa"/>
            <w:vMerge/>
          </w:tcPr>
          <w:p w14:paraId="22EFF430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787221AF" w14:textId="77777777" w:rsidTr="009A27AC">
        <w:trPr>
          <w:trHeight w:val="101"/>
          <w:jc w:val="center"/>
        </w:trPr>
        <w:tc>
          <w:tcPr>
            <w:tcW w:w="558" w:type="dxa"/>
            <w:vMerge w:val="restart"/>
          </w:tcPr>
          <w:p w14:paraId="09FF85D3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4.</w:t>
            </w:r>
          </w:p>
        </w:tc>
        <w:tc>
          <w:tcPr>
            <w:tcW w:w="4115" w:type="dxa"/>
            <w:shd w:val="clear" w:color="auto" w:fill="D9D9D9" w:themeFill="background1" w:themeFillShade="D9"/>
          </w:tcPr>
          <w:p w14:paraId="2ABDB171" w14:textId="77777777" w:rsidR="00E02EDB" w:rsidRPr="003759B2" w:rsidRDefault="00E02EDB" w:rsidP="00C91283">
            <w:pPr>
              <w:spacing w:after="0"/>
              <w:ind w:firstLine="0"/>
              <w:rPr>
                <w:rFonts w:eastAsiaTheme="minorHAnsi" w:cs="Times New Roman"/>
                <w:b/>
                <w:bCs/>
                <w:sz w:val="18"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iCs/>
                <w:sz w:val="18"/>
                <w:szCs w:val="18"/>
              </w:rPr>
              <w:t>Sabiedrības informēšana un izglītošana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14:paraId="4A4D01F5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53 000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0750FFE8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53 000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497609F9" w14:textId="77777777" w:rsidR="00E02EDB" w:rsidRPr="003759B2" w:rsidRDefault="00E02EDB" w:rsidP="00C91283">
            <w:pPr>
              <w:pStyle w:val="tabteksts"/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53 000</w:t>
            </w:r>
          </w:p>
        </w:tc>
        <w:tc>
          <w:tcPr>
            <w:tcW w:w="1139" w:type="dxa"/>
            <w:vMerge w:val="restart"/>
          </w:tcPr>
          <w:p w14:paraId="5069731E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</w:rPr>
              <w:t>MK 24.09.2021. sēdes protokols Nr.63</w:t>
            </w:r>
            <w:r w:rsidRPr="003759B2">
              <w:rPr>
                <w:rFonts w:eastAsia="Calibri" w:cs="Times New Roman"/>
                <w:szCs w:val="18"/>
              </w:rPr>
              <w:t xml:space="preserve"> 1.§</w:t>
            </w:r>
            <w:r w:rsidRPr="003759B2">
              <w:rPr>
                <w:rFonts w:eastAsia="Calibri" w:cs="Times New Roman"/>
              </w:rPr>
              <w:t xml:space="preserve"> 2.punkts</w:t>
            </w:r>
          </w:p>
        </w:tc>
      </w:tr>
      <w:tr w:rsidR="00E02EDB" w:rsidRPr="003759B2" w14:paraId="420E35B8" w14:textId="77777777" w:rsidTr="00EB2ABF">
        <w:trPr>
          <w:trHeight w:val="405"/>
          <w:jc w:val="center"/>
        </w:trPr>
        <w:tc>
          <w:tcPr>
            <w:tcW w:w="558" w:type="dxa"/>
            <w:vMerge/>
          </w:tcPr>
          <w:p w14:paraId="4D8323F8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3B07C26D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Prioritātes ietvaros 2022.-2024. gados plānots:</w:t>
            </w:r>
          </w:p>
          <w:p w14:paraId="33BAA791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 xml:space="preserve">1) Sabiedrības informēšanas video materiālu sagatavošana par specifiskām, detalizētām tēmām tiesību jautājumos; </w:t>
            </w:r>
          </w:p>
          <w:p w14:paraId="1ABB2298" w14:textId="2CC7713E" w:rsidR="00E02EDB" w:rsidRPr="003759B2" w:rsidRDefault="00E02EDB" w:rsidP="00EB2ABF">
            <w:pPr>
              <w:pStyle w:val="tabteksts"/>
              <w:jc w:val="both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2) Sabiedrības izglītošana - mācību materiālu izveide izglītības iestādēm</w:t>
            </w:r>
          </w:p>
        </w:tc>
        <w:tc>
          <w:tcPr>
            <w:tcW w:w="1139" w:type="dxa"/>
            <w:vMerge/>
          </w:tcPr>
          <w:p w14:paraId="182AEE8C" w14:textId="77777777" w:rsidR="00E02EDB" w:rsidRPr="003759B2" w:rsidRDefault="00E02EDB" w:rsidP="00EB2ABF">
            <w:pPr>
              <w:pStyle w:val="tabteksts"/>
              <w:ind w:left="284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0601C085" w14:textId="77777777" w:rsidTr="00EB2ABF">
        <w:trPr>
          <w:trHeight w:val="56"/>
          <w:jc w:val="center"/>
        </w:trPr>
        <w:tc>
          <w:tcPr>
            <w:tcW w:w="558" w:type="dxa"/>
            <w:vMerge/>
          </w:tcPr>
          <w:p w14:paraId="362FAAE9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5DBC8908" w14:textId="77777777" w:rsidR="00E02EDB" w:rsidRPr="003759B2" w:rsidRDefault="00E02EDB" w:rsidP="007E40E6">
            <w:pPr>
              <w:pStyle w:val="tabteksts"/>
              <w:ind w:right="284"/>
              <w:rPr>
                <w:rFonts w:eastAsia="Calibri" w:cs="Times New Roman"/>
                <w:iCs/>
                <w:szCs w:val="18"/>
              </w:rPr>
            </w:pPr>
            <w:r w:rsidRPr="003759B2">
              <w:rPr>
                <w:rFonts w:eastAsia="Calibri" w:cs="Times New Roman"/>
                <w:iCs/>
                <w:szCs w:val="18"/>
              </w:rPr>
              <w:t xml:space="preserve">     Noorganizēta starptautiska konference</w:t>
            </w:r>
            <w:r w:rsidRPr="003759B2">
              <w:rPr>
                <w:rFonts w:eastAsia="Calibri" w:cs="Times New Roman"/>
                <w:iCs/>
                <w:szCs w:val="18"/>
              </w:rPr>
              <w:tab/>
            </w:r>
            <w:r w:rsidRPr="003759B2">
              <w:rPr>
                <w:rFonts w:eastAsia="Calibri" w:cs="Times New Roman"/>
                <w:iCs/>
                <w:szCs w:val="18"/>
              </w:rPr>
              <w:tab/>
            </w:r>
          </w:p>
        </w:tc>
        <w:tc>
          <w:tcPr>
            <w:tcW w:w="1139" w:type="dxa"/>
            <w:vMerge/>
          </w:tcPr>
          <w:p w14:paraId="24E1D053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668AC762" w14:textId="77777777" w:rsidTr="009A27AC">
        <w:trPr>
          <w:trHeight w:val="163"/>
          <w:jc w:val="center"/>
        </w:trPr>
        <w:tc>
          <w:tcPr>
            <w:tcW w:w="558" w:type="dxa"/>
            <w:vMerge/>
          </w:tcPr>
          <w:p w14:paraId="0C4362EB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4115" w:type="dxa"/>
            <w:shd w:val="clear" w:color="auto" w:fill="auto"/>
          </w:tcPr>
          <w:p w14:paraId="1036987B" w14:textId="031EAB32" w:rsidR="00E02EDB" w:rsidRPr="003759B2" w:rsidRDefault="00E02EDB" w:rsidP="009A27AC">
            <w:pPr>
              <w:spacing w:after="0"/>
              <w:ind w:right="601" w:firstLine="0"/>
              <w:rPr>
                <w:rFonts w:eastAsia="Calibri" w:cs="Times New Roman"/>
                <w:i/>
                <w:sz w:val="18"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iCs/>
                <w:sz w:val="18"/>
                <w:szCs w:val="18"/>
              </w:rPr>
              <w:t xml:space="preserve">             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>Konferen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ces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 xml:space="preserve"> 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>skaits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)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ab/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ab/>
              <w:t xml:space="preserve"> </w:t>
            </w:r>
          </w:p>
        </w:tc>
        <w:tc>
          <w:tcPr>
            <w:tcW w:w="1086" w:type="dxa"/>
            <w:shd w:val="clear" w:color="auto" w:fill="auto"/>
          </w:tcPr>
          <w:p w14:paraId="198468A0" w14:textId="77777777" w:rsidR="00E02EDB" w:rsidRPr="009A27AC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i/>
                <w:iCs/>
                <w:szCs w:val="18"/>
              </w:rPr>
            </w:pPr>
            <w:r w:rsidRPr="009A27AC">
              <w:rPr>
                <w:rFonts w:eastAsia="Calibri" w:cs="Times New Roman"/>
                <w:bCs/>
                <w:i/>
                <w:iCs/>
                <w:szCs w:val="18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14:paraId="07AE6F9C" w14:textId="77777777" w:rsidR="00E02EDB" w:rsidRPr="003759B2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szCs w:val="18"/>
              </w:rPr>
            </w:pPr>
            <w:r w:rsidRPr="003759B2">
              <w:rPr>
                <w:rFonts w:eastAsia="Calibri" w:cs="Times New Roman"/>
                <w:bCs/>
                <w:szCs w:val="18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14:paraId="49FC70F7" w14:textId="77777777" w:rsidR="00E02EDB" w:rsidRPr="003759B2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szCs w:val="18"/>
              </w:rPr>
            </w:pPr>
            <w:r w:rsidRPr="003759B2">
              <w:rPr>
                <w:rFonts w:eastAsia="Calibri" w:cs="Times New Roman"/>
                <w:bCs/>
                <w:szCs w:val="18"/>
              </w:rPr>
              <w:t>-</w:t>
            </w:r>
          </w:p>
        </w:tc>
        <w:tc>
          <w:tcPr>
            <w:tcW w:w="1139" w:type="dxa"/>
            <w:vMerge/>
          </w:tcPr>
          <w:p w14:paraId="74867D88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</w:rPr>
            </w:pPr>
          </w:p>
        </w:tc>
      </w:tr>
      <w:tr w:rsidR="00E02EDB" w:rsidRPr="003759B2" w14:paraId="53AA0EEF" w14:textId="77777777" w:rsidTr="00EB2ABF">
        <w:trPr>
          <w:trHeight w:val="299"/>
          <w:jc w:val="center"/>
        </w:trPr>
        <w:tc>
          <w:tcPr>
            <w:tcW w:w="558" w:type="dxa"/>
            <w:vMerge/>
          </w:tcPr>
          <w:p w14:paraId="750FF9E7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shd w:val="clear" w:color="auto" w:fill="auto"/>
          </w:tcPr>
          <w:p w14:paraId="00F30410" w14:textId="77777777" w:rsidR="00E02EDB" w:rsidRPr="003759B2" w:rsidRDefault="00E02EDB" w:rsidP="009A27AC">
            <w:pPr>
              <w:pStyle w:val="tabteksts"/>
              <w:ind w:right="284"/>
              <w:rPr>
                <w:rFonts w:eastAsia="Calibri" w:cs="Times New Roman"/>
                <w:bCs/>
                <w:szCs w:val="18"/>
              </w:rPr>
            </w:pPr>
            <w:r w:rsidRPr="003759B2">
              <w:rPr>
                <w:rFonts w:eastAsia="Calibri" w:cs="Times New Roman"/>
                <w:bCs/>
                <w:szCs w:val="18"/>
              </w:rPr>
              <w:t xml:space="preserve">      Sabiedrības informēšana</w:t>
            </w:r>
            <w:r w:rsidRPr="003759B2">
              <w:rPr>
                <w:rFonts w:eastAsia="Calibri" w:cs="Times New Roman"/>
                <w:bCs/>
                <w:szCs w:val="18"/>
              </w:rPr>
              <w:tab/>
            </w:r>
            <w:r w:rsidRPr="003759B2">
              <w:rPr>
                <w:rFonts w:eastAsia="Calibri" w:cs="Times New Roman"/>
                <w:bCs/>
                <w:szCs w:val="18"/>
              </w:rPr>
              <w:tab/>
            </w:r>
          </w:p>
        </w:tc>
        <w:tc>
          <w:tcPr>
            <w:tcW w:w="1139" w:type="dxa"/>
            <w:vMerge/>
          </w:tcPr>
          <w:p w14:paraId="05EF9815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</w:rPr>
            </w:pPr>
          </w:p>
        </w:tc>
      </w:tr>
      <w:tr w:rsidR="00E02EDB" w:rsidRPr="003759B2" w14:paraId="5DC43375" w14:textId="77777777" w:rsidTr="00537584">
        <w:trPr>
          <w:trHeight w:val="174"/>
          <w:jc w:val="center"/>
        </w:trPr>
        <w:tc>
          <w:tcPr>
            <w:tcW w:w="558" w:type="dxa"/>
            <w:vMerge/>
          </w:tcPr>
          <w:p w14:paraId="3E0BB9BA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4115" w:type="dxa"/>
            <w:shd w:val="clear" w:color="auto" w:fill="auto"/>
          </w:tcPr>
          <w:p w14:paraId="62E0F96C" w14:textId="703A154F" w:rsidR="00E02EDB" w:rsidRPr="003759B2" w:rsidRDefault="00E02EDB" w:rsidP="009A27AC">
            <w:pPr>
              <w:spacing w:after="0"/>
              <w:ind w:right="601" w:firstLine="0"/>
              <w:rPr>
                <w:rFonts w:eastAsia="Calibri" w:cs="Times New Roman"/>
                <w:i/>
                <w:sz w:val="18"/>
                <w:szCs w:val="18"/>
              </w:rPr>
            </w:pPr>
            <w:r w:rsidRPr="003759B2">
              <w:rPr>
                <w:rFonts w:eastAsia="Calibri" w:cs="Times New Roman"/>
                <w:i/>
                <w:sz w:val="18"/>
                <w:szCs w:val="18"/>
              </w:rPr>
              <w:t xml:space="preserve">             Video klip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i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 xml:space="preserve"> 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>skaits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)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ab/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ab/>
            </w:r>
          </w:p>
        </w:tc>
        <w:tc>
          <w:tcPr>
            <w:tcW w:w="1086" w:type="dxa"/>
            <w:shd w:val="clear" w:color="auto" w:fill="auto"/>
          </w:tcPr>
          <w:p w14:paraId="6BCD90CE" w14:textId="77777777" w:rsidR="00E02EDB" w:rsidRPr="009A27AC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i/>
                <w:iCs/>
                <w:szCs w:val="18"/>
              </w:rPr>
            </w:pPr>
            <w:r w:rsidRPr="009A27AC">
              <w:rPr>
                <w:rFonts w:eastAsia="Calibri" w:cs="Times New Roman"/>
                <w:bCs/>
                <w:i/>
                <w:iCs/>
                <w:szCs w:val="18"/>
              </w:rPr>
              <w:t>10</w:t>
            </w:r>
          </w:p>
        </w:tc>
        <w:tc>
          <w:tcPr>
            <w:tcW w:w="1087" w:type="dxa"/>
            <w:shd w:val="clear" w:color="auto" w:fill="auto"/>
          </w:tcPr>
          <w:p w14:paraId="4839103E" w14:textId="77777777" w:rsidR="00E02EDB" w:rsidRPr="009A27AC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i/>
                <w:iCs/>
                <w:szCs w:val="18"/>
              </w:rPr>
            </w:pPr>
            <w:r w:rsidRPr="009A27AC">
              <w:rPr>
                <w:rFonts w:eastAsia="Calibri" w:cs="Times New Roman"/>
                <w:bCs/>
                <w:i/>
                <w:iCs/>
                <w:szCs w:val="18"/>
              </w:rPr>
              <w:t>10</w:t>
            </w:r>
          </w:p>
        </w:tc>
        <w:tc>
          <w:tcPr>
            <w:tcW w:w="1087" w:type="dxa"/>
            <w:shd w:val="clear" w:color="auto" w:fill="auto"/>
          </w:tcPr>
          <w:p w14:paraId="5030F975" w14:textId="77777777" w:rsidR="00E02EDB" w:rsidRPr="009A27AC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i/>
                <w:iCs/>
                <w:szCs w:val="18"/>
              </w:rPr>
            </w:pPr>
            <w:r w:rsidRPr="009A27AC">
              <w:rPr>
                <w:rFonts w:eastAsia="Calibri" w:cs="Times New Roman"/>
                <w:bCs/>
                <w:i/>
                <w:iCs/>
                <w:szCs w:val="18"/>
              </w:rPr>
              <w:t>10</w:t>
            </w:r>
          </w:p>
        </w:tc>
        <w:tc>
          <w:tcPr>
            <w:tcW w:w="1139" w:type="dxa"/>
            <w:vMerge/>
          </w:tcPr>
          <w:p w14:paraId="01DEDCAB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</w:rPr>
            </w:pPr>
          </w:p>
        </w:tc>
      </w:tr>
      <w:tr w:rsidR="00E02EDB" w:rsidRPr="003759B2" w14:paraId="476B7C57" w14:textId="77777777" w:rsidTr="00EB2ABF">
        <w:trPr>
          <w:trHeight w:val="193"/>
          <w:jc w:val="center"/>
        </w:trPr>
        <w:tc>
          <w:tcPr>
            <w:tcW w:w="558" w:type="dxa"/>
            <w:vMerge/>
          </w:tcPr>
          <w:p w14:paraId="4AF6F735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shd w:val="clear" w:color="auto" w:fill="auto"/>
          </w:tcPr>
          <w:p w14:paraId="7F7685B7" w14:textId="77777777" w:rsidR="00E02EDB" w:rsidRPr="003759B2" w:rsidRDefault="00E02EDB" w:rsidP="009A27AC">
            <w:pPr>
              <w:pStyle w:val="tabteksts"/>
              <w:ind w:right="284"/>
              <w:rPr>
                <w:rFonts w:eastAsia="Calibri" w:cs="Times New Roman"/>
                <w:bCs/>
                <w:szCs w:val="18"/>
              </w:rPr>
            </w:pPr>
            <w:r w:rsidRPr="003759B2">
              <w:rPr>
                <w:rFonts w:eastAsia="Calibri" w:cs="Times New Roman"/>
                <w:bCs/>
                <w:szCs w:val="18"/>
              </w:rPr>
              <w:t xml:space="preserve">       Sabiedrības izglītošana</w:t>
            </w:r>
          </w:p>
        </w:tc>
        <w:tc>
          <w:tcPr>
            <w:tcW w:w="1139" w:type="dxa"/>
            <w:vMerge/>
          </w:tcPr>
          <w:p w14:paraId="00F4B90B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</w:rPr>
            </w:pPr>
          </w:p>
        </w:tc>
      </w:tr>
      <w:tr w:rsidR="00E02EDB" w:rsidRPr="003759B2" w14:paraId="4D22A8A6" w14:textId="77777777" w:rsidTr="007E40E6">
        <w:trPr>
          <w:trHeight w:val="223"/>
          <w:jc w:val="center"/>
        </w:trPr>
        <w:tc>
          <w:tcPr>
            <w:tcW w:w="558" w:type="dxa"/>
            <w:vMerge/>
          </w:tcPr>
          <w:p w14:paraId="018DE8EE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4115" w:type="dxa"/>
            <w:shd w:val="clear" w:color="auto" w:fill="auto"/>
          </w:tcPr>
          <w:p w14:paraId="3C2DB0CD" w14:textId="4CF22C37" w:rsidR="00E02EDB" w:rsidRPr="003759B2" w:rsidRDefault="00E02EDB" w:rsidP="009A27AC">
            <w:pPr>
              <w:spacing w:after="0"/>
              <w:ind w:right="601" w:firstLine="0"/>
              <w:rPr>
                <w:rFonts w:eastAsia="Calibri" w:cs="Times New Roman"/>
                <w:i/>
                <w:sz w:val="18"/>
                <w:szCs w:val="18"/>
              </w:rPr>
            </w:pPr>
            <w:r w:rsidRPr="003759B2">
              <w:rPr>
                <w:rFonts w:eastAsia="Calibri" w:cs="Times New Roman"/>
                <w:i/>
                <w:sz w:val="18"/>
                <w:szCs w:val="18"/>
              </w:rPr>
              <w:t xml:space="preserve">             Mācību video 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3759B2">
              <w:rPr>
                <w:rFonts w:eastAsia="Calibri" w:cs="Times New Roman"/>
                <w:i/>
                <w:sz w:val="18"/>
                <w:szCs w:val="18"/>
              </w:rPr>
              <w:t>skaits</w:t>
            </w:r>
            <w:r w:rsidR="00537584">
              <w:rPr>
                <w:rFonts w:eastAsia="Calibri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086" w:type="dxa"/>
            <w:shd w:val="clear" w:color="auto" w:fill="auto"/>
          </w:tcPr>
          <w:p w14:paraId="3FE4871C" w14:textId="77777777" w:rsidR="00E02EDB" w:rsidRPr="009A27AC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i/>
                <w:iCs/>
                <w:szCs w:val="18"/>
              </w:rPr>
            </w:pPr>
            <w:r w:rsidRPr="009A27AC">
              <w:rPr>
                <w:rFonts w:eastAsia="Calibri" w:cs="Times New Roman"/>
                <w:bCs/>
                <w:i/>
                <w:iCs/>
                <w:szCs w:val="18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14:paraId="3D200BEC" w14:textId="77777777" w:rsidR="00E02EDB" w:rsidRPr="009A27AC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i/>
                <w:iCs/>
                <w:szCs w:val="18"/>
              </w:rPr>
            </w:pPr>
            <w:r w:rsidRPr="009A27AC">
              <w:rPr>
                <w:rFonts w:eastAsia="Calibri" w:cs="Times New Roman"/>
                <w:bCs/>
                <w:i/>
                <w:iCs/>
                <w:szCs w:val="18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14:paraId="117632E8" w14:textId="77777777" w:rsidR="00E02EDB" w:rsidRPr="009A27AC" w:rsidRDefault="00E02EDB" w:rsidP="009A27AC">
            <w:pPr>
              <w:pStyle w:val="tabteksts"/>
              <w:jc w:val="center"/>
              <w:rPr>
                <w:rFonts w:eastAsia="Calibri" w:cs="Times New Roman"/>
                <w:bCs/>
                <w:i/>
                <w:iCs/>
                <w:szCs w:val="18"/>
              </w:rPr>
            </w:pPr>
            <w:r w:rsidRPr="009A27AC">
              <w:rPr>
                <w:rFonts w:eastAsia="Calibri" w:cs="Times New Roman"/>
                <w:bCs/>
                <w:i/>
                <w:iCs/>
                <w:szCs w:val="18"/>
              </w:rPr>
              <w:t>4</w:t>
            </w:r>
          </w:p>
        </w:tc>
        <w:tc>
          <w:tcPr>
            <w:tcW w:w="1139" w:type="dxa"/>
            <w:vMerge/>
          </w:tcPr>
          <w:p w14:paraId="7E8B9D68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</w:rPr>
            </w:pPr>
          </w:p>
        </w:tc>
      </w:tr>
      <w:tr w:rsidR="00E02EDB" w:rsidRPr="003759B2" w14:paraId="5C1C0508" w14:textId="77777777" w:rsidTr="009A27AC">
        <w:trPr>
          <w:trHeight w:val="96"/>
          <w:jc w:val="center"/>
        </w:trPr>
        <w:tc>
          <w:tcPr>
            <w:tcW w:w="558" w:type="dxa"/>
            <w:vMerge/>
          </w:tcPr>
          <w:p w14:paraId="45ACCA89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shd w:val="clear" w:color="auto" w:fill="auto"/>
          </w:tcPr>
          <w:p w14:paraId="10E2C8A2" w14:textId="77777777" w:rsidR="00E02EDB" w:rsidRPr="003759B2" w:rsidRDefault="00E02EDB" w:rsidP="009A27AC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i/>
                <w:szCs w:val="18"/>
              </w:rPr>
              <w:t>01.00.00  Tiesa</w:t>
            </w:r>
          </w:p>
        </w:tc>
        <w:tc>
          <w:tcPr>
            <w:tcW w:w="1139" w:type="dxa"/>
            <w:vMerge/>
          </w:tcPr>
          <w:p w14:paraId="6737A0AD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</w:rPr>
            </w:pPr>
          </w:p>
        </w:tc>
      </w:tr>
      <w:tr w:rsidR="00E02EDB" w:rsidRPr="003759B2" w14:paraId="4C36FBB3" w14:textId="77777777" w:rsidTr="00C91283">
        <w:trPr>
          <w:trHeight w:val="426"/>
          <w:jc w:val="center"/>
        </w:trPr>
        <w:tc>
          <w:tcPr>
            <w:tcW w:w="558" w:type="dxa"/>
            <w:vMerge w:val="restart"/>
          </w:tcPr>
          <w:p w14:paraId="39F9EB3C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5.</w:t>
            </w:r>
          </w:p>
        </w:tc>
        <w:tc>
          <w:tcPr>
            <w:tcW w:w="4115" w:type="dxa"/>
            <w:shd w:val="clear" w:color="auto" w:fill="D9D9D9" w:themeFill="background1" w:themeFillShade="D9"/>
          </w:tcPr>
          <w:p w14:paraId="43C222C8" w14:textId="77777777" w:rsidR="00E02EDB" w:rsidRPr="003759B2" w:rsidRDefault="00E02EDB" w:rsidP="00C91283">
            <w:pPr>
              <w:spacing w:after="0"/>
              <w:ind w:firstLine="0"/>
              <w:rPr>
                <w:rFonts w:eastAsiaTheme="minorHAnsi" w:cs="Times New Roman"/>
                <w:b/>
                <w:bCs/>
                <w:sz w:val="18"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iCs/>
                <w:sz w:val="18"/>
                <w:szCs w:val="18"/>
              </w:rPr>
              <w:t>Dalība Starptautiskajā augstāko administratīvo tiesu asociācijā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14:paraId="09BD1F29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310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37612CD4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310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26019F0D" w14:textId="77777777" w:rsidR="00E02EDB" w:rsidRPr="003759B2" w:rsidRDefault="00E02EDB" w:rsidP="00C91283">
            <w:pPr>
              <w:pStyle w:val="tabteksts"/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310</w:t>
            </w:r>
          </w:p>
        </w:tc>
        <w:tc>
          <w:tcPr>
            <w:tcW w:w="1139" w:type="dxa"/>
            <w:vMerge w:val="restart"/>
          </w:tcPr>
          <w:p w14:paraId="273F8DFD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</w:rPr>
              <w:t>MK 24.09.2021. sēdes protokols Nr.63</w:t>
            </w:r>
            <w:r w:rsidRPr="003759B2">
              <w:rPr>
                <w:rFonts w:eastAsia="Calibri" w:cs="Times New Roman"/>
                <w:szCs w:val="18"/>
              </w:rPr>
              <w:t xml:space="preserve"> 1.§</w:t>
            </w:r>
            <w:r w:rsidRPr="003759B2">
              <w:rPr>
                <w:rFonts w:eastAsia="Calibri" w:cs="Times New Roman"/>
              </w:rPr>
              <w:t xml:space="preserve"> 2.punkts</w:t>
            </w:r>
          </w:p>
        </w:tc>
      </w:tr>
      <w:tr w:rsidR="00E02EDB" w:rsidRPr="003759B2" w14:paraId="14210028" w14:textId="77777777" w:rsidTr="00382B35">
        <w:trPr>
          <w:trHeight w:val="255"/>
          <w:jc w:val="center"/>
        </w:trPr>
        <w:tc>
          <w:tcPr>
            <w:tcW w:w="558" w:type="dxa"/>
            <w:vMerge/>
          </w:tcPr>
          <w:p w14:paraId="7462E53B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1100F528" w14:textId="7B22BC69" w:rsidR="00E02EDB" w:rsidRPr="003759B2" w:rsidRDefault="00E02EDB" w:rsidP="009A27AC">
            <w:pPr>
              <w:pStyle w:val="tabteksts"/>
              <w:jc w:val="both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Prioritātes ietvaros Augstākā tiesa kļūst par Starptautiskās augstāko administratīvo tiesu asociācijas dalībvalsti</w:t>
            </w:r>
          </w:p>
        </w:tc>
        <w:tc>
          <w:tcPr>
            <w:tcW w:w="1139" w:type="dxa"/>
            <w:vMerge/>
          </w:tcPr>
          <w:p w14:paraId="6CC9C895" w14:textId="77777777" w:rsidR="00E02EDB" w:rsidRPr="003759B2" w:rsidRDefault="00E02EDB" w:rsidP="00EB2ABF">
            <w:pPr>
              <w:pStyle w:val="tabteksts"/>
              <w:ind w:left="284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5A8C0B51" w14:textId="77777777" w:rsidTr="00382B35">
        <w:trPr>
          <w:trHeight w:val="192"/>
          <w:jc w:val="center"/>
        </w:trPr>
        <w:tc>
          <w:tcPr>
            <w:tcW w:w="558" w:type="dxa"/>
            <w:vMerge/>
          </w:tcPr>
          <w:p w14:paraId="510FB41B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627D44C7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i/>
                <w:szCs w:val="18"/>
              </w:rPr>
            </w:pPr>
            <w:r w:rsidRPr="003759B2">
              <w:rPr>
                <w:rFonts w:eastAsia="Calibri" w:cs="Times New Roman"/>
                <w:i/>
                <w:szCs w:val="18"/>
              </w:rPr>
              <w:t>01.00.00  Tiesa</w:t>
            </w:r>
          </w:p>
        </w:tc>
        <w:tc>
          <w:tcPr>
            <w:tcW w:w="1139" w:type="dxa"/>
            <w:vMerge/>
          </w:tcPr>
          <w:p w14:paraId="7AC45F61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6AD8EFFA" w14:textId="77777777" w:rsidTr="00EB2ABF">
        <w:trPr>
          <w:trHeight w:val="424"/>
          <w:jc w:val="center"/>
        </w:trPr>
        <w:tc>
          <w:tcPr>
            <w:tcW w:w="558" w:type="dxa"/>
            <w:vMerge w:val="restart"/>
          </w:tcPr>
          <w:p w14:paraId="499AFEAA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6.</w:t>
            </w:r>
          </w:p>
        </w:tc>
        <w:tc>
          <w:tcPr>
            <w:tcW w:w="4115" w:type="dxa"/>
            <w:shd w:val="clear" w:color="auto" w:fill="D9D9D9" w:themeFill="background1" w:themeFillShade="D9"/>
          </w:tcPr>
          <w:p w14:paraId="5A288A3C" w14:textId="77777777" w:rsidR="00E02EDB" w:rsidRPr="003759B2" w:rsidRDefault="00E02EDB" w:rsidP="00C91283">
            <w:pPr>
              <w:spacing w:after="0"/>
              <w:ind w:firstLine="0"/>
              <w:rPr>
                <w:rFonts w:eastAsiaTheme="minorHAnsi" w:cs="Times New Roman"/>
                <w:b/>
                <w:bCs/>
                <w:sz w:val="18"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iCs/>
                <w:sz w:val="18"/>
                <w:szCs w:val="18"/>
              </w:rPr>
              <w:t>Latvijas Republikas Satversmes pieņemšanas simtgades atzīmēšana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14:paraId="604C0EC4" w14:textId="77777777" w:rsidR="00E02EDB" w:rsidRPr="003759B2" w:rsidRDefault="00E02EDB" w:rsidP="00C91283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32 000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60DF4F6A" w14:textId="77777777" w:rsidR="00E02EDB" w:rsidRPr="003759B2" w:rsidRDefault="00E02EDB" w:rsidP="00C91283">
            <w:pPr>
              <w:pStyle w:val="tabteksts"/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-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71F68A05" w14:textId="77777777" w:rsidR="00E02EDB" w:rsidRPr="003759B2" w:rsidRDefault="00E02EDB" w:rsidP="00C91283">
            <w:pPr>
              <w:pStyle w:val="tabteksts"/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3759B2">
              <w:rPr>
                <w:rFonts w:eastAsia="Calibri" w:cs="Times New Roman"/>
                <w:b/>
                <w:bCs/>
                <w:szCs w:val="18"/>
              </w:rPr>
              <w:t>-</w:t>
            </w:r>
          </w:p>
        </w:tc>
        <w:tc>
          <w:tcPr>
            <w:tcW w:w="1139" w:type="dxa"/>
            <w:vMerge w:val="restart"/>
          </w:tcPr>
          <w:p w14:paraId="1A19CCF7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</w:rPr>
              <w:t>MK 24.09.2021. sēdes protokols Nr.63</w:t>
            </w:r>
            <w:r w:rsidRPr="003759B2">
              <w:rPr>
                <w:rFonts w:eastAsia="Calibri" w:cs="Times New Roman"/>
                <w:szCs w:val="18"/>
              </w:rPr>
              <w:t xml:space="preserve"> 1.§</w:t>
            </w:r>
            <w:r w:rsidRPr="003759B2">
              <w:rPr>
                <w:rFonts w:eastAsia="Calibri" w:cs="Times New Roman"/>
              </w:rPr>
              <w:t xml:space="preserve"> 2.punkts</w:t>
            </w:r>
          </w:p>
        </w:tc>
      </w:tr>
      <w:tr w:rsidR="00E02EDB" w:rsidRPr="003759B2" w14:paraId="5F42F171" w14:textId="77777777" w:rsidTr="00EB2ABF">
        <w:trPr>
          <w:trHeight w:val="405"/>
          <w:jc w:val="center"/>
        </w:trPr>
        <w:tc>
          <w:tcPr>
            <w:tcW w:w="558" w:type="dxa"/>
            <w:vMerge/>
          </w:tcPr>
          <w:p w14:paraId="1F7B3844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552A58A7" w14:textId="4ED1D819" w:rsidR="00E02EDB" w:rsidRPr="003759B2" w:rsidRDefault="00E02EDB" w:rsidP="009A27AC">
            <w:pPr>
              <w:pStyle w:val="tabteksts"/>
              <w:jc w:val="both"/>
              <w:rPr>
                <w:rFonts w:eastAsia="Calibri" w:cs="Times New Roman"/>
                <w:b/>
                <w:i/>
                <w:szCs w:val="18"/>
              </w:rPr>
            </w:pPr>
            <w:r w:rsidRPr="003759B2">
              <w:rPr>
                <w:rFonts w:eastAsia="Calibri" w:cs="Times New Roman"/>
                <w:b/>
                <w:i/>
                <w:szCs w:val="18"/>
              </w:rPr>
              <w:t>Dalība Latvijas Republikas Satversmes pieņemšanas simtgades atzīmēšanā, organizējot pasākumus atbilstoši apstiprinātajam plānam</w:t>
            </w:r>
          </w:p>
        </w:tc>
        <w:tc>
          <w:tcPr>
            <w:tcW w:w="1139" w:type="dxa"/>
            <w:vMerge/>
          </w:tcPr>
          <w:p w14:paraId="5497D13D" w14:textId="77777777" w:rsidR="00E02EDB" w:rsidRPr="003759B2" w:rsidRDefault="00E02EDB" w:rsidP="00EB2ABF">
            <w:pPr>
              <w:pStyle w:val="tabteksts"/>
              <w:ind w:left="284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6C8B836E" w14:textId="77777777" w:rsidTr="00382B35">
        <w:trPr>
          <w:trHeight w:val="201"/>
          <w:jc w:val="center"/>
        </w:trPr>
        <w:tc>
          <w:tcPr>
            <w:tcW w:w="558" w:type="dxa"/>
            <w:vMerge/>
          </w:tcPr>
          <w:p w14:paraId="2635658D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szCs w:val="18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6985A278" w14:textId="77777777" w:rsidR="00E02EDB" w:rsidRPr="003759B2" w:rsidRDefault="00E02EDB" w:rsidP="00EB2ABF">
            <w:pPr>
              <w:pStyle w:val="tabteksts"/>
              <w:rPr>
                <w:rFonts w:eastAsia="Calibri" w:cs="Times New Roman"/>
                <w:i/>
                <w:szCs w:val="18"/>
              </w:rPr>
            </w:pPr>
            <w:r w:rsidRPr="003759B2">
              <w:rPr>
                <w:rFonts w:eastAsia="Calibri" w:cs="Times New Roman"/>
                <w:i/>
                <w:szCs w:val="18"/>
              </w:rPr>
              <w:t>01.00.00  Tiesa</w:t>
            </w:r>
          </w:p>
        </w:tc>
        <w:tc>
          <w:tcPr>
            <w:tcW w:w="1139" w:type="dxa"/>
            <w:vMerge/>
          </w:tcPr>
          <w:p w14:paraId="46B6C40A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</w:p>
        </w:tc>
      </w:tr>
      <w:tr w:rsidR="00E02EDB" w:rsidRPr="003759B2" w14:paraId="2766945E" w14:textId="77777777" w:rsidTr="00EB2ABF">
        <w:trPr>
          <w:trHeight w:val="142"/>
          <w:jc w:val="center"/>
        </w:trPr>
        <w:tc>
          <w:tcPr>
            <w:tcW w:w="4673" w:type="dxa"/>
            <w:gridSpan w:val="2"/>
            <w:shd w:val="clear" w:color="auto" w:fill="D9D9D9" w:themeFill="background1" w:themeFillShade="D9"/>
          </w:tcPr>
          <w:p w14:paraId="3F3DFDF5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Kopā</w:t>
            </w:r>
          </w:p>
        </w:tc>
        <w:tc>
          <w:tcPr>
            <w:tcW w:w="1086" w:type="dxa"/>
            <w:shd w:val="clear" w:color="auto" w:fill="D9D9D9" w:themeFill="background1" w:themeFillShade="D9"/>
          </w:tcPr>
          <w:p w14:paraId="48448887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583 541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08368BCC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523 581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14:paraId="2F9DC20A" w14:textId="77777777" w:rsidR="00E02EDB" w:rsidRPr="003759B2" w:rsidRDefault="00E02EDB" w:rsidP="00EB2ABF">
            <w:pPr>
              <w:pStyle w:val="tabteksts"/>
              <w:jc w:val="right"/>
              <w:rPr>
                <w:rFonts w:eastAsia="Calibri" w:cs="Times New Roman"/>
                <w:b/>
                <w:szCs w:val="18"/>
              </w:rPr>
            </w:pPr>
            <w:r w:rsidRPr="003759B2">
              <w:rPr>
                <w:rFonts w:eastAsia="Calibri" w:cs="Times New Roman"/>
                <w:b/>
                <w:szCs w:val="18"/>
              </w:rPr>
              <w:t>523 581</w:t>
            </w:r>
          </w:p>
        </w:tc>
        <w:tc>
          <w:tcPr>
            <w:tcW w:w="1139" w:type="dxa"/>
          </w:tcPr>
          <w:p w14:paraId="5229C48F" w14:textId="77777777" w:rsidR="00E02EDB" w:rsidRPr="003759B2" w:rsidRDefault="00E02EDB" w:rsidP="00EB2ABF">
            <w:pPr>
              <w:pStyle w:val="tabteksts"/>
              <w:jc w:val="center"/>
              <w:rPr>
                <w:rFonts w:eastAsia="Calibri" w:cs="Times New Roman"/>
                <w:szCs w:val="18"/>
              </w:rPr>
            </w:pPr>
            <w:r w:rsidRPr="003759B2">
              <w:rPr>
                <w:rFonts w:eastAsia="Calibri" w:cs="Times New Roman"/>
                <w:szCs w:val="18"/>
              </w:rPr>
              <w:t>-</w:t>
            </w:r>
          </w:p>
        </w:tc>
      </w:tr>
    </w:tbl>
    <w:p w14:paraId="25569BA3" w14:textId="77777777" w:rsidR="00E02EDB" w:rsidRPr="003759B2" w:rsidRDefault="00E02EDB" w:rsidP="00D74605">
      <w:pPr>
        <w:pStyle w:val="programmas"/>
        <w:spacing w:before="480" w:after="240"/>
        <w:rPr>
          <w:u w:val="single"/>
        </w:rPr>
      </w:pPr>
      <w:r w:rsidRPr="003759B2">
        <w:rPr>
          <w:u w:val="single"/>
        </w:rPr>
        <w:t>Budžeta programmas paskaidrojums</w:t>
      </w:r>
    </w:p>
    <w:p w14:paraId="069D8C9E" w14:textId="77777777" w:rsidR="00E02EDB" w:rsidRPr="003759B2" w:rsidRDefault="00E02EDB" w:rsidP="00E02EDB">
      <w:pPr>
        <w:pStyle w:val="programmas"/>
        <w:spacing w:after="240"/>
      </w:pPr>
      <w:r w:rsidRPr="003759B2">
        <w:t>01.00.00 Tiesa</w:t>
      </w:r>
    </w:p>
    <w:p w14:paraId="6528390D" w14:textId="77777777" w:rsidR="00E02EDB" w:rsidRPr="003759B2" w:rsidRDefault="00E02EDB" w:rsidP="00E02EDB">
      <w:pPr>
        <w:ind w:firstLine="0"/>
        <w:rPr>
          <w:u w:val="single"/>
        </w:rPr>
      </w:pPr>
      <w:r w:rsidRPr="003759B2">
        <w:rPr>
          <w:u w:val="single"/>
        </w:rPr>
        <w:t>Programmas mērķis:</w:t>
      </w:r>
    </w:p>
    <w:p w14:paraId="532195A4" w14:textId="77777777" w:rsidR="00E02EDB" w:rsidRPr="003759B2" w:rsidRDefault="00E02EDB" w:rsidP="00D74605">
      <w:pPr>
        <w:ind w:firstLine="720"/>
      </w:pPr>
      <w:r w:rsidRPr="003759B2">
        <w:t xml:space="preserve">nodrošināt tiesas spriešanu kasācijas instancē, kā arī vienotas tiesu prakses veidošanu un juridiskās domas attīstību. </w:t>
      </w:r>
    </w:p>
    <w:p w14:paraId="4A76A053" w14:textId="77777777" w:rsidR="00E02EDB" w:rsidRPr="003759B2" w:rsidRDefault="00E02EDB" w:rsidP="00E02EDB">
      <w:pPr>
        <w:ind w:firstLine="0"/>
        <w:rPr>
          <w:u w:val="single"/>
        </w:rPr>
      </w:pPr>
      <w:r w:rsidRPr="003759B2">
        <w:rPr>
          <w:u w:val="single"/>
        </w:rPr>
        <w:t>Galvenās aktivitātes un izpildītāji:</w:t>
      </w:r>
    </w:p>
    <w:p w14:paraId="43F171A2" w14:textId="77777777" w:rsidR="00E02EDB" w:rsidRPr="003759B2" w:rsidRDefault="00E02EDB" w:rsidP="00D74605">
      <w:pPr>
        <w:numPr>
          <w:ilvl w:val="0"/>
          <w:numId w:val="14"/>
        </w:numPr>
        <w:spacing w:afterLines="30" w:after="72"/>
        <w:ind w:left="1077" w:hanging="357"/>
        <w:jc w:val="left"/>
        <w:rPr>
          <w:szCs w:val="24"/>
        </w:rPr>
      </w:pPr>
      <w:r w:rsidRPr="003759B2">
        <w:rPr>
          <w:szCs w:val="24"/>
        </w:rPr>
        <w:t>nodrošināt tiesas spriešanu kasācijas instancē:</w:t>
      </w:r>
    </w:p>
    <w:p w14:paraId="20A139C2" w14:textId="77777777" w:rsidR="00E02EDB" w:rsidRPr="003759B2" w:rsidRDefault="00E02EDB" w:rsidP="00D74605">
      <w:pPr>
        <w:numPr>
          <w:ilvl w:val="0"/>
          <w:numId w:val="13"/>
        </w:numPr>
        <w:spacing w:afterLines="30" w:after="72"/>
        <w:ind w:left="1702" w:hanging="284"/>
      </w:pPr>
      <w:r w:rsidRPr="003759B2">
        <w:t>Civillietu departaments;</w:t>
      </w:r>
    </w:p>
    <w:p w14:paraId="64317C26" w14:textId="77777777" w:rsidR="00E02EDB" w:rsidRPr="003759B2" w:rsidRDefault="00E02EDB" w:rsidP="00D74605">
      <w:pPr>
        <w:numPr>
          <w:ilvl w:val="0"/>
          <w:numId w:val="13"/>
        </w:numPr>
        <w:spacing w:afterLines="30" w:after="72"/>
        <w:ind w:left="1702" w:hanging="284"/>
      </w:pPr>
      <w:r w:rsidRPr="003759B2">
        <w:t>Krimināllietu departaments;</w:t>
      </w:r>
    </w:p>
    <w:p w14:paraId="5974B23E" w14:textId="77777777" w:rsidR="00E02EDB" w:rsidRPr="003759B2" w:rsidRDefault="00E02EDB" w:rsidP="00D74605">
      <w:pPr>
        <w:numPr>
          <w:ilvl w:val="0"/>
          <w:numId w:val="13"/>
        </w:numPr>
        <w:spacing w:afterLines="30" w:after="72"/>
        <w:ind w:left="1702" w:hanging="284"/>
      </w:pPr>
      <w:r w:rsidRPr="003759B2">
        <w:t>Administratīvo lietu departaments;</w:t>
      </w:r>
    </w:p>
    <w:p w14:paraId="6CE6D8B3" w14:textId="77777777" w:rsidR="00E02EDB" w:rsidRPr="003759B2" w:rsidRDefault="00E02EDB" w:rsidP="00D74605">
      <w:pPr>
        <w:numPr>
          <w:ilvl w:val="0"/>
          <w:numId w:val="14"/>
        </w:numPr>
        <w:spacing w:afterLines="30" w:after="72"/>
        <w:ind w:left="1077" w:hanging="357"/>
        <w:jc w:val="left"/>
        <w:rPr>
          <w:szCs w:val="24"/>
        </w:rPr>
      </w:pPr>
      <w:r w:rsidRPr="003759B2">
        <w:rPr>
          <w:szCs w:val="24"/>
        </w:rPr>
        <w:t xml:space="preserve">lietu izskatīšana </w:t>
      </w:r>
      <w:proofErr w:type="spellStart"/>
      <w:r w:rsidRPr="003759B2">
        <w:rPr>
          <w:szCs w:val="24"/>
        </w:rPr>
        <w:t>Disciplinārtiesā</w:t>
      </w:r>
      <w:proofErr w:type="spellEnd"/>
      <w:r w:rsidRPr="003759B2">
        <w:rPr>
          <w:szCs w:val="24"/>
        </w:rPr>
        <w:t>:</w:t>
      </w:r>
    </w:p>
    <w:p w14:paraId="6F14459C" w14:textId="77777777" w:rsidR="00E02EDB" w:rsidRPr="003759B2" w:rsidRDefault="00E02EDB" w:rsidP="00E02EDB">
      <w:pPr>
        <w:numPr>
          <w:ilvl w:val="1"/>
          <w:numId w:val="14"/>
        </w:numPr>
        <w:spacing w:afterLines="30" w:after="72"/>
        <w:jc w:val="left"/>
        <w:rPr>
          <w:szCs w:val="24"/>
        </w:rPr>
      </w:pPr>
      <w:r w:rsidRPr="003759B2">
        <w:rPr>
          <w:szCs w:val="24"/>
        </w:rPr>
        <w:t xml:space="preserve">pārsūdzēto Tiesnešu </w:t>
      </w:r>
      <w:proofErr w:type="spellStart"/>
      <w:r w:rsidRPr="003759B2">
        <w:rPr>
          <w:szCs w:val="24"/>
        </w:rPr>
        <w:t>disciplinārkolēģijas</w:t>
      </w:r>
      <w:proofErr w:type="spellEnd"/>
      <w:r w:rsidRPr="003759B2">
        <w:rPr>
          <w:szCs w:val="24"/>
        </w:rPr>
        <w:t xml:space="preserve"> lēmumu izvērtēšana;</w:t>
      </w:r>
    </w:p>
    <w:p w14:paraId="77BF51CD" w14:textId="77777777" w:rsidR="00E02EDB" w:rsidRPr="003759B2" w:rsidRDefault="00E02EDB" w:rsidP="00E02EDB">
      <w:pPr>
        <w:numPr>
          <w:ilvl w:val="1"/>
          <w:numId w:val="14"/>
        </w:numPr>
        <w:spacing w:afterLines="30" w:after="72"/>
        <w:jc w:val="left"/>
        <w:rPr>
          <w:szCs w:val="24"/>
        </w:rPr>
      </w:pPr>
      <w:r w:rsidRPr="003759B2">
        <w:rPr>
          <w:szCs w:val="24"/>
        </w:rPr>
        <w:t>pārsūdzēto Tiesnešu kvalifikācijas kolēģijas sniegto negatīvo atzinumu par profesionālo novērtēšanu izvērtēšana;</w:t>
      </w:r>
    </w:p>
    <w:p w14:paraId="01B2277A" w14:textId="77777777" w:rsidR="00E02EDB" w:rsidRPr="003759B2" w:rsidRDefault="00E02EDB" w:rsidP="00E02EDB">
      <w:pPr>
        <w:numPr>
          <w:ilvl w:val="1"/>
          <w:numId w:val="14"/>
        </w:numPr>
        <w:spacing w:afterLines="30" w:after="72"/>
        <w:jc w:val="left"/>
        <w:rPr>
          <w:szCs w:val="24"/>
        </w:rPr>
      </w:pPr>
      <w:r w:rsidRPr="003759B2">
        <w:rPr>
          <w:szCs w:val="24"/>
        </w:rPr>
        <w:t>pārsūdzēto ģenerālprokurora lēmumu par disciplinārsodu piemērošanu vērtēšana (saskaņā ar Prokuratūras likuma 45.pantu);</w:t>
      </w:r>
    </w:p>
    <w:p w14:paraId="2AA12C7E" w14:textId="77777777" w:rsidR="00E02EDB" w:rsidRPr="003759B2" w:rsidRDefault="00E02EDB" w:rsidP="00D74605">
      <w:pPr>
        <w:numPr>
          <w:ilvl w:val="0"/>
          <w:numId w:val="14"/>
        </w:numPr>
        <w:spacing w:afterLines="30" w:after="72"/>
        <w:ind w:left="1077" w:hanging="357"/>
        <w:jc w:val="left"/>
        <w:rPr>
          <w:szCs w:val="24"/>
        </w:rPr>
      </w:pPr>
      <w:r w:rsidRPr="003759B2">
        <w:rPr>
          <w:szCs w:val="24"/>
        </w:rPr>
        <w:lastRenderedPageBreak/>
        <w:t>nodrošināt tiesu prakses veidošanu un juridiskās domas attīstību šādos virzienos:</w:t>
      </w:r>
    </w:p>
    <w:p w14:paraId="0434A7F5" w14:textId="77777777" w:rsidR="00E02EDB" w:rsidRPr="003759B2" w:rsidRDefault="00E02EDB" w:rsidP="00E02EDB">
      <w:pPr>
        <w:numPr>
          <w:ilvl w:val="1"/>
          <w:numId w:val="14"/>
        </w:numPr>
        <w:spacing w:afterLines="30" w:after="72"/>
        <w:jc w:val="left"/>
        <w:rPr>
          <w:szCs w:val="24"/>
        </w:rPr>
      </w:pPr>
      <w:r w:rsidRPr="003759B2">
        <w:rPr>
          <w:szCs w:val="24"/>
        </w:rPr>
        <w:t>tiesu prakses vispārinājumi;</w:t>
      </w:r>
    </w:p>
    <w:p w14:paraId="731C25BC" w14:textId="77777777" w:rsidR="00E02EDB" w:rsidRPr="003759B2" w:rsidRDefault="00E02EDB" w:rsidP="00E02EDB">
      <w:pPr>
        <w:numPr>
          <w:ilvl w:val="1"/>
          <w:numId w:val="14"/>
        </w:numPr>
        <w:spacing w:afterLines="30" w:after="72"/>
        <w:jc w:val="left"/>
        <w:rPr>
          <w:szCs w:val="24"/>
        </w:rPr>
      </w:pPr>
      <w:proofErr w:type="spellStart"/>
      <w:r w:rsidRPr="003759B2">
        <w:rPr>
          <w:szCs w:val="24"/>
        </w:rPr>
        <w:t>problēmjautājumu</w:t>
      </w:r>
      <w:proofErr w:type="spellEnd"/>
      <w:r w:rsidRPr="003759B2">
        <w:rPr>
          <w:szCs w:val="24"/>
        </w:rPr>
        <w:t xml:space="preserve"> apkopojumi un pētījumu veikšana;</w:t>
      </w:r>
    </w:p>
    <w:p w14:paraId="19E0A54B" w14:textId="77777777" w:rsidR="00E02EDB" w:rsidRPr="003759B2" w:rsidRDefault="00E02EDB" w:rsidP="00E02EDB">
      <w:pPr>
        <w:numPr>
          <w:ilvl w:val="1"/>
          <w:numId w:val="14"/>
        </w:numPr>
        <w:spacing w:afterLines="30" w:after="72"/>
        <w:jc w:val="left"/>
        <w:rPr>
          <w:szCs w:val="24"/>
        </w:rPr>
      </w:pPr>
      <w:r w:rsidRPr="003759B2">
        <w:rPr>
          <w:szCs w:val="24"/>
        </w:rPr>
        <w:t>judikatūras publicēšanas nodrošināšana.</w:t>
      </w:r>
    </w:p>
    <w:p w14:paraId="5A31FBCC" w14:textId="77777777" w:rsidR="00E02EDB" w:rsidRPr="003759B2" w:rsidRDefault="00E02EDB" w:rsidP="0003347D">
      <w:pPr>
        <w:spacing w:before="120" w:after="240"/>
        <w:ind w:firstLine="0"/>
      </w:pPr>
      <w:r w:rsidRPr="003759B2">
        <w:rPr>
          <w:u w:val="single"/>
        </w:rPr>
        <w:t>Programmas izpildītājs</w:t>
      </w:r>
      <w:r w:rsidRPr="003759B2">
        <w:t>: Augstākā tiesa.</w:t>
      </w:r>
    </w:p>
    <w:p w14:paraId="4A959AE0" w14:textId="77777777" w:rsidR="00E02EDB" w:rsidRPr="003759B2" w:rsidRDefault="00E02EDB" w:rsidP="001B03B3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t>Darbības rezultāti un to rezultatīvie rādītāji no 2020. līdz 2024. 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E02EDB" w:rsidRPr="003759B2" w14:paraId="3C77336B" w14:textId="77777777" w:rsidTr="00EB2ABF">
        <w:trPr>
          <w:tblHeader/>
          <w:jc w:val="center"/>
        </w:trPr>
        <w:tc>
          <w:tcPr>
            <w:tcW w:w="3397" w:type="dxa"/>
          </w:tcPr>
          <w:p w14:paraId="68634E14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44B732C7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2020.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4" w:type="dxa"/>
          </w:tcPr>
          <w:p w14:paraId="4323CA25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lang w:eastAsia="lv-LV"/>
              </w:rPr>
              <w:t>2021. gada     plāns</w:t>
            </w:r>
          </w:p>
        </w:tc>
        <w:tc>
          <w:tcPr>
            <w:tcW w:w="1134" w:type="dxa"/>
          </w:tcPr>
          <w:p w14:paraId="4F0EBCB7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2022. gada projekts</w:t>
            </w:r>
          </w:p>
        </w:tc>
        <w:tc>
          <w:tcPr>
            <w:tcW w:w="1134" w:type="dxa"/>
          </w:tcPr>
          <w:p w14:paraId="036A9911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2023. gada </w:t>
            </w:r>
            <w:r w:rsidRPr="003759B2"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2B7ED9D3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2023. gada </w:t>
            </w:r>
            <w:r w:rsidRPr="003759B2">
              <w:rPr>
                <w:lang w:eastAsia="lv-LV"/>
              </w:rPr>
              <w:t>prognoze</w:t>
            </w:r>
          </w:p>
        </w:tc>
      </w:tr>
      <w:tr w:rsidR="00E02EDB" w:rsidRPr="003759B2" w14:paraId="430078DA" w14:textId="77777777" w:rsidTr="00EB2ABF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3FC5973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Kasācijas instancēs izskatīto lietu skaits</w:t>
            </w:r>
          </w:p>
        </w:tc>
      </w:tr>
      <w:tr w:rsidR="00E02EDB" w:rsidRPr="003759B2" w14:paraId="4C8205C2" w14:textId="77777777" w:rsidTr="00EB2ABF">
        <w:trPr>
          <w:jc w:val="center"/>
        </w:trPr>
        <w:tc>
          <w:tcPr>
            <w:tcW w:w="3397" w:type="dxa"/>
          </w:tcPr>
          <w:p w14:paraId="04292881" w14:textId="77777777" w:rsidR="00E02EDB" w:rsidRPr="003759B2" w:rsidRDefault="00E02EDB" w:rsidP="00EB2ABF">
            <w:pPr>
              <w:pStyle w:val="tabteksts"/>
            </w:pPr>
            <w:r w:rsidRPr="003759B2">
              <w:t>Augstākās tiesas Departamentos kasācijas kārtībā izskatītas lietas (skaits)</w:t>
            </w:r>
          </w:p>
        </w:tc>
        <w:tc>
          <w:tcPr>
            <w:tcW w:w="1134" w:type="dxa"/>
          </w:tcPr>
          <w:p w14:paraId="3A038028" w14:textId="3006936F" w:rsidR="00E02EDB" w:rsidRPr="003759B2" w:rsidRDefault="00E02EDB" w:rsidP="00EB2ABF">
            <w:pPr>
              <w:pStyle w:val="tabteksts"/>
              <w:jc w:val="center"/>
            </w:pPr>
            <w:r w:rsidRPr="003759B2">
              <w:t>2</w:t>
            </w:r>
            <w:r w:rsidR="009A3C18">
              <w:t xml:space="preserve"> </w:t>
            </w:r>
            <w:r w:rsidRPr="003759B2">
              <w:t>985</w:t>
            </w:r>
          </w:p>
        </w:tc>
        <w:tc>
          <w:tcPr>
            <w:tcW w:w="1134" w:type="dxa"/>
          </w:tcPr>
          <w:p w14:paraId="33584736" w14:textId="0752C618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  <w:r w:rsidR="009A3C18">
              <w:t xml:space="preserve"> </w:t>
            </w:r>
            <w:r w:rsidRPr="003759B2">
              <w:t>490</w:t>
            </w:r>
          </w:p>
        </w:tc>
        <w:tc>
          <w:tcPr>
            <w:tcW w:w="1134" w:type="dxa"/>
          </w:tcPr>
          <w:p w14:paraId="5CB0C3CC" w14:textId="0D86461D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  <w:r w:rsidR="009A3C18">
              <w:t xml:space="preserve"> </w:t>
            </w:r>
            <w:r w:rsidRPr="003759B2">
              <w:t>120</w:t>
            </w:r>
          </w:p>
        </w:tc>
        <w:tc>
          <w:tcPr>
            <w:tcW w:w="1134" w:type="dxa"/>
          </w:tcPr>
          <w:p w14:paraId="04545981" w14:textId="733C6D45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  <w:r w:rsidR="009A3C18">
              <w:t xml:space="preserve"> </w:t>
            </w:r>
            <w:r w:rsidRPr="003759B2">
              <w:t>050</w:t>
            </w:r>
          </w:p>
        </w:tc>
        <w:tc>
          <w:tcPr>
            <w:tcW w:w="1139" w:type="dxa"/>
          </w:tcPr>
          <w:p w14:paraId="32FA6F06" w14:textId="7038ECBF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  <w:r w:rsidR="009A3C18">
              <w:t xml:space="preserve"> </w:t>
            </w:r>
            <w:r w:rsidRPr="003759B2">
              <w:t>050</w:t>
            </w:r>
          </w:p>
        </w:tc>
      </w:tr>
      <w:tr w:rsidR="00E02EDB" w:rsidRPr="003759B2" w14:paraId="7B0BF626" w14:textId="77777777" w:rsidTr="00EB2ABF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3323AF61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Izskatīto sūdzību skaits</w:t>
            </w:r>
          </w:p>
        </w:tc>
      </w:tr>
      <w:tr w:rsidR="00E02EDB" w:rsidRPr="003759B2" w14:paraId="745178E0" w14:textId="77777777" w:rsidTr="00EB2ABF">
        <w:trPr>
          <w:jc w:val="center"/>
        </w:trPr>
        <w:tc>
          <w:tcPr>
            <w:tcW w:w="3397" w:type="dxa"/>
          </w:tcPr>
          <w:p w14:paraId="14EF0ED0" w14:textId="77777777" w:rsidR="00E02EDB" w:rsidRPr="003759B2" w:rsidRDefault="00E02EDB" w:rsidP="00EB2ABF">
            <w:pPr>
              <w:pStyle w:val="tabteksts"/>
            </w:pPr>
            <w:r w:rsidRPr="003759B2">
              <w:t>Sūdzības (skaits)</w:t>
            </w:r>
          </w:p>
        </w:tc>
        <w:tc>
          <w:tcPr>
            <w:tcW w:w="1134" w:type="dxa"/>
          </w:tcPr>
          <w:p w14:paraId="3217F08B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670</w:t>
            </w:r>
          </w:p>
        </w:tc>
        <w:tc>
          <w:tcPr>
            <w:tcW w:w="1134" w:type="dxa"/>
          </w:tcPr>
          <w:p w14:paraId="5B73DA10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800</w:t>
            </w:r>
          </w:p>
        </w:tc>
        <w:tc>
          <w:tcPr>
            <w:tcW w:w="1134" w:type="dxa"/>
          </w:tcPr>
          <w:p w14:paraId="0681824A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1134" w:type="dxa"/>
          </w:tcPr>
          <w:p w14:paraId="317008A1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1139" w:type="dxa"/>
          </w:tcPr>
          <w:p w14:paraId="3207E7B9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650</w:t>
            </w:r>
          </w:p>
        </w:tc>
      </w:tr>
      <w:tr w:rsidR="00E02EDB" w:rsidRPr="003759B2" w14:paraId="61D8D5EA" w14:textId="77777777" w:rsidTr="00EB2ABF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74970CF4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Vienveida tiesu prakses veidošana</w:t>
            </w:r>
          </w:p>
        </w:tc>
      </w:tr>
      <w:tr w:rsidR="00E02EDB" w:rsidRPr="003759B2" w14:paraId="1B76A104" w14:textId="77777777" w:rsidTr="00EB2ABF">
        <w:trPr>
          <w:jc w:val="center"/>
        </w:trPr>
        <w:tc>
          <w:tcPr>
            <w:tcW w:w="3397" w:type="dxa"/>
          </w:tcPr>
          <w:p w14:paraId="569353CA" w14:textId="77777777" w:rsidR="00E02EDB" w:rsidRPr="003759B2" w:rsidRDefault="00E02EDB" w:rsidP="00EB2ABF">
            <w:pPr>
              <w:pStyle w:val="tabteksts"/>
            </w:pPr>
            <w:r w:rsidRPr="003759B2">
              <w:t>Tiesu prakses pētījumi (skaits)</w:t>
            </w:r>
          </w:p>
        </w:tc>
        <w:tc>
          <w:tcPr>
            <w:tcW w:w="1134" w:type="dxa"/>
          </w:tcPr>
          <w:p w14:paraId="6D0247CB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20</w:t>
            </w:r>
          </w:p>
        </w:tc>
        <w:tc>
          <w:tcPr>
            <w:tcW w:w="1134" w:type="dxa"/>
          </w:tcPr>
          <w:p w14:paraId="0B8927AB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</w:p>
        </w:tc>
        <w:tc>
          <w:tcPr>
            <w:tcW w:w="1134" w:type="dxa"/>
          </w:tcPr>
          <w:p w14:paraId="27C37469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</w:p>
        </w:tc>
        <w:tc>
          <w:tcPr>
            <w:tcW w:w="1134" w:type="dxa"/>
          </w:tcPr>
          <w:p w14:paraId="105596D8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</w:p>
        </w:tc>
        <w:tc>
          <w:tcPr>
            <w:tcW w:w="1139" w:type="dxa"/>
          </w:tcPr>
          <w:p w14:paraId="3E88A6DF" w14:textId="77777777" w:rsidR="00E02EDB" w:rsidRPr="003759B2" w:rsidRDefault="00E02EDB" w:rsidP="00EB2ABF">
            <w:pPr>
              <w:pStyle w:val="tabteksts"/>
              <w:jc w:val="center"/>
            </w:pPr>
            <w:r w:rsidRPr="003759B2">
              <w:t>3</w:t>
            </w:r>
          </w:p>
        </w:tc>
      </w:tr>
    </w:tbl>
    <w:p w14:paraId="310BCE6D" w14:textId="77777777" w:rsidR="00E02EDB" w:rsidRPr="003759B2" w:rsidRDefault="00E02EDB" w:rsidP="00050715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t>Finansiālie rādītāji no 2020. līdz 2024. 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E02EDB" w:rsidRPr="003759B2" w14:paraId="2FEA770F" w14:textId="77777777" w:rsidTr="00EB2ABF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2CFAF960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1" w:type="dxa"/>
          </w:tcPr>
          <w:p w14:paraId="333DA02F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2020.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5E36E96A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2021. gada     plāns</w:t>
            </w:r>
          </w:p>
        </w:tc>
        <w:tc>
          <w:tcPr>
            <w:tcW w:w="1132" w:type="dxa"/>
          </w:tcPr>
          <w:p w14:paraId="7BA56624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2022. gada projekts</w:t>
            </w:r>
          </w:p>
        </w:tc>
        <w:tc>
          <w:tcPr>
            <w:tcW w:w="1132" w:type="dxa"/>
          </w:tcPr>
          <w:p w14:paraId="134C5CBB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2023. gada prognoze</w:t>
            </w:r>
          </w:p>
        </w:tc>
        <w:tc>
          <w:tcPr>
            <w:tcW w:w="1132" w:type="dxa"/>
          </w:tcPr>
          <w:p w14:paraId="738E29E7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2024. gada prognoze</w:t>
            </w:r>
          </w:p>
        </w:tc>
      </w:tr>
      <w:tr w:rsidR="00E02EDB" w:rsidRPr="003759B2" w14:paraId="6E713FC9" w14:textId="77777777" w:rsidTr="00EB2ABF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50E642E7" w14:textId="77777777" w:rsidR="00E02EDB" w:rsidRPr="003759B2" w:rsidRDefault="00E02EDB" w:rsidP="00EB2ABF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Kopējie izdevumi,</w:t>
            </w:r>
            <w:r w:rsidRPr="003759B2">
              <w:rPr>
                <w:szCs w:val="18"/>
              </w:rPr>
              <w:t xml:space="preserve"> </w:t>
            </w:r>
            <w:proofErr w:type="spellStart"/>
            <w:r w:rsidRPr="003759B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2CA18A8F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5 861 265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4C4D6657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6 749 474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05C0201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bCs/>
                <w:szCs w:val="18"/>
              </w:rPr>
              <w:t>7 614 020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74C5B781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bCs/>
                <w:szCs w:val="18"/>
              </w:rPr>
              <w:t>7 306 714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601DB337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bCs/>
                <w:szCs w:val="18"/>
              </w:rPr>
              <w:t>7 264 214</w:t>
            </w:r>
          </w:p>
        </w:tc>
      </w:tr>
      <w:tr w:rsidR="00E02EDB" w:rsidRPr="003759B2" w14:paraId="7078559C" w14:textId="77777777" w:rsidTr="00EB2ABF">
        <w:trPr>
          <w:trHeight w:val="283"/>
          <w:jc w:val="center"/>
        </w:trPr>
        <w:tc>
          <w:tcPr>
            <w:tcW w:w="3378" w:type="dxa"/>
            <w:vAlign w:val="center"/>
          </w:tcPr>
          <w:p w14:paraId="09A8F710" w14:textId="77777777" w:rsidR="00E02EDB" w:rsidRPr="003759B2" w:rsidRDefault="00E02EDB" w:rsidP="00EB2ABF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3759B2">
              <w:rPr>
                <w:i/>
                <w:szCs w:val="18"/>
                <w:lang w:eastAsia="lv-LV"/>
              </w:rPr>
              <w:t>euro</w:t>
            </w:r>
            <w:proofErr w:type="spellEnd"/>
            <w:r w:rsidRPr="003759B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321AC9CD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1132" w:type="dxa"/>
          </w:tcPr>
          <w:p w14:paraId="48BC7EA9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888 209</w:t>
            </w:r>
          </w:p>
        </w:tc>
        <w:tc>
          <w:tcPr>
            <w:tcW w:w="1132" w:type="dxa"/>
          </w:tcPr>
          <w:p w14:paraId="0253F449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864 546</w:t>
            </w:r>
          </w:p>
        </w:tc>
        <w:tc>
          <w:tcPr>
            <w:tcW w:w="1132" w:type="dxa"/>
          </w:tcPr>
          <w:p w14:paraId="69CF54A8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-307 306</w:t>
            </w:r>
          </w:p>
        </w:tc>
        <w:tc>
          <w:tcPr>
            <w:tcW w:w="1132" w:type="dxa"/>
          </w:tcPr>
          <w:p w14:paraId="51EF9D74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-42 500</w:t>
            </w:r>
          </w:p>
        </w:tc>
      </w:tr>
      <w:tr w:rsidR="00E02EDB" w:rsidRPr="003759B2" w14:paraId="6E0E4A38" w14:textId="77777777" w:rsidTr="00EB2ABF">
        <w:trPr>
          <w:trHeight w:val="283"/>
          <w:jc w:val="center"/>
        </w:trPr>
        <w:tc>
          <w:tcPr>
            <w:tcW w:w="3378" w:type="dxa"/>
            <w:vAlign w:val="center"/>
          </w:tcPr>
          <w:p w14:paraId="53794625" w14:textId="77777777" w:rsidR="00E02EDB" w:rsidRPr="003759B2" w:rsidRDefault="00E02EDB" w:rsidP="00EB2ABF">
            <w:pPr>
              <w:pStyle w:val="tabteksts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Kopējie izdevumi</w:t>
            </w:r>
            <w:r w:rsidRPr="003759B2">
              <w:rPr>
                <w:szCs w:val="18"/>
              </w:rPr>
              <w:t>, % (+/–) pret iepriekšējo gadu</w:t>
            </w:r>
          </w:p>
        </w:tc>
        <w:tc>
          <w:tcPr>
            <w:tcW w:w="1131" w:type="dxa"/>
          </w:tcPr>
          <w:p w14:paraId="6E84D8AC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1132" w:type="dxa"/>
          </w:tcPr>
          <w:p w14:paraId="79793983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15,2</w:t>
            </w:r>
          </w:p>
        </w:tc>
        <w:tc>
          <w:tcPr>
            <w:tcW w:w="1132" w:type="dxa"/>
          </w:tcPr>
          <w:p w14:paraId="3AA060AF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12,8</w:t>
            </w:r>
          </w:p>
        </w:tc>
        <w:tc>
          <w:tcPr>
            <w:tcW w:w="1132" w:type="dxa"/>
          </w:tcPr>
          <w:p w14:paraId="35A9EA6C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-4,0</w:t>
            </w:r>
          </w:p>
        </w:tc>
        <w:tc>
          <w:tcPr>
            <w:tcW w:w="1132" w:type="dxa"/>
          </w:tcPr>
          <w:p w14:paraId="52930AB3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-0,6</w:t>
            </w:r>
          </w:p>
        </w:tc>
      </w:tr>
      <w:tr w:rsidR="00E02EDB" w:rsidRPr="003759B2" w14:paraId="1AA74663" w14:textId="77777777" w:rsidTr="00EB2ABF">
        <w:trPr>
          <w:trHeight w:val="142"/>
          <w:jc w:val="center"/>
        </w:trPr>
        <w:tc>
          <w:tcPr>
            <w:tcW w:w="3378" w:type="dxa"/>
          </w:tcPr>
          <w:p w14:paraId="35423457" w14:textId="77777777" w:rsidR="00E02EDB" w:rsidRPr="003759B2" w:rsidRDefault="00E02EDB" w:rsidP="00EB2ABF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3759B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47DEB9F5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5 305 605</w:t>
            </w:r>
          </w:p>
        </w:tc>
        <w:tc>
          <w:tcPr>
            <w:tcW w:w="1132" w:type="dxa"/>
          </w:tcPr>
          <w:p w14:paraId="4690C95D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6 211 261</w:t>
            </w:r>
          </w:p>
        </w:tc>
        <w:tc>
          <w:tcPr>
            <w:tcW w:w="1132" w:type="dxa"/>
          </w:tcPr>
          <w:p w14:paraId="3B89DB10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6 938 797</w:t>
            </w:r>
          </w:p>
        </w:tc>
        <w:tc>
          <w:tcPr>
            <w:tcW w:w="1132" w:type="dxa"/>
          </w:tcPr>
          <w:p w14:paraId="32A5CC54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6 717 451</w:t>
            </w:r>
          </w:p>
        </w:tc>
        <w:tc>
          <w:tcPr>
            <w:tcW w:w="1132" w:type="dxa"/>
          </w:tcPr>
          <w:p w14:paraId="1D9C925A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6 717 451</w:t>
            </w:r>
          </w:p>
        </w:tc>
      </w:tr>
      <w:tr w:rsidR="00E02EDB" w:rsidRPr="003759B2" w14:paraId="1196A17C" w14:textId="77777777" w:rsidTr="00EB2ABF">
        <w:trPr>
          <w:trHeight w:val="133"/>
          <w:jc w:val="center"/>
        </w:trPr>
        <w:tc>
          <w:tcPr>
            <w:tcW w:w="3378" w:type="dxa"/>
          </w:tcPr>
          <w:p w14:paraId="1E440694" w14:textId="77777777" w:rsidR="00E02EDB" w:rsidRPr="003759B2" w:rsidRDefault="00E02EDB" w:rsidP="00EB2ABF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>Vidējais amata vietu skaits gadā</w:t>
            </w:r>
          </w:p>
        </w:tc>
        <w:tc>
          <w:tcPr>
            <w:tcW w:w="1131" w:type="dxa"/>
          </w:tcPr>
          <w:p w14:paraId="32BD219A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138</w:t>
            </w:r>
          </w:p>
        </w:tc>
        <w:tc>
          <w:tcPr>
            <w:tcW w:w="1132" w:type="dxa"/>
          </w:tcPr>
          <w:p w14:paraId="1CBECF83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146</w:t>
            </w:r>
          </w:p>
        </w:tc>
        <w:tc>
          <w:tcPr>
            <w:tcW w:w="1132" w:type="dxa"/>
          </w:tcPr>
          <w:p w14:paraId="5F2BA1C4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156</w:t>
            </w:r>
            <w:r w:rsidRPr="003759B2">
              <w:rPr>
                <w:szCs w:val="18"/>
                <w:vertAlign w:val="superscript"/>
              </w:rPr>
              <w:t>1</w:t>
            </w:r>
          </w:p>
        </w:tc>
        <w:tc>
          <w:tcPr>
            <w:tcW w:w="1132" w:type="dxa"/>
          </w:tcPr>
          <w:p w14:paraId="27E9B97E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  <w:tc>
          <w:tcPr>
            <w:tcW w:w="1132" w:type="dxa"/>
          </w:tcPr>
          <w:p w14:paraId="4C7DCFB8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</w:tr>
      <w:tr w:rsidR="00E02EDB" w:rsidRPr="003759B2" w14:paraId="1CD3C7AE" w14:textId="77777777" w:rsidTr="00EB2ABF">
        <w:trPr>
          <w:trHeight w:val="124"/>
          <w:jc w:val="center"/>
        </w:trPr>
        <w:tc>
          <w:tcPr>
            <w:tcW w:w="3378" w:type="dxa"/>
          </w:tcPr>
          <w:p w14:paraId="5ABDCB24" w14:textId="77777777" w:rsidR="00E02EDB" w:rsidRPr="003759B2" w:rsidRDefault="00E02EDB" w:rsidP="00EB2ABF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Vidējā atlīdzība amata vietai </w:t>
            </w:r>
            <w:r w:rsidRPr="003759B2">
              <w:rPr>
                <w:color w:val="000000" w:themeColor="text1"/>
                <w:szCs w:val="18"/>
                <w:lang w:eastAsia="lv-LV"/>
              </w:rPr>
              <w:t xml:space="preserve">(mēnesī), </w:t>
            </w:r>
            <w:proofErr w:type="spellStart"/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3E270DA7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3204</w:t>
            </w:r>
          </w:p>
        </w:tc>
        <w:tc>
          <w:tcPr>
            <w:tcW w:w="1132" w:type="dxa"/>
          </w:tcPr>
          <w:p w14:paraId="7B4396E2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3533</w:t>
            </w:r>
          </w:p>
        </w:tc>
        <w:tc>
          <w:tcPr>
            <w:tcW w:w="1132" w:type="dxa"/>
          </w:tcPr>
          <w:p w14:paraId="6B00466C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3743</w:t>
            </w:r>
          </w:p>
        </w:tc>
        <w:tc>
          <w:tcPr>
            <w:tcW w:w="1132" w:type="dxa"/>
          </w:tcPr>
          <w:p w14:paraId="049A93DA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3720</w:t>
            </w:r>
          </w:p>
        </w:tc>
        <w:tc>
          <w:tcPr>
            <w:tcW w:w="1132" w:type="dxa"/>
          </w:tcPr>
          <w:p w14:paraId="3926B3FD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3720</w:t>
            </w:r>
          </w:p>
        </w:tc>
      </w:tr>
      <w:tr w:rsidR="00E02EDB" w:rsidRPr="003759B2" w14:paraId="09EB3118" w14:textId="77777777" w:rsidTr="00EB2ABF">
        <w:trPr>
          <w:trHeight w:val="567"/>
          <w:jc w:val="center"/>
        </w:trPr>
        <w:tc>
          <w:tcPr>
            <w:tcW w:w="3378" w:type="dxa"/>
            <w:vAlign w:val="center"/>
          </w:tcPr>
          <w:p w14:paraId="03A01EBA" w14:textId="77777777" w:rsidR="00E02EDB" w:rsidRPr="003759B2" w:rsidRDefault="00E02EDB" w:rsidP="00EB2ABF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30C7881C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35</w:t>
            </w:r>
          </w:p>
        </w:tc>
        <w:tc>
          <w:tcPr>
            <w:tcW w:w="1132" w:type="dxa"/>
          </w:tcPr>
          <w:p w14:paraId="71BD5909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080D9753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0C72F1BE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30B0CE68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</w:tr>
    </w:tbl>
    <w:p w14:paraId="1EC719DF" w14:textId="77777777" w:rsidR="00E02EDB" w:rsidRPr="003759B2" w:rsidRDefault="00E02EDB" w:rsidP="00E02EDB">
      <w:pPr>
        <w:spacing w:after="0"/>
        <w:ind w:firstLine="425"/>
        <w:jc w:val="left"/>
        <w:rPr>
          <w:sz w:val="18"/>
          <w:szCs w:val="18"/>
          <w:lang w:eastAsia="lv-LV"/>
        </w:rPr>
      </w:pPr>
      <w:r w:rsidRPr="003759B2">
        <w:rPr>
          <w:sz w:val="18"/>
          <w:szCs w:val="18"/>
          <w:lang w:eastAsia="lv-LV"/>
        </w:rPr>
        <w:t>Piezīmes.</w:t>
      </w:r>
    </w:p>
    <w:p w14:paraId="573843AC" w14:textId="533159DF" w:rsidR="00E02EDB" w:rsidRPr="003759B2" w:rsidRDefault="00E02EDB" w:rsidP="00E02EDB">
      <w:pPr>
        <w:spacing w:after="0"/>
        <w:ind w:firstLine="425"/>
        <w:jc w:val="left"/>
        <w:rPr>
          <w:bCs/>
          <w:sz w:val="18"/>
          <w:szCs w:val="18"/>
          <w:lang w:eastAsia="lv-LV"/>
        </w:rPr>
      </w:pPr>
      <w:r w:rsidRPr="003759B2">
        <w:rPr>
          <w:sz w:val="18"/>
          <w:szCs w:val="18"/>
          <w:vertAlign w:val="superscript"/>
          <w:lang w:eastAsia="lv-LV"/>
        </w:rPr>
        <w:t>1</w:t>
      </w:r>
      <w:r w:rsidRPr="003759B2">
        <w:rPr>
          <w:bCs/>
          <w:sz w:val="18"/>
          <w:szCs w:val="18"/>
          <w:lang w:eastAsia="lv-LV"/>
        </w:rPr>
        <w:t>Augstākās tiesas amata vietu izmaiņas 2022.</w:t>
      </w:r>
      <w:r w:rsidR="00390C3A">
        <w:rPr>
          <w:bCs/>
          <w:sz w:val="18"/>
          <w:szCs w:val="18"/>
          <w:lang w:eastAsia="lv-LV"/>
        </w:rPr>
        <w:t xml:space="preserve"> </w:t>
      </w:r>
      <w:r w:rsidRPr="003759B2">
        <w:rPr>
          <w:bCs/>
          <w:sz w:val="18"/>
          <w:szCs w:val="18"/>
          <w:lang w:eastAsia="lv-LV"/>
        </w:rPr>
        <w:t>gadā salīdzinājumā ar 2021.</w:t>
      </w:r>
      <w:r w:rsidR="00390C3A">
        <w:rPr>
          <w:bCs/>
          <w:sz w:val="18"/>
          <w:szCs w:val="18"/>
          <w:lang w:eastAsia="lv-LV"/>
        </w:rPr>
        <w:t xml:space="preserve"> </w:t>
      </w:r>
      <w:r w:rsidRPr="003759B2">
        <w:rPr>
          <w:bCs/>
          <w:sz w:val="18"/>
          <w:szCs w:val="18"/>
          <w:lang w:eastAsia="lv-LV"/>
        </w:rPr>
        <w:t>gadu:</w:t>
      </w:r>
    </w:p>
    <w:p w14:paraId="2488F826" w14:textId="36F46A6D" w:rsidR="00E02EDB" w:rsidRPr="003759B2" w:rsidRDefault="00E02EDB" w:rsidP="009A27AC">
      <w:pPr>
        <w:spacing w:after="0"/>
        <w:ind w:left="709" w:hanging="142"/>
        <w:jc w:val="left"/>
        <w:rPr>
          <w:iCs/>
          <w:sz w:val="18"/>
          <w:szCs w:val="18"/>
          <w:lang w:eastAsia="lv-LV"/>
        </w:rPr>
      </w:pPr>
      <w:r w:rsidRPr="003759B2">
        <w:rPr>
          <w:bCs/>
          <w:sz w:val="18"/>
          <w:szCs w:val="18"/>
          <w:lang w:eastAsia="lv-LV"/>
        </w:rPr>
        <w:t xml:space="preserve"> 1) Administratīvo lietu departamentam, saskaņā ar </w:t>
      </w:r>
      <w:r w:rsidRPr="003759B2">
        <w:rPr>
          <w:iCs/>
          <w:sz w:val="18"/>
          <w:szCs w:val="18"/>
          <w:lang w:eastAsia="lv-LV"/>
        </w:rPr>
        <w:t>Tieslietu padomes 27.11.2020 lēmumu Nr.69, uz laiku līdz 2022.</w:t>
      </w:r>
      <w:r w:rsidR="00390C3A">
        <w:rPr>
          <w:iCs/>
          <w:sz w:val="18"/>
          <w:szCs w:val="18"/>
          <w:lang w:eastAsia="lv-LV"/>
        </w:rPr>
        <w:t> </w:t>
      </w:r>
      <w:r w:rsidRPr="003759B2">
        <w:rPr>
          <w:iCs/>
          <w:sz w:val="18"/>
          <w:szCs w:val="18"/>
          <w:lang w:eastAsia="lv-LV"/>
        </w:rPr>
        <w:t>gada 31.</w:t>
      </w:r>
      <w:r w:rsidR="00390C3A">
        <w:rPr>
          <w:iCs/>
          <w:sz w:val="18"/>
          <w:szCs w:val="18"/>
          <w:lang w:eastAsia="lv-LV"/>
        </w:rPr>
        <w:t xml:space="preserve"> </w:t>
      </w:r>
      <w:r w:rsidRPr="003759B2">
        <w:rPr>
          <w:iCs/>
          <w:sz w:val="18"/>
          <w:szCs w:val="18"/>
          <w:lang w:eastAsia="lv-LV"/>
        </w:rPr>
        <w:t>decembrim no apgabaltiesas ir pārcelti darbā 2 tiesneši un 2 tiesnešu palīgi;</w:t>
      </w:r>
    </w:p>
    <w:p w14:paraId="35A49B67" w14:textId="32A5EFEE" w:rsidR="00E02EDB" w:rsidRPr="003759B2" w:rsidRDefault="00E02EDB" w:rsidP="009A27AC">
      <w:pPr>
        <w:spacing w:after="0"/>
        <w:ind w:left="709" w:hanging="142"/>
        <w:jc w:val="left"/>
        <w:rPr>
          <w:iCs/>
          <w:sz w:val="18"/>
          <w:szCs w:val="18"/>
          <w:lang w:eastAsia="lv-LV"/>
        </w:rPr>
      </w:pPr>
      <w:r w:rsidRPr="003759B2">
        <w:rPr>
          <w:iCs/>
          <w:sz w:val="18"/>
          <w:szCs w:val="18"/>
          <w:lang w:eastAsia="lv-LV"/>
        </w:rPr>
        <w:t xml:space="preserve"> 2) Augstākās tiesas kapacitātes stiprināšanai tiks izveidotas 4 jaunas amata vietas; </w:t>
      </w:r>
    </w:p>
    <w:p w14:paraId="06EA90D8" w14:textId="77777777" w:rsidR="00E02EDB" w:rsidRPr="003759B2" w:rsidRDefault="00E02EDB" w:rsidP="009A27AC">
      <w:pPr>
        <w:spacing w:after="0"/>
        <w:ind w:left="709" w:hanging="142"/>
        <w:jc w:val="left"/>
        <w:rPr>
          <w:bCs/>
          <w:iCs/>
          <w:sz w:val="18"/>
          <w:szCs w:val="18"/>
          <w:lang w:eastAsia="lv-LV"/>
        </w:rPr>
      </w:pPr>
      <w:r w:rsidRPr="003759B2">
        <w:rPr>
          <w:iCs/>
          <w:sz w:val="18"/>
          <w:szCs w:val="18"/>
          <w:lang w:eastAsia="lv-LV"/>
        </w:rPr>
        <w:t xml:space="preserve"> 3) Tieslietu padomes stiprināšanai tiks izveidotas 2 jaunas amata vietas.</w:t>
      </w:r>
    </w:p>
    <w:p w14:paraId="6FC35A73" w14:textId="2569C97E" w:rsidR="00E02EDB" w:rsidRPr="003759B2" w:rsidRDefault="00E02EDB" w:rsidP="00050715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3759B2">
        <w:rPr>
          <w:b/>
          <w:color w:val="000000" w:themeColor="text1"/>
          <w:lang w:eastAsia="lv-LV"/>
        </w:rPr>
        <w:t>Izmaiņas izdevumos, salīdzinot 2022. gada projektu ar 202</w:t>
      </w:r>
      <w:r w:rsidR="008E7838">
        <w:rPr>
          <w:b/>
          <w:color w:val="000000" w:themeColor="text1"/>
          <w:lang w:eastAsia="lv-LV"/>
        </w:rPr>
        <w:t>1</w:t>
      </w:r>
      <w:r w:rsidRPr="003759B2">
        <w:rPr>
          <w:b/>
          <w:color w:val="000000" w:themeColor="text1"/>
          <w:lang w:eastAsia="lv-LV"/>
        </w:rPr>
        <w:t>. gada plānu</w:t>
      </w:r>
    </w:p>
    <w:p w14:paraId="3471DF85" w14:textId="77777777" w:rsidR="00E02EDB" w:rsidRPr="003759B2" w:rsidRDefault="00E02EDB" w:rsidP="00E02EDB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 w:rsidRPr="003759B2">
        <w:rPr>
          <w:i/>
          <w:sz w:val="18"/>
          <w:szCs w:val="18"/>
        </w:rPr>
        <w:t>Euro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5"/>
        <w:gridCol w:w="1276"/>
        <w:gridCol w:w="1276"/>
        <w:gridCol w:w="1274"/>
      </w:tblGrid>
      <w:tr w:rsidR="00E02EDB" w:rsidRPr="003759B2" w14:paraId="095FB80C" w14:textId="77777777" w:rsidTr="009A27AC">
        <w:trPr>
          <w:trHeight w:val="142"/>
          <w:tblHeader/>
          <w:jc w:val="center"/>
        </w:trPr>
        <w:tc>
          <w:tcPr>
            <w:tcW w:w="2889" w:type="pct"/>
            <w:vAlign w:val="center"/>
          </w:tcPr>
          <w:p w14:paraId="0F98C0F8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704" w:type="pct"/>
            <w:vAlign w:val="center"/>
          </w:tcPr>
          <w:p w14:paraId="722FA0CA" w14:textId="77777777" w:rsidR="00E02EDB" w:rsidRPr="003759B2" w:rsidRDefault="00E02EDB" w:rsidP="00EB2ABF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vAlign w:val="center"/>
          </w:tcPr>
          <w:p w14:paraId="28385627" w14:textId="77777777" w:rsidR="00E02EDB" w:rsidRPr="003759B2" w:rsidRDefault="00E02EDB" w:rsidP="00EB2ABF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704" w:type="pct"/>
            <w:vAlign w:val="center"/>
          </w:tcPr>
          <w:p w14:paraId="144DD7E2" w14:textId="77777777" w:rsidR="00E02EDB" w:rsidRPr="003759B2" w:rsidRDefault="00E02EDB" w:rsidP="00EB2ABF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E02EDB" w:rsidRPr="003759B2" w14:paraId="736166B4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D9D9D9" w:themeFill="background1" w:themeFillShade="D9"/>
          </w:tcPr>
          <w:p w14:paraId="382447A7" w14:textId="77777777" w:rsidR="00E02EDB" w:rsidRPr="003759B2" w:rsidRDefault="00E02EDB" w:rsidP="00EB2ABF">
            <w:pPr>
              <w:pStyle w:val="tabteksts"/>
              <w:rPr>
                <w:szCs w:val="18"/>
              </w:rPr>
            </w:pPr>
            <w:r w:rsidRPr="003759B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62DD9A59" w14:textId="77777777" w:rsidR="00E02EDB" w:rsidRPr="003759B2" w:rsidRDefault="00E02EDB" w:rsidP="00EB2ABF">
            <w:pPr>
              <w:pStyle w:val="tabteksts"/>
              <w:jc w:val="right"/>
              <w:rPr>
                <w:b/>
                <w:szCs w:val="18"/>
              </w:rPr>
            </w:pPr>
            <w:r w:rsidRPr="003759B2">
              <w:rPr>
                <w:b/>
                <w:szCs w:val="18"/>
              </w:rPr>
              <w:t>9 300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6A772983" w14:textId="77777777" w:rsidR="00E02EDB" w:rsidRPr="003759B2" w:rsidRDefault="00E02EDB" w:rsidP="00EB2ABF">
            <w:pPr>
              <w:pStyle w:val="tabteksts"/>
              <w:jc w:val="right"/>
              <w:rPr>
                <w:b/>
                <w:szCs w:val="18"/>
              </w:rPr>
            </w:pPr>
            <w:r w:rsidRPr="003759B2">
              <w:rPr>
                <w:b/>
                <w:szCs w:val="18"/>
              </w:rPr>
              <w:t>873 846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788076FB" w14:textId="77777777" w:rsidR="00E02EDB" w:rsidRPr="003759B2" w:rsidRDefault="00E02EDB" w:rsidP="00EB2ABF">
            <w:pPr>
              <w:pStyle w:val="tabteksts"/>
              <w:jc w:val="right"/>
              <w:rPr>
                <w:b/>
                <w:szCs w:val="18"/>
              </w:rPr>
            </w:pPr>
            <w:r w:rsidRPr="003759B2">
              <w:rPr>
                <w:b/>
                <w:szCs w:val="18"/>
              </w:rPr>
              <w:t>864 546</w:t>
            </w:r>
          </w:p>
        </w:tc>
      </w:tr>
      <w:tr w:rsidR="00E02EDB" w:rsidRPr="003759B2" w14:paraId="7F6C3AB9" w14:textId="77777777" w:rsidTr="009A27AC">
        <w:trPr>
          <w:jc w:val="center"/>
        </w:trPr>
        <w:tc>
          <w:tcPr>
            <w:tcW w:w="5000" w:type="pct"/>
            <w:gridSpan w:val="4"/>
          </w:tcPr>
          <w:p w14:paraId="7AADFA67" w14:textId="77777777" w:rsidR="00E02EDB" w:rsidRPr="003759B2" w:rsidRDefault="00E02EDB" w:rsidP="00EB2ABF">
            <w:pPr>
              <w:pStyle w:val="tabteksts"/>
              <w:ind w:firstLine="313"/>
              <w:rPr>
                <w:szCs w:val="18"/>
              </w:rPr>
            </w:pPr>
            <w:r w:rsidRPr="003759B2">
              <w:rPr>
                <w:szCs w:val="18"/>
              </w:rPr>
              <w:t>t.sk.:</w:t>
            </w:r>
          </w:p>
        </w:tc>
      </w:tr>
      <w:tr w:rsidR="00E02EDB" w:rsidRPr="003759B2" w14:paraId="414AFF46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F2F2F2" w:themeFill="background1" w:themeFillShade="F2"/>
          </w:tcPr>
          <w:p w14:paraId="7615CE67" w14:textId="77777777" w:rsidR="00E02EDB" w:rsidRPr="003759B2" w:rsidRDefault="00E02EDB" w:rsidP="00EB2ABF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3759B2">
              <w:rPr>
                <w:szCs w:val="18"/>
                <w:u w:val="single"/>
                <w:lang w:eastAsia="lv-LV"/>
              </w:rPr>
              <w:t>Prioritāri pasākumi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3D9C47B8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2F7832E4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583 541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31450E86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583 541</w:t>
            </w:r>
          </w:p>
        </w:tc>
      </w:tr>
      <w:tr w:rsidR="00E02EDB" w:rsidRPr="003759B2" w14:paraId="60D6EE92" w14:textId="77777777" w:rsidTr="009A27AC">
        <w:trPr>
          <w:trHeight w:val="142"/>
          <w:jc w:val="center"/>
        </w:trPr>
        <w:tc>
          <w:tcPr>
            <w:tcW w:w="2889" w:type="pct"/>
          </w:tcPr>
          <w:p w14:paraId="752FFD0A" w14:textId="77777777" w:rsidR="00E02EDB" w:rsidRPr="003759B2" w:rsidRDefault="00E02EDB" w:rsidP="00EB2ABF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i/>
                <w:szCs w:val="18"/>
                <w:lang w:eastAsia="lv-LV"/>
              </w:rPr>
              <w:t>Latvijas Republikas Augstākās tiesas darbinieku atalgojuma palielināšana</w:t>
            </w:r>
          </w:p>
        </w:tc>
        <w:tc>
          <w:tcPr>
            <w:tcW w:w="704" w:type="pct"/>
          </w:tcPr>
          <w:p w14:paraId="4D0B55F4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46ED4C14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218 545</w:t>
            </w:r>
          </w:p>
        </w:tc>
        <w:tc>
          <w:tcPr>
            <w:tcW w:w="704" w:type="pct"/>
          </w:tcPr>
          <w:p w14:paraId="188C7E53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218 545</w:t>
            </w:r>
          </w:p>
        </w:tc>
      </w:tr>
      <w:tr w:rsidR="00E02EDB" w:rsidRPr="003759B2" w14:paraId="2EB57AA0" w14:textId="77777777" w:rsidTr="009A27AC">
        <w:trPr>
          <w:trHeight w:val="142"/>
          <w:jc w:val="center"/>
        </w:trPr>
        <w:tc>
          <w:tcPr>
            <w:tcW w:w="2889" w:type="pct"/>
          </w:tcPr>
          <w:p w14:paraId="308B4EA0" w14:textId="77777777" w:rsidR="00E02EDB" w:rsidRPr="003759B2" w:rsidRDefault="00E02EDB" w:rsidP="009A27A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rFonts w:eastAsia="Calibri"/>
                <w:bCs/>
                <w:i/>
                <w:iCs/>
                <w:szCs w:val="14"/>
              </w:rPr>
              <w:t>Konkurētspējīgas Augstākās tiesas darbinieku atalgojuma sistēmas izveidošana</w:t>
            </w:r>
          </w:p>
        </w:tc>
        <w:tc>
          <w:tcPr>
            <w:tcW w:w="704" w:type="pct"/>
          </w:tcPr>
          <w:p w14:paraId="6B542611" w14:textId="77777777" w:rsidR="00E02EDB" w:rsidRPr="003759B2" w:rsidRDefault="00E02EDB" w:rsidP="009A27AC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16454121" w14:textId="77777777" w:rsidR="00E02EDB" w:rsidRPr="003759B2" w:rsidRDefault="00E02EDB" w:rsidP="009A27AC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200 709</w:t>
            </w:r>
          </w:p>
        </w:tc>
        <w:tc>
          <w:tcPr>
            <w:tcW w:w="704" w:type="pct"/>
          </w:tcPr>
          <w:p w14:paraId="79E058A4" w14:textId="77777777" w:rsidR="00E02EDB" w:rsidRPr="003759B2" w:rsidRDefault="00E02EDB" w:rsidP="009A27AC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200 709</w:t>
            </w:r>
          </w:p>
        </w:tc>
      </w:tr>
      <w:tr w:rsidR="00E02EDB" w:rsidRPr="003759B2" w14:paraId="053F8AA0" w14:textId="77777777" w:rsidTr="009A27AC">
        <w:trPr>
          <w:trHeight w:val="327"/>
          <w:jc w:val="center"/>
        </w:trPr>
        <w:tc>
          <w:tcPr>
            <w:tcW w:w="2889" w:type="pct"/>
          </w:tcPr>
          <w:p w14:paraId="032E0719" w14:textId="77777777" w:rsidR="00E02EDB" w:rsidRPr="003759B2" w:rsidRDefault="00E02EDB" w:rsidP="009A27A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rFonts w:eastAsia="Calibri"/>
                <w:bCs/>
                <w:i/>
                <w:iCs/>
                <w:szCs w:val="18"/>
              </w:rPr>
              <w:t>Augstākās tiesas kapacitātes stiprināšana</w:t>
            </w:r>
            <w:r w:rsidRPr="003759B2">
              <w:rPr>
                <w:rFonts w:eastAsia="Calibri"/>
                <w:bCs/>
                <w:i/>
                <w:sz w:val="24"/>
              </w:rPr>
              <w:t xml:space="preserve"> (</w:t>
            </w:r>
            <w:r w:rsidRPr="003759B2">
              <w:rPr>
                <w:rFonts w:eastAsia="Calibri"/>
                <w:bCs/>
                <w:i/>
                <w:iCs/>
                <w:szCs w:val="18"/>
              </w:rPr>
              <w:t>tai skaitā papildus 4 amata vietu izveide)</w:t>
            </w:r>
          </w:p>
        </w:tc>
        <w:tc>
          <w:tcPr>
            <w:tcW w:w="704" w:type="pct"/>
          </w:tcPr>
          <w:p w14:paraId="17D2FBB0" w14:textId="77777777" w:rsidR="00E02EDB" w:rsidRPr="003759B2" w:rsidRDefault="00E02EDB" w:rsidP="009A27AC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140E4BDC" w14:textId="77777777" w:rsidR="00E02EDB" w:rsidRPr="003759B2" w:rsidRDefault="00E02EDB" w:rsidP="009A27AC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78 977</w:t>
            </w:r>
          </w:p>
        </w:tc>
        <w:tc>
          <w:tcPr>
            <w:tcW w:w="704" w:type="pct"/>
          </w:tcPr>
          <w:p w14:paraId="0380F4E4" w14:textId="77777777" w:rsidR="00E02EDB" w:rsidRPr="003759B2" w:rsidRDefault="00E02EDB" w:rsidP="009A27AC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78 977</w:t>
            </w:r>
          </w:p>
        </w:tc>
      </w:tr>
      <w:tr w:rsidR="00E02EDB" w:rsidRPr="003759B2" w14:paraId="2033E1D5" w14:textId="77777777" w:rsidTr="009A27AC">
        <w:trPr>
          <w:trHeight w:val="263"/>
          <w:jc w:val="center"/>
        </w:trPr>
        <w:tc>
          <w:tcPr>
            <w:tcW w:w="2889" w:type="pct"/>
          </w:tcPr>
          <w:p w14:paraId="71B5CDA6" w14:textId="77777777" w:rsidR="00E02EDB" w:rsidRPr="003759B2" w:rsidRDefault="00E02EDB" w:rsidP="009A27A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rFonts w:eastAsia="Calibri"/>
                <w:i/>
                <w:szCs w:val="18"/>
              </w:rPr>
              <w:t>Tieslietu padomes kapacitātes stiprināšana</w:t>
            </w:r>
            <w:r w:rsidRPr="003759B2">
              <w:rPr>
                <w:rFonts w:eastAsia="Calibri"/>
                <w:bCs/>
                <w:i/>
                <w:iCs/>
                <w:sz w:val="24"/>
                <w:szCs w:val="18"/>
              </w:rPr>
              <w:t xml:space="preserve"> (</w:t>
            </w:r>
            <w:r w:rsidRPr="003759B2">
              <w:rPr>
                <w:rFonts w:eastAsia="Calibri"/>
                <w:bCs/>
                <w:i/>
                <w:iCs/>
                <w:szCs w:val="18"/>
              </w:rPr>
              <w:t>tai skaitā papildus 2 amata vietu izveide)</w:t>
            </w:r>
          </w:p>
        </w:tc>
        <w:tc>
          <w:tcPr>
            <w:tcW w:w="704" w:type="pct"/>
          </w:tcPr>
          <w:p w14:paraId="669F5BFA" w14:textId="77777777" w:rsidR="00E02EDB" w:rsidRPr="003759B2" w:rsidRDefault="00E02EDB" w:rsidP="009A27AC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0A987DA2" w14:textId="77777777" w:rsidR="00E02EDB" w:rsidRPr="003759B2" w:rsidRDefault="00E02EDB" w:rsidP="009A27AC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53 000</w:t>
            </w:r>
          </w:p>
        </w:tc>
        <w:tc>
          <w:tcPr>
            <w:tcW w:w="704" w:type="pct"/>
          </w:tcPr>
          <w:p w14:paraId="17187457" w14:textId="77777777" w:rsidR="00E02EDB" w:rsidRPr="003759B2" w:rsidRDefault="00E02EDB" w:rsidP="009A27AC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53 000</w:t>
            </w:r>
          </w:p>
        </w:tc>
      </w:tr>
      <w:tr w:rsidR="00E02EDB" w:rsidRPr="003759B2" w14:paraId="6DAC9AA8" w14:textId="77777777" w:rsidTr="009A27AC">
        <w:trPr>
          <w:trHeight w:val="142"/>
          <w:jc w:val="center"/>
        </w:trPr>
        <w:tc>
          <w:tcPr>
            <w:tcW w:w="2889" w:type="pct"/>
          </w:tcPr>
          <w:p w14:paraId="016B7303" w14:textId="77777777" w:rsidR="00E02EDB" w:rsidRPr="003759B2" w:rsidRDefault="00E02EDB" w:rsidP="009A27A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rFonts w:eastAsia="Calibri"/>
                <w:i/>
                <w:szCs w:val="18"/>
              </w:rPr>
              <w:t>Sabiedrības informēšana un izglītošana</w:t>
            </w:r>
          </w:p>
        </w:tc>
        <w:tc>
          <w:tcPr>
            <w:tcW w:w="704" w:type="pct"/>
          </w:tcPr>
          <w:p w14:paraId="1227EA46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20532B0B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32 000</w:t>
            </w:r>
          </w:p>
        </w:tc>
        <w:tc>
          <w:tcPr>
            <w:tcW w:w="704" w:type="pct"/>
          </w:tcPr>
          <w:p w14:paraId="31A6F909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32 000</w:t>
            </w:r>
          </w:p>
        </w:tc>
      </w:tr>
      <w:tr w:rsidR="00E02EDB" w:rsidRPr="003759B2" w14:paraId="11EEB587" w14:textId="77777777" w:rsidTr="009A27AC">
        <w:trPr>
          <w:trHeight w:val="142"/>
          <w:jc w:val="center"/>
        </w:trPr>
        <w:tc>
          <w:tcPr>
            <w:tcW w:w="2889" w:type="pct"/>
          </w:tcPr>
          <w:p w14:paraId="11B61310" w14:textId="77777777" w:rsidR="00E02EDB" w:rsidRPr="003759B2" w:rsidRDefault="00E02EDB" w:rsidP="00EB2ABF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rFonts w:eastAsia="Calibri"/>
                <w:i/>
                <w:szCs w:val="18"/>
              </w:rPr>
              <w:t>Latvijas Republikas Satversmes pieņemšanas simtgades atzīmēšana</w:t>
            </w:r>
          </w:p>
        </w:tc>
        <w:tc>
          <w:tcPr>
            <w:tcW w:w="704" w:type="pct"/>
          </w:tcPr>
          <w:p w14:paraId="1105F79A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2CF8778F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218 545</w:t>
            </w:r>
          </w:p>
        </w:tc>
        <w:tc>
          <w:tcPr>
            <w:tcW w:w="704" w:type="pct"/>
          </w:tcPr>
          <w:p w14:paraId="530F6DA8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218 545</w:t>
            </w:r>
          </w:p>
        </w:tc>
      </w:tr>
      <w:tr w:rsidR="00E02EDB" w:rsidRPr="003759B2" w14:paraId="38B1426A" w14:textId="77777777" w:rsidTr="009A27AC">
        <w:trPr>
          <w:trHeight w:val="142"/>
          <w:jc w:val="center"/>
        </w:trPr>
        <w:tc>
          <w:tcPr>
            <w:tcW w:w="2889" w:type="pct"/>
          </w:tcPr>
          <w:p w14:paraId="0DB6BA50" w14:textId="77777777" w:rsidR="00E02EDB" w:rsidRPr="003759B2" w:rsidRDefault="00E02EDB" w:rsidP="00EB2ABF">
            <w:pPr>
              <w:pStyle w:val="tabteksts"/>
              <w:jc w:val="both"/>
              <w:rPr>
                <w:rFonts w:eastAsia="Calibri"/>
                <w:i/>
                <w:szCs w:val="18"/>
              </w:rPr>
            </w:pPr>
            <w:r w:rsidRPr="003759B2">
              <w:rPr>
                <w:rFonts w:eastAsia="Calibri"/>
                <w:i/>
                <w:szCs w:val="18"/>
              </w:rPr>
              <w:t>Dalība Starptautiskajā augstāko administratīvo tiesu asociācijā  (ilgtermiņa saistības)</w:t>
            </w:r>
          </w:p>
        </w:tc>
        <w:tc>
          <w:tcPr>
            <w:tcW w:w="704" w:type="pct"/>
          </w:tcPr>
          <w:p w14:paraId="3616405E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0EB01D8F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310</w:t>
            </w:r>
          </w:p>
        </w:tc>
        <w:tc>
          <w:tcPr>
            <w:tcW w:w="704" w:type="pct"/>
          </w:tcPr>
          <w:p w14:paraId="156AAE66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310</w:t>
            </w:r>
          </w:p>
        </w:tc>
      </w:tr>
      <w:tr w:rsidR="00E02EDB" w:rsidRPr="003759B2" w14:paraId="53157D5F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F2F2F2" w:themeFill="background1" w:themeFillShade="F2"/>
          </w:tcPr>
          <w:p w14:paraId="034DC1AA" w14:textId="77777777" w:rsidR="00E02EDB" w:rsidRPr="003759B2" w:rsidRDefault="00E02EDB" w:rsidP="00EB2ABF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3759B2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590B5279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9 300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2267E33F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9 300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0685B8F7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</w:tr>
      <w:tr w:rsidR="00E02EDB" w:rsidRPr="003759B2" w14:paraId="07B6AB3C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7A7794B4" w14:textId="77777777" w:rsidR="00E02EDB" w:rsidRPr="003759B2" w:rsidRDefault="00E02EDB" w:rsidP="00EB2ABF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3759B2">
              <w:rPr>
                <w:i/>
                <w:szCs w:val="18"/>
                <w:lang w:eastAsia="lv-LV"/>
              </w:rPr>
              <w:lastRenderedPageBreak/>
              <w:t>Iemaksu veikšana starptautiskajās organizācijās, t.sk.:</w:t>
            </w:r>
          </w:p>
        </w:tc>
        <w:tc>
          <w:tcPr>
            <w:tcW w:w="704" w:type="pct"/>
            <w:shd w:val="clear" w:color="auto" w:fill="auto"/>
          </w:tcPr>
          <w:p w14:paraId="5890AC82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9 300</w:t>
            </w:r>
          </w:p>
        </w:tc>
        <w:tc>
          <w:tcPr>
            <w:tcW w:w="704" w:type="pct"/>
            <w:shd w:val="clear" w:color="auto" w:fill="auto"/>
          </w:tcPr>
          <w:p w14:paraId="4136DF74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9 300</w:t>
            </w:r>
          </w:p>
        </w:tc>
        <w:tc>
          <w:tcPr>
            <w:tcW w:w="704" w:type="pct"/>
            <w:shd w:val="clear" w:color="auto" w:fill="auto"/>
          </w:tcPr>
          <w:p w14:paraId="71273204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</w:tr>
      <w:tr w:rsidR="00E02EDB" w:rsidRPr="003759B2" w14:paraId="31D61B68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05D3BFF1" w14:textId="77777777" w:rsidR="00E02EDB" w:rsidRPr="001B03B3" w:rsidRDefault="00E02EDB" w:rsidP="00EB2ABF">
            <w:pPr>
              <w:pStyle w:val="tabteksts"/>
              <w:jc w:val="right"/>
              <w:rPr>
                <w:szCs w:val="18"/>
                <w:u w:val="single"/>
                <w:lang w:val="en-US" w:eastAsia="lv-LV"/>
              </w:rPr>
            </w:pPr>
            <w:r w:rsidRPr="001B03B3">
              <w:rPr>
                <w:i/>
                <w:iCs/>
                <w:szCs w:val="18"/>
                <w:lang w:val="en-US" w:eastAsia="lv-LV"/>
              </w:rPr>
              <w:t xml:space="preserve">Association of the Councils of State and Supreme Administrative Jurisdictions of the European Union </w:t>
            </w:r>
            <w:proofErr w:type="spellStart"/>
            <w:r w:rsidRPr="001B03B3">
              <w:rPr>
                <w:i/>
                <w:iCs/>
                <w:szCs w:val="18"/>
                <w:lang w:val="en-US" w:eastAsia="lv-LV"/>
              </w:rPr>
              <w:t>i.n.p.a</w:t>
            </w:r>
            <w:proofErr w:type="spellEnd"/>
            <w:r w:rsidRPr="001B03B3">
              <w:rPr>
                <w:i/>
                <w:iCs/>
                <w:szCs w:val="18"/>
                <w:lang w:val="en-US" w:eastAsia="lv-LV"/>
              </w:rPr>
              <w:t>.</w:t>
            </w:r>
          </w:p>
        </w:tc>
        <w:tc>
          <w:tcPr>
            <w:tcW w:w="704" w:type="pct"/>
            <w:shd w:val="clear" w:color="auto" w:fill="auto"/>
          </w:tcPr>
          <w:p w14:paraId="27773B4C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3 500</w:t>
            </w:r>
          </w:p>
        </w:tc>
        <w:tc>
          <w:tcPr>
            <w:tcW w:w="704" w:type="pct"/>
            <w:shd w:val="clear" w:color="auto" w:fill="auto"/>
          </w:tcPr>
          <w:p w14:paraId="242A95AC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3 500</w:t>
            </w:r>
          </w:p>
        </w:tc>
        <w:tc>
          <w:tcPr>
            <w:tcW w:w="704" w:type="pct"/>
            <w:shd w:val="clear" w:color="auto" w:fill="auto"/>
          </w:tcPr>
          <w:p w14:paraId="10BCB0C4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</w:tr>
      <w:tr w:rsidR="00E02EDB" w:rsidRPr="003759B2" w14:paraId="6CD0E11B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7DE63434" w14:textId="77777777" w:rsidR="00E02EDB" w:rsidRPr="001B03B3" w:rsidRDefault="00E02EDB" w:rsidP="00EB2ABF">
            <w:pPr>
              <w:pStyle w:val="tabteksts"/>
              <w:jc w:val="right"/>
              <w:rPr>
                <w:szCs w:val="18"/>
                <w:u w:val="single"/>
                <w:lang w:val="en-US" w:eastAsia="lv-LV"/>
              </w:rPr>
            </w:pPr>
            <w:r w:rsidRPr="001B03B3">
              <w:rPr>
                <w:i/>
                <w:iCs/>
                <w:szCs w:val="18"/>
                <w:lang w:val="en-US" w:eastAsia="lv-LV"/>
              </w:rPr>
              <w:t xml:space="preserve"> European Network of Councils for the Judiciary</w:t>
            </w:r>
          </w:p>
        </w:tc>
        <w:tc>
          <w:tcPr>
            <w:tcW w:w="704" w:type="pct"/>
            <w:shd w:val="clear" w:color="auto" w:fill="auto"/>
          </w:tcPr>
          <w:p w14:paraId="036D9D6A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3 800</w:t>
            </w:r>
          </w:p>
        </w:tc>
        <w:tc>
          <w:tcPr>
            <w:tcW w:w="704" w:type="pct"/>
            <w:shd w:val="clear" w:color="auto" w:fill="auto"/>
          </w:tcPr>
          <w:p w14:paraId="1F3C9BFD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3 800</w:t>
            </w:r>
          </w:p>
        </w:tc>
        <w:tc>
          <w:tcPr>
            <w:tcW w:w="704" w:type="pct"/>
            <w:shd w:val="clear" w:color="auto" w:fill="auto"/>
          </w:tcPr>
          <w:p w14:paraId="73390064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</w:tr>
      <w:tr w:rsidR="00E02EDB" w:rsidRPr="003759B2" w14:paraId="48731ECD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auto"/>
          </w:tcPr>
          <w:p w14:paraId="2458AE7D" w14:textId="77777777" w:rsidR="00E02EDB" w:rsidRPr="001B03B3" w:rsidRDefault="00E02EDB" w:rsidP="00EB2ABF">
            <w:pPr>
              <w:pStyle w:val="tabteksts"/>
              <w:jc w:val="right"/>
              <w:rPr>
                <w:szCs w:val="18"/>
                <w:u w:val="single"/>
                <w:lang w:val="en-US" w:eastAsia="lv-LV"/>
              </w:rPr>
            </w:pPr>
            <w:r w:rsidRPr="001B03B3">
              <w:rPr>
                <w:i/>
                <w:iCs/>
                <w:szCs w:val="18"/>
                <w:lang w:val="en-US" w:eastAsia="lv-LV"/>
              </w:rPr>
              <w:t xml:space="preserve">Network of the Presidents of the </w:t>
            </w:r>
            <w:proofErr w:type="spellStart"/>
            <w:r w:rsidRPr="001B03B3">
              <w:rPr>
                <w:i/>
                <w:iCs/>
                <w:szCs w:val="18"/>
                <w:lang w:val="en-US" w:eastAsia="lv-LV"/>
              </w:rPr>
              <w:t>Suprem</w:t>
            </w:r>
            <w:proofErr w:type="spellEnd"/>
            <w:r w:rsidRPr="001B03B3">
              <w:rPr>
                <w:i/>
                <w:iCs/>
                <w:szCs w:val="18"/>
                <w:lang w:val="en-US" w:eastAsia="lv-LV"/>
              </w:rPr>
              <w:t xml:space="preserve"> Judicial Courts of European Union</w:t>
            </w:r>
          </w:p>
        </w:tc>
        <w:tc>
          <w:tcPr>
            <w:tcW w:w="704" w:type="pct"/>
            <w:shd w:val="clear" w:color="auto" w:fill="auto"/>
          </w:tcPr>
          <w:p w14:paraId="792AB79D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2 000</w:t>
            </w:r>
          </w:p>
        </w:tc>
        <w:tc>
          <w:tcPr>
            <w:tcW w:w="704" w:type="pct"/>
            <w:shd w:val="clear" w:color="auto" w:fill="auto"/>
          </w:tcPr>
          <w:p w14:paraId="76D309CD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2 000</w:t>
            </w:r>
          </w:p>
        </w:tc>
        <w:tc>
          <w:tcPr>
            <w:tcW w:w="704" w:type="pct"/>
            <w:shd w:val="clear" w:color="auto" w:fill="auto"/>
          </w:tcPr>
          <w:p w14:paraId="192C02C6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</w:tr>
      <w:tr w:rsidR="00E02EDB" w:rsidRPr="003759B2" w14:paraId="0005AB8E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F2F2F2" w:themeFill="background1" w:themeFillShade="F2"/>
            <w:vAlign w:val="center"/>
          </w:tcPr>
          <w:p w14:paraId="03717325" w14:textId="77777777" w:rsidR="00E02EDB" w:rsidRPr="003759B2" w:rsidRDefault="00E02EDB" w:rsidP="00EB2ABF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3759B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325B0FA9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6A74893A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281 005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13C1772D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281 005</w:t>
            </w:r>
          </w:p>
        </w:tc>
      </w:tr>
      <w:tr w:rsidR="00E02EDB" w:rsidRPr="003759B2" w14:paraId="68506699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auto"/>
            <w:vAlign w:val="center"/>
          </w:tcPr>
          <w:p w14:paraId="74930E85" w14:textId="6E336DD2" w:rsidR="00E02EDB" w:rsidRPr="003759B2" w:rsidRDefault="00E02EDB" w:rsidP="009A27AC">
            <w:pPr>
              <w:pStyle w:val="tabteksts"/>
              <w:jc w:val="both"/>
              <w:rPr>
                <w:szCs w:val="18"/>
                <w:u w:val="single"/>
                <w:lang w:eastAsia="lv-LV"/>
              </w:rPr>
            </w:pPr>
            <w:r w:rsidRPr="003759B2">
              <w:rPr>
                <w:rFonts w:eastAsia="Calibri"/>
                <w:i/>
              </w:rPr>
              <w:t xml:space="preserve">Izdevumu izmaiņas 2021. gada prioritārajam pasākumam </w:t>
            </w:r>
            <w:r w:rsidRPr="003759B2">
              <w:rPr>
                <w:i/>
                <w:szCs w:val="18"/>
                <w:lang w:eastAsia="lv-LV"/>
              </w:rPr>
              <w:t>“Augstākās tiesas informācijas tehnoloģiju infrastruktūras mobilitātes attīstīšana saskaņā ar MK</w:t>
            </w:r>
            <w:r w:rsidRPr="003759B2">
              <w:rPr>
                <w:rFonts w:eastAsia="Calibri"/>
                <w:i/>
              </w:rPr>
              <w:t xml:space="preserve"> 22</w:t>
            </w:r>
            <w:r w:rsidR="00050715">
              <w:rPr>
                <w:rFonts w:eastAsia="Calibri"/>
                <w:i/>
              </w:rPr>
              <w:t>.09.2020.</w:t>
            </w:r>
            <w:r w:rsidRPr="003759B2">
              <w:rPr>
                <w:rFonts w:eastAsia="Calibri"/>
                <w:i/>
              </w:rPr>
              <w:t xml:space="preserve"> sēdē (prot. Nr.55 38.§ 3.punkts</w:t>
            </w:r>
            <w:r w:rsidRPr="003759B2">
              <w:rPr>
                <w:i/>
                <w:szCs w:val="18"/>
                <w:lang w:eastAsia="lv-LV"/>
              </w:rPr>
              <w:t>)nolemto</w:t>
            </w:r>
          </w:p>
        </w:tc>
        <w:tc>
          <w:tcPr>
            <w:tcW w:w="704" w:type="pct"/>
            <w:shd w:val="clear" w:color="auto" w:fill="auto"/>
          </w:tcPr>
          <w:p w14:paraId="48A0FD67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14:paraId="63262E36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23 500</w:t>
            </w:r>
          </w:p>
        </w:tc>
        <w:tc>
          <w:tcPr>
            <w:tcW w:w="704" w:type="pct"/>
            <w:shd w:val="clear" w:color="auto" w:fill="auto"/>
          </w:tcPr>
          <w:p w14:paraId="4AC7A6A2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23 500</w:t>
            </w:r>
          </w:p>
        </w:tc>
      </w:tr>
      <w:tr w:rsidR="00E02EDB" w:rsidRPr="003759B2" w14:paraId="118C9ADE" w14:textId="77777777" w:rsidTr="009A27AC">
        <w:trPr>
          <w:trHeight w:val="142"/>
          <w:jc w:val="center"/>
        </w:trPr>
        <w:tc>
          <w:tcPr>
            <w:tcW w:w="2889" w:type="pct"/>
            <w:shd w:val="clear" w:color="auto" w:fill="auto"/>
            <w:vAlign w:val="center"/>
          </w:tcPr>
          <w:p w14:paraId="6F7CDBF0" w14:textId="77777777" w:rsidR="00E02EDB" w:rsidRPr="003759B2" w:rsidRDefault="00E02EDB" w:rsidP="00EB2ABF">
            <w:pPr>
              <w:pStyle w:val="tabteksts"/>
              <w:rPr>
                <w:rFonts w:eastAsia="Calibri"/>
                <w:i/>
              </w:rPr>
            </w:pPr>
            <w:proofErr w:type="spellStart"/>
            <w:r w:rsidRPr="003759B2">
              <w:rPr>
                <w:rFonts w:eastAsia="Calibri"/>
                <w:i/>
              </w:rPr>
              <w:t>Transferts</w:t>
            </w:r>
            <w:proofErr w:type="spellEnd"/>
            <w:r w:rsidRPr="003759B2">
              <w:rPr>
                <w:rFonts w:eastAsia="Calibri"/>
                <w:i/>
              </w:rPr>
              <w:t xml:space="preserve"> no Tieslietu ministrijas, lai nodrošinātu Augstākajai tiesai finansējumu atlīdzības izmaksai diviem tiesnešiem un diviem tiesnešu palīgiem, saskaņā ar </w:t>
            </w:r>
            <w:bookmarkStart w:id="1" w:name="_Hlk84062325"/>
            <w:r w:rsidRPr="003759B2">
              <w:rPr>
                <w:rFonts w:eastAsia="Calibri"/>
                <w:i/>
              </w:rPr>
              <w:t>Tieslietu padomes 27.11.2020 lēmumu Nr.69</w:t>
            </w:r>
            <w:bookmarkEnd w:id="1"/>
          </w:p>
        </w:tc>
        <w:tc>
          <w:tcPr>
            <w:tcW w:w="704" w:type="pct"/>
            <w:shd w:val="clear" w:color="auto" w:fill="auto"/>
          </w:tcPr>
          <w:p w14:paraId="240E76A8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14:paraId="59EAD73B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163 113</w:t>
            </w:r>
          </w:p>
        </w:tc>
        <w:tc>
          <w:tcPr>
            <w:tcW w:w="704" w:type="pct"/>
            <w:shd w:val="clear" w:color="auto" w:fill="auto"/>
          </w:tcPr>
          <w:p w14:paraId="214FE839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163 113</w:t>
            </w:r>
          </w:p>
        </w:tc>
      </w:tr>
      <w:tr w:rsidR="00E02EDB" w:rsidRPr="003759B2" w14:paraId="0030D4B3" w14:textId="77777777" w:rsidTr="009A27AC">
        <w:trPr>
          <w:trHeight w:val="142"/>
          <w:jc w:val="center"/>
        </w:trPr>
        <w:tc>
          <w:tcPr>
            <w:tcW w:w="2889" w:type="pct"/>
          </w:tcPr>
          <w:p w14:paraId="5A1DE70D" w14:textId="12F978D5" w:rsidR="00E02EDB" w:rsidRPr="003759B2" w:rsidRDefault="00E02EDB" w:rsidP="00EB2ABF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i/>
                <w:szCs w:val="18"/>
                <w:lang w:eastAsia="lv-LV"/>
              </w:rPr>
              <w:t>Palielināti izdevumi tiesnešu atalgojumam saskaņā ar likuma “Valsts un pašvaldību institūciju amatpersonu un darbinieku atlīdzības likums” 6.</w:t>
            </w:r>
            <w:r w:rsidRPr="003759B2">
              <w:rPr>
                <w:i/>
                <w:szCs w:val="18"/>
                <w:vertAlign w:val="superscript"/>
                <w:lang w:eastAsia="lv-LV"/>
              </w:rPr>
              <w:t>1</w:t>
            </w:r>
            <w:r w:rsidRPr="003759B2">
              <w:rPr>
                <w:i/>
                <w:szCs w:val="18"/>
                <w:lang w:eastAsia="lv-LV"/>
              </w:rPr>
              <w:t xml:space="preserve">  pantu un pamatojoties uz Valsts kancelejas publiskoto informāciju par vēlēto amatpersonu un Saeimas iecelto amatpersonu mēnešalgas apmēru 2022.</w:t>
            </w:r>
            <w:r w:rsidR="001B03B3">
              <w:rPr>
                <w:i/>
                <w:szCs w:val="18"/>
                <w:lang w:eastAsia="lv-LV"/>
              </w:rPr>
              <w:t xml:space="preserve"> </w:t>
            </w:r>
            <w:r w:rsidRPr="003759B2">
              <w:rPr>
                <w:i/>
                <w:szCs w:val="18"/>
                <w:lang w:eastAsia="lv-LV"/>
              </w:rPr>
              <w:t>gadā</w:t>
            </w:r>
          </w:p>
        </w:tc>
        <w:tc>
          <w:tcPr>
            <w:tcW w:w="704" w:type="pct"/>
          </w:tcPr>
          <w:p w14:paraId="4835C499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51C40A7B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90 617</w:t>
            </w:r>
          </w:p>
        </w:tc>
        <w:tc>
          <w:tcPr>
            <w:tcW w:w="704" w:type="pct"/>
          </w:tcPr>
          <w:p w14:paraId="68D2F5E9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90 617</w:t>
            </w:r>
          </w:p>
        </w:tc>
      </w:tr>
      <w:tr w:rsidR="00E02EDB" w:rsidRPr="003759B2" w14:paraId="2FB851D1" w14:textId="77777777" w:rsidTr="009A27AC">
        <w:trPr>
          <w:trHeight w:val="142"/>
          <w:jc w:val="center"/>
        </w:trPr>
        <w:tc>
          <w:tcPr>
            <w:tcW w:w="2889" w:type="pct"/>
          </w:tcPr>
          <w:p w14:paraId="6C5C7D77" w14:textId="079D4877" w:rsidR="00E02EDB" w:rsidRPr="003759B2" w:rsidRDefault="00E02EDB" w:rsidP="00EB2ABF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3759B2">
              <w:rPr>
                <w:i/>
                <w:szCs w:val="18"/>
                <w:lang w:eastAsia="lv-LV"/>
              </w:rPr>
              <w:t>Palielināti izdevumi tiesnešu atalgojumam saskaņā ar likuma “Valsts un pašvaldību institūciju amatpersonu un darbinieku atlīdzības likums” 6.</w:t>
            </w:r>
            <w:r w:rsidRPr="003759B2">
              <w:rPr>
                <w:i/>
                <w:szCs w:val="18"/>
                <w:vertAlign w:val="superscript"/>
                <w:lang w:eastAsia="lv-LV"/>
              </w:rPr>
              <w:t>1</w:t>
            </w:r>
            <w:r w:rsidRPr="003759B2">
              <w:rPr>
                <w:i/>
                <w:szCs w:val="18"/>
                <w:lang w:eastAsia="lv-LV"/>
              </w:rPr>
              <w:t xml:space="preserve">  pantu un pamatojoties uz Valsts kancelejas publiskoto informāciju par vēlēto amatpersonu un Saeimas iecelto amatpersonu mēnešalgas apmēru 2022.</w:t>
            </w:r>
            <w:r w:rsidR="001B03B3">
              <w:rPr>
                <w:i/>
                <w:szCs w:val="18"/>
                <w:lang w:eastAsia="lv-LV"/>
              </w:rPr>
              <w:t xml:space="preserve"> </w:t>
            </w:r>
            <w:r w:rsidRPr="003759B2">
              <w:rPr>
                <w:i/>
                <w:szCs w:val="18"/>
                <w:lang w:eastAsia="lv-LV"/>
              </w:rPr>
              <w:t>gadā, saskaņā ar Tieslietu padomes 27.11.2020 lēmumu Nr.69</w:t>
            </w:r>
          </w:p>
        </w:tc>
        <w:tc>
          <w:tcPr>
            <w:tcW w:w="704" w:type="pct"/>
          </w:tcPr>
          <w:p w14:paraId="33461F0A" w14:textId="77777777" w:rsidR="00E02EDB" w:rsidRPr="003759B2" w:rsidRDefault="00E02EDB" w:rsidP="00EB2ABF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24219E92" w14:textId="77777777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3 775</w:t>
            </w:r>
          </w:p>
        </w:tc>
        <w:tc>
          <w:tcPr>
            <w:tcW w:w="704" w:type="pct"/>
          </w:tcPr>
          <w:p w14:paraId="38CD1C02" w14:textId="43B1ED1E" w:rsidR="00E02EDB" w:rsidRPr="003759B2" w:rsidRDefault="00E02EDB" w:rsidP="00EB2ABF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3 775</w:t>
            </w:r>
          </w:p>
        </w:tc>
      </w:tr>
    </w:tbl>
    <w:p w14:paraId="07613378" w14:textId="77777777" w:rsidR="00E02EDB" w:rsidRPr="003759B2" w:rsidRDefault="00E02EDB" w:rsidP="009A27AC">
      <w:pPr>
        <w:pStyle w:val="cipari"/>
        <w:rPr>
          <w:lang w:eastAsia="lv-LV"/>
        </w:rPr>
      </w:pPr>
    </w:p>
    <w:sectPr w:rsidR="00E02EDB" w:rsidRPr="003759B2" w:rsidSect="009A27AC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7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32B47" w14:textId="77777777" w:rsidR="007968AC" w:rsidRDefault="007968AC" w:rsidP="005F0727">
      <w:r>
        <w:separator/>
      </w:r>
    </w:p>
  </w:endnote>
  <w:endnote w:type="continuationSeparator" w:id="0">
    <w:p w14:paraId="547127C3" w14:textId="77777777" w:rsidR="007968AC" w:rsidRDefault="007968AC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36A8" w14:textId="4DE9B685" w:rsidR="00A1743F" w:rsidRPr="00362B93" w:rsidRDefault="002E627E" w:rsidP="00362B93">
    <w:pPr>
      <w:pStyle w:val="Footer"/>
      <w:ind w:firstLine="0"/>
    </w:pPr>
    <w:r>
      <w:rPr>
        <w:sz w:val="20"/>
      </w:rPr>
      <w:fldChar w:fldCharType="begin"/>
    </w:r>
    <w:r>
      <w:rPr>
        <w:sz w:val="20"/>
      </w:rPr>
      <w:instrText xml:space="preserve"> FILENAME \* MERGEFORMAT </w:instrText>
    </w:r>
    <w:r>
      <w:rPr>
        <w:sz w:val="20"/>
      </w:rPr>
      <w:fldChar w:fldCharType="separate"/>
    </w:r>
    <w:r w:rsidR="003D0B45">
      <w:rPr>
        <w:noProof/>
        <w:sz w:val="20"/>
      </w:rPr>
      <w:t>FMPask_5.3_28_AT_111021_proj2022.docx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B4C5A" w14:textId="77777777" w:rsidR="007968AC" w:rsidRDefault="007968AC" w:rsidP="00E81CF6">
      <w:pPr>
        <w:spacing w:after="0"/>
        <w:ind w:firstLine="0"/>
      </w:pPr>
      <w:r>
        <w:separator/>
      </w:r>
    </w:p>
  </w:footnote>
  <w:footnote w:type="continuationSeparator" w:id="0">
    <w:p w14:paraId="27A5BDCF" w14:textId="77777777" w:rsidR="007968AC" w:rsidRDefault="007968AC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64597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56BE0D" w14:textId="77777777" w:rsidR="00A1743F" w:rsidRPr="005D6DBC" w:rsidRDefault="00BE3C0F" w:rsidP="003D15E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5F2">
          <w:rPr>
            <w:noProof/>
          </w:rPr>
          <w:t>791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/>
        <w:sz w:val="18"/>
      </w:rPr>
    </w:lvl>
  </w:abstractNum>
  <w:abstractNum w:abstractNumId="1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13B16"/>
    <w:multiLevelType w:val="hybridMultilevel"/>
    <w:tmpl w:val="825EB1C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C326F8"/>
    <w:multiLevelType w:val="hybridMultilevel"/>
    <w:tmpl w:val="5E6A6B82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901B85"/>
    <w:multiLevelType w:val="hybridMultilevel"/>
    <w:tmpl w:val="60029FE2"/>
    <w:lvl w:ilvl="0" w:tplc="4C90A77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C76D38"/>
    <w:multiLevelType w:val="hybridMultilevel"/>
    <w:tmpl w:val="40E4BE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5D01266">
      <w:start w:val="22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A33E0"/>
    <w:multiLevelType w:val="hybridMultilevel"/>
    <w:tmpl w:val="7220B5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D2CE6"/>
    <w:multiLevelType w:val="hybridMultilevel"/>
    <w:tmpl w:val="D2269826"/>
    <w:lvl w:ilvl="0" w:tplc="0694B58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57" w:hanging="360"/>
      </w:pPr>
    </w:lvl>
    <w:lvl w:ilvl="2" w:tplc="0426001B" w:tentative="1">
      <w:start w:val="1"/>
      <w:numFmt w:val="lowerRoman"/>
      <w:lvlText w:val="%3."/>
      <w:lvlJc w:val="right"/>
      <w:pPr>
        <w:ind w:left="2877" w:hanging="180"/>
      </w:pPr>
    </w:lvl>
    <w:lvl w:ilvl="3" w:tplc="0426000F" w:tentative="1">
      <w:start w:val="1"/>
      <w:numFmt w:val="decimal"/>
      <w:lvlText w:val="%4."/>
      <w:lvlJc w:val="left"/>
      <w:pPr>
        <w:ind w:left="3597" w:hanging="360"/>
      </w:pPr>
    </w:lvl>
    <w:lvl w:ilvl="4" w:tplc="04260019" w:tentative="1">
      <w:start w:val="1"/>
      <w:numFmt w:val="lowerLetter"/>
      <w:lvlText w:val="%5."/>
      <w:lvlJc w:val="left"/>
      <w:pPr>
        <w:ind w:left="4317" w:hanging="360"/>
      </w:pPr>
    </w:lvl>
    <w:lvl w:ilvl="5" w:tplc="0426001B" w:tentative="1">
      <w:start w:val="1"/>
      <w:numFmt w:val="lowerRoman"/>
      <w:lvlText w:val="%6."/>
      <w:lvlJc w:val="right"/>
      <w:pPr>
        <w:ind w:left="5037" w:hanging="180"/>
      </w:pPr>
    </w:lvl>
    <w:lvl w:ilvl="6" w:tplc="0426000F" w:tentative="1">
      <w:start w:val="1"/>
      <w:numFmt w:val="decimal"/>
      <w:lvlText w:val="%7."/>
      <w:lvlJc w:val="left"/>
      <w:pPr>
        <w:ind w:left="5757" w:hanging="360"/>
      </w:pPr>
    </w:lvl>
    <w:lvl w:ilvl="7" w:tplc="04260019" w:tentative="1">
      <w:start w:val="1"/>
      <w:numFmt w:val="lowerLetter"/>
      <w:lvlText w:val="%8."/>
      <w:lvlJc w:val="left"/>
      <w:pPr>
        <w:ind w:left="6477" w:hanging="360"/>
      </w:pPr>
    </w:lvl>
    <w:lvl w:ilvl="8" w:tplc="0426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1DD81180"/>
    <w:multiLevelType w:val="hybridMultilevel"/>
    <w:tmpl w:val="757A2A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B758D1"/>
    <w:multiLevelType w:val="hybridMultilevel"/>
    <w:tmpl w:val="E1D896C6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172518"/>
    <w:multiLevelType w:val="multilevel"/>
    <w:tmpl w:val="E402D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0A2315"/>
    <w:multiLevelType w:val="hybridMultilevel"/>
    <w:tmpl w:val="F06C0876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782"/>
    <w:multiLevelType w:val="hybridMultilevel"/>
    <w:tmpl w:val="6C5EAF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F45E07"/>
    <w:multiLevelType w:val="hybridMultilevel"/>
    <w:tmpl w:val="1FA6998E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432086"/>
    <w:multiLevelType w:val="hybridMultilevel"/>
    <w:tmpl w:val="F03CB6DC"/>
    <w:lvl w:ilvl="0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4FC03F42"/>
    <w:multiLevelType w:val="hybridMultilevel"/>
    <w:tmpl w:val="F7F0519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42636"/>
    <w:multiLevelType w:val="hybridMultilevel"/>
    <w:tmpl w:val="4A9A5EAA"/>
    <w:lvl w:ilvl="0" w:tplc="E6F27C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571D91"/>
    <w:multiLevelType w:val="hybridMultilevel"/>
    <w:tmpl w:val="96465E9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F381B"/>
    <w:multiLevelType w:val="hybridMultilevel"/>
    <w:tmpl w:val="A7141894"/>
    <w:lvl w:ilvl="0" w:tplc="0426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8" w15:restartNumberingAfterBreak="0">
    <w:nsid w:val="5A801E16"/>
    <w:multiLevelType w:val="hybridMultilevel"/>
    <w:tmpl w:val="2B9670A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27C2E"/>
    <w:multiLevelType w:val="hybridMultilevel"/>
    <w:tmpl w:val="1750A39C"/>
    <w:lvl w:ilvl="0" w:tplc="2D4C04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CE4"/>
    <w:multiLevelType w:val="hybridMultilevel"/>
    <w:tmpl w:val="8A60EE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E50BAC"/>
    <w:multiLevelType w:val="hybridMultilevel"/>
    <w:tmpl w:val="D4DCB700"/>
    <w:lvl w:ilvl="0" w:tplc="2F80A36A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688873A4"/>
    <w:multiLevelType w:val="hybridMultilevel"/>
    <w:tmpl w:val="B6EAAE84"/>
    <w:lvl w:ilvl="0" w:tplc="A98C0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97921BB"/>
    <w:multiLevelType w:val="hybridMultilevel"/>
    <w:tmpl w:val="781EB76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710FA5"/>
    <w:multiLevelType w:val="hybridMultilevel"/>
    <w:tmpl w:val="5AEC80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A4FF6"/>
    <w:multiLevelType w:val="multilevel"/>
    <w:tmpl w:val="B420DFEC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1609" w:hanging="54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  <w:i/>
      </w:rPr>
    </w:lvl>
  </w:abstractNum>
  <w:abstractNum w:abstractNumId="38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AF5A76"/>
    <w:multiLevelType w:val="hybridMultilevel"/>
    <w:tmpl w:val="31C0164E"/>
    <w:lvl w:ilvl="0" w:tplc="BC6CFA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006C9"/>
    <w:multiLevelType w:val="hybridMultilevel"/>
    <w:tmpl w:val="61F8038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C1D6A"/>
    <w:multiLevelType w:val="hybridMultilevel"/>
    <w:tmpl w:val="BC7A360A"/>
    <w:lvl w:ilvl="0" w:tplc="0D1EA664">
      <w:start w:val="23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5"/>
  </w:num>
  <w:num w:numId="3">
    <w:abstractNumId w:val="31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9"/>
  </w:num>
  <w:num w:numId="12">
    <w:abstractNumId w:val="21"/>
  </w:num>
  <w:num w:numId="13">
    <w:abstractNumId w:val="18"/>
  </w:num>
  <w:num w:numId="14">
    <w:abstractNumId w:val="24"/>
  </w:num>
  <w:num w:numId="15">
    <w:abstractNumId w:val="26"/>
  </w:num>
  <w:num w:numId="16">
    <w:abstractNumId w:val="8"/>
  </w:num>
  <w:num w:numId="17">
    <w:abstractNumId w:val="12"/>
  </w:num>
  <w:num w:numId="18">
    <w:abstractNumId w:val="10"/>
  </w:num>
  <w:num w:numId="19">
    <w:abstractNumId w:val="38"/>
  </w:num>
  <w:num w:numId="20">
    <w:abstractNumId w:val="23"/>
  </w:num>
  <w:num w:numId="21">
    <w:abstractNumId w:val="32"/>
  </w:num>
  <w:num w:numId="22">
    <w:abstractNumId w:val="42"/>
  </w:num>
  <w:num w:numId="23">
    <w:abstractNumId w:val="17"/>
  </w:num>
  <w:num w:numId="24">
    <w:abstractNumId w:val="15"/>
  </w:num>
  <w:num w:numId="25">
    <w:abstractNumId w:val="1"/>
  </w:num>
  <w:num w:numId="26">
    <w:abstractNumId w:val="20"/>
  </w:num>
  <w:num w:numId="27">
    <w:abstractNumId w:val="5"/>
  </w:num>
  <w:num w:numId="28">
    <w:abstractNumId w:val="25"/>
  </w:num>
  <w:num w:numId="29">
    <w:abstractNumId w:val="28"/>
  </w:num>
  <w:num w:numId="30">
    <w:abstractNumId w:val="41"/>
  </w:num>
  <w:num w:numId="31">
    <w:abstractNumId w:val="39"/>
  </w:num>
  <w:num w:numId="32">
    <w:abstractNumId w:val="7"/>
  </w:num>
  <w:num w:numId="33">
    <w:abstractNumId w:val="33"/>
  </w:num>
  <w:num w:numId="34">
    <w:abstractNumId w:val="30"/>
  </w:num>
  <w:num w:numId="35">
    <w:abstractNumId w:val="13"/>
  </w:num>
  <w:num w:numId="36">
    <w:abstractNumId w:val="37"/>
  </w:num>
  <w:num w:numId="37">
    <w:abstractNumId w:val="40"/>
  </w:num>
  <w:num w:numId="38">
    <w:abstractNumId w:val="36"/>
  </w:num>
  <w:num w:numId="39">
    <w:abstractNumId w:val="14"/>
  </w:num>
  <w:num w:numId="40">
    <w:abstractNumId w:val="34"/>
  </w:num>
  <w:num w:numId="41">
    <w:abstractNumId w:val="11"/>
  </w:num>
  <w:num w:numId="42">
    <w:abstractNumId w:val="3"/>
  </w:num>
  <w:num w:numId="4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CA5"/>
    <w:rsid w:val="00004B0C"/>
    <w:rsid w:val="00016579"/>
    <w:rsid w:val="000179B1"/>
    <w:rsid w:val="00020C94"/>
    <w:rsid w:val="00021129"/>
    <w:rsid w:val="000248FE"/>
    <w:rsid w:val="0003111D"/>
    <w:rsid w:val="0003347D"/>
    <w:rsid w:val="00045E85"/>
    <w:rsid w:val="00050715"/>
    <w:rsid w:val="00050C4D"/>
    <w:rsid w:val="000519FE"/>
    <w:rsid w:val="0005458C"/>
    <w:rsid w:val="00060C5E"/>
    <w:rsid w:val="00062720"/>
    <w:rsid w:val="000630FF"/>
    <w:rsid w:val="0006314E"/>
    <w:rsid w:val="00065754"/>
    <w:rsid w:val="00066E95"/>
    <w:rsid w:val="000836AC"/>
    <w:rsid w:val="00084367"/>
    <w:rsid w:val="00084F53"/>
    <w:rsid w:val="00087071"/>
    <w:rsid w:val="00091F10"/>
    <w:rsid w:val="00094CCE"/>
    <w:rsid w:val="0009661F"/>
    <w:rsid w:val="00097B57"/>
    <w:rsid w:val="000A4D7E"/>
    <w:rsid w:val="000A717A"/>
    <w:rsid w:val="000B0B24"/>
    <w:rsid w:val="000B0DBF"/>
    <w:rsid w:val="000B2546"/>
    <w:rsid w:val="000C1C19"/>
    <w:rsid w:val="000C4770"/>
    <w:rsid w:val="000D0A9D"/>
    <w:rsid w:val="000D1701"/>
    <w:rsid w:val="000D4522"/>
    <w:rsid w:val="000D662C"/>
    <w:rsid w:val="000D740C"/>
    <w:rsid w:val="000E16AF"/>
    <w:rsid w:val="000E3508"/>
    <w:rsid w:val="000E368B"/>
    <w:rsid w:val="000E48B5"/>
    <w:rsid w:val="000F149B"/>
    <w:rsid w:val="000F153F"/>
    <w:rsid w:val="000F43BA"/>
    <w:rsid w:val="00100AE6"/>
    <w:rsid w:val="001025FD"/>
    <w:rsid w:val="001028C5"/>
    <w:rsid w:val="00102A30"/>
    <w:rsid w:val="00111091"/>
    <w:rsid w:val="00114FAE"/>
    <w:rsid w:val="00116DE4"/>
    <w:rsid w:val="00123554"/>
    <w:rsid w:val="00123D97"/>
    <w:rsid w:val="001240A1"/>
    <w:rsid w:val="001254B0"/>
    <w:rsid w:val="001313C5"/>
    <w:rsid w:val="0013447C"/>
    <w:rsid w:val="00140E25"/>
    <w:rsid w:val="00143D07"/>
    <w:rsid w:val="00144D47"/>
    <w:rsid w:val="00146936"/>
    <w:rsid w:val="00147519"/>
    <w:rsid w:val="00150EE3"/>
    <w:rsid w:val="00151120"/>
    <w:rsid w:val="00154DB7"/>
    <w:rsid w:val="00157334"/>
    <w:rsid w:val="001626D8"/>
    <w:rsid w:val="00162B1F"/>
    <w:rsid w:val="001649C4"/>
    <w:rsid w:val="00166708"/>
    <w:rsid w:val="00171AAD"/>
    <w:rsid w:val="00171CD5"/>
    <w:rsid w:val="00172DFD"/>
    <w:rsid w:val="00174A7F"/>
    <w:rsid w:val="001752C6"/>
    <w:rsid w:val="00182286"/>
    <w:rsid w:val="0018785D"/>
    <w:rsid w:val="001A1908"/>
    <w:rsid w:val="001B03B3"/>
    <w:rsid w:val="001B2015"/>
    <w:rsid w:val="001B3EFF"/>
    <w:rsid w:val="001B5CE0"/>
    <w:rsid w:val="001B649F"/>
    <w:rsid w:val="001C5268"/>
    <w:rsid w:val="001C6B44"/>
    <w:rsid w:val="001C72E4"/>
    <w:rsid w:val="001D31B9"/>
    <w:rsid w:val="001D6024"/>
    <w:rsid w:val="001D71DE"/>
    <w:rsid w:val="001E0C10"/>
    <w:rsid w:val="001E1430"/>
    <w:rsid w:val="001E1E39"/>
    <w:rsid w:val="001E3A85"/>
    <w:rsid w:val="001E53E0"/>
    <w:rsid w:val="001E563A"/>
    <w:rsid w:val="001F0718"/>
    <w:rsid w:val="001F0748"/>
    <w:rsid w:val="001F2754"/>
    <w:rsid w:val="001F3926"/>
    <w:rsid w:val="001F6239"/>
    <w:rsid w:val="001F6912"/>
    <w:rsid w:val="001F7937"/>
    <w:rsid w:val="00200271"/>
    <w:rsid w:val="00200776"/>
    <w:rsid w:val="00203849"/>
    <w:rsid w:val="00204038"/>
    <w:rsid w:val="00205FA6"/>
    <w:rsid w:val="00212205"/>
    <w:rsid w:val="00213B1D"/>
    <w:rsid w:val="00221C33"/>
    <w:rsid w:val="00223C8F"/>
    <w:rsid w:val="00225A65"/>
    <w:rsid w:val="00225DFA"/>
    <w:rsid w:val="0022630C"/>
    <w:rsid w:val="0022713E"/>
    <w:rsid w:val="002305E0"/>
    <w:rsid w:val="00233B9C"/>
    <w:rsid w:val="0023597F"/>
    <w:rsid w:val="00236C1B"/>
    <w:rsid w:val="00240D57"/>
    <w:rsid w:val="00244520"/>
    <w:rsid w:val="00245C56"/>
    <w:rsid w:val="002514A4"/>
    <w:rsid w:val="00261952"/>
    <w:rsid w:val="002655F2"/>
    <w:rsid w:val="0026795B"/>
    <w:rsid w:val="00271E4F"/>
    <w:rsid w:val="0027336C"/>
    <w:rsid w:val="00273BA1"/>
    <w:rsid w:val="00273C5E"/>
    <w:rsid w:val="0027478E"/>
    <w:rsid w:val="0027622E"/>
    <w:rsid w:val="002814E2"/>
    <w:rsid w:val="00285F09"/>
    <w:rsid w:val="002871AE"/>
    <w:rsid w:val="00287DC8"/>
    <w:rsid w:val="00293DCF"/>
    <w:rsid w:val="002962A5"/>
    <w:rsid w:val="00296EA8"/>
    <w:rsid w:val="00297897"/>
    <w:rsid w:val="002978EC"/>
    <w:rsid w:val="002A40E1"/>
    <w:rsid w:val="002B1A01"/>
    <w:rsid w:val="002B1F2D"/>
    <w:rsid w:val="002B687D"/>
    <w:rsid w:val="002B6B7C"/>
    <w:rsid w:val="002C0CBC"/>
    <w:rsid w:val="002C317A"/>
    <w:rsid w:val="002C3A8F"/>
    <w:rsid w:val="002C4BF3"/>
    <w:rsid w:val="002C5661"/>
    <w:rsid w:val="002C7779"/>
    <w:rsid w:val="002D0386"/>
    <w:rsid w:val="002D228C"/>
    <w:rsid w:val="002D2A80"/>
    <w:rsid w:val="002D372C"/>
    <w:rsid w:val="002D47C0"/>
    <w:rsid w:val="002E1D57"/>
    <w:rsid w:val="002E2C75"/>
    <w:rsid w:val="002E52A3"/>
    <w:rsid w:val="002E627E"/>
    <w:rsid w:val="002E7B93"/>
    <w:rsid w:val="002F2445"/>
    <w:rsid w:val="00303E4F"/>
    <w:rsid w:val="0030724F"/>
    <w:rsid w:val="003116EB"/>
    <w:rsid w:val="003169BC"/>
    <w:rsid w:val="00323F66"/>
    <w:rsid w:val="00325C6E"/>
    <w:rsid w:val="00330D60"/>
    <w:rsid w:val="00335FD8"/>
    <w:rsid w:val="00340733"/>
    <w:rsid w:val="00340D63"/>
    <w:rsid w:val="00342ACF"/>
    <w:rsid w:val="00345585"/>
    <w:rsid w:val="00345F91"/>
    <w:rsid w:val="00346942"/>
    <w:rsid w:val="00347B97"/>
    <w:rsid w:val="00347F97"/>
    <w:rsid w:val="00350039"/>
    <w:rsid w:val="0035113F"/>
    <w:rsid w:val="0035416F"/>
    <w:rsid w:val="00354391"/>
    <w:rsid w:val="00355AA2"/>
    <w:rsid w:val="0036049D"/>
    <w:rsid w:val="0036068A"/>
    <w:rsid w:val="0036111C"/>
    <w:rsid w:val="00362B93"/>
    <w:rsid w:val="0037357B"/>
    <w:rsid w:val="003759B2"/>
    <w:rsid w:val="00381010"/>
    <w:rsid w:val="00382B35"/>
    <w:rsid w:val="003843F9"/>
    <w:rsid w:val="0038664B"/>
    <w:rsid w:val="00390C3A"/>
    <w:rsid w:val="0039191E"/>
    <w:rsid w:val="00392D94"/>
    <w:rsid w:val="00396D42"/>
    <w:rsid w:val="003A038A"/>
    <w:rsid w:val="003A0A84"/>
    <w:rsid w:val="003A1370"/>
    <w:rsid w:val="003A3845"/>
    <w:rsid w:val="003C1645"/>
    <w:rsid w:val="003C411E"/>
    <w:rsid w:val="003D0398"/>
    <w:rsid w:val="003D0B45"/>
    <w:rsid w:val="003D15EC"/>
    <w:rsid w:val="003D2CDA"/>
    <w:rsid w:val="003D7C9E"/>
    <w:rsid w:val="003E4749"/>
    <w:rsid w:val="003E4D13"/>
    <w:rsid w:val="003F2DBD"/>
    <w:rsid w:val="003F7FBD"/>
    <w:rsid w:val="00402949"/>
    <w:rsid w:val="00403819"/>
    <w:rsid w:val="00414ABE"/>
    <w:rsid w:val="004264F7"/>
    <w:rsid w:val="004273C5"/>
    <w:rsid w:val="00432067"/>
    <w:rsid w:val="0043758B"/>
    <w:rsid w:val="0044065A"/>
    <w:rsid w:val="00442402"/>
    <w:rsid w:val="004466BD"/>
    <w:rsid w:val="0045136C"/>
    <w:rsid w:val="0045304B"/>
    <w:rsid w:val="004547AB"/>
    <w:rsid w:val="00454C24"/>
    <w:rsid w:val="004559DA"/>
    <w:rsid w:val="004734E0"/>
    <w:rsid w:val="00473BE8"/>
    <w:rsid w:val="00476074"/>
    <w:rsid w:val="00481DB5"/>
    <w:rsid w:val="0048432F"/>
    <w:rsid w:val="00487F1F"/>
    <w:rsid w:val="00490482"/>
    <w:rsid w:val="00491E70"/>
    <w:rsid w:val="00494399"/>
    <w:rsid w:val="004A208A"/>
    <w:rsid w:val="004A30B6"/>
    <w:rsid w:val="004A30F9"/>
    <w:rsid w:val="004A33B9"/>
    <w:rsid w:val="004A3C47"/>
    <w:rsid w:val="004B1F91"/>
    <w:rsid w:val="004B6390"/>
    <w:rsid w:val="004B6520"/>
    <w:rsid w:val="004C1B05"/>
    <w:rsid w:val="004C1D48"/>
    <w:rsid w:val="004C2A3A"/>
    <w:rsid w:val="004C3ACB"/>
    <w:rsid w:val="004C4CF9"/>
    <w:rsid w:val="004C5E3E"/>
    <w:rsid w:val="004C701A"/>
    <w:rsid w:val="004C7C01"/>
    <w:rsid w:val="004D47E4"/>
    <w:rsid w:val="004D66C3"/>
    <w:rsid w:val="004E38DE"/>
    <w:rsid w:val="004E7071"/>
    <w:rsid w:val="004F2B94"/>
    <w:rsid w:val="004F50D5"/>
    <w:rsid w:val="00512E31"/>
    <w:rsid w:val="00514E8D"/>
    <w:rsid w:val="0051536D"/>
    <w:rsid w:val="0052038D"/>
    <w:rsid w:val="00526CB7"/>
    <w:rsid w:val="00530B04"/>
    <w:rsid w:val="00531339"/>
    <w:rsid w:val="00532166"/>
    <w:rsid w:val="0053462E"/>
    <w:rsid w:val="00535248"/>
    <w:rsid w:val="00537584"/>
    <w:rsid w:val="005412EA"/>
    <w:rsid w:val="00543E86"/>
    <w:rsid w:val="0054478B"/>
    <w:rsid w:val="00545AAB"/>
    <w:rsid w:val="005539B6"/>
    <w:rsid w:val="00553ED9"/>
    <w:rsid w:val="00554044"/>
    <w:rsid w:val="005551C7"/>
    <w:rsid w:val="00565444"/>
    <w:rsid w:val="005834E0"/>
    <w:rsid w:val="00585304"/>
    <w:rsid w:val="0058607D"/>
    <w:rsid w:val="00586637"/>
    <w:rsid w:val="00592354"/>
    <w:rsid w:val="005932A8"/>
    <w:rsid w:val="005938E7"/>
    <w:rsid w:val="0059543B"/>
    <w:rsid w:val="0059659D"/>
    <w:rsid w:val="005974BB"/>
    <w:rsid w:val="005A2F48"/>
    <w:rsid w:val="005A3481"/>
    <w:rsid w:val="005A3BB0"/>
    <w:rsid w:val="005A3DCC"/>
    <w:rsid w:val="005B0BB3"/>
    <w:rsid w:val="005B3114"/>
    <w:rsid w:val="005B37B8"/>
    <w:rsid w:val="005B6BD0"/>
    <w:rsid w:val="005C314B"/>
    <w:rsid w:val="005C3757"/>
    <w:rsid w:val="005C51A8"/>
    <w:rsid w:val="005D0353"/>
    <w:rsid w:val="005D4524"/>
    <w:rsid w:val="005D4657"/>
    <w:rsid w:val="005D6596"/>
    <w:rsid w:val="005D6DBC"/>
    <w:rsid w:val="005E441E"/>
    <w:rsid w:val="005E6D4D"/>
    <w:rsid w:val="005E7CB8"/>
    <w:rsid w:val="005E7FDF"/>
    <w:rsid w:val="005F010F"/>
    <w:rsid w:val="005F057C"/>
    <w:rsid w:val="005F0727"/>
    <w:rsid w:val="005F1D1D"/>
    <w:rsid w:val="005F2745"/>
    <w:rsid w:val="005F2939"/>
    <w:rsid w:val="005F3F22"/>
    <w:rsid w:val="005F4859"/>
    <w:rsid w:val="00600830"/>
    <w:rsid w:val="00603D64"/>
    <w:rsid w:val="00603DA6"/>
    <w:rsid w:val="00604440"/>
    <w:rsid w:val="0060710A"/>
    <w:rsid w:val="006111AC"/>
    <w:rsid w:val="00613FDD"/>
    <w:rsid w:val="00614C64"/>
    <w:rsid w:val="006210FB"/>
    <w:rsid w:val="006249CB"/>
    <w:rsid w:val="00625580"/>
    <w:rsid w:val="00626CA0"/>
    <w:rsid w:val="00630ED9"/>
    <w:rsid w:val="00631158"/>
    <w:rsid w:val="00631DD7"/>
    <w:rsid w:val="0063288D"/>
    <w:rsid w:val="00633965"/>
    <w:rsid w:val="00633E88"/>
    <w:rsid w:val="00635CE2"/>
    <w:rsid w:val="0063670B"/>
    <w:rsid w:val="00641E5C"/>
    <w:rsid w:val="0065077E"/>
    <w:rsid w:val="006532DF"/>
    <w:rsid w:val="00653374"/>
    <w:rsid w:val="0065454F"/>
    <w:rsid w:val="0065691C"/>
    <w:rsid w:val="00660B96"/>
    <w:rsid w:val="00662A66"/>
    <w:rsid w:val="006636CE"/>
    <w:rsid w:val="00664B2E"/>
    <w:rsid w:val="00665736"/>
    <w:rsid w:val="006678A5"/>
    <w:rsid w:val="006816B8"/>
    <w:rsid w:val="00683B9E"/>
    <w:rsid w:val="00684876"/>
    <w:rsid w:val="006859FF"/>
    <w:rsid w:val="006A23E8"/>
    <w:rsid w:val="006A2DC8"/>
    <w:rsid w:val="006A5045"/>
    <w:rsid w:val="006A6FCD"/>
    <w:rsid w:val="006A7C51"/>
    <w:rsid w:val="006B048A"/>
    <w:rsid w:val="006B0636"/>
    <w:rsid w:val="006C198B"/>
    <w:rsid w:val="006C3E1F"/>
    <w:rsid w:val="006C4B51"/>
    <w:rsid w:val="006C666C"/>
    <w:rsid w:val="006C77DA"/>
    <w:rsid w:val="006D431C"/>
    <w:rsid w:val="006D7938"/>
    <w:rsid w:val="006E2F7A"/>
    <w:rsid w:val="006E752B"/>
    <w:rsid w:val="006F1D2F"/>
    <w:rsid w:val="006F3042"/>
    <w:rsid w:val="006F5439"/>
    <w:rsid w:val="006F64BA"/>
    <w:rsid w:val="00701156"/>
    <w:rsid w:val="0070317D"/>
    <w:rsid w:val="00707003"/>
    <w:rsid w:val="00710E0B"/>
    <w:rsid w:val="00711ED8"/>
    <w:rsid w:val="00715289"/>
    <w:rsid w:val="00715A85"/>
    <w:rsid w:val="0071612A"/>
    <w:rsid w:val="00717D1E"/>
    <w:rsid w:val="00717E0D"/>
    <w:rsid w:val="007201E7"/>
    <w:rsid w:val="007233F8"/>
    <w:rsid w:val="007234D4"/>
    <w:rsid w:val="007305AC"/>
    <w:rsid w:val="0073611B"/>
    <w:rsid w:val="00737B70"/>
    <w:rsid w:val="00740AC1"/>
    <w:rsid w:val="00743F92"/>
    <w:rsid w:val="007440D2"/>
    <w:rsid w:val="00746A55"/>
    <w:rsid w:val="00752664"/>
    <w:rsid w:val="007535F0"/>
    <w:rsid w:val="00756284"/>
    <w:rsid w:val="007577EE"/>
    <w:rsid w:val="007602EA"/>
    <w:rsid w:val="00760731"/>
    <w:rsid w:val="007641D0"/>
    <w:rsid w:val="00764A57"/>
    <w:rsid w:val="00765543"/>
    <w:rsid w:val="00766388"/>
    <w:rsid w:val="007667AD"/>
    <w:rsid w:val="00772E56"/>
    <w:rsid w:val="00774BA8"/>
    <w:rsid w:val="00775672"/>
    <w:rsid w:val="007776BE"/>
    <w:rsid w:val="007834E7"/>
    <w:rsid w:val="00783B8B"/>
    <w:rsid w:val="00786BC9"/>
    <w:rsid w:val="0079290D"/>
    <w:rsid w:val="007968AC"/>
    <w:rsid w:val="007A0306"/>
    <w:rsid w:val="007A1376"/>
    <w:rsid w:val="007A6CBC"/>
    <w:rsid w:val="007B3F1B"/>
    <w:rsid w:val="007B42FF"/>
    <w:rsid w:val="007B4E3B"/>
    <w:rsid w:val="007C18AF"/>
    <w:rsid w:val="007C24DB"/>
    <w:rsid w:val="007C2E67"/>
    <w:rsid w:val="007C3979"/>
    <w:rsid w:val="007C5628"/>
    <w:rsid w:val="007C76BE"/>
    <w:rsid w:val="007D022A"/>
    <w:rsid w:val="007D46EE"/>
    <w:rsid w:val="007D6E0D"/>
    <w:rsid w:val="007D7CE1"/>
    <w:rsid w:val="007E40E6"/>
    <w:rsid w:val="007E5282"/>
    <w:rsid w:val="007F1746"/>
    <w:rsid w:val="007F24A7"/>
    <w:rsid w:val="008039DE"/>
    <w:rsid w:val="008062AC"/>
    <w:rsid w:val="00807168"/>
    <w:rsid w:val="008105C5"/>
    <w:rsid w:val="00811DA7"/>
    <w:rsid w:val="008121DA"/>
    <w:rsid w:val="00814C64"/>
    <w:rsid w:val="00816C37"/>
    <w:rsid w:val="0082079B"/>
    <w:rsid w:val="00821962"/>
    <w:rsid w:val="00823467"/>
    <w:rsid w:val="00823586"/>
    <w:rsid w:val="008237DA"/>
    <w:rsid w:val="00826F95"/>
    <w:rsid w:val="008313F5"/>
    <w:rsid w:val="00831A56"/>
    <w:rsid w:val="0083319C"/>
    <w:rsid w:val="008349E1"/>
    <w:rsid w:val="008426E6"/>
    <w:rsid w:val="00844DC8"/>
    <w:rsid w:val="00854A63"/>
    <w:rsid w:val="00854A79"/>
    <w:rsid w:val="0085772C"/>
    <w:rsid w:val="00860F34"/>
    <w:rsid w:val="0086293F"/>
    <w:rsid w:val="008631BE"/>
    <w:rsid w:val="00864529"/>
    <w:rsid w:val="00865BD8"/>
    <w:rsid w:val="008670DB"/>
    <w:rsid w:val="008734D3"/>
    <w:rsid w:val="00876C90"/>
    <w:rsid w:val="00877226"/>
    <w:rsid w:val="00877954"/>
    <w:rsid w:val="00877C4D"/>
    <w:rsid w:val="008828A3"/>
    <w:rsid w:val="00882A41"/>
    <w:rsid w:val="00882F13"/>
    <w:rsid w:val="00890A68"/>
    <w:rsid w:val="00896338"/>
    <w:rsid w:val="00897755"/>
    <w:rsid w:val="008A4264"/>
    <w:rsid w:val="008B1052"/>
    <w:rsid w:val="008B1B22"/>
    <w:rsid w:val="008B2A16"/>
    <w:rsid w:val="008B5B07"/>
    <w:rsid w:val="008B6B8F"/>
    <w:rsid w:val="008C1572"/>
    <w:rsid w:val="008C1DED"/>
    <w:rsid w:val="008C2724"/>
    <w:rsid w:val="008C5A0E"/>
    <w:rsid w:val="008C771E"/>
    <w:rsid w:val="008D0A6B"/>
    <w:rsid w:val="008D0C49"/>
    <w:rsid w:val="008D5070"/>
    <w:rsid w:val="008D5529"/>
    <w:rsid w:val="008D5D0C"/>
    <w:rsid w:val="008E05E4"/>
    <w:rsid w:val="008E182A"/>
    <w:rsid w:val="008E46D9"/>
    <w:rsid w:val="008E7838"/>
    <w:rsid w:val="008F1E54"/>
    <w:rsid w:val="008F221C"/>
    <w:rsid w:val="008F4219"/>
    <w:rsid w:val="00902698"/>
    <w:rsid w:val="00903B5A"/>
    <w:rsid w:val="00903CA5"/>
    <w:rsid w:val="00907105"/>
    <w:rsid w:val="0093264C"/>
    <w:rsid w:val="00932D0E"/>
    <w:rsid w:val="0093628F"/>
    <w:rsid w:val="009408D7"/>
    <w:rsid w:val="00941C95"/>
    <w:rsid w:val="00950088"/>
    <w:rsid w:val="0095063A"/>
    <w:rsid w:val="009530E2"/>
    <w:rsid w:val="0095585E"/>
    <w:rsid w:val="00955B76"/>
    <w:rsid w:val="00960DB2"/>
    <w:rsid w:val="009640F5"/>
    <w:rsid w:val="00967A14"/>
    <w:rsid w:val="00971C06"/>
    <w:rsid w:val="009723EE"/>
    <w:rsid w:val="00973482"/>
    <w:rsid w:val="00974953"/>
    <w:rsid w:val="009767AE"/>
    <w:rsid w:val="00982E56"/>
    <w:rsid w:val="009841EE"/>
    <w:rsid w:val="0098490E"/>
    <w:rsid w:val="0098698E"/>
    <w:rsid w:val="0099050B"/>
    <w:rsid w:val="00991D1F"/>
    <w:rsid w:val="00994F11"/>
    <w:rsid w:val="00994F97"/>
    <w:rsid w:val="009A23DC"/>
    <w:rsid w:val="009A27AC"/>
    <w:rsid w:val="009A3C18"/>
    <w:rsid w:val="009A601B"/>
    <w:rsid w:val="009A74D8"/>
    <w:rsid w:val="009C1195"/>
    <w:rsid w:val="009C4A98"/>
    <w:rsid w:val="009D1F72"/>
    <w:rsid w:val="009D70B8"/>
    <w:rsid w:val="009F0E96"/>
    <w:rsid w:val="009F1DD0"/>
    <w:rsid w:val="009F4615"/>
    <w:rsid w:val="009F6012"/>
    <w:rsid w:val="009F6995"/>
    <w:rsid w:val="00A01000"/>
    <w:rsid w:val="00A11FB3"/>
    <w:rsid w:val="00A1743F"/>
    <w:rsid w:val="00A17AAE"/>
    <w:rsid w:val="00A2295B"/>
    <w:rsid w:val="00A23E3F"/>
    <w:rsid w:val="00A34BD5"/>
    <w:rsid w:val="00A36BAA"/>
    <w:rsid w:val="00A42F6B"/>
    <w:rsid w:val="00A43551"/>
    <w:rsid w:val="00A505BD"/>
    <w:rsid w:val="00A51E8A"/>
    <w:rsid w:val="00A5730A"/>
    <w:rsid w:val="00A6026C"/>
    <w:rsid w:val="00A619A3"/>
    <w:rsid w:val="00A64BE5"/>
    <w:rsid w:val="00A64D50"/>
    <w:rsid w:val="00A71A30"/>
    <w:rsid w:val="00A720C1"/>
    <w:rsid w:val="00A746E0"/>
    <w:rsid w:val="00A75DA8"/>
    <w:rsid w:val="00A76116"/>
    <w:rsid w:val="00A76FB9"/>
    <w:rsid w:val="00A84308"/>
    <w:rsid w:val="00A84C75"/>
    <w:rsid w:val="00A852FE"/>
    <w:rsid w:val="00A8599D"/>
    <w:rsid w:val="00A86BD4"/>
    <w:rsid w:val="00A87A86"/>
    <w:rsid w:val="00A9066A"/>
    <w:rsid w:val="00A92564"/>
    <w:rsid w:val="00A938EC"/>
    <w:rsid w:val="00A9652E"/>
    <w:rsid w:val="00A96EAD"/>
    <w:rsid w:val="00A97207"/>
    <w:rsid w:val="00A97C51"/>
    <w:rsid w:val="00AA4046"/>
    <w:rsid w:val="00AA4584"/>
    <w:rsid w:val="00AA7DE9"/>
    <w:rsid w:val="00AB21D8"/>
    <w:rsid w:val="00AB31A5"/>
    <w:rsid w:val="00AB4510"/>
    <w:rsid w:val="00AB4613"/>
    <w:rsid w:val="00AB5BF9"/>
    <w:rsid w:val="00AC1416"/>
    <w:rsid w:val="00AC5436"/>
    <w:rsid w:val="00AD0CC6"/>
    <w:rsid w:val="00AD40A2"/>
    <w:rsid w:val="00AE0321"/>
    <w:rsid w:val="00AE3E29"/>
    <w:rsid w:val="00AE4BAB"/>
    <w:rsid w:val="00AE521E"/>
    <w:rsid w:val="00AE63D9"/>
    <w:rsid w:val="00AE6F6B"/>
    <w:rsid w:val="00AF6946"/>
    <w:rsid w:val="00AF7006"/>
    <w:rsid w:val="00B00FA8"/>
    <w:rsid w:val="00B01D89"/>
    <w:rsid w:val="00B02929"/>
    <w:rsid w:val="00B02ABB"/>
    <w:rsid w:val="00B03D5E"/>
    <w:rsid w:val="00B05EE1"/>
    <w:rsid w:val="00B12825"/>
    <w:rsid w:val="00B13461"/>
    <w:rsid w:val="00B14C37"/>
    <w:rsid w:val="00B16D98"/>
    <w:rsid w:val="00B2143D"/>
    <w:rsid w:val="00B251BC"/>
    <w:rsid w:val="00B25BD3"/>
    <w:rsid w:val="00B26039"/>
    <w:rsid w:val="00B266EA"/>
    <w:rsid w:val="00B336AD"/>
    <w:rsid w:val="00B34758"/>
    <w:rsid w:val="00B36547"/>
    <w:rsid w:val="00B3658B"/>
    <w:rsid w:val="00B43381"/>
    <w:rsid w:val="00B43DCE"/>
    <w:rsid w:val="00B52E1D"/>
    <w:rsid w:val="00B54A43"/>
    <w:rsid w:val="00B54ACD"/>
    <w:rsid w:val="00B566A7"/>
    <w:rsid w:val="00B5764F"/>
    <w:rsid w:val="00B62167"/>
    <w:rsid w:val="00B630D2"/>
    <w:rsid w:val="00B665A7"/>
    <w:rsid w:val="00B67A42"/>
    <w:rsid w:val="00B719E3"/>
    <w:rsid w:val="00B855EB"/>
    <w:rsid w:val="00B8585A"/>
    <w:rsid w:val="00B902BB"/>
    <w:rsid w:val="00B91EAC"/>
    <w:rsid w:val="00B92459"/>
    <w:rsid w:val="00BA4487"/>
    <w:rsid w:val="00BB0BC4"/>
    <w:rsid w:val="00BB7404"/>
    <w:rsid w:val="00BB766E"/>
    <w:rsid w:val="00BB7BDE"/>
    <w:rsid w:val="00BB7C3B"/>
    <w:rsid w:val="00BC5474"/>
    <w:rsid w:val="00BC7977"/>
    <w:rsid w:val="00BD14C0"/>
    <w:rsid w:val="00BD347F"/>
    <w:rsid w:val="00BE2CAA"/>
    <w:rsid w:val="00BE3C0F"/>
    <w:rsid w:val="00BE4772"/>
    <w:rsid w:val="00BE4798"/>
    <w:rsid w:val="00BE7C02"/>
    <w:rsid w:val="00BF015C"/>
    <w:rsid w:val="00BF2298"/>
    <w:rsid w:val="00BF6751"/>
    <w:rsid w:val="00BF6A5F"/>
    <w:rsid w:val="00C01986"/>
    <w:rsid w:val="00C06002"/>
    <w:rsid w:val="00C068CA"/>
    <w:rsid w:val="00C11DE3"/>
    <w:rsid w:val="00C12666"/>
    <w:rsid w:val="00C14ACA"/>
    <w:rsid w:val="00C20021"/>
    <w:rsid w:val="00C21201"/>
    <w:rsid w:val="00C23C86"/>
    <w:rsid w:val="00C25E5D"/>
    <w:rsid w:val="00C274DB"/>
    <w:rsid w:val="00C30352"/>
    <w:rsid w:val="00C30A41"/>
    <w:rsid w:val="00C32AC6"/>
    <w:rsid w:val="00C35261"/>
    <w:rsid w:val="00C42DD7"/>
    <w:rsid w:val="00C44532"/>
    <w:rsid w:val="00C46807"/>
    <w:rsid w:val="00C52374"/>
    <w:rsid w:val="00C52C76"/>
    <w:rsid w:val="00C533B8"/>
    <w:rsid w:val="00C55A3C"/>
    <w:rsid w:val="00C5639D"/>
    <w:rsid w:val="00C60208"/>
    <w:rsid w:val="00C6096C"/>
    <w:rsid w:val="00C634C7"/>
    <w:rsid w:val="00C63D55"/>
    <w:rsid w:val="00C67163"/>
    <w:rsid w:val="00C73A77"/>
    <w:rsid w:val="00C75B1A"/>
    <w:rsid w:val="00C8007B"/>
    <w:rsid w:val="00C82C75"/>
    <w:rsid w:val="00C85A78"/>
    <w:rsid w:val="00C8698B"/>
    <w:rsid w:val="00C91283"/>
    <w:rsid w:val="00C92549"/>
    <w:rsid w:val="00C92B37"/>
    <w:rsid w:val="00C943D6"/>
    <w:rsid w:val="00C9567E"/>
    <w:rsid w:val="00C97D92"/>
    <w:rsid w:val="00CA0078"/>
    <w:rsid w:val="00CA6099"/>
    <w:rsid w:val="00CA6702"/>
    <w:rsid w:val="00CA682E"/>
    <w:rsid w:val="00CB0952"/>
    <w:rsid w:val="00CB4706"/>
    <w:rsid w:val="00CB55FC"/>
    <w:rsid w:val="00CB6629"/>
    <w:rsid w:val="00CC3046"/>
    <w:rsid w:val="00CC3AE6"/>
    <w:rsid w:val="00CC6297"/>
    <w:rsid w:val="00CD3EBB"/>
    <w:rsid w:val="00CD4E68"/>
    <w:rsid w:val="00CD7394"/>
    <w:rsid w:val="00CE1529"/>
    <w:rsid w:val="00CE27D5"/>
    <w:rsid w:val="00CE3450"/>
    <w:rsid w:val="00CE3A4D"/>
    <w:rsid w:val="00CE4974"/>
    <w:rsid w:val="00CE4B54"/>
    <w:rsid w:val="00CF3B10"/>
    <w:rsid w:val="00CF7113"/>
    <w:rsid w:val="00CF7159"/>
    <w:rsid w:val="00D00BB9"/>
    <w:rsid w:val="00D00E64"/>
    <w:rsid w:val="00D01A92"/>
    <w:rsid w:val="00D06F7F"/>
    <w:rsid w:val="00D13CD3"/>
    <w:rsid w:val="00D147F9"/>
    <w:rsid w:val="00D15C43"/>
    <w:rsid w:val="00D15D5D"/>
    <w:rsid w:val="00D24212"/>
    <w:rsid w:val="00D25BD9"/>
    <w:rsid w:val="00D2605E"/>
    <w:rsid w:val="00D330F4"/>
    <w:rsid w:val="00D36595"/>
    <w:rsid w:val="00D40AF5"/>
    <w:rsid w:val="00D41825"/>
    <w:rsid w:val="00D41E59"/>
    <w:rsid w:val="00D42A6F"/>
    <w:rsid w:val="00D44D73"/>
    <w:rsid w:val="00D46833"/>
    <w:rsid w:val="00D54AD6"/>
    <w:rsid w:val="00D5548C"/>
    <w:rsid w:val="00D6131C"/>
    <w:rsid w:val="00D615E5"/>
    <w:rsid w:val="00D62066"/>
    <w:rsid w:val="00D7403A"/>
    <w:rsid w:val="00D74605"/>
    <w:rsid w:val="00D75D0E"/>
    <w:rsid w:val="00D7652C"/>
    <w:rsid w:val="00D838DE"/>
    <w:rsid w:val="00D84A67"/>
    <w:rsid w:val="00D90E49"/>
    <w:rsid w:val="00D92715"/>
    <w:rsid w:val="00D939B1"/>
    <w:rsid w:val="00D95C78"/>
    <w:rsid w:val="00DA026F"/>
    <w:rsid w:val="00DA1978"/>
    <w:rsid w:val="00DA748A"/>
    <w:rsid w:val="00DB0129"/>
    <w:rsid w:val="00DB3316"/>
    <w:rsid w:val="00DB3AF4"/>
    <w:rsid w:val="00DB470D"/>
    <w:rsid w:val="00DB6898"/>
    <w:rsid w:val="00DB7767"/>
    <w:rsid w:val="00DC1C8B"/>
    <w:rsid w:val="00DC5B01"/>
    <w:rsid w:val="00DE4709"/>
    <w:rsid w:val="00DE4E9B"/>
    <w:rsid w:val="00DF2808"/>
    <w:rsid w:val="00DF4AD8"/>
    <w:rsid w:val="00DF6185"/>
    <w:rsid w:val="00E02EDB"/>
    <w:rsid w:val="00E048F3"/>
    <w:rsid w:val="00E05947"/>
    <w:rsid w:val="00E06150"/>
    <w:rsid w:val="00E0647F"/>
    <w:rsid w:val="00E0670C"/>
    <w:rsid w:val="00E07773"/>
    <w:rsid w:val="00E1007C"/>
    <w:rsid w:val="00E100F9"/>
    <w:rsid w:val="00E10978"/>
    <w:rsid w:val="00E14558"/>
    <w:rsid w:val="00E21ADE"/>
    <w:rsid w:val="00E24F2F"/>
    <w:rsid w:val="00E273CB"/>
    <w:rsid w:val="00E347EE"/>
    <w:rsid w:val="00E37F2B"/>
    <w:rsid w:val="00E40B15"/>
    <w:rsid w:val="00E42687"/>
    <w:rsid w:val="00E42F1D"/>
    <w:rsid w:val="00E4691D"/>
    <w:rsid w:val="00E50C9F"/>
    <w:rsid w:val="00E5280D"/>
    <w:rsid w:val="00E52853"/>
    <w:rsid w:val="00E53E2F"/>
    <w:rsid w:val="00E5606D"/>
    <w:rsid w:val="00E61057"/>
    <w:rsid w:val="00E629A7"/>
    <w:rsid w:val="00E63618"/>
    <w:rsid w:val="00E65FBA"/>
    <w:rsid w:val="00E662C2"/>
    <w:rsid w:val="00E70E2E"/>
    <w:rsid w:val="00E72203"/>
    <w:rsid w:val="00E72A21"/>
    <w:rsid w:val="00E74A70"/>
    <w:rsid w:val="00E75484"/>
    <w:rsid w:val="00E7692E"/>
    <w:rsid w:val="00E80D85"/>
    <w:rsid w:val="00E81CF6"/>
    <w:rsid w:val="00E82C4B"/>
    <w:rsid w:val="00E83200"/>
    <w:rsid w:val="00E834D7"/>
    <w:rsid w:val="00E90B1F"/>
    <w:rsid w:val="00E919AA"/>
    <w:rsid w:val="00E92549"/>
    <w:rsid w:val="00E92960"/>
    <w:rsid w:val="00E93F40"/>
    <w:rsid w:val="00E976D8"/>
    <w:rsid w:val="00EA6B02"/>
    <w:rsid w:val="00EA7ABB"/>
    <w:rsid w:val="00EA7FA7"/>
    <w:rsid w:val="00EB0A3A"/>
    <w:rsid w:val="00EB1909"/>
    <w:rsid w:val="00EB1910"/>
    <w:rsid w:val="00EB41AF"/>
    <w:rsid w:val="00EB65B3"/>
    <w:rsid w:val="00EC10F5"/>
    <w:rsid w:val="00EC3013"/>
    <w:rsid w:val="00EC3AE4"/>
    <w:rsid w:val="00EC532D"/>
    <w:rsid w:val="00EC5EC8"/>
    <w:rsid w:val="00ED1166"/>
    <w:rsid w:val="00ED2B82"/>
    <w:rsid w:val="00ED4102"/>
    <w:rsid w:val="00EE161C"/>
    <w:rsid w:val="00EE1BC2"/>
    <w:rsid w:val="00EE273D"/>
    <w:rsid w:val="00EE33DA"/>
    <w:rsid w:val="00EE5672"/>
    <w:rsid w:val="00EE622C"/>
    <w:rsid w:val="00EE6602"/>
    <w:rsid w:val="00EF0AE3"/>
    <w:rsid w:val="00EF6CEF"/>
    <w:rsid w:val="00F01115"/>
    <w:rsid w:val="00F01205"/>
    <w:rsid w:val="00F0163F"/>
    <w:rsid w:val="00F061E1"/>
    <w:rsid w:val="00F06F3B"/>
    <w:rsid w:val="00F116C1"/>
    <w:rsid w:val="00F11EF9"/>
    <w:rsid w:val="00F21998"/>
    <w:rsid w:val="00F2519A"/>
    <w:rsid w:val="00F32C09"/>
    <w:rsid w:val="00F33D0E"/>
    <w:rsid w:val="00F36BA7"/>
    <w:rsid w:val="00F41985"/>
    <w:rsid w:val="00F52365"/>
    <w:rsid w:val="00F56416"/>
    <w:rsid w:val="00F574F5"/>
    <w:rsid w:val="00F57DB1"/>
    <w:rsid w:val="00F65378"/>
    <w:rsid w:val="00F7423F"/>
    <w:rsid w:val="00F7427F"/>
    <w:rsid w:val="00F75584"/>
    <w:rsid w:val="00F77808"/>
    <w:rsid w:val="00F81BA1"/>
    <w:rsid w:val="00F82456"/>
    <w:rsid w:val="00F82ED0"/>
    <w:rsid w:val="00F85A83"/>
    <w:rsid w:val="00F86FC6"/>
    <w:rsid w:val="00F875AE"/>
    <w:rsid w:val="00F87858"/>
    <w:rsid w:val="00F87C67"/>
    <w:rsid w:val="00F9208F"/>
    <w:rsid w:val="00F952D0"/>
    <w:rsid w:val="00F95E5A"/>
    <w:rsid w:val="00FA3938"/>
    <w:rsid w:val="00FA5D6D"/>
    <w:rsid w:val="00FA5FD6"/>
    <w:rsid w:val="00FA6612"/>
    <w:rsid w:val="00FA6869"/>
    <w:rsid w:val="00FA6900"/>
    <w:rsid w:val="00FB2239"/>
    <w:rsid w:val="00FB2972"/>
    <w:rsid w:val="00FB684B"/>
    <w:rsid w:val="00FB7CBF"/>
    <w:rsid w:val="00FC0C37"/>
    <w:rsid w:val="00FC1060"/>
    <w:rsid w:val="00FC18F5"/>
    <w:rsid w:val="00FC42A2"/>
    <w:rsid w:val="00FD0113"/>
    <w:rsid w:val="00FE36DF"/>
    <w:rsid w:val="00FE37FA"/>
    <w:rsid w:val="00FE3F55"/>
    <w:rsid w:val="00FE46CE"/>
    <w:rsid w:val="00FE5C7A"/>
    <w:rsid w:val="00FF07F3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71244F5"/>
  <w15:docId w15:val="{650DED8E-49BD-4381-9EDD-62F6279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47C"/>
    <w:pPr>
      <w:spacing w:after="120"/>
      <w:ind w:firstLine="709"/>
      <w:jc w:val="both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C12666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C12666"/>
    <w:rPr>
      <w:rFonts w:eastAsia="Times New Roman"/>
      <w:bCs/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rFonts w:eastAsia="Calibri"/>
      <w:sz w:val="20"/>
    </w:rPr>
  </w:style>
  <w:style w:type="character" w:customStyle="1" w:styleId="CommentTextChar">
    <w:name w:val="Comment Text Char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rFonts w:eastAsia="Calibri"/>
      <w:sz w:val="20"/>
    </w:rPr>
  </w:style>
  <w:style w:type="character" w:customStyle="1" w:styleId="FootnoteTextChar">
    <w:name w:val="Footnote Text Char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E72A21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EE622C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F7FBD"/>
    <w:rPr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3C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C86"/>
    <w:rPr>
      <w:rFonts w:eastAsia="Times New Roman"/>
      <w:sz w:val="24"/>
      <w:lang w:eastAsia="en-US"/>
    </w:rPr>
  </w:style>
  <w:style w:type="paragraph" w:customStyle="1" w:styleId="T">
    <w:name w:val="T"/>
    <w:basedOn w:val="Normal"/>
    <w:uiPriority w:val="99"/>
    <w:rsid w:val="008237DA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8237DA"/>
    <w:pPr>
      <w:keepNext w:val="0"/>
    </w:pPr>
  </w:style>
  <w:style w:type="table" w:customStyle="1" w:styleId="TableGrid2">
    <w:name w:val="Table Grid2"/>
    <w:basedOn w:val="TableNormal"/>
    <w:next w:val="TableGrid"/>
    <w:uiPriority w:val="59"/>
    <w:rsid w:val="005D6DBC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631BE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basedOn w:val="DefaultParagraphFont"/>
    <w:rsid w:val="008631BE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urtxth31">
    <w:name w:val="urtxth31"/>
    <w:basedOn w:val="DefaultParagraphFont"/>
    <w:rsid w:val="008631BE"/>
    <w:rPr>
      <w:rFonts w:ascii="Arial" w:hAnsi="Arial" w:cs="Arial" w:hint="default"/>
      <w:b/>
      <w:bCs/>
      <w:i w:val="0"/>
      <w:iCs w:val="0"/>
      <w:color w:val="000000"/>
      <w:sz w:val="17"/>
      <w:szCs w:val="17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31BE"/>
    <w:pPr>
      <w:spacing w:after="0"/>
      <w:ind w:left="720" w:firstLine="0"/>
      <w:jc w:val="left"/>
    </w:pPr>
    <w:rPr>
      <w:rFonts w:ascii="Calibri" w:eastAsia="Calibri" w:hAnsi="Calibri"/>
      <w:sz w:val="22"/>
      <w:szCs w:val="22"/>
      <w:lang w:eastAsia="lv-LV"/>
    </w:rPr>
  </w:style>
  <w:style w:type="paragraph" w:customStyle="1" w:styleId="Default">
    <w:name w:val="Default"/>
    <w:rsid w:val="008631B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8631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381"/>
    <w:rPr>
      <w:color w:val="0563C1" w:themeColor="hyperlink"/>
      <w:u w:val="single"/>
    </w:rPr>
  </w:style>
  <w:style w:type="paragraph" w:customStyle="1" w:styleId="tvhtml">
    <w:name w:val="tv_html"/>
    <w:basedOn w:val="Normal"/>
    <w:rsid w:val="000B0B24"/>
    <w:pPr>
      <w:spacing w:before="100" w:beforeAutospacing="1" w:after="100" w:afterAutospacing="1"/>
      <w:ind w:firstLine="0"/>
      <w:jc w:val="left"/>
    </w:pPr>
    <w:rPr>
      <w:rFonts w:ascii="Verdana" w:hAnsi="Verdana"/>
      <w:sz w:val="20"/>
      <w:lang w:eastAsia="lv-LV"/>
    </w:rPr>
  </w:style>
  <w:style w:type="character" w:customStyle="1" w:styleId="ListParagraphChar">
    <w:name w:val="List Paragraph Char"/>
    <w:aliases w:val="2 Char"/>
    <w:basedOn w:val="DefaultParagraphFont"/>
    <w:link w:val="ListParagraph"/>
    <w:uiPriority w:val="34"/>
    <w:locked/>
    <w:rsid w:val="000B0B24"/>
    <w:rPr>
      <w:rFonts w:eastAsia="Times New Roman"/>
      <w:sz w:val="24"/>
      <w:lang w:eastAsia="en-US"/>
    </w:rPr>
  </w:style>
  <w:style w:type="paragraph" w:customStyle="1" w:styleId="tv213">
    <w:name w:val="tv213"/>
    <w:basedOn w:val="Normal"/>
    <w:rsid w:val="000B0B24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7427F"/>
    <w:pPr>
      <w:spacing w:after="0"/>
      <w:ind w:firstLine="0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427F"/>
    <w:rPr>
      <w:rFonts w:ascii="Consolas" w:eastAsiaTheme="minorHAnsi" w:hAnsi="Consolas" w:cstheme="minorBidi"/>
      <w:sz w:val="21"/>
      <w:szCs w:val="21"/>
      <w:lang w:eastAsia="en-US"/>
    </w:rPr>
  </w:style>
  <w:style w:type="table" w:customStyle="1" w:styleId="TableGrid23">
    <w:name w:val="Table Grid23"/>
    <w:basedOn w:val="TableNormal"/>
    <w:next w:val="TableGrid"/>
    <w:uiPriority w:val="39"/>
    <w:rsid w:val="00E24F2F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02EDB"/>
    <w:pPr>
      <w:spacing w:before="100" w:beforeAutospacing="1" w:after="100" w:afterAutospacing="1"/>
      <w:ind w:firstLine="0"/>
      <w:jc w:val="left"/>
    </w:pPr>
    <w:rPr>
      <w:szCs w:val="24"/>
      <w:lang w:val="en-US"/>
    </w:rPr>
  </w:style>
  <w:style w:type="table" w:customStyle="1" w:styleId="TableGrid4">
    <w:name w:val="Table Grid4"/>
    <w:basedOn w:val="TableNormal"/>
    <w:next w:val="TableGrid"/>
    <w:uiPriority w:val="39"/>
    <w:rsid w:val="00E02ED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625065371581587E-2"/>
          <c:y val="2.9071685115151551E-2"/>
          <c:w val="0.88782243865097754"/>
          <c:h val="0.73391695468698659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paraugi!$A$5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paraugi!$B$3:$F$3</c:f>
              <c:strCache>
                <c:ptCount val="5"/>
                <c:pt idx="0">
                  <c:v>2020. gads
(izpilde)</c:v>
                </c:pt>
                <c:pt idx="1">
                  <c:v>2021. gads
plāns</c:v>
                </c:pt>
                <c:pt idx="2">
                  <c:v>2022. gads
projekts</c:v>
                </c:pt>
                <c:pt idx="3">
                  <c:v>2023. gads
prognoze</c:v>
                </c:pt>
                <c:pt idx="4">
                  <c:v>2024. gads
prognoze</c:v>
                </c:pt>
              </c:strCache>
            </c:strRef>
          </c:cat>
          <c:val>
            <c:numRef>
              <c:f>paraugi!$B$5:$F$5</c:f>
              <c:numCache>
                <c:formatCode>#,##0</c:formatCode>
                <c:ptCount val="5"/>
                <c:pt idx="0">
                  <c:v>5861265</c:v>
                </c:pt>
                <c:pt idx="1">
                  <c:v>6749474</c:v>
                </c:pt>
                <c:pt idx="2">
                  <c:v>7614020</c:v>
                </c:pt>
                <c:pt idx="3">
                  <c:v>7306714</c:v>
                </c:pt>
                <c:pt idx="4">
                  <c:v>7264214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956-4835-9CA2-369DD1395473}"/>
            </c:ext>
          </c:extLst>
        </c:ser>
        <c:ser>
          <c:idx val="2"/>
          <c:order val="1"/>
          <c:tx>
            <c:strRef>
              <c:f>paraugi!$A$6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paraugi!$B$3:$F$3</c:f>
              <c:strCache>
                <c:ptCount val="5"/>
                <c:pt idx="0">
                  <c:v>2020. gads
(izpilde)</c:v>
                </c:pt>
                <c:pt idx="1">
                  <c:v>2021. gads
plāns</c:v>
                </c:pt>
                <c:pt idx="2">
                  <c:v>2022. gads
projekts</c:v>
                </c:pt>
                <c:pt idx="3">
                  <c:v>2023. gads
prognoze</c:v>
                </c:pt>
                <c:pt idx="4">
                  <c:v>2024. gads
prognoze</c:v>
                </c:pt>
              </c:strCache>
            </c:strRef>
          </c:cat>
          <c:val>
            <c:numRef>
              <c:f>paraugi!$B$6:$F$6</c:f>
              <c:numCache>
                <c:formatCode>#,##0</c:formatCode>
                <c:ptCount val="5"/>
                <c:pt idx="0">
                  <c:v>3451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956-4835-9CA2-369DD13954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32707496"/>
        <c:axId val="204068600"/>
        <c:extLst/>
      </c:barChart>
      <c:catAx>
        <c:axId val="132707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4068600"/>
        <c:crosses val="autoZero"/>
        <c:auto val="1"/>
        <c:lblAlgn val="ctr"/>
        <c:lblOffset val="100"/>
        <c:noMultiLvlLbl val="0"/>
      </c:catAx>
      <c:valAx>
        <c:axId val="204068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32707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C4E70684-FC6C-438F-821A-42FD4802F988}">
      <dgm:prSet phldrT="[Text]" custT="1"/>
      <dgm:spPr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118AB14B-D866-47F3-9B14-C490FD46760F}" type="pres">
      <dgm:prSet presAssocID="{C4E70684-FC6C-438F-821A-42FD4802F988}" presName="node" presStyleLbl="node1" presStyleIdx="0" presStyleCnt="1" custScaleX="124546">
        <dgm:presLayoutVars>
          <dgm:bulletEnabled val="1"/>
        </dgm:presLayoutVars>
      </dgm:prSet>
      <dgm:spPr/>
    </dgm:pt>
  </dgm:ptLst>
  <dgm:cxnLst>
    <dgm:cxn modelId="{748BF469-8544-44F9-B8A3-C2B37C0F119D}" srcId="{306E2546-2846-449E-BACA-6E538AEB741C}" destId="{C4E70684-FC6C-438F-821A-42FD4802F988}" srcOrd="0" destOrd="0" parTransId="{EAEDC41A-79CE-48AE-9794-A800B0775F50}" sibTransId="{446F46F6-79EA-4B2C-B62A-FE54C657ECF7}"/>
    <dgm:cxn modelId="{813BBECF-668C-432B-94FA-E68573875124}" type="presOf" srcId="{306E2546-2846-449E-BACA-6E538AEB741C}" destId="{742CD35E-24E8-4AF8-8ED4-3DD4C1D57ACF}" srcOrd="0" destOrd="0" presId="urn:microsoft.com/office/officeart/2005/8/layout/default"/>
    <dgm:cxn modelId="{BCCF77F8-F70C-4634-AFE2-581A8EC003CC}" type="presOf" srcId="{C4E70684-FC6C-438F-821A-42FD4802F988}" destId="{118AB14B-D866-47F3-9B14-C490FD46760F}" srcOrd="0" destOrd="0" presId="urn:microsoft.com/office/officeart/2005/8/layout/default"/>
    <dgm:cxn modelId="{6A21E328-4501-4600-9049-55F39A16D464}" type="presParOf" srcId="{742CD35E-24E8-4AF8-8ED4-3DD4C1D57ACF}" destId="{118AB14B-D866-47F3-9B14-C490FD46760F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8AB14B-D866-47F3-9B14-C490FD46760F}">
      <dsp:nvSpPr>
        <dsp:cNvPr id="0" name=""/>
        <dsp:cNvSpPr/>
      </dsp:nvSpPr>
      <dsp:spPr>
        <a:xfrm>
          <a:off x="1867376" y="485"/>
          <a:ext cx="1751647" cy="8438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240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sp:txBody>
      <dsp:txXfrm>
        <a:off x="1867376" y="485"/>
        <a:ext cx="1751647" cy="8438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0.12092</cdr:x>
      <cdr:y>0.09541</cdr:y>
    </cdr:from>
    <cdr:to>
      <cdr:x>0.25235</cdr:x>
      <cdr:y>0.15822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696495" y="335102"/>
          <a:ext cx="757048" cy="220600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5 864</a:t>
          </a:r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716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0.3019</cdr:x>
      <cdr:y>0.07236</cdr:y>
    </cdr:from>
    <cdr:to>
      <cdr:x>0.42517</cdr:x>
      <cdr:y>0.13518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1738976" y="254133"/>
          <a:ext cx="710026" cy="220635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900" b="1">
              <a:latin typeface="Times New Roman" panose="02020603050405020304" pitchFamily="18" charset="0"/>
              <a:cs typeface="Times New Roman" panose="02020603050405020304" pitchFamily="18" charset="0"/>
            </a:rPr>
            <a:t>6 </a:t>
          </a:r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749</a:t>
          </a:r>
          <a:r>
            <a:rPr lang="lv-LV" sz="900" b="1">
              <a:latin typeface="Times New Roman" panose="02020603050405020304" pitchFamily="18" charset="0"/>
              <a:cs typeface="Times New Roman" panose="02020603050405020304" pitchFamily="18" charset="0"/>
            </a:rPr>
            <a:t> 474</a:t>
          </a:r>
        </a:p>
      </cdr:txBody>
    </cdr:sp>
  </cdr:relSizeAnchor>
  <cdr:relSizeAnchor xmlns:cdr="http://schemas.openxmlformats.org/drawingml/2006/chartDrawing">
    <cdr:from>
      <cdr:x>0.48038</cdr:x>
      <cdr:y>0</cdr:y>
    </cdr:from>
    <cdr:to>
      <cdr:x>0.60612</cdr:x>
      <cdr:y>0.05695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2767054" y="0"/>
          <a:ext cx="724248" cy="200019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7 614 020</a:t>
          </a:r>
        </a:p>
      </cdr:txBody>
    </cdr:sp>
  </cdr:relSizeAnchor>
  <cdr:relSizeAnchor xmlns:cdr="http://schemas.openxmlformats.org/drawingml/2006/chartDrawing">
    <cdr:from>
      <cdr:x>0.65708</cdr:x>
      <cdr:y>0.01765</cdr:y>
    </cdr:from>
    <cdr:to>
      <cdr:x>0.78223</cdr:x>
      <cdr:y>0.08318</cdr:y>
    </cdr:to>
    <cdr:sp macro="" textlink="">
      <cdr:nvSpPr>
        <cdr:cNvPr id="7" name="TextBox 1"/>
        <cdr:cNvSpPr txBox="1"/>
      </cdr:nvSpPr>
      <cdr:spPr>
        <a:xfrm xmlns:a="http://schemas.openxmlformats.org/drawingml/2006/main">
          <a:off x="3784821" y="61983"/>
          <a:ext cx="720884" cy="230153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7 306 714</a:t>
          </a:r>
        </a:p>
      </cdr:txBody>
    </cdr:sp>
  </cdr:relSizeAnchor>
  <cdr:relSizeAnchor xmlns:cdr="http://schemas.openxmlformats.org/drawingml/2006/chartDrawing">
    <cdr:from>
      <cdr:x>0.83515</cdr:x>
      <cdr:y>0.02534</cdr:y>
    </cdr:from>
    <cdr:to>
      <cdr:x>0.96165</cdr:x>
      <cdr:y>0.09086</cdr:y>
    </cdr:to>
    <cdr:sp macro="" textlink="">
      <cdr:nvSpPr>
        <cdr:cNvPr id="8" name="TextBox 1"/>
        <cdr:cNvSpPr txBox="1"/>
      </cdr:nvSpPr>
      <cdr:spPr>
        <a:xfrm xmlns:a="http://schemas.openxmlformats.org/drawingml/2006/main">
          <a:off x="4810540" y="89005"/>
          <a:ext cx="728646" cy="230118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7 264 214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2B8D-65BC-497A-86F4-BB4BC67E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6172</Words>
  <Characters>3519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Likumprojekta "Par valsts budžetu 2022. gadam" paskaidrojumi, 5.3.nodaļa Izdevumu politikas virzienu un izdevumu atbilstoši funkcionālajām un ekonomiskajām kategorijām kopsavilkums</vt:lpstr>
      <vt:lpstr>Likumprojekta "Par valsts budžetu 2013.gadam" paskaidrojumi. 5.3.nodaļa. Valsts pamatbudžeta un speciālā budžeta izdevumi</vt:lpstr>
    </vt:vector>
  </TitlesOfParts>
  <Manager/>
  <Company>Finanšu ministrija</Company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2022. gadam" paskaidrojumi, 5.3.nodaļa Izdevumu politikas virzienu un izdevumu atbilstoši funkcionālajām un ekonomiskajām kategorijām kopsavilkums</dc:title>
  <dc:subject>paskaidrojuma raksts</dc:subject>
  <dc:creator>edgars.vigups@fm.gov.lv</dc:creator>
  <cp:keywords/>
  <dc:description>67095676,
edgars.vigups@fm.gov.lv</dc:description>
  <cp:lastModifiedBy>Dace Godiņa</cp:lastModifiedBy>
  <cp:revision>82</cp:revision>
  <cp:lastPrinted>2019-04-29T07:47:00Z</cp:lastPrinted>
  <dcterms:created xsi:type="dcterms:W3CDTF">2019-05-07T12:34:00Z</dcterms:created>
  <dcterms:modified xsi:type="dcterms:W3CDTF">2021-10-11T07:09:00Z</dcterms:modified>
</cp:coreProperties>
</file>