
<file path=[Content_Types].xml><?xml version="1.0" encoding="utf-8"?>
<Types xmlns="http://schemas.openxmlformats.org/package/2006/content-types">
  <Default Extension="bin" ContentType="application/vnd.openxmlformats-officedocument.oleObject"/>
  <Default Extension="jpg" ContentType="image/jpe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chart5.xml" ContentType="application/vnd.openxmlformats-officedocument.drawingml.chart+xml"/>
  <Override PartName="/word/charts/style4.xml" ContentType="application/vnd.ms-office.chartstyle+xml"/>
  <Override PartName="/word/charts/colors4.xml" ContentType="application/vnd.ms-office.chartcolorstyle+xml"/>
  <Override PartName="/word/drawings/drawing1.xml" ContentType="application/vnd.openxmlformats-officedocument.drawingml.chartshapes+xml"/>
  <Override PartName="/word/charts/chart6.xml" ContentType="application/vnd.openxmlformats-officedocument.drawingml.chart+xml"/>
  <Override PartName="/word/charts/style5.xml" ContentType="application/vnd.ms-office.chartstyle+xml"/>
  <Override PartName="/word/charts/colors5.xml" ContentType="application/vnd.ms-office.chartcolorstyle+xml"/>
  <Override PartName="/word/drawings/drawing2.xml" ContentType="application/vnd.openxmlformats-officedocument.drawingml.chartshapes+xml"/>
  <Override PartName="/word/charts/chart7.xml" ContentType="application/vnd.openxmlformats-officedocument.drawingml.chart+xml"/>
  <Override PartName="/word/charts/style6.xml" ContentType="application/vnd.ms-office.chartstyle+xml"/>
  <Override PartName="/word/charts/colors6.xml" ContentType="application/vnd.ms-office.chartcolorstyle+xml"/>
  <Override PartName="/word/theme/themeOverride1.xml" ContentType="application/vnd.openxmlformats-officedocument.themeOverride+xml"/>
  <Override PartName="/word/charts/chart8.xml" ContentType="application/vnd.openxmlformats-officedocument.drawingml.chart+xml"/>
  <Override PartName="/word/charts/style7.xml" ContentType="application/vnd.ms-office.chartstyle+xml"/>
  <Override PartName="/word/charts/colors7.xml" ContentType="application/vnd.ms-office.chartcolorstyle+xml"/>
  <Override PartName="/word/theme/themeOverride2.xml" ContentType="application/vnd.openxmlformats-officedocument.themeOverride+xml"/>
  <Override PartName="/word/charts/chart9.xml" ContentType="application/vnd.openxmlformats-officedocument.drawingml.chart+xml"/>
  <Override PartName="/word/charts/style8.xml" ContentType="application/vnd.ms-office.chartstyle+xml"/>
  <Override PartName="/word/charts/colors8.xml" ContentType="application/vnd.ms-office.chartcolorstyle+xml"/>
  <Override PartName="/word/theme/themeOverride3.xml" ContentType="application/vnd.openxmlformats-officedocument.themeOverride+xml"/>
  <Override PartName="/word/charts/chart10.xml" ContentType="application/vnd.openxmlformats-officedocument.drawingml.chart+xml"/>
  <Override PartName="/word/charts/style9.xml" ContentType="application/vnd.ms-office.chartstyle+xml"/>
  <Override PartName="/word/charts/colors9.xml" ContentType="application/vnd.ms-office.chartcolorstyle+xml"/>
  <Override PartName="/word/theme/themeOverride4.xml" ContentType="application/vnd.openxmlformats-officedocument.themeOverride+xml"/>
  <Override PartName="/word/charts/chart11.xml" ContentType="application/vnd.openxmlformats-officedocument.drawingml.chart+xml"/>
  <Override PartName="/word/charts/style10.xml" ContentType="application/vnd.ms-office.chartstyle+xml"/>
  <Override PartName="/word/charts/colors10.xml" ContentType="application/vnd.ms-office.chartcolorstyle+xml"/>
  <Override PartName="/word/theme/themeOverride5.xml" ContentType="application/vnd.openxmlformats-officedocument.themeOverride+xml"/>
  <Override PartName="/word/charts/chart12.xml" ContentType="application/vnd.openxmlformats-officedocument.drawingml.chart+xml"/>
  <Override PartName="/word/theme/themeOverride6.xml" ContentType="application/vnd.openxmlformats-officedocument.themeOverride+xml"/>
  <Override PartName="/word/charts/chart13.xml" ContentType="application/vnd.openxmlformats-officedocument.drawingml.chart+xml"/>
  <Override PartName="/word/charts/style11.xml" ContentType="application/vnd.ms-office.chartstyle+xml"/>
  <Override PartName="/word/charts/colors11.xml" ContentType="application/vnd.ms-office.chartcolorstyle+xml"/>
  <Override PartName="/word/theme/themeOverride7.xml" ContentType="application/vnd.openxmlformats-officedocument.themeOverride+xml"/>
  <Override PartName="/word/charts/chart14.xml" ContentType="application/vnd.openxmlformats-officedocument.drawingml.chart+xml"/>
  <Override PartName="/word/charts/style12.xml" ContentType="application/vnd.ms-office.chartstyle+xml"/>
  <Override PartName="/word/charts/colors12.xml" ContentType="application/vnd.ms-office.chartcolorstyle+xml"/>
  <Override PartName="/word/theme/themeOverride8.xml" ContentType="application/vnd.openxmlformats-officedocument.themeOverride+xml"/>
  <Override PartName="/word/charts/chart15.xml" ContentType="application/vnd.openxmlformats-officedocument.drawingml.chart+xml"/>
  <Override PartName="/word/charts/style13.xml" ContentType="application/vnd.ms-office.chartstyle+xml"/>
  <Override PartName="/word/charts/colors13.xml" ContentType="application/vnd.ms-office.chartcolorstyle+xml"/>
  <Override PartName="/word/theme/themeOverride9.xml" ContentType="application/vnd.openxmlformats-officedocument.themeOverride+xml"/>
  <Override PartName="/word/charts/chart16.xml" ContentType="application/vnd.openxmlformats-officedocument.drawingml.chart+xml"/>
  <Override PartName="/word/theme/themeOverride10.xml" ContentType="application/vnd.openxmlformats-officedocument.themeOverride+xml"/>
  <Override PartName="/word/charts/chart17.xml" ContentType="application/vnd.openxmlformats-officedocument.drawingml.chart+xml"/>
  <Override PartName="/word/theme/themeOverride11.xml" ContentType="application/vnd.openxmlformats-officedocument.themeOverride+xml"/>
  <Override PartName="/word/charts/chart18.xml" ContentType="application/vnd.openxmlformats-officedocument.drawingml.chart+xml"/>
  <Override PartName="/word/charts/style14.xml" ContentType="application/vnd.ms-office.chartstyle+xml"/>
  <Override PartName="/word/charts/colors14.xml" ContentType="application/vnd.ms-office.chartcolorstyle+xml"/>
  <Override PartName="/word/theme/themeOverride12.xml" ContentType="application/vnd.openxmlformats-officedocument.themeOverride+xml"/>
  <Override PartName="/word/charts/chart19.xml" ContentType="application/vnd.openxmlformats-officedocument.drawingml.chart+xml"/>
  <Override PartName="/word/charts/style15.xml" ContentType="application/vnd.ms-office.chartstyle+xml"/>
  <Override PartName="/word/charts/colors15.xml" ContentType="application/vnd.ms-office.chartcolorstyle+xml"/>
  <Override PartName="/word/theme/themeOverride13.xml" ContentType="application/vnd.openxmlformats-officedocument.themeOverride+xml"/>
  <Override PartName="/word/charts/chart20.xml" ContentType="application/vnd.openxmlformats-officedocument.drawingml.chart+xml"/>
  <Override PartName="/word/charts/style16.xml" ContentType="application/vnd.ms-office.chartstyle+xml"/>
  <Override PartName="/word/charts/colors16.xml" ContentType="application/vnd.ms-office.chartcolorstyle+xml"/>
  <Override PartName="/word/theme/themeOverride14.xml" ContentType="application/vnd.openxmlformats-officedocument.themeOverride+xml"/>
  <Override PartName="/word/charts/chart21.xml" ContentType="application/vnd.openxmlformats-officedocument.drawingml.chart+xml"/>
  <Override PartName="/word/charts/style17.xml" ContentType="application/vnd.ms-office.chartstyle+xml"/>
  <Override PartName="/word/charts/colors17.xml" ContentType="application/vnd.ms-office.chartcolorstyle+xml"/>
  <Override PartName="/word/theme/themeOverride15.xml" ContentType="application/vnd.openxmlformats-officedocument.themeOverride+xml"/>
  <Override PartName="/word/charts/chart22.xml" ContentType="application/vnd.openxmlformats-officedocument.drawingml.chart+xml"/>
  <Override PartName="/word/charts/style18.xml" ContentType="application/vnd.ms-office.chartstyle+xml"/>
  <Override PartName="/word/charts/colors18.xml" ContentType="application/vnd.ms-office.chartcolorstyle+xml"/>
  <Override PartName="/word/charts/chart23.xml" ContentType="application/vnd.openxmlformats-officedocument.drawingml.chart+xml"/>
  <Override PartName="/word/charts/style19.xml" ContentType="application/vnd.ms-office.chartstyle+xml"/>
  <Override PartName="/word/charts/colors19.xml" ContentType="application/vnd.ms-office.chartcolorstyle+xml"/>
  <Override PartName="/word/charts/chart24.xml" ContentType="application/vnd.openxmlformats-officedocument.drawingml.chart+xml"/>
  <Override PartName="/word/charts/style20.xml" ContentType="application/vnd.ms-office.chartstyle+xml"/>
  <Override PartName="/word/charts/colors20.xml" ContentType="application/vnd.ms-office.chartcolorstyle+xml"/>
  <Override PartName="/word/theme/themeOverride16.xml" ContentType="application/vnd.openxmlformats-officedocument.themeOverride+xml"/>
  <Override PartName="/word/charts/chart25.xml" ContentType="application/vnd.openxmlformats-officedocument.drawingml.chart+xml"/>
  <Override PartName="/word/charts/style21.xml" ContentType="application/vnd.ms-office.chartstyle+xml"/>
  <Override PartName="/word/charts/colors21.xml" ContentType="application/vnd.ms-office.chartcolorstyle+xml"/>
  <Override PartName="/word/theme/themeOverride17.xml" ContentType="application/vnd.openxmlformats-officedocument.themeOverride+xml"/>
  <Override PartName="/word/charts/chart26.xml" ContentType="application/vnd.openxmlformats-officedocument.drawingml.chart+xml"/>
  <Override PartName="/word/charts/style22.xml" ContentType="application/vnd.ms-office.chartstyle+xml"/>
  <Override PartName="/word/charts/colors22.xml" ContentType="application/vnd.ms-office.chartcolorstyle+xml"/>
  <Override PartName="/word/theme/themeOverride18.xml" ContentType="application/vnd.openxmlformats-officedocument.themeOverride+xml"/>
  <Override PartName="/word/charts/chart27.xml" ContentType="application/vnd.openxmlformats-officedocument.drawingml.chart+xml"/>
  <Override PartName="/word/charts/chart28.xml" ContentType="application/vnd.openxmlformats-officedocument.drawingml.chart+xml"/>
  <Override PartName="/word/charts/style23.xml" ContentType="application/vnd.ms-office.chartstyle+xml"/>
  <Override PartName="/word/charts/colors23.xml" ContentType="application/vnd.ms-office.chartcolorstyle+xml"/>
  <Override PartName="/word/theme/themeOverride19.xml" ContentType="application/vnd.openxmlformats-officedocument.themeOverride+xml"/>
  <Override PartName="/word/charts/chart29.xml" ContentType="application/vnd.openxmlformats-officedocument.drawingml.chart+xml"/>
  <Override PartName="/word/theme/themeOverride20.xml" ContentType="application/vnd.openxmlformats-officedocument.themeOverride+xml"/>
  <Override PartName="/word/charts/chart30.xml" ContentType="application/vnd.openxmlformats-officedocument.drawingml.chart+xml"/>
  <Override PartName="/word/theme/themeOverride21.xml" ContentType="application/vnd.openxmlformats-officedocument.themeOverride+xml"/>
  <Override PartName="/word/charts/chart31.xml" ContentType="application/vnd.openxmlformats-officedocument.drawingml.chart+xml"/>
  <Override PartName="/word/charts/style24.xml" ContentType="application/vnd.ms-office.chartstyle+xml"/>
  <Override PartName="/word/charts/colors24.xml" ContentType="application/vnd.ms-office.chartcolorstyle+xml"/>
  <Override PartName="/word/theme/themeOverride22.xml" ContentType="application/vnd.openxmlformats-officedocument.themeOverride+xml"/>
  <Override PartName="/word/charts/chart32.xml" ContentType="application/vnd.openxmlformats-officedocument.drawingml.chart+xml"/>
  <Override PartName="/word/charts/style25.xml" ContentType="application/vnd.ms-office.chartstyle+xml"/>
  <Override PartName="/word/charts/colors25.xml" ContentType="application/vnd.ms-office.chartcolorstyle+xml"/>
  <Override PartName="/word/charts/chart33.xml" ContentType="application/vnd.openxmlformats-officedocument.drawingml.chart+xml"/>
  <Override PartName="/word/charts/style26.xml" ContentType="application/vnd.ms-office.chartstyle+xml"/>
  <Override PartName="/word/charts/colors26.xml" ContentType="application/vnd.ms-office.chartcolorstyle+xml"/>
  <Override PartName="/word/theme/themeOverride23.xml" ContentType="application/vnd.openxmlformats-officedocument.themeOverride+xml"/>
  <Override PartName="/word/charts/chart34.xml" ContentType="application/vnd.openxmlformats-officedocument.drawingml.chart+xml"/>
  <Override PartName="/word/charts/style27.xml" ContentType="application/vnd.ms-office.chartstyle+xml"/>
  <Override PartName="/word/charts/colors27.xml" ContentType="application/vnd.ms-office.chartcolorstyle+xml"/>
  <Override PartName="/word/theme/themeOverride24.xml" ContentType="application/vnd.openxmlformats-officedocument.themeOverride+xml"/>
  <Override PartName="/word/charts/chart35.xml" ContentType="application/vnd.openxmlformats-officedocument.drawingml.chart+xml"/>
  <Override PartName="/word/theme/themeOverride25.xml" ContentType="application/vnd.openxmlformats-officedocument.themeOverride+xml"/>
  <Override PartName="/word/drawings/drawing3.xml" ContentType="application/vnd.openxmlformats-officedocument.drawingml.chartshapes+xml"/>
  <Override PartName="/word/charts/chart36.xml" ContentType="application/vnd.openxmlformats-officedocument.drawingml.chart+xml"/>
  <Override PartName="/word/charts/style28.xml" ContentType="application/vnd.ms-office.chartstyle+xml"/>
  <Override PartName="/word/charts/colors28.xml" ContentType="application/vnd.ms-office.chartcolorstyle+xml"/>
  <Override PartName="/word/charts/chart37.xml" ContentType="application/vnd.openxmlformats-officedocument.drawingml.chart+xml"/>
  <Override PartName="/word/charts/style29.xml" ContentType="application/vnd.ms-office.chartstyle+xml"/>
  <Override PartName="/word/charts/colors29.xml" ContentType="application/vnd.ms-office.chartcolorstyle+xml"/>
  <Override PartName="/word/charts/chart38.xml" ContentType="application/vnd.openxmlformats-officedocument.drawingml.chart+xml"/>
  <Override PartName="/word/charts/style30.xml" ContentType="application/vnd.ms-office.chartstyle+xml"/>
  <Override PartName="/word/charts/colors30.xml" ContentType="application/vnd.ms-office.chartcolorstyle+xml"/>
  <Override PartName="/word/charts/chart39.xml" ContentType="application/vnd.openxmlformats-officedocument.drawingml.chart+xml"/>
  <Override PartName="/word/charts/chart40.xml" ContentType="application/vnd.openxmlformats-officedocument.drawingml.chart+xml"/>
  <Override PartName="/word/charts/style31.xml" ContentType="application/vnd.ms-office.chartstyle+xml"/>
  <Override PartName="/word/charts/colors31.xml" ContentType="application/vnd.ms-office.chartcolorstyle+xml"/>
  <Override PartName="/word/charts/chart41.xml" ContentType="application/vnd.openxmlformats-officedocument.drawingml.chart+xml"/>
  <Override PartName="/word/charts/style32.xml" ContentType="application/vnd.ms-office.chartstyle+xml"/>
  <Override PartName="/word/charts/colors32.xml" ContentType="application/vnd.ms-office.chartcolorstyle+xml"/>
  <Override PartName="/word/charts/chart42.xml" ContentType="application/vnd.openxmlformats-officedocument.drawingml.chart+xml"/>
  <Override PartName="/word/charts/chart43.xml" ContentType="application/vnd.openxmlformats-officedocument.drawingml.chart+xml"/>
  <Override PartName="/word/charts/chart44.xml" ContentType="application/vnd.openxmlformats-officedocument.drawingml.chart+xml"/>
  <Override PartName="/word/charts/style33.xml" ContentType="application/vnd.ms-office.chartstyle+xml"/>
  <Override PartName="/word/charts/colors33.xml" ContentType="application/vnd.ms-office.chartcolorstyl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66FFF0E" w14:textId="77777777" w:rsidR="00EF1D74" w:rsidRPr="00EF1D74" w:rsidRDefault="00EF1D74" w:rsidP="00EF1D74">
      <w:pPr>
        <w:keepNext/>
        <w:keepLines/>
        <w:spacing w:after="0"/>
        <w:ind w:firstLine="0"/>
        <w:jc w:val="center"/>
        <w:outlineLvl w:val="0"/>
        <w:rPr>
          <w:b/>
          <w:sz w:val="44"/>
          <w:szCs w:val="44"/>
        </w:rPr>
      </w:pPr>
      <w:bookmarkStart w:id="0" w:name="_Toc279341936"/>
      <w:r w:rsidRPr="00EF1D74">
        <w:rPr>
          <w:b/>
          <w:sz w:val="44"/>
          <w:szCs w:val="44"/>
        </w:rPr>
        <w:t>1. Makroekonomiskās attīstības apraksts</w:t>
      </w:r>
      <w:bookmarkEnd w:id="0"/>
      <w:r w:rsidRPr="00EF1D74">
        <w:rPr>
          <w:b/>
          <w:sz w:val="32"/>
          <w:szCs w:val="32"/>
          <w:vertAlign w:val="superscript"/>
        </w:rPr>
        <w:footnoteReference w:id="1"/>
      </w:r>
    </w:p>
    <w:p w14:paraId="2A901B11" w14:textId="459B8498" w:rsidR="00D07277" w:rsidRDefault="00EF1D74" w:rsidP="00D07277">
      <w:pPr>
        <w:keepNext/>
        <w:keepLines/>
        <w:spacing w:before="240" w:after="240" w:line="259" w:lineRule="auto"/>
        <w:ind w:firstLine="0"/>
        <w:jc w:val="center"/>
        <w:outlineLvl w:val="1"/>
        <w:rPr>
          <w:b/>
          <w:sz w:val="36"/>
          <w:szCs w:val="36"/>
        </w:rPr>
      </w:pPr>
      <w:bookmarkStart w:id="1" w:name="_Toc279341937"/>
      <w:bookmarkStart w:id="2" w:name="_Toc279341938"/>
      <w:bookmarkStart w:id="3" w:name="_Toc279341940"/>
      <w:r w:rsidRPr="00EF1D74">
        <w:rPr>
          <w:b/>
          <w:sz w:val="36"/>
          <w:szCs w:val="36"/>
        </w:rPr>
        <w:t>1.1. Ārējā ekonomiskā vide</w:t>
      </w:r>
      <w:bookmarkEnd w:id="1"/>
    </w:p>
    <w:p w14:paraId="38BFB56F" w14:textId="77777777" w:rsidR="00D07277" w:rsidRPr="00820436" w:rsidRDefault="00D07277" w:rsidP="00D07277">
      <w:pPr>
        <w:ind w:firstLine="720"/>
        <w:rPr>
          <w:rFonts w:eastAsia="Calibri"/>
          <w:szCs w:val="22"/>
        </w:rPr>
      </w:pPr>
      <w:r w:rsidRPr="00820436">
        <w:rPr>
          <w:rFonts w:eastAsia="Calibri"/>
          <w:szCs w:val="22"/>
        </w:rPr>
        <w:t>Pasaules ekonomikas attīstību, kas jau 2019</w:t>
      </w:r>
      <w:r>
        <w:rPr>
          <w:rFonts w:eastAsia="Calibri"/>
          <w:szCs w:val="22"/>
        </w:rPr>
        <w:t>. gad</w:t>
      </w:r>
      <w:r w:rsidRPr="00820436">
        <w:rPr>
          <w:rFonts w:eastAsia="Calibri"/>
          <w:szCs w:val="22"/>
        </w:rPr>
        <w:t>ā bija sākusi nedaudz bremzēties, jau kopš 2020</w:t>
      </w:r>
      <w:r>
        <w:rPr>
          <w:rFonts w:eastAsia="Calibri"/>
          <w:szCs w:val="22"/>
        </w:rPr>
        <w:t>. gad</w:t>
      </w:r>
      <w:r w:rsidRPr="00820436">
        <w:rPr>
          <w:rFonts w:eastAsia="Calibri"/>
          <w:szCs w:val="22"/>
        </w:rPr>
        <w:t xml:space="preserve">a sākuma gandrīz pilnībā noteikusi </w:t>
      </w:r>
      <w:r>
        <w:rPr>
          <w:rFonts w:eastAsia="Calibri"/>
          <w:szCs w:val="22"/>
        </w:rPr>
        <w:t>Covid</w:t>
      </w:r>
      <w:r>
        <w:rPr>
          <w:rFonts w:eastAsia="Calibri"/>
          <w:szCs w:val="22"/>
        </w:rPr>
        <w:noBreakHyphen/>
        <w:t>19</w:t>
      </w:r>
      <w:r w:rsidRPr="00820436">
        <w:rPr>
          <w:rFonts w:eastAsia="Calibri"/>
          <w:szCs w:val="22"/>
        </w:rPr>
        <w:t xml:space="preserve"> pandēmija – gan slimības izplatības samazināšanai noteiktie ierobežojumi, gan vakcīnu izstrādāšana un vakcinācijas uzsākšana, gan valstu sniegtie atbalsta pasākumi </w:t>
      </w:r>
      <w:r>
        <w:rPr>
          <w:rFonts w:eastAsia="Calibri"/>
          <w:szCs w:val="22"/>
        </w:rPr>
        <w:t>uzņēmējiem</w:t>
      </w:r>
      <w:r w:rsidRPr="00820436">
        <w:rPr>
          <w:rFonts w:eastAsia="Calibri"/>
          <w:szCs w:val="22"/>
        </w:rPr>
        <w:t xml:space="preserve"> un iedzīvotājiem. 2020</w:t>
      </w:r>
      <w:r>
        <w:rPr>
          <w:rFonts w:eastAsia="Calibri"/>
          <w:szCs w:val="22"/>
        </w:rPr>
        <w:t>. gad</w:t>
      </w:r>
      <w:r w:rsidRPr="00820436">
        <w:rPr>
          <w:rFonts w:eastAsia="Calibri"/>
          <w:szCs w:val="22"/>
        </w:rPr>
        <w:t>ā pasaules ekonomika piedzīvoja 3,2% kritumu, kas bija smagāks nekā finanšu krīzes laikā 2009</w:t>
      </w:r>
      <w:r>
        <w:rPr>
          <w:rFonts w:eastAsia="Calibri"/>
          <w:szCs w:val="22"/>
        </w:rPr>
        <w:t>. gad</w:t>
      </w:r>
      <w:r w:rsidRPr="00820436">
        <w:rPr>
          <w:rFonts w:eastAsia="Calibri"/>
          <w:szCs w:val="22"/>
        </w:rPr>
        <w:t>ā, kad pasaules ekonomika saruka par 0,1%. Tomēr kritums</w:t>
      </w:r>
      <w:r>
        <w:rPr>
          <w:rFonts w:eastAsia="Calibri"/>
          <w:szCs w:val="22"/>
        </w:rPr>
        <w:t xml:space="preserve"> </w:t>
      </w:r>
      <w:r w:rsidRPr="00820436">
        <w:rPr>
          <w:rFonts w:eastAsia="Calibri"/>
          <w:szCs w:val="22"/>
        </w:rPr>
        <w:t>izrādījās mazāks nekā sākotnēji sagaidīts, un arī izaugsmes atjaunošanās šogad notiek straujāk.</w:t>
      </w:r>
    </w:p>
    <w:p w14:paraId="2DA04628" w14:textId="77777777" w:rsidR="00D07277" w:rsidRPr="00820436" w:rsidRDefault="00D07277" w:rsidP="00D07277">
      <w:pPr>
        <w:ind w:firstLine="720"/>
        <w:rPr>
          <w:rFonts w:eastAsia="Calibri"/>
          <w:szCs w:val="22"/>
        </w:rPr>
      </w:pPr>
      <w:r w:rsidRPr="00820436">
        <w:rPr>
          <w:rFonts w:eastAsia="Calibri"/>
          <w:szCs w:val="22"/>
        </w:rPr>
        <w:t>Jau visu pagājušā gada otro pusi pasaules ekonomiskās attīstības prognozes tika pakāpeniski paaugstinātas un arī šogad Starptautiskais Valūtas fonds (SVF) vairākas reizes paaugstināja globālās izaugsmes prognozi 2021</w:t>
      </w:r>
      <w:r>
        <w:rPr>
          <w:rFonts w:eastAsia="Calibri"/>
          <w:szCs w:val="22"/>
        </w:rPr>
        <w:t>. gad</w:t>
      </w:r>
      <w:r w:rsidRPr="00820436">
        <w:rPr>
          <w:rFonts w:eastAsia="Calibri"/>
          <w:szCs w:val="22"/>
        </w:rPr>
        <w:t>am. Atbilstoši jaunākajām, jūlijā publiskotajām SVF prognozēm, pasaules ekonomika šogad pieaugs par 6,0%, bet 2022</w:t>
      </w:r>
      <w:r>
        <w:rPr>
          <w:rFonts w:eastAsia="Calibri"/>
          <w:szCs w:val="22"/>
        </w:rPr>
        <w:t>. gad</w:t>
      </w:r>
      <w:r w:rsidRPr="00820436">
        <w:rPr>
          <w:rFonts w:eastAsia="Calibri"/>
          <w:szCs w:val="22"/>
        </w:rPr>
        <w:t>ā izaugsme kļūs nedaudz lēnāka, veidojot 4,9%. Salīdzinājumā ar iepriekšējām, aprī</w:t>
      </w:r>
      <w:r>
        <w:rPr>
          <w:rFonts w:eastAsia="Calibri"/>
          <w:szCs w:val="22"/>
        </w:rPr>
        <w:t>ļa</w:t>
      </w:r>
      <w:r w:rsidRPr="00820436">
        <w:rPr>
          <w:rFonts w:eastAsia="Calibri"/>
          <w:szCs w:val="22"/>
        </w:rPr>
        <w:t xml:space="preserve"> prognozēm, kopējā pasaules ekonomikas izaugsmes prognoze šim gadam nav mainījusies. Taču attīstīto valstu, pirmām kārtām ASV un </w:t>
      </w:r>
      <w:proofErr w:type="spellStart"/>
      <w:r w:rsidRPr="00820436">
        <w:rPr>
          <w:rFonts w:eastAsia="Calibri"/>
          <w:szCs w:val="22"/>
        </w:rPr>
        <w:t>eirozonas</w:t>
      </w:r>
      <w:proofErr w:type="spellEnd"/>
      <w:r w:rsidRPr="00820436">
        <w:rPr>
          <w:rFonts w:eastAsia="Calibri"/>
          <w:szCs w:val="22"/>
        </w:rPr>
        <w:t xml:space="preserve"> prognozes ir uzlabojušās, kamēr attīstības valstīm izaugsme tiek prognozēta nedaudz zemāka, īpaši pazeminoties Indijas ekonomikas pieaugumam, bet riski tiek saskatīti arī Ķīnā. Šādu atšķirīgu virzību pašlaik </w:t>
      </w:r>
      <w:r>
        <w:rPr>
          <w:rFonts w:eastAsia="Calibri"/>
          <w:szCs w:val="22"/>
        </w:rPr>
        <w:t>l</w:t>
      </w:r>
      <w:r w:rsidRPr="00820436">
        <w:rPr>
          <w:rFonts w:eastAsia="Calibri"/>
          <w:szCs w:val="22"/>
        </w:rPr>
        <w:t>ielā mērā nosaka atšķirīgā vakcīnu pieejamība, vakcinācijas tempi un pandēmijas izplatības gaita attīstītajās un attīstības valstīs. Būtiska loma šeit ir arī atšķirīgajiem dažādu valstu fiskālā un monetārā atbalsta apjomiem.</w:t>
      </w:r>
    </w:p>
    <w:p w14:paraId="1047585E" w14:textId="77777777" w:rsidR="00D07277" w:rsidRDefault="00D07277" w:rsidP="00D07277">
      <w:pPr>
        <w:ind w:firstLine="720"/>
        <w:rPr>
          <w:rFonts w:eastAsia="Calibri"/>
          <w:szCs w:val="22"/>
        </w:rPr>
      </w:pPr>
      <w:r w:rsidRPr="00820436">
        <w:rPr>
          <w:rFonts w:eastAsia="Calibri"/>
          <w:szCs w:val="22"/>
        </w:rPr>
        <w:t xml:space="preserve">Latvijas ekonomikas attīstību visbūtiskāk ietekmē situācija </w:t>
      </w:r>
      <w:proofErr w:type="spellStart"/>
      <w:r w:rsidRPr="00820436">
        <w:rPr>
          <w:rFonts w:eastAsia="Calibri"/>
          <w:szCs w:val="22"/>
        </w:rPr>
        <w:t>eirozonā</w:t>
      </w:r>
      <w:proofErr w:type="spellEnd"/>
      <w:r w:rsidRPr="00820436">
        <w:rPr>
          <w:rFonts w:eastAsia="Calibri"/>
          <w:szCs w:val="22"/>
        </w:rPr>
        <w:t xml:space="preserve"> un atsevišķās tās galvenajās ārējās tirdzniecības partnervalstīs</w:t>
      </w:r>
      <w:r>
        <w:rPr>
          <w:rFonts w:eastAsia="Calibri"/>
          <w:szCs w:val="22"/>
        </w:rPr>
        <w:t>. S</w:t>
      </w:r>
      <w:r w:rsidRPr="00820436">
        <w:rPr>
          <w:rFonts w:eastAsia="Calibri"/>
          <w:szCs w:val="22"/>
        </w:rPr>
        <w:t xml:space="preserve">traujāka ierobežojumu atcelšana un partnervalstu spēcīgāka ekonomikas izaugsme dod pamatu sagaidīt straujākus attīstības tempus arī Latvijā. Līdzīgi kā pasaulei kopumā, arī </w:t>
      </w:r>
      <w:proofErr w:type="spellStart"/>
      <w:r w:rsidRPr="00820436">
        <w:rPr>
          <w:rFonts w:eastAsia="Calibri"/>
          <w:szCs w:val="22"/>
        </w:rPr>
        <w:t>eirozonai</w:t>
      </w:r>
      <w:proofErr w:type="spellEnd"/>
      <w:r w:rsidRPr="00820436">
        <w:rPr>
          <w:rFonts w:eastAsia="Calibri"/>
          <w:szCs w:val="22"/>
        </w:rPr>
        <w:t xml:space="preserve"> ekonomikas izaugsmes prognozes jau kopš pagājušā gada vidus tiek arvien paaugstinātas, un pēc EK pēdējām, 2021</w:t>
      </w:r>
      <w:r>
        <w:rPr>
          <w:rFonts w:eastAsia="Calibri"/>
          <w:szCs w:val="22"/>
        </w:rPr>
        <w:t>. gad</w:t>
      </w:r>
      <w:r w:rsidRPr="00820436">
        <w:rPr>
          <w:rFonts w:eastAsia="Calibri"/>
          <w:szCs w:val="22"/>
        </w:rPr>
        <w:t xml:space="preserve">a vasaras prognozēm, </w:t>
      </w:r>
      <w:proofErr w:type="spellStart"/>
      <w:r w:rsidRPr="00820436">
        <w:rPr>
          <w:rFonts w:eastAsia="Calibri"/>
          <w:szCs w:val="22"/>
        </w:rPr>
        <w:t>eirozonas</w:t>
      </w:r>
      <w:proofErr w:type="spellEnd"/>
      <w:r w:rsidRPr="00820436">
        <w:rPr>
          <w:rFonts w:eastAsia="Calibri"/>
          <w:szCs w:val="22"/>
        </w:rPr>
        <w:t xml:space="preserve"> ekonomika šogad pieaugs par 4,8% un nākamgad </w:t>
      </w:r>
      <w:r>
        <w:rPr>
          <w:rFonts w:eastAsia="Calibri"/>
          <w:szCs w:val="22"/>
        </w:rPr>
        <w:t>–</w:t>
      </w:r>
      <w:r w:rsidRPr="00820436">
        <w:rPr>
          <w:rFonts w:eastAsia="Calibri"/>
          <w:szCs w:val="22"/>
        </w:rPr>
        <w:t xml:space="preserve"> par 4,5%, kas ir attiecīgi par 0,6 procentpunktiem un 1,5 procentpunktiem vairāk, nekā EK bija prognozējusi šā gada februārī. Desmit Latvijas lielāko eksporta partnervalstu – Lietuvas, Igaunijas, Krievijas, Vācijas, Zviedrijas, Apvienotās Karalistes, Dānijas, Polijas, Nīderlandes un Somijas – kopējā vidēji svērtā ekonomikas izaugsmes prognoze 2021</w:t>
      </w:r>
      <w:r>
        <w:rPr>
          <w:rFonts w:eastAsia="Calibri"/>
          <w:szCs w:val="22"/>
        </w:rPr>
        <w:t>. gad</w:t>
      </w:r>
      <w:r w:rsidRPr="00820436">
        <w:rPr>
          <w:rFonts w:eastAsia="Calibri"/>
          <w:szCs w:val="22"/>
        </w:rPr>
        <w:t>am bija par 1,5 procentpunktiem augstāka nekā februārī un 2022</w:t>
      </w:r>
      <w:r>
        <w:rPr>
          <w:rFonts w:eastAsia="Calibri"/>
          <w:szCs w:val="22"/>
        </w:rPr>
        <w:t>. gad</w:t>
      </w:r>
      <w:r w:rsidRPr="00820436">
        <w:rPr>
          <w:rFonts w:eastAsia="Calibri"/>
          <w:szCs w:val="22"/>
        </w:rPr>
        <w:t>am – par 0,3 procentpunktiem augstāka.</w:t>
      </w:r>
    </w:p>
    <w:p w14:paraId="1B2437BC" w14:textId="4F8BF9D6" w:rsidR="00D07277" w:rsidRDefault="00D07277" w:rsidP="00D07277">
      <w:pPr>
        <w:spacing w:before="120"/>
        <w:ind w:firstLine="720"/>
        <w:jc w:val="center"/>
        <w:rPr>
          <w:b/>
          <w:i/>
        </w:rPr>
      </w:pPr>
      <w:r w:rsidRPr="00464220">
        <w:rPr>
          <w:b/>
          <w:i/>
        </w:rPr>
        <w:t>1.1. tabula</w:t>
      </w:r>
      <w:r w:rsidRPr="00306CFE">
        <w:rPr>
          <w:b/>
          <w:i/>
        </w:rPr>
        <w:t xml:space="preserve"> </w:t>
      </w:r>
      <w:r w:rsidRPr="00552461">
        <w:rPr>
          <w:b/>
        </w:rPr>
        <w:t>IKP pieauguma prognozes 2021. un 2022</w:t>
      </w:r>
      <w:r>
        <w:rPr>
          <w:b/>
        </w:rPr>
        <w:t>. gad</w:t>
      </w:r>
      <w:r w:rsidRPr="00552461">
        <w:rPr>
          <w:b/>
        </w:rPr>
        <w:t>am</w:t>
      </w:r>
    </w:p>
    <w:tbl>
      <w:tblPr>
        <w:tblStyle w:val="TableGrid"/>
        <w:tblW w:w="0" w:type="auto"/>
        <w:tblLook w:val="04A0" w:firstRow="1" w:lastRow="0" w:firstColumn="1" w:lastColumn="0" w:noHBand="0" w:noVBand="1"/>
      </w:tblPr>
      <w:tblGrid>
        <w:gridCol w:w="1510"/>
        <w:gridCol w:w="1510"/>
        <w:gridCol w:w="1510"/>
        <w:gridCol w:w="1510"/>
        <w:gridCol w:w="1510"/>
        <w:gridCol w:w="1511"/>
      </w:tblGrid>
      <w:tr w:rsidR="002E0797" w14:paraId="797A5147" w14:textId="77777777" w:rsidTr="002E0797">
        <w:trPr>
          <w:tblHeader/>
        </w:trPr>
        <w:tc>
          <w:tcPr>
            <w:tcW w:w="1510" w:type="dxa"/>
            <w:vMerge w:val="restart"/>
            <w:vAlign w:val="center"/>
          </w:tcPr>
          <w:p w14:paraId="716249BC" w14:textId="6A82D11E" w:rsidR="002E0797" w:rsidRDefault="002E0797" w:rsidP="002E0797">
            <w:pPr>
              <w:spacing w:after="0"/>
              <w:ind w:firstLine="0"/>
              <w:jc w:val="center"/>
              <w:rPr>
                <w:rFonts w:eastAsia="Calibri"/>
                <w:szCs w:val="22"/>
              </w:rPr>
            </w:pPr>
            <w:r w:rsidRPr="00052D2B">
              <w:rPr>
                <w:rFonts w:eastAsia="Calibri"/>
                <w:b/>
                <w:sz w:val="18"/>
                <w:szCs w:val="18"/>
                <w:lang w:eastAsia="lv-LV"/>
              </w:rPr>
              <w:t>Valsts</w:t>
            </w:r>
          </w:p>
        </w:tc>
        <w:tc>
          <w:tcPr>
            <w:tcW w:w="1510" w:type="dxa"/>
            <w:vMerge w:val="restart"/>
          </w:tcPr>
          <w:p w14:paraId="62B3B013" w14:textId="6CE0C23F" w:rsidR="002E0797" w:rsidRDefault="002E0797" w:rsidP="002E0797">
            <w:pPr>
              <w:spacing w:after="0"/>
              <w:ind w:firstLine="0"/>
              <w:jc w:val="center"/>
              <w:rPr>
                <w:rFonts w:eastAsia="Calibri"/>
                <w:szCs w:val="22"/>
              </w:rPr>
            </w:pPr>
            <w:r w:rsidRPr="00052D2B">
              <w:rPr>
                <w:rFonts w:eastAsia="Calibri"/>
                <w:b/>
                <w:sz w:val="18"/>
                <w:szCs w:val="18"/>
                <w:lang w:eastAsia="lv-LV"/>
              </w:rPr>
              <w:t>Īpatsvars kopējā Latvijas eksportā 2020</w:t>
            </w:r>
            <w:r>
              <w:rPr>
                <w:rFonts w:eastAsia="Calibri"/>
                <w:b/>
                <w:sz w:val="18"/>
                <w:szCs w:val="18"/>
                <w:lang w:eastAsia="lv-LV"/>
              </w:rPr>
              <w:t>. gad</w:t>
            </w:r>
            <w:r w:rsidRPr="00052D2B">
              <w:rPr>
                <w:rFonts w:eastAsia="Calibri"/>
                <w:b/>
                <w:sz w:val="18"/>
                <w:szCs w:val="18"/>
                <w:lang w:eastAsia="lv-LV"/>
              </w:rPr>
              <w:t>ā</w:t>
            </w:r>
            <w:r>
              <w:rPr>
                <w:rFonts w:eastAsia="Calibri"/>
                <w:b/>
                <w:sz w:val="18"/>
                <w:szCs w:val="18"/>
                <w:lang w:eastAsia="lv-LV"/>
              </w:rPr>
              <w:t xml:space="preserve"> (%)</w:t>
            </w:r>
          </w:p>
        </w:tc>
        <w:tc>
          <w:tcPr>
            <w:tcW w:w="3020" w:type="dxa"/>
            <w:gridSpan w:val="2"/>
            <w:vAlign w:val="center"/>
          </w:tcPr>
          <w:p w14:paraId="044A60A3" w14:textId="77777777" w:rsidR="002E0797" w:rsidRPr="00052D2B" w:rsidRDefault="002E0797" w:rsidP="002E0797">
            <w:pPr>
              <w:spacing w:after="0"/>
              <w:ind w:firstLine="0"/>
              <w:jc w:val="center"/>
              <w:rPr>
                <w:rFonts w:eastAsia="Calibri"/>
                <w:b/>
                <w:sz w:val="18"/>
                <w:szCs w:val="18"/>
                <w:lang w:eastAsia="lv-LV"/>
              </w:rPr>
            </w:pPr>
            <w:r w:rsidRPr="00052D2B">
              <w:rPr>
                <w:rFonts w:eastAsia="Calibri"/>
                <w:b/>
                <w:sz w:val="18"/>
                <w:szCs w:val="18"/>
                <w:lang w:eastAsia="lv-LV"/>
              </w:rPr>
              <w:t>IKP pieauguma prognoze salīdzināmās cenās</w:t>
            </w:r>
            <w:r>
              <w:rPr>
                <w:rFonts w:eastAsia="Calibri"/>
                <w:b/>
                <w:sz w:val="18"/>
                <w:szCs w:val="18"/>
                <w:lang w:eastAsia="lv-LV"/>
              </w:rPr>
              <w:t xml:space="preserve"> (g/g, %)</w:t>
            </w:r>
          </w:p>
          <w:p w14:paraId="3E3C8E74" w14:textId="3469FAD9" w:rsidR="002E0797" w:rsidRDefault="002E0797" w:rsidP="002E0797">
            <w:pPr>
              <w:spacing w:after="0"/>
              <w:ind w:firstLine="0"/>
              <w:jc w:val="center"/>
              <w:rPr>
                <w:rFonts w:eastAsia="Calibri"/>
                <w:szCs w:val="22"/>
              </w:rPr>
            </w:pPr>
            <w:r w:rsidRPr="00052D2B">
              <w:rPr>
                <w:rFonts w:eastAsia="Calibri"/>
                <w:b/>
                <w:sz w:val="18"/>
                <w:szCs w:val="18"/>
                <w:lang w:eastAsia="lv-LV"/>
              </w:rPr>
              <w:t>EK, 2021</w:t>
            </w:r>
            <w:r>
              <w:rPr>
                <w:rFonts w:eastAsia="Calibri"/>
                <w:b/>
                <w:sz w:val="18"/>
                <w:szCs w:val="18"/>
                <w:lang w:eastAsia="lv-LV"/>
              </w:rPr>
              <w:t>. gad</w:t>
            </w:r>
            <w:r w:rsidRPr="00052D2B">
              <w:rPr>
                <w:rFonts w:eastAsia="Calibri"/>
                <w:b/>
                <w:sz w:val="18"/>
                <w:szCs w:val="18"/>
                <w:lang w:eastAsia="lv-LV"/>
              </w:rPr>
              <w:t>a jūlijs</w:t>
            </w:r>
          </w:p>
        </w:tc>
        <w:tc>
          <w:tcPr>
            <w:tcW w:w="3021" w:type="dxa"/>
            <w:gridSpan w:val="2"/>
          </w:tcPr>
          <w:p w14:paraId="7382BC2F" w14:textId="17CB497B" w:rsidR="002E0797" w:rsidRDefault="002E0797" w:rsidP="002E0797">
            <w:pPr>
              <w:spacing w:after="0"/>
              <w:ind w:firstLine="0"/>
              <w:jc w:val="center"/>
              <w:rPr>
                <w:rFonts w:eastAsia="Calibri"/>
                <w:szCs w:val="22"/>
              </w:rPr>
            </w:pPr>
            <w:r w:rsidRPr="00052D2B">
              <w:rPr>
                <w:rFonts w:eastAsia="Calibri"/>
                <w:b/>
                <w:sz w:val="18"/>
                <w:szCs w:val="18"/>
                <w:lang w:eastAsia="lv-LV"/>
              </w:rPr>
              <w:t>Izmaiņas pret EK 2021</w:t>
            </w:r>
            <w:r>
              <w:rPr>
                <w:rFonts w:eastAsia="Calibri"/>
                <w:b/>
                <w:sz w:val="18"/>
                <w:szCs w:val="18"/>
                <w:lang w:eastAsia="lv-LV"/>
              </w:rPr>
              <w:t>. gada februāra prognozēm (</w:t>
            </w:r>
            <w:r w:rsidRPr="00052D2B">
              <w:rPr>
                <w:rFonts w:eastAsia="Calibri"/>
                <w:b/>
                <w:sz w:val="18"/>
                <w:szCs w:val="18"/>
                <w:lang w:eastAsia="lv-LV"/>
              </w:rPr>
              <w:t>procentpunkti</w:t>
            </w:r>
            <w:r>
              <w:rPr>
                <w:rFonts w:eastAsia="Calibri"/>
                <w:b/>
                <w:sz w:val="18"/>
                <w:szCs w:val="18"/>
                <w:lang w:eastAsia="lv-LV"/>
              </w:rPr>
              <w:t>)</w:t>
            </w:r>
          </w:p>
        </w:tc>
      </w:tr>
      <w:tr w:rsidR="002E0797" w14:paraId="5143A255" w14:textId="77777777" w:rsidTr="002E0797">
        <w:trPr>
          <w:tblHeader/>
        </w:trPr>
        <w:tc>
          <w:tcPr>
            <w:tcW w:w="1510" w:type="dxa"/>
            <w:vMerge/>
          </w:tcPr>
          <w:p w14:paraId="648D1AE2" w14:textId="77777777" w:rsidR="002E0797" w:rsidRDefault="002E0797" w:rsidP="002E0797">
            <w:pPr>
              <w:spacing w:after="0"/>
              <w:ind w:firstLine="0"/>
              <w:rPr>
                <w:rFonts w:eastAsia="Calibri"/>
                <w:szCs w:val="22"/>
              </w:rPr>
            </w:pPr>
          </w:p>
        </w:tc>
        <w:tc>
          <w:tcPr>
            <w:tcW w:w="1510" w:type="dxa"/>
            <w:vMerge/>
          </w:tcPr>
          <w:p w14:paraId="144D4751" w14:textId="77777777" w:rsidR="002E0797" w:rsidRDefault="002E0797" w:rsidP="002E0797">
            <w:pPr>
              <w:spacing w:after="0"/>
              <w:ind w:firstLine="0"/>
              <w:rPr>
                <w:rFonts w:eastAsia="Calibri"/>
                <w:szCs w:val="22"/>
              </w:rPr>
            </w:pPr>
          </w:p>
        </w:tc>
        <w:tc>
          <w:tcPr>
            <w:tcW w:w="1510" w:type="dxa"/>
            <w:vAlign w:val="center"/>
          </w:tcPr>
          <w:p w14:paraId="73B5A186" w14:textId="5A4F4E9A" w:rsidR="002E0797" w:rsidRPr="002E0797" w:rsidRDefault="002E0797" w:rsidP="002E0797">
            <w:pPr>
              <w:spacing w:after="0"/>
              <w:ind w:firstLine="0"/>
              <w:jc w:val="center"/>
              <w:rPr>
                <w:rFonts w:eastAsia="Calibri"/>
                <w:b/>
                <w:bCs/>
                <w:sz w:val="18"/>
                <w:szCs w:val="16"/>
              </w:rPr>
            </w:pPr>
            <w:r w:rsidRPr="002E0797">
              <w:rPr>
                <w:rFonts w:eastAsia="Calibri"/>
                <w:b/>
                <w:bCs/>
                <w:sz w:val="18"/>
                <w:szCs w:val="16"/>
              </w:rPr>
              <w:t>2021</w:t>
            </w:r>
          </w:p>
        </w:tc>
        <w:tc>
          <w:tcPr>
            <w:tcW w:w="1510" w:type="dxa"/>
            <w:vAlign w:val="center"/>
          </w:tcPr>
          <w:p w14:paraId="1A028D3D" w14:textId="39DC21E7" w:rsidR="002E0797" w:rsidRPr="002E0797" w:rsidRDefault="002E0797" w:rsidP="002E0797">
            <w:pPr>
              <w:spacing w:after="0"/>
              <w:ind w:firstLine="0"/>
              <w:jc w:val="center"/>
              <w:rPr>
                <w:rFonts w:eastAsia="Calibri"/>
                <w:b/>
                <w:bCs/>
                <w:sz w:val="18"/>
                <w:szCs w:val="16"/>
              </w:rPr>
            </w:pPr>
            <w:r>
              <w:rPr>
                <w:rFonts w:eastAsia="Calibri"/>
                <w:b/>
                <w:bCs/>
                <w:sz w:val="18"/>
                <w:szCs w:val="16"/>
              </w:rPr>
              <w:t>2022</w:t>
            </w:r>
          </w:p>
        </w:tc>
        <w:tc>
          <w:tcPr>
            <w:tcW w:w="1510" w:type="dxa"/>
            <w:vAlign w:val="center"/>
          </w:tcPr>
          <w:p w14:paraId="6EF124DD" w14:textId="6C4BECBC" w:rsidR="002E0797" w:rsidRPr="002E0797" w:rsidRDefault="002E0797" w:rsidP="002E0797">
            <w:pPr>
              <w:spacing w:after="0"/>
              <w:ind w:firstLine="0"/>
              <w:jc w:val="center"/>
              <w:rPr>
                <w:rFonts w:eastAsia="Calibri"/>
                <w:b/>
                <w:bCs/>
                <w:sz w:val="18"/>
                <w:szCs w:val="16"/>
              </w:rPr>
            </w:pPr>
            <w:r w:rsidRPr="002E0797">
              <w:rPr>
                <w:rFonts w:eastAsia="Calibri"/>
                <w:b/>
                <w:bCs/>
                <w:sz w:val="18"/>
                <w:szCs w:val="16"/>
              </w:rPr>
              <w:t>2021</w:t>
            </w:r>
          </w:p>
        </w:tc>
        <w:tc>
          <w:tcPr>
            <w:tcW w:w="1511" w:type="dxa"/>
            <w:vAlign w:val="center"/>
          </w:tcPr>
          <w:p w14:paraId="34202BF8" w14:textId="44DBD8A9" w:rsidR="002E0797" w:rsidRPr="002E0797" w:rsidRDefault="002E0797" w:rsidP="002E0797">
            <w:pPr>
              <w:spacing w:after="0"/>
              <w:ind w:firstLine="0"/>
              <w:jc w:val="center"/>
              <w:rPr>
                <w:rFonts w:eastAsia="Calibri"/>
                <w:b/>
                <w:bCs/>
                <w:sz w:val="18"/>
                <w:szCs w:val="16"/>
              </w:rPr>
            </w:pPr>
            <w:r w:rsidRPr="002E0797">
              <w:rPr>
                <w:rFonts w:eastAsia="Calibri"/>
                <w:b/>
                <w:bCs/>
                <w:sz w:val="18"/>
                <w:szCs w:val="16"/>
              </w:rPr>
              <w:t>2022</w:t>
            </w:r>
          </w:p>
        </w:tc>
      </w:tr>
      <w:tr w:rsidR="002E0797" w14:paraId="49C6E4B3" w14:textId="77777777" w:rsidTr="00EE16B4">
        <w:tc>
          <w:tcPr>
            <w:tcW w:w="1510" w:type="dxa"/>
            <w:vAlign w:val="center"/>
          </w:tcPr>
          <w:p w14:paraId="2AB77D88" w14:textId="0E9F6195" w:rsidR="002E0797" w:rsidRDefault="002E0797" w:rsidP="002E0797">
            <w:pPr>
              <w:spacing w:after="0"/>
              <w:ind w:firstLine="0"/>
              <w:jc w:val="center"/>
              <w:rPr>
                <w:rFonts w:eastAsia="Calibri"/>
                <w:szCs w:val="22"/>
              </w:rPr>
            </w:pPr>
            <w:r w:rsidRPr="00EB6221">
              <w:rPr>
                <w:rFonts w:eastAsia="Calibri"/>
                <w:sz w:val="18"/>
                <w:szCs w:val="18"/>
                <w:lang w:eastAsia="lv-LV"/>
              </w:rPr>
              <w:t>Lietuva</w:t>
            </w:r>
          </w:p>
        </w:tc>
        <w:tc>
          <w:tcPr>
            <w:tcW w:w="1510" w:type="dxa"/>
            <w:vAlign w:val="center"/>
          </w:tcPr>
          <w:p w14:paraId="5C579E66" w14:textId="33BCADC2" w:rsidR="002E0797" w:rsidRDefault="002E0797" w:rsidP="002E0797">
            <w:pPr>
              <w:spacing w:after="0"/>
              <w:ind w:firstLine="0"/>
              <w:jc w:val="right"/>
              <w:rPr>
                <w:rFonts w:eastAsia="Calibri"/>
                <w:szCs w:val="22"/>
              </w:rPr>
            </w:pPr>
            <w:r w:rsidRPr="00EB6221">
              <w:rPr>
                <w:rFonts w:eastAsia="Calibri"/>
                <w:sz w:val="18"/>
                <w:szCs w:val="18"/>
                <w:lang w:eastAsia="lv-LV"/>
              </w:rPr>
              <w:t>16,4</w:t>
            </w:r>
          </w:p>
        </w:tc>
        <w:tc>
          <w:tcPr>
            <w:tcW w:w="1510" w:type="dxa"/>
            <w:vAlign w:val="center"/>
          </w:tcPr>
          <w:p w14:paraId="2864A0A6" w14:textId="6862A88A" w:rsidR="002E0797" w:rsidRDefault="002E0797" w:rsidP="002E0797">
            <w:pPr>
              <w:spacing w:after="0"/>
              <w:ind w:firstLine="0"/>
              <w:jc w:val="right"/>
              <w:rPr>
                <w:rFonts w:eastAsia="Calibri"/>
                <w:szCs w:val="22"/>
              </w:rPr>
            </w:pPr>
            <w:r w:rsidRPr="00EB6221">
              <w:rPr>
                <w:rFonts w:eastAsia="Calibri"/>
                <w:sz w:val="18"/>
                <w:szCs w:val="18"/>
                <w:lang w:eastAsia="lv-LV"/>
              </w:rPr>
              <w:t>-7,1</w:t>
            </w:r>
          </w:p>
        </w:tc>
        <w:tc>
          <w:tcPr>
            <w:tcW w:w="1510" w:type="dxa"/>
            <w:vAlign w:val="center"/>
          </w:tcPr>
          <w:p w14:paraId="3773C1DE" w14:textId="2BE8B7C3" w:rsidR="002E0797" w:rsidRDefault="002E0797" w:rsidP="002E0797">
            <w:pPr>
              <w:spacing w:after="0"/>
              <w:ind w:firstLine="0"/>
              <w:jc w:val="right"/>
              <w:rPr>
                <w:rFonts w:eastAsia="Calibri"/>
                <w:szCs w:val="22"/>
              </w:rPr>
            </w:pPr>
            <w:r w:rsidRPr="00EB6221">
              <w:rPr>
                <w:rFonts w:eastAsia="Calibri"/>
                <w:sz w:val="18"/>
                <w:szCs w:val="18"/>
                <w:lang w:eastAsia="lv-LV"/>
              </w:rPr>
              <w:t>6,7</w:t>
            </w:r>
          </w:p>
        </w:tc>
        <w:tc>
          <w:tcPr>
            <w:tcW w:w="1510" w:type="dxa"/>
            <w:vAlign w:val="center"/>
          </w:tcPr>
          <w:p w14:paraId="6EE13903" w14:textId="19DE7076" w:rsidR="002E0797" w:rsidRDefault="002E0797" w:rsidP="002E0797">
            <w:pPr>
              <w:spacing w:after="0"/>
              <w:ind w:firstLine="0"/>
              <w:jc w:val="right"/>
              <w:rPr>
                <w:rFonts w:eastAsia="Calibri"/>
                <w:szCs w:val="22"/>
              </w:rPr>
            </w:pPr>
            <w:r w:rsidRPr="00EB6221">
              <w:rPr>
                <w:rFonts w:eastAsia="Calibri"/>
                <w:sz w:val="18"/>
                <w:szCs w:val="18"/>
                <w:lang w:eastAsia="lv-LV"/>
              </w:rPr>
              <w:t>1,6</w:t>
            </w:r>
          </w:p>
        </w:tc>
        <w:tc>
          <w:tcPr>
            <w:tcW w:w="1511" w:type="dxa"/>
            <w:vAlign w:val="center"/>
          </w:tcPr>
          <w:p w14:paraId="51552059" w14:textId="058D1053" w:rsidR="002E0797" w:rsidRDefault="002E0797" w:rsidP="002E0797">
            <w:pPr>
              <w:spacing w:after="0"/>
              <w:ind w:firstLine="0"/>
              <w:jc w:val="right"/>
              <w:rPr>
                <w:rFonts w:eastAsia="Calibri"/>
                <w:szCs w:val="22"/>
              </w:rPr>
            </w:pPr>
            <w:r w:rsidRPr="00EB6221">
              <w:rPr>
                <w:rFonts w:eastAsia="Calibri"/>
                <w:sz w:val="18"/>
                <w:szCs w:val="18"/>
                <w:lang w:eastAsia="lv-LV"/>
              </w:rPr>
              <w:t>0,8</w:t>
            </w:r>
          </w:p>
        </w:tc>
      </w:tr>
      <w:tr w:rsidR="002E0797" w14:paraId="40E4C151" w14:textId="77777777" w:rsidTr="00EE16B4">
        <w:tc>
          <w:tcPr>
            <w:tcW w:w="1510" w:type="dxa"/>
            <w:vAlign w:val="center"/>
          </w:tcPr>
          <w:p w14:paraId="6E409638" w14:textId="136F52B2" w:rsidR="002E0797" w:rsidRDefault="002E0797" w:rsidP="002E0797">
            <w:pPr>
              <w:spacing w:after="0"/>
              <w:ind w:firstLine="0"/>
              <w:jc w:val="center"/>
              <w:rPr>
                <w:rFonts w:eastAsia="Calibri"/>
                <w:szCs w:val="22"/>
              </w:rPr>
            </w:pPr>
            <w:r w:rsidRPr="00EB6221">
              <w:rPr>
                <w:rFonts w:eastAsia="Calibri"/>
                <w:sz w:val="18"/>
                <w:szCs w:val="18"/>
                <w:lang w:eastAsia="lv-LV"/>
              </w:rPr>
              <w:t>Igaunija</w:t>
            </w:r>
          </w:p>
        </w:tc>
        <w:tc>
          <w:tcPr>
            <w:tcW w:w="1510" w:type="dxa"/>
            <w:vAlign w:val="center"/>
          </w:tcPr>
          <w:p w14:paraId="3ECFD176" w14:textId="0FB7EF23" w:rsidR="002E0797" w:rsidRDefault="002E0797" w:rsidP="002E0797">
            <w:pPr>
              <w:spacing w:after="0"/>
              <w:ind w:firstLine="0"/>
              <w:jc w:val="right"/>
              <w:rPr>
                <w:rFonts w:eastAsia="Calibri"/>
                <w:szCs w:val="22"/>
              </w:rPr>
            </w:pPr>
            <w:r w:rsidRPr="00EB6221">
              <w:rPr>
                <w:rFonts w:eastAsia="Calibri"/>
                <w:sz w:val="18"/>
                <w:szCs w:val="18"/>
                <w:lang w:eastAsia="lv-LV"/>
              </w:rPr>
              <w:t>11,7</w:t>
            </w:r>
          </w:p>
        </w:tc>
        <w:tc>
          <w:tcPr>
            <w:tcW w:w="1510" w:type="dxa"/>
            <w:vAlign w:val="center"/>
          </w:tcPr>
          <w:p w14:paraId="45A38418" w14:textId="1E5DC0EC" w:rsidR="002E0797" w:rsidRDefault="002E0797" w:rsidP="002E0797">
            <w:pPr>
              <w:spacing w:after="0"/>
              <w:ind w:firstLine="0"/>
              <w:jc w:val="right"/>
              <w:rPr>
                <w:rFonts w:eastAsia="Calibri"/>
                <w:szCs w:val="22"/>
              </w:rPr>
            </w:pPr>
            <w:r w:rsidRPr="00EB6221">
              <w:rPr>
                <w:rFonts w:eastAsia="Calibri"/>
                <w:sz w:val="18"/>
                <w:szCs w:val="18"/>
                <w:lang w:eastAsia="lv-LV"/>
              </w:rPr>
              <w:t>-7,7</w:t>
            </w:r>
          </w:p>
        </w:tc>
        <w:tc>
          <w:tcPr>
            <w:tcW w:w="1510" w:type="dxa"/>
            <w:vAlign w:val="center"/>
          </w:tcPr>
          <w:p w14:paraId="2D0F5999" w14:textId="0DBEE1D9" w:rsidR="002E0797" w:rsidRDefault="002E0797" w:rsidP="002E0797">
            <w:pPr>
              <w:spacing w:after="0"/>
              <w:ind w:firstLine="0"/>
              <w:jc w:val="right"/>
              <w:rPr>
                <w:rFonts w:eastAsia="Calibri"/>
                <w:szCs w:val="22"/>
              </w:rPr>
            </w:pPr>
            <w:r w:rsidRPr="00EB6221">
              <w:rPr>
                <w:rFonts w:eastAsia="Calibri"/>
                <w:sz w:val="18"/>
                <w:szCs w:val="18"/>
                <w:lang w:eastAsia="lv-LV"/>
              </w:rPr>
              <w:t>6,2</w:t>
            </w:r>
          </w:p>
        </w:tc>
        <w:tc>
          <w:tcPr>
            <w:tcW w:w="1510" w:type="dxa"/>
            <w:vAlign w:val="center"/>
          </w:tcPr>
          <w:p w14:paraId="40ED03FF" w14:textId="6EEAF993" w:rsidR="002E0797" w:rsidRDefault="002E0797" w:rsidP="002E0797">
            <w:pPr>
              <w:spacing w:after="0"/>
              <w:ind w:firstLine="0"/>
              <w:jc w:val="right"/>
              <w:rPr>
                <w:rFonts w:eastAsia="Calibri"/>
                <w:szCs w:val="22"/>
              </w:rPr>
            </w:pPr>
            <w:r w:rsidRPr="00EB6221">
              <w:rPr>
                <w:rFonts w:eastAsia="Calibri"/>
                <w:sz w:val="18"/>
                <w:szCs w:val="18"/>
                <w:lang w:eastAsia="lv-LV"/>
              </w:rPr>
              <w:t>2,3</w:t>
            </w:r>
          </w:p>
        </w:tc>
        <w:tc>
          <w:tcPr>
            <w:tcW w:w="1511" w:type="dxa"/>
            <w:vAlign w:val="center"/>
          </w:tcPr>
          <w:p w14:paraId="5FBF1711" w14:textId="47758200" w:rsidR="002E0797" w:rsidRDefault="002E0797" w:rsidP="002E0797">
            <w:pPr>
              <w:spacing w:after="0"/>
              <w:ind w:firstLine="0"/>
              <w:jc w:val="right"/>
              <w:rPr>
                <w:rFonts w:eastAsia="Calibri"/>
                <w:szCs w:val="22"/>
              </w:rPr>
            </w:pPr>
            <w:r w:rsidRPr="00EB6221">
              <w:rPr>
                <w:rFonts w:eastAsia="Calibri"/>
                <w:sz w:val="18"/>
                <w:szCs w:val="18"/>
                <w:lang w:eastAsia="lv-LV"/>
              </w:rPr>
              <w:t>0,0</w:t>
            </w:r>
          </w:p>
        </w:tc>
      </w:tr>
      <w:tr w:rsidR="002E0797" w14:paraId="1682F26E" w14:textId="77777777" w:rsidTr="00EE16B4">
        <w:tc>
          <w:tcPr>
            <w:tcW w:w="1510" w:type="dxa"/>
            <w:vAlign w:val="center"/>
          </w:tcPr>
          <w:p w14:paraId="22D9079C" w14:textId="30C427AB" w:rsidR="002E0797" w:rsidRDefault="002E0797" w:rsidP="002E0797">
            <w:pPr>
              <w:spacing w:after="0"/>
              <w:ind w:firstLine="0"/>
              <w:jc w:val="center"/>
              <w:rPr>
                <w:rFonts w:eastAsia="Calibri"/>
                <w:szCs w:val="22"/>
              </w:rPr>
            </w:pPr>
            <w:r w:rsidRPr="00EB6221">
              <w:rPr>
                <w:rFonts w:eastAsia="Calibri"/>
                <w:sz w:val="18"/>
                <w:szCs w:val="18"/>
                <w:lang w:eastAsia="lv-LV"/>
              </w:rPr>
              <w:t>Krievija</w:t>
            </w:r>
          </w:p>
        </w:tc>
        <w:tc>
          <w:tcPr>
            <w:tcW w:w="1510" w:type="dxa"/>
            <w:vAlign w:val="center"/>
          </w:tcPr>
          <w:p w14:paraId="7B05B493" w14:textId="02090EBF" w:rsidR="002E0797" w:rsidRDefault="002E0797" w:rsidP="002E0797">
            <w:pPr>
              <w:spacing w:after="0"/>
              <w:ind w:firstLine="0"/>
              <w:jc w:val="right"/>
              <w:rPr>
                <w:rFonts w:eastAsia="Calibri"/>
                <w:szCs w:val="22"/>
              </w:rPr>
            </w:pPr>
            <w:r w:rsidRPr="00EB6221">
              <w:rPr>
                <w:rFonts w:eastAsia="Calibri"/>
                <w:sz w:val="18"/>
                <w:szCs w:val="18"/>
                <w:lang w:eastAsia="lv-LV"/>
              </w:rPr>
              <w:t>8,5</w:t>
            </w:r>
          </w:p>
        </w:tc>
        <w:tc>
          <w:tcPr>
            <w:tcW w:w="1510" w:type="dxa"/>
            <w:vAlign w:val="center"/>
          </w:tcPr>
          <w:p w14:paraId="24ED617E" w14:textId="30877993" w:rsidR="002E0797" w:rsidRDefault="002E0797" w:rsidP="002E0797">
            <w:pPr>
              <w:spacing w:after="0"/>
              <w:ind w:firstLine="0"/>
              <w:jc w:val="right"/>
              <w:rPr>
                <w:rFonts w:eastAsia="Calibri"/>
                <w:szCs w:val="22"/>
              </w:rPr>
            </w:pPr>
            <w:r w:rsidRPr="00EB6221">
              <w:rPr>
                <w:rFonts w:eastAsia="Calibri"/>
                <w:sz w:val="18"/>
                <w:szCs w:val="18"/>
                <w:lang w:eastAsia="lv-LV"/>
              </w:rPr>
              <w:t>-6,6</w:t>
            </w:r>
          </w:p>
        </w:tc>
        <w:tc>
          <w:tcPr>
            <w:tcW w:w="1510" w:type="dxa"/>
            <w:vAlign w:val="center"/>
          </w:tcPr>
          <w:p w14:paraId="41C1DC71" w14:textId="584FBB1E" w:rsidR="002E0797" w:rsidRDefault="002E0797" w:rsidP="002E0797">
            <w:pPr>
              <w:spacing w:after="0"/>
              <w:ind w:firstLine="0"/>
              <w:jc w:val="right"/>
              <w:rPr>
                <w:rFonts w:eastAsia="Calibri"/>
                <w:szCs w:val="22"/>
              </w:rPr>
            </w:pPr>
            <w:r w:rsidRPr="00EB6221">
              <w:rPr>
                <w:rFonts w:eastAsia="Calibri"/>
                <w:sz w:val="18"/>
                <w:szCs w:val="18"/>
                <w:lang w:eastAsia="lv-LV"/>
              </w:rPr>
              <w:t>1,6</w:t>
            </w:r>
          </w:p>
        </w:tc>
        <w:tc>
          <w:tcPr>
            <w:tcW w:w="1510" w:type="dxa"/>
            <w:vAlign w:val="center"/>
          </w:tcPr>
          <w:p w14:paraId="4532A155" w14:textId="05CA6005" w:rsidR="002E0797" w:rsidRDefault="002E0797" w:rsidP="002E0797">
            <w:pPr>
              <w:spacing w:after="0"/>
              <w:ind w:firstLine="0"/>
              <w:jc w:val="right"/>
              <w:rPr>
                <w:rFonts w:eastAsia="Calibri"/>
                <w:szCs w:val="22"/>
              </w:rPr>
            </w:pPr>
            <w:r w:rsidRPr="00EB6221">
              <w:rPr>
                <w:rFonts w:eastAsia="Calibri"/>
                <w:sz w:val="18"/>
                <w:szCs w:val="18"/>
                <w:lang w:eastAsia="lv-LV"/>
              </w:rPr>
              <w:t>1,4</w:t>
            </w:r>
          </w:p>
        </w:tc>
        <w:tc>
          <w:tcPr>
            <w:tcW w:w="1511" w:type="dxa"/>
            <w:vAlign w:val="center"/>
          </w:tcPr>
          <w:p w14:paraId="42642241" w14:textId="3FD2456E" w:rsidR="002E0797" w:rsidRDefault="002E0797" w:rsidP="002E0797">
            <w:pPr>
              <w:spacing w:after="0"/>
              <w:ind w:firstLine="0"/>
              <w:jc w:val="right"/>
              <w:rPr>
                <w:rFonts w:eastAsia="Calibri"/>
                <w:szCs w:val="22"/>
              </w:rPr>
            </w:pPr>
            <w:r w:rsidRPr="00EB6221">
              <w:rPr>
                <w:rFonts w:eastAsia="Calibri"/>
                <w:sz w:val="18"/>
                <w:szCs w:val="18"/>
                <w:lang w:eastAsia="lv-LV"/>
              </w:rPr>
              <w:t>-0,8</w:t>
            </w:r>
          </w:p>
        </w:tc>
      </w:tr>
      <w:tr w:rsidR="002E0797" w14:paraId="38FC8FEC" w14:textId="77777777" w:rsidTr="00EE16B4">
        <w:tc>
          <w:tcPr>
            <w:tcW w:w="1510" w:type="dxa"/>
            <w:vAlign w:val="center"/>
          </w:tcPr>
          <w:p w14:paraId="389B1F22" w14:textId="70329D04" w:rsidR="002E0797" w:rsidRDefault="002E0797" w:rsidP="002E0797">
            <w:pPr>
              <w:spacing w:after="0"/>
              <w:ind w:firstLine="0"/>
              <w:jc w:val="center"/>
              <w:rPr>
                <w:rFonts w:eastAsia="Calibri"/>
                <w:szCs w:val="22"/>
              </w:rPr>
            </w:pPr>
            <w:r w:rsidRPr="00EB6221">
              <w:rPr>
                <w:rFonts w:eastAsia="Calibri"/>
                <w:sz w:val="18"/>
                <w:szCs w:val="18"/>
                <w:lang w:eastAsia="lv-LV"/>
              </w:rPr>
              <w:t>Vācija</w:t>
            </w:r>
          </w:p>
        </w:tc>
        <w:tc>
          <w:tcPr>
            <w:tcW w:w="1510" w:type="dxa"/>
            <w:vAlign w:val="center"/>
          </w:tcPr>
          <w:p w14:paraId="32062588" w14:textId="00BE6DD9" w:rsidR="002E0797" w:rsidRDefault="002E0797" w:rsidP="002E0797">
            <w:pPr>
              <w:spacing w:after="0"/>
              <w:ind w:firstLine="0"/>
              <w:jc w:val="right"/>
              <w:rPr>
                <w:rFonts w:eastAsia="Calibri"/>
                <w:szCs w:val="22"/>
              </w:rPr>
            </w:pPr>
            <w:r w:rsidRPr="00EB6221">
              <w:rPr>
                <w:rFonts w:eastAsia="Calibri"/>
                <w:sz w:val="18"/>
                <w:szCs w:val="18"/>
                <w:lang w:eastAsia="lv-LV"/>
              </w:rPr>
              <w:t>7,3</w:t>
            </w:r>
          </w:p>
        </w:tc>
        <w:tc>
          <w:tcPr>
            <w:tcW w:w="1510" w:type="dxa"/>
            <w:vAlign w:val="center"/>
          </w:tcPr>
          <w:p w14:paraId="30DAA581" w14:textId="2488CBFD" w:rsidR="002E0797" w:rsidRDefault="002E0797" w:rsidP="002E0797">
            <w:pPr>
              <w:spacing w:after="0"/>
              <w:ind w:firstLine="0"/>
              <w:jc w:val="right"/>
              <w:rPr>
                <w:rFonts w:eastAsia="Calibri"/>
                <w:szCs w:val="22"/>
              </w:rPr>
            </w:pPr>
            <w:r w:rsidRPr="00EB6221">
              <w:rPr>
                <w:rFonts w:eastAsia="Calibri"/>
                <w:sz w:val="18"/>
                <w:szCs w:val="18"/>
                <w:lang w:eastAsia="lv-LV"/>
              </w:rPr>
              <w:t>-6,3</w:t>
            </w:r>
          </w:p>
        </w:tc>
        <w:tc>
          <w:tcPr>
            <w:tcW w:w="1510" w:type="dxa"/>
            <w:vAlign w:val="center"/>
          </w:tcPr>
          <w:p w14:paraId="4F0C0A33" w14:textId="2F067E8E" w:rsidR="002E0797" w:rsidRDefault="002E0797" w:rsidP="002E0797">
            <w:pPr>
              <w:spacing w:after="0"/>
              <w:ind w:firstLine="0"/>
              <w:jc w:val="right"/>
              <w:rPr>
                <w:rFonts w:eastAsia="Calibri"/>
                <w:szCs w:val="22"/>
              </w:rPr>
            </w:pPr>
            <w:r w:rsidRPr="00EB6221">
              <w:rPr>
                <w:rFonts w:eastAsia="Calibri"/>
                <w:sz w:val="18"/>
                <w:szCs w:val="18"/>
                <w:lang w:eastAsia="lv-LV"/>
              </w:rPr>
              <w:t>5,3</w:t>
            </w:r>
          </w:p>
        </w:tc>
        <w:tc>
          <w:tcPr>
            <w:tcW w:w="1510" w:type="dxa"/>
            <w:vAlign w:val="center"/>
          </w:tcPr>
          <w:p w14:paraId="1BF0132E" w14:textId="2731E42B" w:rsidR="002E0797" w:rsidRDefault="002E0797" w:rsidP="002E0797">
            <w:pPr>
              <w:spacing w:after="0"/>
              <w:ind w:firstLine="0"/>
              <w:jc w:val="right"/>
              <w:rPr>
                <w:rFonts w:eastAsia="Calibri"/>
                <w:szCs w:val="22"/>
              </w:rPr>
            </w:pPr>
            <w:r w:rsidRPr="00EB6221">
              <w:rPr>
                <w:rFonts w:eastAsia="Calibri"/>
                <w:sz w:val="18"/>
                <w:szCs w:val="18"/>
                <w:lang w:eastAsia="lv-LV"/>
              </w:rPr>
              <w:t>0,4</w:t>
            </w:r>
          </w:p>
        </w:tc>
        <w:tc>
          <w:tcPr>
            <w:tcW w:w="1511" w:type="dxa"/>
            <w:vAlign w:val="center"/>
          </w:tcPr>
          <w:p w14:paraId="641C9E94" w14:textId="400B07E5" w:rsidR="002E0797" w:rsidRDefault="002E0797" w:rsidP="002E0797">
            <w:pPr>
              <w:spacing w:after="0"/>
              <w:ind w:firstLine="0"/>
              <w:jc w:val="right"/>
              <w:rPr>
                <w:rFonts w:eastAsia="Calibri"/>
                <w:szCs w:val="22"/>
              </w:rPr>
            </w:pPr>
            <w:r w:rsidRPr="00EB6221">
              <w:rPr>
                <w:rFonts w:eastAsia="Calibri"/>
                <w:sz w:val="18"/>
                <w:szCs w:val="18"/>
                <w:lang w:eastAsia="lv-LV"/>
              </w:rPr>
              <w:t>1,5</w:t>
            </w:r>
          </w:p>
        </w:tc>
      </w:tr>
      <w:tr w:rsidR="002E0797" w14:paraId="1CDABAA9" w14:textId="77777777" w:rsidTr="00EE16B4">
        <w:tc>
          <w:tcPr>
            <w:tcW w:w="1510" w:type="dxa"/>
            <w:vAlign w:val="center"/>
          </w:tcPr>
          <w:p w14:paraId="3A4C45B6" w14:textId="60BE90BF" w:rsidR="002E0797" w:rsidRDefault="002E0797" w:rsidP="002E0797">
            <w:pPr>
              <w:spacing w:after="0"/>
              <w:ind w:firstLine="0"/>
              <w:jc w:val="center"/>
              <w:rPr>
                <w:rFonts w:eastAsia="Calibri"/>
                <w:szCs w:val="22"/>
              </w:rPr>
            </w:pPr>
            <w:r w:rsidRPr="00EB6221">
              <w:rPr>
                <w:rFonts w:eastAsia="Calibri"/>
                <w:sz w:val="18"/>
                <w:szCs w:val="18"/>
                <w:lang w:eastAsia="lv-LV"/>
              </w:rPr>
              <w:t>Zviedrija</w:t>
            </w:r>
          </w:p>
        </w:tc>
        <w:tc>
          <w:tcPr>
            <w:tcW w:w="1510" w:type="dxa"/>
            <w:vAlign w:val="center"/>
          </w:tcPr>
          <w:p w14:paraId="1B1B3501" w14:textId="023ABC37" w:rsidR="002E0797" w:rsidRDefault="002E0797" w:rsidP="002E0797">
            <w:pPr>
              <w:spacing w:after="0"/>
              <w:ind w:firstLine="0"/>
              <w:jc w:val="right"/>
              <w:rPr>
                <w:rFonts w:eastAsia="Calibri"/>
                <w:szCs w:val="22"/>
              </w:rPr>
            </w:pPr>
            <w:r w:rsidRPr="00EB6221">
              <w:rPr>
                <w:rFonts w:eastAsia="Calibri"/>
                <w:sz w:val="18"/>
                <w:szCs w:val="18"/>
                <w:lang w:eastAsia="lv-LV"/>
              </w:rPr>
              <w:t>5,7</w:t>
            </w:r>
          </w:p>
        </w:tc>
        <w:tc>
          <w:tcPr>
            <w:tcW w:w="1510" w:type="dxa"/>
            <w:vAlign w:val="center"/>
          </w:tcPr>
          <w:p w14:paraId="7DCD31B0" w14:textId="225347E0" w:rsidR="002E0797" w:rsidRDefault="002E0797" w:rsidP="002E0797">
            <w:pPr>
              <w:spacing w:after="0"/>
              <w:ind w:firstLine="0"/>
              <w:jc w:val="right"/>
              <w:rPr>
                <w:rFonts w:eastAsia="Calibri"/>
                <w:szCs w:val="22"/>
              </w:rPr>
            </w:pPr>
            <w:r w:rsidRPr="00EB6221">
              <w:rPr>
                <w:rFonts w:eastAsia="Calibri"/>
                <w:sz w:val="18"/>
                <w:szCs w:val="18"/>
                <w:lang w:eastAsia="lv-LV"/>
              </w:rPr>
              <w:t>-5,3</w:t>
            </w:r>
          </w:p>
        </w:tc>
        <w:tc>
          <w:tcPr>
            <w:tcW w:w="1510" w:type="dxa"/>
            <w:vAlign w:val="center"/>
          </w:tcPr>
          <w:p w14:paraId="43F83455" w14:textId="6FF91133" w:rsidR="002E0797" w:rsidRDefault="002E0797" w:rsidP="002E0797">
            <w:pPr>
              <w:spacing w:after="0"/>
              <w:ind w:firstLine="0"/>
              <w:jc w:val="right"/>
              <w:rPr>
                <w:rFonts w:eastAsia="Calibri"/>
                <w:szCs w:val="22"/>
              </w:rPr>
            </w:pPr>
            <w:r w:rsidRPr="00EB6221">
              <w:rPr>
                <w:rFonts w:eastAsia="Calibri"/>
                <w:sz w:val="18"/>
                <w:szCs w:val="18"/>
                <w:lang w:eastAsia="lv-LV"/>
              </w:rPr>
              <w:t>3,1</w:t>
            </w:r>
          </w:p>
        </w:tc>
        <w:tc>
          <w:tcPr>
            <w:tcW w:w="1510" w:type="dxa"/>
            <w:vAlign w:val="center"/>
          </w:tcPr>
          <w:p w14:paraId="23FC8369" w14:textId="4115C48B" w:rsidR="002E0797" w:rsidRDefault="002E0797" w:rsidP="002E0797">
            <w:pPr>
              <w:spacing w:after="0"/>
              <w:ind w:firstLine="0"/>
              <w:jc w:val="right"/>
              <w:rPr>
                <w:rFonts w:eastAsia="Calibri"/>
                <w:szCs w:val="22"/>
              </w:rPr>
            </w:pPr>
            <w:r w:rsidRPr="00EB6221">
              <w:rPr>
                <w:rFonts w:eastAsia="Calibri"/>
                <w:sz w:val="18"/>
                <w:szCs w:val="18"/>
                <w:lang w:eastAsia="lv-LV"/>
              </w:rPr>
              <w:t>1,9</w:t>
            </w:r>
          </w:p>
        </w:tc>
        <w:tc>
          <w:tcPr>
            <w:tcW w:w="1511" w:type="dxa"/>
            <w:vAlign w:val="center"/>
          </w:tcPr>
          <w:p w14:paraId="294A2784" w14:textId="7B21DB70" w:rsidR="002E0797" w:rsidRDefault="002E0797" w:rsidP="002E0797">
            <w:pPr>
              <w:spacing w:after="0"/>
              <w:ind w:firstLine="0"/>
              <w:jc w:val="right"/>
              <w:rPr>
                <w:rFonts w:eastAsia="Calibri"/>
                <w:szCs w:val="22"/>
              </w:rPr>
            </w:pPr>
            <w:r w:rsidRPr="00EB6221">
              <w:rPr>
                <w:rFonts w:eastAsia="Calibri"/>
                <w:sz w:val="18"/>
                <w:szCs w:val="18"/>
                <w:lang w:eastAsia="lv-LV"/>
              </w:rPr>
              <w:t>-0,4</w:t>
            </w:r>
          </w:p>
        </w:tc>
      </w:tr>
      <w:tr w:rsidR="002E0797" w14:paraId="272CCDE5" w14:textId="77777777" w:rsidTr="00EE16B4">
        <w:tc>
          <w:tcPr>
            <w:tcW w:w="1510" w:type="dxa"/>
            <w:vAlign w:val="center"/>
          </w:tcPr>
          <w:p w14:paraId="0232335E" w14:textId="09C3D79E" w:rsidR="002E0797" w:rsidRDefault="002E0797" w:rsidP="002E0797">
            <w:pPr>
              <w:spacing w:after="0"/>
              <w:ind w:firstLine="0"/>
              <w:jc w:val="center"/>
              <w:rPr>
                <w:rFonts w:eastAsia="Calibri"/>
                <w:szCs w:val="22"/>
              </w:rPr>
            </w:pPr>
            <w:r w:rsidRPr="00EB6221">
              <w:rPr>
                <w:rFonts w:eastAsia="Calibri"/>
                <w:sz w:val="18"/>
                <w:szCs w:val="18"/>
                <w:lang w:eastAsia="lv-LV"/>
              </w:rPr>
              <w:t>Lielbritānija</w:t>
            </w:r>
          </w:p>
        </w:tc>
        <w:tc>
          <w:tcPr>
            <w:tcW w:w="1510" w:type="dxa"/>
            <w:vAlign w:val="center"/>
          </w:tcPr>
          <w:p w14:paraId="5AE93CFE" w14:textId="5CEC5AD0" w:rsidR="002E0797" w:rsidRDefault="002E0797" w:rsidP="002E0797">
            <w:pPr>
              <w:spacing w:after="0"/>
              <w:ind w:firstLine="0"/>
              <w:jc w:val="right"/>
              <w:rPr>
                <w:rFonts w:eastAsia="Calibri"/>
                <w:szCs w:val="22"/>
              </w:rPr>
            </w:pPr>
            <w:r w:rsidRPr="00EB6221">
              <w:rPr>
                <w:rFonts w:eastAsia="Calibri"/>
                <w:sz w:val="18"/>
                <w:szCs w:val="18"/>
                <w:lang w:eastAsia="lv-LV"/>
              </w:rPr>
              <w:t>5,7</w:t>
            </w:r>
          </w:p>
        </w:tc>
        <w:tc>
          <w:tcPr>
            <w:tcW w:w="1510" w:type="dxa"/>
            <w:vAlign w:val="center"/>
          </w:tcPr>
          <w:p w14:paraId="40D5BDAF" w14:textId="7264B29A" w:rsidR="002E0797" w:rsidRDefault="002E0797" w:rsidP="002E0797">
            <w:pPr>
              <w:spacing w:after="0"/>
              <w:ind w:firstLine="0"/>
              <w:jc w:val="right"/>
              <w:rPr>
                <w:rFonts w:eastAsia="Calibri"/>
                <w:szCs w:val="22"/>
              </w:rPr>
            </w:pPr>
            <w:r w:rsidRPr="00EB6221">
              <w:rPr>
                <w:rFonts w:eastAsia="Calibri"/>
                <w:sz w:val="18"/>
                <w:szCs w:val="18"/>
                <w:lang w:eastAsia="lv-LV"/>
              </w:rPr>
              <w:t>-9,7</w:t>
            </w:r>
          </w:p>
        </w:tc>
        <w:tc>
          <w:tcPr>
            <w:tcW w:w="1510" w:type="dxa"/>
            <w:vAlign w:val="center"/>
          </w:tcPr>
          <w:p w14:paraId="62DAB225" w14:textId="1C24C45F" w:rsidR="002E0797" w:rsidRDefault="002E0797" w:rsidP="002E0797">
            <w:pPr>
              <w:spacing w:after="0"/>
              <w:ind w:firstLine="0"/>
              <w:jc w:val="right"/>
              <w:rPr>
                <w:rFonts w:eastAsia="Calibri"/>
                <w:szCs w:val="22"/>
              </w:rPr>
            </w:pPr>
            <w:r w:rsidRPr="00EB6221">
              <w:rPr>
                <w:rFonts w:eastAsia="Calibri"/>
                <w:sz w:val="18"/>
                <w:szCs w:val="18"/>
                <w:lang w:eastAsia="lv-LV"/>
              </w:rPr>
              <w:t>6,0</w:t>
            </w:r>
          </w:p>
        </w:tc>
        <w:tc>
          <w:tcPr>
            <w:tcW w:w="1510" w:type="dxa"/>
            <w:vAlign w:val="center"/>
          </w:tcPr>
          <w:p w14:paraId="7AF131E5" w14:textId="498E1EE4" w:rsidR="002E0797" w:rsidRDefault="002E0797" w:rsidP="002E0797">
            <w:pPr>
              <w:spacing w:after="0"/>
              <w:ind w:firstLine="0"/>
              <w:jc w:val="right"/>
              <w:rPr>
                <w:rFonts w:eastAsia="Calibri"/>
                <w:szCs w:val="22"/>
              </w:rPr>
            </w:pPr>
            <w:r w:rsidRPr="00EB6221">
              <w:rPr>
                <w:rFonts w:eastAsia="Calibri"/>
                <w:sz w:val="18"/>
                <w:szCs w:val="18"/>
                <w:lang w:eastAsia="lv-LV"/>
              </w:rPr>
              <w:t>2,5</w:t>
            </w:r>
          </w:p>
        </w:tc>
        <w:tc>
          <w:tcPr>
            <w:tcW w:w="1511" w:type="dxa"/>
            <w:vAlign w:val="center"/>
          </w:tcPr>
          <w:p w14:paraId="12141315" w14:textId="6C43FB60" w:rsidR="002E0797" w:rsidRDefault="002E0797" w:rsidP="002E0797">
            <w:pPr>
              <w:spacing w:after="0"/>
              <w:ind w:firstLine="0"/>
              <w:jc w:val="right"/>
              <w:rPr>
                <w:rFonts w:eastAsia="Calibri"/>
                <w:szCs w:val="22"/>
              </w:rPr>
            </w:pPr>
            <w:r w:rsidRPr="00EB6221">
              <w:rPr>
                <w:rFonts w:eastAsia="Calibri"/>
                <w:sz w:val="18"/>
                <w:szCs w:val="18"/>
                <w:lang w:eastAsia="lv-LV"/>
              </w:rPr>
              <w:t>-0,2</w:t>
            </w:r>
          </w:p>
        </w:tc>
      </w:tr>
      <w:tr w:rsidR="002E0797" w14:paraId="5BD67B06" w14:textId="77777777" w:rsidTr="00EE16B4">
        <w:tc>
          <w:tcPr>
            <w:tcW w:w="1510" w:type="dxa"/>
            <w:vAlign w:val="center"/>
          </w:tcPr>
          <w:p w14:paraId="41BFFD42" w14:textId="39336EEA" w:rsidR="002E0797" w:rsidRDefault="002E0797" w:rsidP="002E0797">
            <w:pPr>
              <w:spacing w:after="0"/>
              <w:ind w:firstLine="0"/>
              <w:jc w:val="center"/>
              <w:rPr>
                <w:rFonts w:eastAsia="Calibri"/>
                <w:szCs w:val="22"/>
              </w:rPr>
            </w:pPr>
            <w:r w:rsidRPr="00EB6221">
              <w:rPr>
                <w:rFonts w:eastAsia="Calibri"/>
                <w:sz w:val="18"/>
                <w:szCs w:val="18"/>
                <w:lang w:eastAsia="lv-LV"/>
              </w:rPr>
              <w:t>Dānija</w:t>
            </w:r>
          </w:p>
        </w:tc>
        <w:tc>
          <w:tcPr>
            <w:tcW w:w="1510" w:type="dxa"/>
            <w:vAlign w:val="center"/>
          </w:tcPr>
          <w:p w14:paraId="7D639A73" w14:textId="070F76F5" w:rsidR="002E0797" w:rsidRDefault="002E0797" w:rsidP="002E0797">
            <w:pPr>
              <w:spacing w:after="0"/>
              <w:ind w:firstLine="0"/>
              <w:jc w:val="right"/>
              <w:rPr>
                <w:rFonts w:eastAsia="Calibri"/>
                <w:szCs w:val="22"/>
              </w:rPr>
            </w:pPr>
            <w:r w:rsidRPr="00EB6221">
              <w:rPr>
                <w:rFonts w:eastAsia="Calibri"/>
                <w:sz w:val="18"/>
                <w:szCs w:val="18"/>
                <w:lang w:eastAsia="lv-LV"/>
              </w:rPr>
              <w:t>4,6</w:t>
            </w:r>
          </w:p>
        </w:tc>
        <w:tc>
          <w:tcPr>
            <w:tcW w:w="1510" w:type="dxa"/>
            <w:vAlign w:val="center"/>
          </w:tcPr>
          <w:p w14:paraId="712926EF" w14:textId="775349D3" w:rsidR="002E0797" w:rsidRDefault="002E0797" w:rsidP="002E0797">
            <w:pPr>
              <w:spacing w:after="0"/>
              <w:ind w:firstLine="0"/>
              <w:jc w:val="right"/>
              <w:rPr>
                <w:rFonts w:eastAsia="Calibri"/>
                <w:szCs w:val="22"/>
              </w:rPr>
            </w:pPr>
            <w:r w:rsidRPr="00EB6221">
              <w:rPr>
                <w:rFonts w:eastAsia="Calibri"/>
                <w:sz w:val="18"/>
                <w:szCs w:val="18"/>
                <w:lang w:eastAsia="lv-LV"/>
              </w:rPr>
              <w:t>-5,2</w:t>
            </w:r>
          </w:p>
        </w:tc>
        <w:tc>
          <w:tcPr>
            <w:tcW w:w="1510" w:type="dxa"/>
            <w:vAlign w:val="center"/>
          </w:tcPr>
          <w:p w14:paraId="52C79416" w14:textId="51442607" w:rsidR="002E0797" w:rsidRDefault="002E0797" w:rsidP="002E0797">
            <w:pPr>
              <w:spacing w:after="0"/>
              <w:ind w:firstLine="0"/>
              <w:jc w:val="right"/>
              <w:rPr>
                <w:rFonts w:eastAsia="Calibri"/>
                <w:szCs w:val="22"/>
              </w:rPr>
            </w:pPr>
            <w:r w:rsidRPr="00EB6221">
              <w:rPr>
                <w:rFonts w:eastAsia="Calibri"/>
                <w:sz w:val="18"/>
                <w:szCs w:val="18"/>
                <w:lang w:eastAsia="lv-LV"/>
              </w:rPr>
              <w:t>4,3</w:t>
            </w:r>
          </w:p>
        </w:tc>
        <w:tc>
          <w:tcPr>
            <w:tcW w:w="1510" w:type="dxa"/>
            <w:vAlign w:val="center"/>
          </w:tcPr>
          <w:p w14:paraId="4D88F42C" w14:textId="3E73B67B" w:rsidR="002E0797" w:rsidRDefault="002E0797" w:rsidP="002E0797">
            <w:pPr>
              <w:spacing w:after="0"/>
              <w:ind w:firstLine="0"/>
              <w:jc w:val="right"/>
              <w:rPr>
                <w:rFonts w:eastAsia="Calibri"/>
                <w:szCs w:val="22"/>
              </w:rPr>
            </w:pPr>
            <w:r w:rsidRPr="00EB6221">
              <w:rPr>
                <w:rFonts w:eastAsia="Calibri"/>
                <w:sz w:val="18"/>
                <w:szCs w:val="18"/>
                <w:lang w:eastAsia="lv-LV"/>
              </w:rPr>
              <w:t>0,1</w:t>
            </w:r>
          </w:p>
        </w:tc>
        <w:tc>
          <w:tcPr>
            <w:tcW w:w="1511" w:type="dxa"/>
            <w:vAlign w:val="center"/>
          </w:tcPr>
          <w:p w14:paraId="1A0C1035" w14:textId="782C61A6" w:rsidR="002E0797" w:rsidRDefault="002E0797" w:rsidP="002E0797">
            <w:pPr>
              <w:spacing w:after="0"/>
              <w:ind w:firstLine="0"/>
              <w:jc w:val="right"/>
              <w:rPr>
                <w:rFonts w:eastAsia="Calibri"/>
                <w:szCs w:val="22"/>
              </w:rPr>
            </w:pPr>
            <w:r w:rsidRPr="00EB6221">
              <w:rPr>
                <w:rFonts w:eastAsia="Calibri"/>
                <w:sz w:val="18"/>
                <w:szCs w:val="18"/>
                <w:lang w:eastAsia="lv-LV"/>
              </w:rPr>
              <w:t>-0,2</w:t>
            </w:r>
          </w:p>
        </w:tc>
      </w:tr>
      <w:tr w:rsidR="002E0797" w14:paraId="0A2AC6BD" w14:textId="77777777" w:rsidTr="00EE16B4">
        <w:tc>
          <w:tcPr>
            <w:tcW w:w="1510" w:type="dxa"/>
            <w:vAlign w:val="center"/>
          </w:tcPr>
          <w:p w14:paraId="49239BCA" w14:textId="0532C86D" w:rsidR="002E0797" w:rsidRDefault="002E0797" w:rsidP="002E0797">
            <w:pPr>
              <w:spacing w:after="0"/>
              <w:ind w:firstLine="0"/>
              <w:jc w:val="center"/>
              <w:rPr>
                <w:rFonts w:eastAsia="Calibri"/>
                <w:szCs w:val="22"/>
              </w:rPr>
            </w:pPr>
            <w:r w:rsidRPr="00EB6221">
              <w:rPr>
                <w:rFonts w:eastAsia="Calibri"/>
                <w:sz w:val="18"/>
                <w:szCs w:val="18"/>
                <w:lang w:eastAsia="lv-LV"/>
              </w:rPr>
              <w:t>Polija</w:t>
            </w:r>
          </w:p>
        </w:tc>
        <w:tc>
          <w:tcPr>
            <w:tcW w:w="1510" w:type="dxa"/>
            <w:vAlign w:val="center"/>
          </w:tcPr>
          <w:p w14:paraId="761C600F" w14:textId="59AB1CC2" w:rsidR="002E0797" w:rsidRDefault="002E0797" w:rsidP="002E0797">
            <w:pPr>
              <w:spacing w:after="0"/>
              <w:ind w:firstLine="0"/>
              <w:jc w:val="right"/>
              <w:rPr>
                <w:rFonts w:eastAsia="Calibri"/>
                <w:szCs w:val="22"/>
              </w:rPr>
            </w:pPr>
            <w:r w:rsidRPr="00EB6221">
              <w:rPr>
                <w:rFonts w:eastAsia="Calibri"/>
                <w:sz w:val="18"/>
                <w:szCs w:val="18"/>
                <w:lang w:eastAsia="lv-LV"/>
              </w:rPr>
              <w:t>3,7</w:t>
            </w:r>
          </w:p>
        </w:tc>
        <w:tc>
          <w:tcPr>
            <w:tcW w:w="1510" w:type="dxa"/>
            <w:vAlign w:val="center"/>
          </w:tcPr>
          <w:p w14:paraId="399E0AD2" w14:textId="147B1745" w:rsidR="002E0797" w:rsidRDefault="002E0797" w:rsidP="002E0797">
            <w:pPr>
              <w:spacing w:after="0"/>
              <w:ind w:firstLine="0"/>
              <w:jc w:val="right"/>
              <w:rPr>
                <w:rFonts w:eastAsia="Calibri"/>
                <w:szCs w:val="22"/>
              </w:rPr>
            </w:pPr>
            <w:r w:rsidRPr="00EB6221">
              <w:rPr>
                <w:rFonts w:eastAsia="Calibri"/>
                <w:sz w:val="18"/>
                <w:szCs w:val="18"/>
                <w:lang w:eastAsia="lv-LV"/>
              </w:rPr>
              <w:t>-4,6</w:t>
            </w:r>
          </w:p>
        </w:tc>
        <w:tc>
          <w:tcPr>
            <w:tcW w:w="1510" w:type="dxa"/>
            <w:vAlign w:val="center"/>
          </w:tcPr>
          <w:p w14:paraId="7F11FF5D" w14:textId="51386EE8" w:rsidR="002E0797" w:rsidRDefault="002E0797" w:rsidP="002E0797">
            <w:pPr>
              <w:spacing w:after="0"/>
              <w:ind w:firstLine="0"/>
              <w:jc w:val="right"/>
              <w:rPr>
                <w:rFonts w:eastAsia="Calibri"/>
                <w:szCs w:val="22"/>
              </w:rPr>
            </w:pPr>
            <w:r w:rsidRPr="00EB6221">
              <w:rPr>
                <w:rFonts w:eastAsia="Calibri"/>
                <w:sz w:val="18"/>
                <w:szCs w:val="18"/>
                <w:lang w:eastAsia="lv-LV"/>
              </w:rPr>
              <w:t>4,3</w:t>
            </w:r>
          </w:p>
        </w:tc>
        <w:tc>
          <w:tcPr>
            <w:tcW w:w="1510" w:type="dxa"/>
            <w:vAlign w:val="center"/>
          </w:tcPr>
          <w:p w14:paraId="707E9442" w14:textId="7D03A700" w:rsidR="002E0797" w:rsidRDefault="002E0797" w:rsidP="002E0797">
            <w:pPr>
              <w:spacing w:after="0"/>
              <w:ind w:firstLine="0"/>
              <w:jc w:val="right"/>
              <w:rPr>
                <w:rFonts w:eastAsia="Calibri"/>
                <w:szCs w:val="22"/>
              </w:rPr>
            </w:pPr>
            <w:r w:rsidRPr="00EB6221">
              <w:rPr>
                <w:rFonts w:eastAsia="Calibri"/>
                <w:sz w:val="18"/>
                <w:szCs w:val="18"/>
                <w:lang w:eastAsia="lv-LV"/>
              </w:rPr>
              <w:t>1,7</w:t>
            </w:r>
          </w:p>
        </w:tc>
        <w:tc>
          <w:tcPr>
            <w:tcW w:w="1511" w:type="dxa"/>
            <w:vAlign w:val="center"/>
          </w:tcPr>
          <w:p w14:paraId="430AA362" w14:textId="102A9A59" w:rsidR="002E0797" w:rsidRDefault="002E0797" w:rsidP="002E0797">
            <w:pPr>
              <w:spacing w:after="0"/>
              <w:ind w:firstLine="0"/>
              <w:jc w:val="right"/>
              <w:rPr>
                <w:rFonts w:eastAsia="Calibri"/>
                <w:szCs w:val="22"/>
              </w:rPr>
            </w:pPr>
            <w:r w:rsidRPr="00EB6221">
              <w:rPr>
                <w:rFonts w:eastAsia="Calibri"/>
                <w:sz w:val="18"/>
                <w:szCs w:val="18"/>
                <w:lang w:eastAsia="lv-LV"/>
              </w:rPr>
              <w:t>0,1</w:t>
            </w:r>
          </w:p>
        </w:tc>
      </w:tr>
      <w:tr w:rsidR="002E0797" w14:paraId="43A894F6" w14:textId="77777777" w:rsidTr="00EE16B4">
        <w:tc>
          <w:tcPr>
            <w:tcW w:w="1510" w:type="dxa"/>
            <w:vAlign w:val="center"/>
          </w:tcPr>
          <w:p w14:paraId="5A072A88" w14:textId="083FA0AB" w:rsidR="002E0797" w:rsidRDefault="002E0797" w:rsidP="002E0797">
            <w:pPr>
              <w:spacing w:after="0"/>
              <w:ind w:firstLine="0"/>
              <w:jc w:val="center"/>
              <w:rPr>
                <w:rFonts w:eastAsia="Calibri"/>
                <w:szCs w:val="22"/>
              </w:rPr>
            </w:pPr>
            <w:r w:rsidRPr="00EB6221">
              <w:rPr>
                <w:rFonts w:eastAsia="Calibri"/>
                <w:sz w:val="18"/>
                <w:szCs w:val="18"/>
                <w:lang w:eastAsia="lv-LV"/>
              </w:rPr>
              <w:t>Nīderlande</w:t>
            </w:r>
          </w:p>
        </w:tc>
        <w:tc>
          <w:tcPr>
            <w:tcW w:w="1510" w:type="dxa"/>
            <w:vAlign w:val="center"/>
          </w:tcPr>
          <w:p w14:paraId="5FF77FF1" w14:textId="4D6FF8CF" w:rsidR="002E0797" w:rsidRDefault="002E0797" w:rsidP="002E0797">
            <w:pPr>
              <w:spacing w:after="0"/>
              <w:ind w:firstLine="0"/>
              <w:jc w:val="right"/>
              <w:rPr>
                <w:rFonts w:eastAsia="Calibri"/>
                <w:szCs w:val="22"/>
              </w:rPr>
            </w:pPr>
            <w:r w:rsidRPr="00EB6221">
              <w:rPr>
                <w:rFonts w:eastAsia="Calibri"/>
                <w:sz w:val="18"/>
                <w:szCs w:val="18"/>
                <w:lang w:eastAsia="lv-LV"/>
              </w:rPr>
              <w:t>3,1</w:t>
            </w:r>
          </w:p>
        </w:tc>
        <w:tc>
          <w:tcPr>
            <w:tcW w:w="1510" w:type="dxa"/>
            <w:vAlign w:val="center"/>
          </w:tcPr>
          <w:p w14:paraId="34F426E7" w14:textId="5BA90B0B" w:rsidR="002E0797" w:rsidRDefault="002E0797" w:rsidP="002E0797">
            <w:pPr>
              <w:spacing w:after="0"/>
              <w:ind w:firstLine="0"/>
              <w:jc w:val="right"/>
              <w:rPr>
                <w:rFonts w:eastAsia="Calibri"/>
                <w:szCs w:val="22"/>
              </w:rPr>
            </w:pPr>
            <w:r w:rsidRPr="00EB6221">
              <w:rPr>
                <w:rFonts w:eastAsia="Calibri"/>
                <w:sz w:val="18"/>
                <w:szCs w:val="18"/>
                <w:lang w:eastAsia="lv-LV"/>
              </w:rPr>
              <w:t>-6,8</w:t>
            </w:r>
          </w:p>
        </w:tc>
        <w:tc>
          <w:tcPr>
            <w:tcW w:w="1510" w:type="dxa"/>
            <w:vAlign w:val="center"/>
          </w:tcPr>
          <w:p w14:paraId="15854A68" w14:textId="7F1989C5" w:rsidR="002E0797" w:rsidRDefault="002E0797" w:rsidP="002E0797">
            <w:pPr>
              <w:spacing w:after="0"/>
              <w:ind w:firstLine="0"/>
              <w:jc w:val="right"/>
              <w:rPr>
                <w:rFonts w:eastAsia="Calibri"/>
                <w:szCs w:val="22"/>
              </w:rPr>
            </w:pPr>
            <w:r w:rsidRPr="00EB6221">
              <w:rPr>
                <w:rFonts w:eastAsia="Calibri"/>
                <w:sz w:val="18"/>
                <w:szCs w:val="18"/>
                <w:lang w:eastAsia="lv-LV"/>
              </w:rPr>
              <w:t>4,6</w:t>
            </w:r>
          </w:p>
        </w:tc>
        <w:tc>
          <w:tcPr>
            <w:tcW w:w="1510" w:type="dxa"/>
            <w:vAlign w:val="center"/>
          </w:tcPr>
          <w:p w14:paraId="35842D22" w14:textId="11C75689" w:rsidR="002E0797" w:rsidRDefault="002E0797" w:rsidP="002E0797">
            <w:pPr>
              <w:spacing w:after="0"/>
              <w:ind w:firstLine="0"/>
              <w:jc w:val="right"/>
              <w:rPr>
                <w:rFonts w:eastAsia="Calibri"/>
                <w:szCs w:val="22"/>
              </w:rPr>
            </w:pPr>
            <w:r w:rsidRPr="00EB6221">
              <w:rPr>
                <w:rFonts w:eastAsia="Calibri"/>
                <w:sz w:val="18"/>
                <w:szCs w:val="18"/>
                <w:lang w:eastAsia="lv-LV"/>
              </w:rPr>
              <w:t>1,5</w:t>
            </w:r>
          </w:p>
        </w:tc>
        <w:tc>
          <w:tcPr>
            <w:tcW w:w="1511" w:type="dxa"/>
            <w:vAlign w:val="center"/>
          </w:tcPr>
          <w:p w14:paraId="2AC4316B" w14:textId="274F84F0" w:rsidR="002E0797" w:rsidRDefault="002E0797" w:rsidP="002E0797">
            <w:pPr>
              <w:spacing w:after="0"/>
              <w:ind w:firstLine="0"/>
              <w:jc w:val="right"/>
              <w:rPr>
                <w:rFonts w:eastAsia="Calibri"/>
                <w:szCs w:val="22"/>
              </w:rPr>
            </w:pPr>
            <w:r w:rsidRPr="00EB6221">
              <w:rPr>
                <w:rFonts w:eastAsia="Calibri"/>
                <w:sz w:val="18"/>
                <w:szCs w:val="18"/>
                <w:lang w:eastAsia="lv-LV"/>
              </w:rPr>
              <w:t>0,3</w:t>
            </w:r>
          </w:p>
        </w:tc>
      </w:tr>
      <w:tr w:rsidR="002E0797" w14:paraId="4D1FA3D7" w14:textId="77777777" w:rsidTr="00EE16B4">
        <w:tc>
          <w:tcPr>
            <w:tcW w:w="1510" w:type="dxa"/>
            <w:vAlign w:val="center"/>
          </w:tcPr>
          <w:p w14:paraId="3A4F2973" w14:textId="0C0373E6" w:rsidR="002E0797" w:rsidRDefault="002E0797" w:rsidP="002E0797">
            <w:pPr>
              <w:spacing w:after="0"/>
              <w:ind w:firstLine="0"/>
              <w:jc w:val="center"/>
              <w:rPr>
                <w:rFonts w:eastAsia="Calibri"/>
                <w:szCs w:val="22"/>
              </w:rPr>
            </w:pPr>
            <w:r w:rsidRPr="00EB6221">
              <w:rPr>
                <w:rFonts w:eastAsia="Calibri"/>
                <w:sz w:val="18"/>
                <w:szCs w:val="18"/>
                <w:lang w:eastAsia="lv-LV"/>
              </w:rPr>
              <w:t>Somija</w:t>
            </w:r>
          </w:p>
        </w:tc>
        <w:tc>
          <w:tcPr>
            <w:tcW w:w="1510" w:type="dxa"/>
            <w:vAlign w:val="center"/>
          </w:tcPr>
          <w:p w14:paraId="09F5FD2B" w14:textId="30ABA363" w:rsidR="002E0797" w:rsidRDefault="002E0797" w:rsidP="002E0797">
            <w:pPr>
              <w:spacing w:after="0"/>
              <w:ind w:firstLine="0"/>
              <w:jc w:val="right"/>
              <w:rPr>
                <w:rFonts w:eastAsia="Calibri"/>
                <w:szCs w:val="22"/>
              </w:rPr>
            </w:pPr>
            <w:r w:rsidRPr="00EB6221">
              <w:rPr>
                <w:rFonts w:eastAsia="Calibri"/>
                <w:sz w:val="18"/>
                <w:szCs w:val="18"/>
                <w:lang w:eastAsia="lv-LV"/>
              </w:rPr>
              <w:t>2,7</w:t>
            </w:r>
          </w:p>
        </w:tc>
        <w:tc>
          <w:tcPr>
            <w:tcW w:w="1510" w:type="dxa"/>
            <w:vAlign w:val="center"/>
          </w:tcPr>
          <w:p w14:paraId="3CFE0CAC" w14:textId="43A7C948" w:rsidR="002E0797" w:rsidRDefault="002E0797" w:rsidP="002E0797">
            <w:pPr>
              <w:spacing w:after="0"/>
              <w:ind w:firstLine="0"/>
              <w:jc w:val="right"/>
              <w:rPr>
                <w:rFonts w:eastAsia="Calibri"/>
                <w:szCs w:val="22"/>
              </w:rPr>
            </w:pPr>
            <w:r w:rsidRPr="00EB6221">
              <w:rPr>
                <w:rFonts w:eastAsia="Calibri"/>
                <w:sz w:val="18"/>
                <w:szCs w:val="18"/>
                <w:lang w:eastAsia="lv-LV"/>
              </w:rPr>
              <w:t>-5,5</w:t>
            </w:r>
          </w:p>
        </w:tc>
        <w:tc>
          <w:tcPr>
            <w:tcW w:w="1510" w:type="dxa"/>
            <w:vAlign w:val="center"/>
          </w:tcPr>
          <w:p w14:paraId="79390935" w14:textId="16E1B177" w:rsidR="002E0797" w:rsidRDefault="002E0797" w:rsidP="002E0797">
            <w:pPr>
              <w:spacing w:after="0"/>
              <w:ind w:firstLine="0"/>
              <w:jc w:val="right"/>
              <w:rPr>
                <w:rFonts w:eastAsia="Calibri"/>
                <w:szCs w:val="22"/>
              </w:rPr>
            </w:pPr>
            <w:r w:rsidRPr="00EB6221">
              <w:rPr>
                <w:rFonts w:eastAsia="Calibri"/>
                <w:sz w:val="18"/>
                <w:szCs w:val="18"/>
                <w:lang w:eastAsia="lv-LV"/>
              </w:rPr>
              <w:t>3,0</w:t>
            </w:r>
          </w:p>
        </w:tc>
        <w:tc>
          <w:tcPr>
            <w:tcW w:w="1510" w:type="dxa"/>
            <w:vAlign w:val="center"/>
          </w:tcPr>
          <w:p w14:paraId="1C233795" w14:textId="6B61E1B1" w:rsidR="002E0797" w:rsidRDefault="002E0797" w:rsidP="002E0797">
            <w:pPr>
              <w:spacing w:after="0"/>
              <w:ind w:firstLine="0"/>
              <w:jc w:val="right"/>
              <w:rPr>
                <w:rFonts w:eastAsia="Calibri"/>
                <w:szCs w:val="22"/>
              </w:rPr>
            </w:pPr>
            <w:r w:rsidRPr="00EB6221">
              <w:rPr>
                <w:rFonts w:eastAsia="Calibri"/>
                <w:sz w:val="18"/>
                <w:szCs w:val="18"/>
                <w:lang w:eastAsia="lv-LV"/>
              </w:rPr>
              <w:t>-0,1</w:t>
            </w:r>
          </w:p>
        </w:tc>
        <w:tc>
          <w:tcPr>
            <w:tcW w:w="1511" w:type="dxa"/>
            <w:vAlign w:val="center"/>
          </w:tcPr>
          <w:p w14:paraId="0E181664" w14:textId="251C3DBC" w:rsidR="002E0797" w:rsidRDefault="002E0797" w:rsidP="002E0797">
            <w:pPr>
              <w:spacing w:after="0"/>
              <w:ind w:firstLine="0"/>
              <w:jc w:val="right"/>
              <w:rPr>
                <w:rFonts w:eastAsia="Calibri"/>
                <w:szCs w:val="22"/>
              </w:rPr>
            </w:pPr>
            <w:r w:rsidRPr="00EB6221">
              <w:rPr>
                <w:rFonts w:eastAsia="Calibri"/>
                <w:sz w:val="18"/>
                <w:szCs w:val="18"/>
                <w:lang w:eastAsia="lv-LV"/>
              </w:rPr>
              <w:t>0,9</w:t>
            </w:r>
          </w:p>
        </w:tc>
      </w:tr>
      <w:tr w:rsidR="002E0797" w14:paraId="5FD001CB" w14:textId="77777777" w:rsidTr="00E50DCC">
        <w:tc>
          <w:tcPr>
            <w:tcW w:w="1510" w:type="dxa"/>
            <w:vAlign w:val="center"/>
          </w:tcPr>
          <w:p w14:paraId="6EF2CCCC" w14:textId="6AE03F05" w:rsidR="002E0797" w:rsidRDefault="002E0797" w:rsidP="002E0797">
            <w:pPr>
              <w:spacing w:after="0"/>
              <w:ind w:firstLine="0"/>
              <w:jc w:val="center"/>
              <w:rPr>
                <w:rFonts w:eastAsia="Calibri"/>
                <w:szCs w:val="22"/>
              </w:rPr>
            </w:pPr>
            <w:r w:rsidRPr="00EB6221">
              <w:rPr>
                <w:rFonts w:eastAsia="Calibri"/>
                <w:b/>
                <w:sz w:val="18"/>
                <w:szCs w:val="18"/>
                <w:lang w:eastAsia="lv-LV"/>
              </w:rPr>
              <w:lastRenderedPageBreak/>
              <w:t>Kopā vidēji svērtais 10 valstīm</w:t>
            </w:r>
          </w:p>
        </w:tc>
        <w:tc>
          <w:tcPr>
            <w:tcW w:w="1510" w:type="dxa"/>
            <w:vAlign w:val="center"/>
          </w:tcPr>
          <w:p w14:paraId="73A7925C" w14:textId="37DE8965" w:rsidR="002E0797" w:rsidRDefault="002E0797" w:rsidP="002E0797">
            <w:pPr>
              <w:spacing w:after="0"/>
              <w:ind w:firstLine="0"/>
              <w:jc w:val="right"/>
              <w:rPr>
                <w:rFonts w:eastAsia="Calibri"/>
                <w:szCs w:val="22"/>
              </w:rPr>
            </w:pPr>
            <w:r w:rsidRPr="00EB6221">
              <w:rPr>
                <w:rFonts w:eastAsia="Calibri"/>
                <w:b/>
                <w:sz w:val="18"/>
                <w:szCs w:val="18"/>
                <w:lang w:eastAsia="lv-LV"/>
              </w:rPr>
              <w:t>69,3</w:t>
            </w:r>
          </w:p>
        </w:tc>
        <w:tc>
          <w:tcPr>
            <w:tcW w:w="1510" w:type="dxa"/>
            <w:vAlign w:val="center"/>
          </w:tcPr>
          <w:p w14:paraId="7EA6D51F" w14:textId="6F49B4CA" w:rsidR="002E0797" w:rsidRDefault="002E0797" w:rsidP="002E0797">
            <w:pPr>
              <w:spacing w:after="0"/>
              <w:ind w:firstLine="0"/>
              <w:jc w:val="right"/>
              <w:rPr>
                <w:rFonts w:eastAsia="Calibri"/>
                <w:szCs w:val="22"/>
              </w:rPr>
            </w:pPr>
            <w:r w:rsidRPr="00EB6221">
              <w:rPr>
                <w:rFonts w:eastAsia="Calibri"/>
                <w:b/>
                <w:sz w:val="18"/>
                <w:szCs w:val="18"/>
                <w:lang w:eastAsia="lv-LV"/>
              </w:rPr>
              <w:t>-6,5</w:t>
            </w:r>
          </w:p>
        </w:tc>
        <w:tc>
          <w:tcPr>
            <w:tcW w:w="1510" w:type="dxa"/>
            <w:vAlign w:val="center"/>
          </w:tcPr>
          <w:p w14:paraId="614AF049" w14:textId="79A9A60F" w:rsidR="002E0797" w:rsidRDefault="002E0797" w:rsidP="002E0797">
            <w:pPr>
              <w:spacing w:after="0"/>
              <w:ind w:firstLine="0"/>
              <w:jc w:val="right"/>
              <w:rPr>
                <w:rFonts w:eastAsia="Calibri"/>
                <w:szCs w:val="22"/>
              </w:rPr>
            </w:pPr>
            <w:r w:rsidRPr="00EB6221">
              <w:rPr>
                <w:rFonts w:eastAsia="Calibri"/>
                <w:b/>
                <w:sz w:val="18"/>
                <w:szCs w:val="18"/>
                <w:lang w:eastAsia="lv-LV"/>
              </w:rPr>
              <w:t>4,8</w:t>
            </w:r>
          </w:p>
        </w:tc>
        <w:tc>
          <w:tcPr>
            <w:tcW w:w="1510" w:type="dxa"/>
            <w:vAlign w:val="center"/>
          </w:tcPr>
          <w:p w14:paraId="12F0FB43" w14:textId="7C54973D" w:rsidR="002E0797" w:rsidRDefault="002E0797" w:rsidP="002E0797">
            <w:pPr>
              <w:spacing w:after="0"/>
              <w:ind w:firstLine="0"/>
              <w:jc w:val="right"/>
              <w:rPr>
                <w:rFonts w:eastAsia="Calibri"/>
                <w:szCs w:val="22"/>
              </w:rPr>
            </w:pPr>
            <w:r w:rsidRPr="00EB6221">
              <w:rPr>
                <w:rFonts w:eastAsia="Calibri"/>
                <w:b/>
                <w:sz w:val="18"/>
                <w:szCs w:val="18"/>
                <w:lang w:eastAsia="lv-LV"/>
              </w:rPr>
              <w:t>1,5</w:t>
            </w:r>
          </w:p>
        </w:tc>
        <w:tc>
          <w:tcPr>
            <w:tcW w:w="1511" w:type="dxa"/>
            <w:vAlign w:val="center"/>
          </w:tcPr>
          <w:p w14:paraId="41E3EB8B" w14:textId="543B00DC" w:rsidR="002E0797" w:rsidRDefault="002E0797" w:rsidP="002E0797">
            <w:pPr>
              <w:spacing w:after="0"/>
              <w:ind w:firstLine="0"/>
              <w:jc w:val="right"/>
              <w:rPr>
                <w:rFonts w:eastAsia="Calibri"/>
                <w:szCs w:val="22"/>
              </w:rPr>
            </w:pPr>
            <w:r w:rsidRPr="00EB6221">
              <w:rPr>
                <w:rFonts w:eastAsia="Calibri"/>
                <w:b/>
                <w:sz w:val="18"/>
                <w:szCs w:val="18"/>
                <w:lang w:eastAsia="lv-LV"/>
              </w:rPr>
              <w:t>0,3</w:t>
            </w:r>
          </w:p>
        </w:tc>
      </w:tr>
      <w:tr w:rsidR="002E0797" w14:paraId="4F3F3E90" w14:textId="77777777" w:rsidTr="00E50DCC">
        <w:tc>
          <w:tcPr>
            <w:tcW w:w="1510" w:type="dxa"/>
            <w:vAlign w:val="center"/>
          </w:tcPr>
          <w:p w14:paraId="6DFA6D86" w14:textId="769CE1F1" w:rsidR="002E0797" w:rsidRDefault="002E0797" w:rsidP="002E0797">
            <w:pPr>
              <w:spacing w:after="0"/>
              <w:ind w:firstLine="0"/>
              <w:jc w:val="center"/>
              <w:rPr>
                <w:rFonts w:eastAsia="Calibri"/>
                <w:szCs w:val="22"/>
              </w:rPr>
            </w:pPr>
            <w:proofErr w:type="spellStart"/>
            <w:r w:rsidRPr="00EB6221">
              <w:rPr>
                <w:rFonts w:eastAsia="Calibri"/>
                <w:b/>
                <w:sz w:val="18"/>
                <w:szCs w:val="18"/>
                <w:lang w:eastAsia="lv-LV"/>
              </w:rPr>
              <w:t>Eirozona</w:t>
            </w:r>
            <w:proofErr w:type="spellEnd"/>
          </w:p>
        </w:tc>
        <w:tc>
          <w:tcPr>
            <w:tcW w:w="1510" w:type="dxa"/>
            <w:vAlign w:val="center"/>
          </w:tcPr>
          <w:p w14:paraId="3B48A138" w14:textId="7B94DB93" w:rsidR="002E0797" w:rsidRDefault="002E0797" w:rsidP="002E0797">
            <w:pPr>
              <w:spacing w:after="0"/>
              <w:ind w:firstLine="0"/>
              <w:jc w:val="right"/>
              <w:rPr>
                <w:rFonts w:eastAsia="Calibri"/>
                <w:szCs w:val="22"/>
              </w:rPr>
            </w:pPr>
            <w:r w:rsidRPr="00EB6221">
              <w:rPr>
                <w:rFonts w:eastAsia="Calibri"/>
                <w:b/>
                <w:sz w:val="18"/>
                <w:szCs w:val="18"/>
                <w:lang w:eastAsia="lv-LV"/>
              </w:rPr>
              <w:t>49,6</w:t>
            </w:r>
          </w:p>
        </w:tc>
        <w:tc>
          <w:tcPr>
            <w:tcW w:w="1510" w:type="dxa"/>
            <w:vAlign w:val="center"/>
          </w:tcPr>
          <w:p w14:paraId="6C5DBEC7" w14:textId="18B88E84" w:rsidR="002E0797" w:rsidRDefault="002E0797" w:rsidP="002E0797">
            <w:pPr>
              <w:spacing w:after="0"/>
              <w:ind w:firstLine="0"/>
              <w:jc w:val="right"/>
              <w:rPr>
                <w:rFonts w:eastAsia="Calibri"/>
                <w:szCs w:val="22"/>
              </w:rPr>
            </w:pPr>
            <w:r w:rsidRPr="00EB6221">
              <w:rPr>
                <w:rFonts w:eastAsia="Calibri"/>
                <w:b/>
                <w:sz w:val="18"/>
                <w:szCs w:val="18"/>
                <w:lang w:eastAsia="lv-LV"/>
              </w:rPr>
              <w:t>-8,7</w:t>
            </w:r>
          </w:p>
        </w:tc>
        <w:tc>
          <w:tcPr>
            <w:tcW w:w="1510" w:type="dxa"/>
            <w:vAlign w:val="center"/>
          </w:tcPr>
          <w:p w14:paraId="636CC589" w14:textId="7B401805" w:rsidR="002E0797" w:rsidRDefault="002E0797" w:rsidP="002E0797">
            <w:pPr>
              <w:spacing w:after="0"/>
              <w:ind w:firstLine="0"/>
              <w:jc w:val="right"/>
              <w:rPr>
                <w:rFonts w:eastAsia="Calibri"/>
                <w:szCs w:val="22"/>
              </w:rPr>
            </w:pPr>
            <w:r w:rsidRPr="00EB6221">
              <w:rPr>
                <w:rFonts w:eastAsia="Calibri"/>
                <w:b/>
                <w:sz w:val="18"/>
                <w:szCs w:val="18"/>
                <w:lang w:eastAsia="lv-LV"/>
              </w:rPr>
              <w:t>6,1</w:t>
            </w:r>
          </w:p>
        </w:tc>
        <w:tc>
          <w:tcPr>
            <w:tcW w:w="1510" w:type="dxa"/>
            <w:vAlign w:val="center"/>
          </w:tcPr>
          <w:p w14:paraId="5EE312AD" w14:textId="64E66F40" w:rsidR="002E0797" w:rsidRDefault="002E0797" w:rsidP="002E0797">
            <w:pPr>
              <w:spacing w:after="0"/>
              <w:ind w:firstLine="0"/>
              <w:jc w:val="right"/>
              <w:rPr>
                <w:rFonts w:eastAsia="Calibri"/>
                <w:szCs w:val="22"/>
              </w:rPr>
            </w:pPr>
            <w:r w:rsidRPr="00EB6221">
              <w:rPr>
                <w:rFonts w:eastAsia="Calibri"/>
                <w:b/>
                <w:sz w:val="18"/>
                <w:szCs w:val="18"/>
                <w:lang w:eastAsia="lv-LV"/>
              </w:rPr>
              <w:t>0,6</w:t>
            </w:r>
          </w:p>
        </w:tc>
        <w:tc>
          <w:tcPr>
            <w:tcW w:w="1511" w:type="dxa"/>
            <w:vAlign w:val="center"/>
          </w:tcPr>
          <w:p w14:paraId="485064FE" w14:textId="7746D8C4" w:rsidR="002E0797" w:rsidRDefault="002E0797" w:rsidP="002E0797">
            <w:pPr>
              <w:spacing w:after="0"/>
              <w:ind w:firstLine="0"/>
              <w:jc w:val="right"/>
              <w:rPr>
                <w:rFonts w:eastAsia="Calibri"/>
                <w:szCs w:val="22"/>
              </w:rPr>
            </w:pPr>
            <w:r w:rsidRPr="00EB6221">
              <w:rPr>
                <w:rFonts w:eastAsia="Calibri"/>
                <w:b/>
                <w:sz w:val="18"/>
                <w:szCs w:val="18"/>
                <w:lang w:eastAsia="lv-LV"/>
              </w:rPr>
              <w:t>1,5</w:t>
            </w:r>
          </w:p>
        </w:tc>
      </w:tr>
    </w:tbl>
    <w:p w14:paraId="480BCD09" w14:textId="0253C28F" w:rsidR="00D07277" w:rsidRPr="00EB6221" w:rsidRDefault="00D07277" w:rsidP="002E0797">
      <w:pPr>
        <w:spacing w:before="240"/>
        <w:ind w:firstLine="720"/>
        <w:rPr>
          <w:rFonts w:eastAsia="Calibri"/>
          <w:szCs w:val="22"/>
        </w:rPr>
      </w:pPr>
      <w:r w:rsidRPr="00EB6221">
        <w:rPr>
          <w:rFonts w:eastAsia="Calibri"/>
          <w:szCs w:val="22"/>
        </w:rPr>
        <w:t xml:space="preserve">Jaunākie, šā gada otrā ceturkšņa, </w:t>
      </w:r>
      <w:r w:rsidR="002E0797">
        <w:rPr>
          <w:rFonts w:eastAsia="Calibri"/>
          <w:szCs w:val="22"/>
        </w:rPr>
        <w:t>IKP</w:t>
      </w:r>
      <w:r w:rsidRPr="00EB6221">
        <w:rPr>
          <w:rFonts w:eastAsia="Calibri"/>
          <w:szCs w:val="22"/>
        </w:rPr>
        <w:t xml:space="preserve"> dati rāda, ka Eiropas ekonomiskās izaugsmes atjaunošanās šogad varētu būt arī straujāka par EK pēdējās prognozēs paredzēto. </w:t>
      </w:r>
      <w:proofErr w:type="spellStart"/>
      <w:r w:rsidRPr="00EB6221">
        <w:rPr>
          <w:rFonts w:eastAsia="Calibri"/>
          <w:szCs w:val="22"/>
        </w:rPr>
        <w:t>Eirozonas</w:t>
      </w:r>
      <w:proofErr w:type="spellEnd"/>
      <w:r w:rsidRPr="00EB6221">
        <w:rPr>
          <w:rFonts w:eastAsia="Calibri"/>
          <w:szCs w:val="22"/>
        </w:rPr>
        <w:t xml:space="preserve"> ekonomika šā gada otrajā ceturksnī, salīdzinot ar iepriekšējo ceturksni, pieaugusi par 2,2%, kamēr EK savās jūlija prognozēs otrajam ceturksnim bija paredzējusi 1,3% kāpumu. Šā gada pirmajā pusē kopā, salīdzinot ar 2020</w:t>
      </w:r>
      <w:r>
        <w:rPr>
          <w:rFonts w:eastAsia="Calibri"/>
          <w:szCs w:val="22"/>
        </w:rPr>
        <w:t>. gad</w:t>
      </w:r>
      <w:r w:rsidRPr="00EB6221">
        <w:rPr>
          <w:rFonts w:eastAsia="Calibri"/>
          <w:szCs w:val="22"/>
        </w:rPr>
        <w:t xml:space="preserve">a pirmo pusi, </w:t>
      </w:r>
      <w:proofErr w:type="spellStart"/>
      <w:r w:rsidRPr="00EB6221">
        <w:rPr>
          <w:rFonts w:eastAsia="Calibri"/>
          <w:szCs w:val="22"/>
        </w:rPr>
        <w:t>eirozonas</w:t>
      </w:r>
      <w:proofErr w:type="spellEnd"/>
      <w:r w:rsidRPr="00EB6221">
        <w:rPr>
          <w:rFonts w:eastAsia="Calibri"/>
          <w:szCs w:val="22"/>
        </w:rPr>
        <w:t xml:space="preserve"> IKP ir palielinājies par 6,3%.</w:t>
      </w:r>
    </w:p>
    <w:p w14:paraId="07C5BF85" w14:textId="77777777" w:rsidR="00D07277" w:rsidRPr="00EB6221" w:rsidRDefault="00D07277" w:rsidP="00D07277">
      <w:pPr>
        <w:ind w:firstLine="720"/>
        <w:rPr>
          <w:rFonts w:eastAsia="Calibri"/>
          <w:szCs w:val="22"/>
        </w:rPr>
      </w:pPr>
      <w:r>
        <w:rPr>
          <w:rFonts w:eastAsia="Calibri"/>
          <w:szCs w:val="22"/>
        </w:rPr>
        <w:t>Covid</w:t>
      </w:r>
      <w:r>
        <w:rPr>
          <w:rFonts w:eastAsia="Calibri"/>
          <w:szCs w:val="22"/>
        </w:rPr>
        <w:noBreakHyphen/>
        <w:t>19</w:t>
      </w:r>
      <w:r w:rsidRPr="00EB6221">
        <w:rPr>
          <w:rFonts w:eastAsia="Calibri"/>
          <w:szCs w:val="22"/>
        </w:rPr>
        <w:t xml:space="preserve"> pandēmija pēdējā pusotra gada laikā izraisījusi arī būtiskas cenu svārstības. Ja pagājušajā gadā izejvielu cenas pasaules tirgos piedzīvoja kritumu un patēriņa cenu pieaugumu ierobežoja arī ekonomikas kritums, šogad situācija jau ir pretēja un inflācijas līmenis pasaulē strauji paaugstinās. </w:t>
      </w:r>
      <w:proofErr w:type="spellStart"/>
      <w:r w:rsidRPr="00EB6221">
        <w:rPr>
          <w:rFonts w:eastAsia="Calibri"/>
          <w:szCs w:val="22"/>
        </w:rPr>
        <w:t>Eirozonā</w:t>
      </w:r>
      <w:proofErr w:type="spellEnd"/>
      <w:r w:rsidRPr="00EB6221">
        <w:rPr>
          <w:rFonts w:eastAsia="Calibri"/>
          <w:szCs w:val="22"/>
        </w:rPr>
        <w:t xml:space="preserve"> inflācija pagājušajā gadā bija noslīdējusi līdz 0,3%, bet šogad, augot naftas un pārtikas izejvielu cenām pasaules tirgū, patēriņa cenu pieaugums, pēc EK pēdējām prognozēm, varētu sasniegt 1,9%. Straujāku cenu pieaugumu veicina arī ekonomikas stimulēšanas pasākumi, gan centrālajām bankām pazeminot procentu likmes, gan iegādājoties vērtspapīrus, gan valdībām </w:t>
      </w:r>
      <w:r>
        <w:rPr>
          <w:rFonts w:eastAsia="Calibri"/>
          <w:szCs w:val="22"/>
        </w:rPr>
        <w:t>Covid</w:t>
      </w:r>
      <w:r>
        <w:rPr>
          <w:rFonts w:eastAsia="Calibri"/>
          <w:szCs w:val="22"/>
        </w:rPr>
        <w:noBreakHyphen/>
        <w:t>19</w:t>
      </w:r>
      <w:r w:rsidRPr="00EB6221">
        <w:rPr>
          <w:rFonts w:eastAsia="Calibri"/>
          <w:szCs w:val="22"/>
        </w:rPr>
        <w:t xml:space="preserve"> krīzes laikā sniedzot finansiālu atbalstu iedzīvotājiem un uzņēmumiem. Pēdējo mēnešu laikā būtiski augušas arī kravu pārvadājumu izmaksas, kuģu </w:t>
      </w:r>
      <w:r>
        <w:rPr>
          <w:rFonts w:eastAsia="Calibri"/>
          <w:szCs w:val="22"/>
        </w:rPr>
        <w:t xml:space="preserve">frakts </w:t>
      </w:r>
      <w:r w:rsidRPr="00EB6221">
        <w:rPr>
          <w:rFonts w:eastAsia="Calibri"/>
          <w:szCs w:val="22"/>
        </w:rPr>
        <w:t>likmes un konteineru pārvadājumu cenas, un inflācijas kāpumu veicina arī problēm</w:t>
      </w:r>
      <w:r>
        <w:rPr>
          <w:rFonts w:eastAsia="Calibri"/>
          <w:szCs w:val="22"/>
        </w:rPr>
        <w:t>as</w:t>
      </w:r>
      <w:r w:rsidRPr="00EB6221">
        <w:rPr>
          <w:rFonts w:eastAsia="Calibri"/>
          <w:szCs w:val="22"/>
        </w:rPr>
        <w:t xml:space="preserve"> globālajās piegāžu ķēdēs. Pēc pēdējiem pieejamajiem datiem, gada inflācija </w:t>
      </w:r>
      <w:proofErr w:type="spellStart"/>
      <w:r w:rsidRPr="00EB6221">
        <w:rPr>
          <w:rFonts w:eastAsia="Calibri"/>
          <w:szCs w:val="22"/>
        </w:rPr>
        <w:t>eirozonā</w:t>
      </w:r>
      <w:proofErr w:type="spellEnd"/>
      <w:r w:rsidRPr="00EB6221">
        <w:rPr>
          <w:rFonts w:eastAsia="Calibri"/>
          <w:szCs w:val="22"/>
        </w:rPr>
        <w:t xml:space="preserve"> augustā ir sasniegusi 3,0%, kas ir augstākais rādītājs kopš 2011</w:t>
      </w:r>
      <w:r>
        <w:rPr>
          <w:rFonts w:eastAsia="Calibri"/>
          <w:szCs w:val="22"/>
        </w:rPr>
        <w:t>. gad</w:t>
      </w:r>
      <w:r w:rsidRPr="00EB6221">
        <w:rPr>
          <w:rFonts w:eastAsia="Calibri"/>
          <w:szCs w:val="22"/>
        </w:rPr>
        <w:t>a.</w:t>
      </w:r>
    </w:p>
    <w:p w14:paraId="0998A708" w14:textId="51C4FC76" w:rsidR="007A3A10" w:rsidRPr="007A3A10" w:rsidRDefault="00D07277" w:rsidP="007A3A10">
      <w:pPr>
        <w:ind w:firstLine="720"/>
        <w:rPr>
          <w:rFonts w:eastAsia="Calibri"/>
          <w:szCs w:val="22"/>
        </w:rPr>
      </w:pPr>
      <w:r w:rsidRPr="00EB6221">
        <w:rPr>
          <w:rFonts w:eastAsia="Calibri"/>
          <w:szCs w:val="22"/>
        </w:rPr>
        <w:t>Neskatoties uz straujo ekonomiskās izaugsmes atjaunošanos pasaulē, arī pašlaik, tāpat kā visu pēdējo pusotru gadu, saglabājas ļoti augsta nenoteiktība par pandēmijas turpmāko attīstību, vakcinācijas tempiem un vakcīnu iedarbīgumu, kā arī par iespējamām jaunām vīrusa mutācijām. Riskus rada arī jau minētais straujais ražotāju un patēriņa cenu pieaugums, kas var izraisīt monetārās politikas izmaiņas un procentu likmju pieaugumu, dodot divkāršu sitienu attīstības valstīm ar zemiem vakcinācijas un augstiem parādu līmeņiem. Dažu pēdējo mēnešu laikā augusi arī politiskā spriedze atsevišķos pasaules reģionos, un ir vērojama arī zināma ekonomiskās izaugsmes vājināšanās vairākās pasaules nozīmīgajās ekonomikās, tostarp Ķīnā un Vācijā. Privātā sektora ražošanas un pakalpojumu aktivitāti raksturojošais PMI indekss pasaules ekonomikai kopā augustā uzrādījis lēnāko izaugsmi pēdējo septiņu mēnešu laikā, attīstībai palēninoties gan ražošanas, gan pakalpojumu sektoros. Līdz ar to ir jārēķinās, ka gan pasaules, gan Latvijas galveno eksporta partnervalstu ekonomiskās attīstības prognozes vēl arvien var piedzīvot visai krasas korekcijas, līdzīgi kā tas bijis visā pandēmijas laikā jau kopš 2020</w:t>
      </w:r>
      <w:r>
        <w:rPr>
          <w:rFonts w:eastAsia="Calibri"/>
          <w:szCs w:val="22"/>
        </w:rPr>
        <w:t>. gad</w:t>
      </w:r>
      <w:r w:rsidRPr="00EB6221">
        <w:rPr>
          <w:rFonts w:eastAsia="Calibri"/>
          <w:szCs w:val="22"/>
        </w:rPr>
        <w:t>a sākuma.</w:t>
      </w:r>
    </w:p>
    <w:p w14:paraId="652ECB80" w14:textId="4477C533" w:rsidR="00EF1D74" w:rsidRPr="00EF1D74" w:rsidRDefault="00EF1D74" w:rsidP="007A3A10">
      <w:pPr>
        <w:keepNext/>
        <w:keepLines/>
        <w:spacing w:before="240" w:after="240" w:line="259" w:lineRule="auto"/>
        <w:ind w:firstLine="0"/>
        <w:jc w:val="center"/>
        <w:outlineLvl w:val="1"/>
        <w:rPr>
          <w:b/>
          <w:sz w:val="36"/>
          <w:szCs w:val="36"/>
        </w:rPr>
      </w:pPr>
      <w:r w:rsidRPr="00EF1D74">
        <w:rPr>
          <w:b/>
          <w:sz w:val="36"/>
          <w:szCs w:val="36"/>
        </w:rPr>
        <w:t>1.2. Latvijas tautsaimniecības attīstība</w:t>
      </w:r>
    </w:p>
    <w:bookmarkEnd w:id="2"/>
    <w:bookmarkEnd w:id="3"/>
    <w:p w14:paraId="56940526" w14:textId="4B71C9D1" w:rsidR="007A3A10" w:rsidRDefault="00EF1D74" w:rsidP="007A3A10">
      <w:pPr>
        <w:keepNext/>
        <w:keepLines/>
        <w:spacing w:before="240" w:after="240" w:line="259" w:lineRule="auto"/>
        <w:ind w:firstLine="0"/>
        <w:jc w:val="center"/>
        <w:outlineLvl w:val="2"/>
        <w:rPr>
          <w:b/>
          <w:bCs/>
          <w:sz w:val="32"/>
          <w:szCs w:val="32"/>
        </w:rPr>
      </w:pPr>
      <w:r w:rsidRPr="00EF1D74">
        <w:rPr>
          <w:b/>
          <w:bCs/>
          <w:sz w:val="32"/>
          <w:szCs w:val="32"/>
        </w:rPr>
        <w:t>1.2.1. Iekšzemes kopprodukts</w:t>
      </w:r>
    </w:p>
    <w:p w14:paraId="371DF63A" w14:textId="51266B03" w:rsidR="007A3A10" w:rsidRPr="005D16AB" w:rsidRDefault="007A3A10" w:rsidP="007A3A10">
      <w:pPr>
        <w:ind w:firstLine="720"/>
        <w:rPr>
          <w:rFonts w:eastAsia="Calibri"/>
          <w:szCs w:val="22"/>
        </w:rPr>
      </w:pPr>
      <w:r w:rsidRPr="005D16AB">
        <w:rPr>
          <w:rFonts w:eastAsia="Calibri"/>
          <w:szCs w:val="22"/>
        </w:rPr>
        <w:t>Latvijas ekonomikas izaugsme, kas 2017.-2018</w:t>
      </w:r>
      <w:r>
        <w:rPr>
          <w:rFonts w:eastAsia="Calibri"/>
          <w:szCs w:val="22"/>
        </w:rPr>
        <w:t>. gad</w:t>
      </w:r>
      <w:r w:rsidRPr="005D16AB">
        <w:rPr>
          <w:rFonts w:eastAsia="Calibri"/>
          <w:szCs w:val="22"/>
        </w:rPr>
        <w:t>ā bija sasniegusi labu tuvu pie 4% pieauguma tempu, 2019</w:t>
      </w:r>
      <w:r>
        <w:rPr>
          <w:rFonts w:eastAsia="Calibri"/>
          <w:szCs w:val="22"/>
        </w:rPr>
        <w:t>. gad</w:t>
      </w:r>
      <w:r w:rsidRPr="005D16AB">
        <w:rPr>
          <w:rFonts w:eastAsia="Calibri"/>
          <w:szCs w:val="22"/>
        </w:rPr>
        <w:t>ā jau sāka palēnām bremzēties. 2020. un 2021</w:t>
      </w:r>
      <w:r>
        <w:rPr>
          <w:rFonts w:eastAsia="Calibri"/>
          <w:szCs w:val="22"/>
        </w:rPr>
        <w:t>. gad</w:t>
      </w:r>
      <w:r w:rsidRPr="005D16AB">
        <w:rPr>
          <w:rFonts w:eastAsia="Calibri"/>
          <w:szCs w:val="22"/>
        </w:rPr>
        <w:t xml:space="preserve">ā situāciju jau pilnībā noteica </w:t>
      </w:r>
      <w:r>
        <w:rPr>
          <w:rFonts w:eastAsia="Calibri"/>
          <w:szCs w:val="22"/>
        </w:rPr>
        <w:t>Covid</w:t>
      </w:r>
      <w:r>
        <w:rPr>
          <w:rFonts w:eastAsia="Calibri"/>
          <w:szCs w:val="22"/>
        </w:rPr>
        <w:noBreakHyphen/>
        <w:t>19</w:t>
      </w:r>
      <w:r w:rsidRPr="005D16AB">
        <w:rPr>
          <w:rFonts w:eastAsia="Calibri"/>
          <w:szCs w:val="22"/>
        </w:rPr>
        <w:t xml:space="preserve"> izplatība Latvijā un pasaulē, izraisot IKP kritumu. Pagājušajā gadā Latvijas IKP salīdzināmās cenās samazinājās par 3,6%. Tomēr ekonomikas kritums 2020</w:t>
      </w:r>
      <w:r>
        <w:rPr>
          <w:rFonts w:eastAsia="Calibri"/>
          <w:szCs w:val="22"/>
        </w:rPr>
        <w:t>. gad</w:t>
      </w:r>
      <w:r w:rsidRPr="005D16AB">
        <w:rPr>
          <w:rFonts w:eastAsia="Calibri"/>
          <w:szCs w:val="22"/>
        </w:rPr>
        <w:t xml:space="preserve">ā izrādījās būtiski mazāks, nekā tika prognozēts </w:t>
      </w:r>
      <w:r>
        <w:rPr>
          <w:rFonts w:eastAsia="Calibri"/>
          <w:szCs w:val="22"/>
        </w:rPr>
        <w:t>Covid</w:t>
      </w:r>
      <w:r>
        <w:rPr>
          <w:rFonts w:eastAsia="Calibri"/>
          <w:szCs w:val="22"/>
        </w:rPr>
        <w:noBreakHyphen/>
        <w:t>19</w:t>
      </w:r>
      <w:r w:rsidRPr="005D16AB">
        <w:rPr>
          <w:rFonts w:eastAsia="Calibri"/>
          <w:szCs w:val="22"/>
        </w:rPr>
        <w:t xml:space="preserve"> krīzes sākumā, un to noteica gan visai veiksmīgā slimības pirmā uzliesmojuma pārvarēšana 2020</w:t>
      </w:r>
      <w:r>
        <w:rPr>
          <w:rFonts w:eastAsia="Calibri"/>
          <w:szCs w:val="22"/>
        </w:rPr>
        <w:t>. gad</w:t>
      </w:r>
      <w:r w:rsidRPr="005D16AB">
        <w:rPr>
          <w:rFonts w:eastAsia="Calibri"/>
          <w:szCs w:val="22"/>
        </w:rPr>
        <w:t xml:space="preserve">a pavasarī, gan ekonomikas </w:t>
      </w:r>
      <w:r w:rsidRPr="005D16AB">
        <w:rPr>
          <w:rFonts w:eastAsia="Calibri"/>
          <w:szCs w:val="22"/>
        </w:rPr>
        <w:lastRenderedPageBreak/>
        <w:t xml:space="preserve">atbalsta pasākumi un labvēlīgā ekonomikas struktūra, kad ražojošās nozares praktiski nepiedzīvoja izlaides apjomu kritumu. </w:t>
      </w:r>
    </w:p>
    <w:p w14:paraId="137BEA43" w14:textId="77777777" w:rsidR="007A3A10" w:rsidRPr="005D16AB" w:rsidRDefault="007A3A10" w:rsidP="007A3A10">
      <w:pPr>
        <w:ind w:firstLine="720"/>
        <w:rPr>
          <w:rFonts w:eastAsia="Calibri"/>
          <w:szCs w:val="22"/>
        </w:rPr>
      </w:pPr>
      <w:r w:rsidRPr="005D16AB">
        <w:rPr>
          <w:rFonts w:eastAsia="Calibri"/>
          <w:szCs w:val="22"/>
        </w:rPr>
        <w:t xml:space="preserve">Lielākā negatīvā ietekme uz ekonomikas kopējiem rādītājiem pagājušajā gadā bija krīzes tieši skartajām pakalpojumu nozarēm, kur transporta un uzglabāšanas nozare samazinājās par 14,9%, izmitināšanas un ēdināšanas nozare – par 38,1%, bet māksla, izklaide un atpūta – par 26,6%. Visas pakalpojumu nozares kopā pērn samazinājās par 4,8%, kamēr ražojošās nozares uzrādīja 0,4% pieaugumu. </w:t>
      </w:r>
    </w:p>
    <w:p w14:paraId="13D6C1FE" w14:textId="77777777" w:rsidR="007A3A10" w:rsidRPr="005D16AB" w:rsidRDefault="007A3A10" w:rsidP="007A3A10">
      <w:pPr>
        <w:ind w:firstLine="720"/>
        <w:rPr>
          <w:rFonts w:eastAsia="Calibri"/>
          <w:szCs w:val="22"/>
        </w:rPr>
      </w:pPr>
      <w:r w:rsidRPr="005D16AB">
        <w:rPr>
          <w:rFonts w:eastAsia="Calibri"/>
          <w:szCs w:val="22"/>
        </w:rPr>
        <w:t>Būvniecības nozare pagājušajā gadā palielinājās par 2,6%, bet lauksaimniecībā un mežsaimniecībā sasniegts 1,8% pieaugums, galvenokārt pateicoties labības rekordražai, kā arī augot apjomiem mežsaimniecībā un mežizstrādē. Salīdzinoši veiksmīgi krīzi pārvarēja arī apstrādes rūpniecība, kur apjomi pagājušajā gadā samazinājās tikai par 0,9%, galvenokārt pateicoties pieaugumam kokapstrādes nozarē, kā arī elektrisko iekārtu ražošanā.</w:t>
      </w:r>
    </w:p>
    <w:p w14:paraId="30DCE2D9" w14:textId="77777777" w:rsidR="007A3A10" w:rsidRPr="005D16AB" w:rsidRDefault="007A3A10" w:rsidP="007A3A10">
      <w:pPr>
        <w:ind w:firstLine="720"/>
        <w:rPr>
          <w:rFonts w:eastAsia="Calibri"/>
          <w:szCs w:val="22"/>
        </w:rPr>
      </w:pPr>
      <w:r w:rsidRPr="005D16AB">
        <w:rPr>
          <w:rFonts w:eastAsia="Calibri"/>
          <w:szCs w:val="22"/>
        </w:rPr>
        <w:t xml:space="preserve">No izlietojuma puses </w:t>
      </w:r>
      <w:r>
        <w:rPr>
          <w:rFonts w:eastAsia="Calibri"/>
          <w:szCs w:val="22"/>
        </w:rPr>
        <w:t>Covid</w:t>
      </w:r>
      <w:r>
        <w:rPr>
          <w:rFonts w:eastAsia="Calibri"/>
          <w:szCs w:val="22"/>
        </w:rPr>
        <w:noBreakHyphen/>
        <w:t>19</w:t>
      </w:r>
      <w:r w:rsidRPr="005D16AB">
        <w:rPr>
          <w:rFonts w:eastAsia="Calibri"/>
          <w:szCs w:val="22"/>
        </w:rPr>
        <w:t xml:space="preserve"> krīze pērn vistiešāk atspoguļojās privātā patēriņa kritumā – par 10,0%, kamēr preču un pakalpojumu eksports samazinājās par 2,7%. Tajā pašā laikā importam samazinoties vēl straujāk, ārējās tirdzniecības izmaiņu ietekme uz kopējo ekonomikas izaugsmi bija pozitīva, kamēr sabiedriskais patēriņš pērn palielinājās par 2,6% un arī investīcijās saglabājās 0,2% pieaugums.</w:t>
      </w:r>
    </w:p>
    <w:p w14:paraId="24F773CD" w14:textId="77777777" w:rsidR="007A3A10" w:rsidRDefault="007A3A10" w:rsidP="007A3A10">
      <w:pPr>
        <w:ind w:firstLine="720"/>
        <w:rPr>
          <w:rFonts w:eastAsia="Calibri"/>
          <w:szCs w:val="22"/>
        </w:rPr>
      </w:pPr>
      <w:r w:rsidRPr="005D16AB">
        <w:rPr>
          <w:rFonts w:eastAsia="Calibri"/>
          <w:szCs w:val="22"/>
        </w:rPr>
        <w:t>2021</w:t>
      </w:r>
      <w:r>
        <w:rPr>
          <w:rFonts w:eastAsia="Calibri"/>
          <w:szCs w:val="22"/>
        </w:rPr>
        <w:t>. gad</w:t>
      </w:r>
      <w:r w:rsidRPr="005D16AB">
        <w:rPr>
          <w:rFonts w:eastAsia="Calibri"/>
          <w:szCs w:val="22"/>
        </w:rPr>
        <w:t xml:space="preserve">a pirmajā pusē Latvijas ekonomikas attīstību joprojām būtiski ietekmēja </w:t>
      </w:r>
      <w:r>
        <w:rPr>
          <w:rFonts w:eastAsia="Calibri"/>
          <w:szCs w:val="22"/>
        </w:rPr>
        <w:t>Covid</w:t>
      </w:r>
      <w:r>
        <w:rPr>
          <w:rFonts w:eastAsia="Calibri"/>
          <w:szCs w:val="22"/>
        </w:rPr>
        <w:noBreakHyphen/>
        <w:t>19</w:t>
      </w:r>
      <w:r w:rsidRPr="005D16AB">
        <w:rPr>
          <w:rFonts w:eastAsia="Calibri"/>
          <w:szCs w:val="22"/>
        </w:rPr>
        <w:t xml:space="preserve"> situācija, slimības ierobežošanai ieviestie pasākumi un to pakāpeniska mīkstināšana. Pirmajā ceturksnī Latvijas IKP samazinājās par 1,3%, salīdzinājumā ar pagājušā gada attiecīgo ceturksni, bet otrajā ceturksnī jau bija fiksēta ļoti strauja 11,1% izaugsme, ko noteica pagājušā gada zemā bāze un </w:t>
      </w:r>
      <w:r>
        <w:rPr>
          <w:rFonts w:eastAsia="Calibri"/>
          <w:szCs w:val="22"/>
        </w:rPr>
        <w:t>Covid</w:t>
      </w:r>
      <w:r>
        <w:rPr>
          <w:rFonts w:eastAsia="Calibri"/>
          <w:szCs w:val="22"/>
        </w:rPr>
        <w:noBreakHyphen/>
        <w:t>19</w:t>
      </w:r>
      <w:r w:rsidRPr="005D16AB">
        <w:rPr>
          <w:rFonts w:eastAsia="Calibri"/>
          <w:szCs w:val="22"/>
        </w:rPr>
        <w:t xml:space="preserve"> ierobežoju</w:t>
      </w:r>
      <w:r>
        <w:rPr>
          <w:rFonts w:eastAsia="Calibri"/>
          <w:szCs w:val="22"/>
        </w:rPr>
        <w:t>mu pakāpeniska atcelšana (1.1</w:t>
      </w:r>
      <w:r w:rsidRPr="005D16AB">
        <w:rPr>
          <w:rFonts w:eastAsia="Calibri"/>
          <w:szCs w:val="22"/>
        </w:rPr>
        <w:t>.</w:t>
      </w:r>
      <w:r>
        <w:rPr>
          <w:rFonts w:eastAsia="Calibri"/>
          <w:szCs w:val="22"/>
        </w:rPr>
        <w:t> </w:t>
      </w:r>
      <w:r w:rsidRPr="005D16AB">
        <w:rPr>
          <w:rFonts w:eastAsia="Calibri"/>
          <w:szCs w:val="22"/>
        </w:rPr>
        <w:t>att</w:t>
      </w:r>
      <w:r>
        <w:rPr>
          <w:rFonts w:eastAsia="Calibri"/>
          <w:szCs w:val="22"/>
        </w:rPr>
        <w:t>ēls</w:t>
      </w:r>
      <w:r w:rsidRPr="005D16AB">
        <w:rPr>
          <w:rFonts w:eastAsia="Calibri"/>
          <w:szCs w:val="22"/>
        </w:rPr>
        <w:t xml:space="preserve">). Līdz ar straujo pieaugumu otrajā ceturksnī IKP jau ir par 0,9% pārsniedzis </w:t>
      </w:r>
      <w:proofErr w:type="spellStart"/>
      <w:r w:rsidRPr="005D16AB">
        <w:rPr>
          <w:rFonts w:eastAsia="Calibri"/>
          <w:szCs w:val="22"/>
        </w:rPr>
        <w:t>pirmskrīzes</w:t>
      </w:r>
      <w:proofErr w:type="spellEnd"/>
      <w:r w:rsidRPr="005D16AB">
        <w:rPr>
          <w:rFonts w:eastAsia="Calibri"/>
          <w:szCs w:val="22"/>
        </w:rPr>
        <w:t>, 2019</w:t>
      </w:r>
      <w:r>
        <w:rPr>
          <w:rFonts w:eastAsia="Calibri"/>
          <w:szCs w:val="22"/>
        </w:rPr>
        <w:t>. gad</w:t>
      </w:r>
      <w:r w:rsidRPr="005D16AB">
        <w:rPr>
          <w:rFonts w:eastAsia="Calibri"/>
          <w:szCs w:val="22"/>
        </w:rPr>
        <w:t>a ceturtā ceturkšņa līmeni.</w:t>
      </w:r>
    </w:p>
    <w:p w14:paraId="44225890" w14:textId="77777777" w:rsidR="007A3A10" w:rsidRPr="00642823" w:rsidRDefault="007A3A10" w:rsidP="007E4415">
      <w:pPr>
        <w:keepNext/>
        <w:spacing w:before="120"/>
        <w:ind w:firstLine="0"/>
        <w:jc w:val="center"/>
      </w:pPr>
      <w:r w:rsidRPr="00944631">
        <w:rPr>
          <w:b/>
          <w:i/>
        </w:rPr>
        <w:t>1.</w:t>
      </w:r>
      <w:r>
        <w:rPr>
          <w:b/>
          <w:i/>
        </w:rPr>
        <w:t>1</w:t>
      </w:r>
      <w:r w:rsidRPr="00944631">
        <w:rPr>
          <w:b/>
          <w:i/>
        </w:rPr>
        <w:t>. att</w:t>
      </w:r>
      <w:r>
        <w:rPr>
          <w:b/>
          <w:i/>
        </w:rPr>
        <w:t>ēls</w:t>
      </w:r>
      <w:r w:rsidRPr="00944631">
        <w:rPr>
          <w:b/>
          <w:i/>
        </w:rPr>
        <w:t xml:space="preserve"> </w:t>
      </w:r>
      <w:r w:rsidRPr="00BF76AF">
        <w:rPr>
          <w:b/>
        </w:rPr>
        <w:t>Reālā IKP pieaugums pa ceturkšņiem</w:t>
      </w:r>
      <w:r>
        <w:rPr>
          <w:b/>
        </w:rPr>
        <w:t xml:space="preserve"> (</w:t>
      </w:r>
      <w:r w:rsidRPr="00BF76AF">
        <w:rPr>
          <w:b/>
        </w:rPr>
        <w:t>%</w:t>
      </w:r>
      <w:r>
        <w:rPr>
          <w:b/>
        </w:rPr>
        <w:t>)</w:t>
      </w:r>
    </w:p>
    <w:p w14:paraId="74AC6506" w14:textId="77777777" w:rsidR="007A3A10" w:rsidRDefault="007A3A10" w:rsidP="007E4415">
      <w:pPr>
        <w:spacing w:before="60" w:after="60"/>
        <w:ind w:firstLine="0"/>
        <w:jc w:val="center"/>
        <w:rPr>
          <w:sz w:val="28"/>
        </w:rPr>
      </w:pPr>
      <w:r>
        <w:rPr>
          <w:noProof/>
          <w:lang w:eastAsia="lv-LV"/>
        </w:rPr>
        <w:drawing>
          <wp:inline distT="0" distB="0" distL="0" distR="0" wp14:anchorId="184F9B25" wp14:editId="40FFA55F">
            <wp:extent cx="5274310" cy="3023235"/>
            <wp:effectExtent l="0" t="0" r="2540" b="5715"/>
            <wp:docPr id="23" name="Chart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8"/>
              </a:graphicData>
            </a:graphic>
          </wp:inline>
        </w:drawing>
      </w:r>
    </w:p>
    <w:p w14:paraId="14AC99C8" w14:textId="77777777" w:rsidR="007A3A10" w:rsidRPr="005D16AB" w:rsidRDefault="007A3A10" w:rsidP="007A3A10">
      <w:pPr>
        <w:ind w:firstLine="720"/>
        <w:rPr>
          <w:rFonts w:eastAsia="Calibri"/>
          <w:szCs w:val="22"/>
        </w:rPr>
      </w:pPr>
      <w:r w:rsidRPr="005D16AB">
        <w:rPr>
          <w:rFonts w:eastAsia="Calibri"/>
          <w:szCs w:val="22"/>
        </w:rPr>
        <w:t xml:space="preserve">Skatoties pa atsevišķām ekonomikas nozarēm, veselība un sociālā aprūpe šā gada otrajā ceturksnī </w:t>
      </w:r>
      <w:proofErr w:type="spellStart"/>
      <w:r w:rsidRPr="005D16AB">
        <w:rPr>
          <w:rFonts w:eastAsia="Calibri"/>
          <w:szCs w:val="22"/>
        </w:rPr>
        <w:t>pirmskrīzes</w:t>
      </w:r>
      <w:proofErr w:type="spellEnd"/>
      <w:r w:rsidRPr="005D16AB">
        <w:rPr>
          <w:rFonts w:eastAsia="Calibri"/>
          <w:szCs w:val="22"/>
        </w:rPr>
        <w:t xml:space="preserve"> līmeni pārsniegusi par 28,7%, finanšu pakalpojumu nozare – par 11,9%, apstrādes rūpniecība – par 5,3%, valsts pārvalde – par 5,0% un pārējā rūpniecība – par 3,2%. Savukārt krīzē smagāk cietušās nozares – izmitināšana un ēdināšana, māksla izklaide un atpūta, kā arī transports joprojām būtiski atpaliek no </w:t>
      </w:r>
      <w:proofErr w:type="spellStart"/>
      <w:r w:rsidRPr="005D16AB">
        <w:rPr>
          <w:rFonts w:eastAsia="Calibri"/>
          <w:szCs w:val="22"/>
        </w:rPr>
        <w:t>pirmskrīzes</w:t>
      </w:r>
      <w:proofErr w:type="spellEnd"/>
      <w:r w:rsidRPr="005D16AB">
        <w:rPr>
          <w:rFonts w:eastAsia="Calibri"/>
          <w:szCs w:val="22"/>
        </w:rPr>
        <w:t xml:space="preserve"> līmeņa – attiecīgi par 47,3%, 37,7% un 9,6%.</w:t>
      </w:r>
    </w:p>
    <w:p w14:paraId="3C945836" w14:textId="65BA3FBD" w:rsidR="007A3A10" w:rsidRPr="005D16AB" w:rsidRDefault="007A3A10" w:rsidP="007A3A10">
      <w:pPr>
        <w:ind w:firstLine="720"/>
        <w:rPr>
          <w:rFonts w:eastAsia="Calibri"/>
          <w:szCs w:val="22"/>
        </w:rPr>
      </w:pPr>
      <w:r w:rsidRPr="005D16AB">
        <w:rPr>
          <w:rFonts w:eastAsia="Calibri"/>
          <w:szCs w:val="22"/>
        </w:rPr>
        <w:lastRenderedPageBreak/>
        <w:t xml:space="preserve">Līdz ar straujo kāpumu otrajā ceturksnī, </w:t>
      </w:r>
      <w:r w:rsidR="007E4415">
        <w:rPr>
          <w:rFonts w:eastAsia="Calibri"/>
          <w:szCs w:val="22"/>
        </w:rPr>
        <w:t>IKP</w:t>
      </w:r>
      <w:r w:rsidRPr="005D16AB">
        <w:rPr>
          <w:rFonts w:eastAsia="Calibri"/>
          <w:szCs w:val="22"/>
        </w:rPr>
        <w:t xml:space="preserve"> 2021</w:t>
      </w:r>
      <w:r>
        <w:rPr>
          <w:rFonts w:eastAsia="Calibri"/>
          <w:szCs w:val="22"/>
        </w:rPr>
        <w:t>. gad</w:t>
      </w:r>
      <w:r w:rsidRPr="005D16AB">
        <w:rPr>
          <w:rFonts w:eastAsia="Calibri"/>
          <w:szCs w:val="22"/>
        </w:rPr>
        <w:t>a pirmajā pusē kopā, salīdzinot ar 2020</w:t>
      </w:r>
      <w:r>
        <w:rPr>
          <w:rFonts w:eastAsia="Calibri"/>
          <w:szCs w:val="22"/>
        </w:rPr>
        <w:t>. gad</w:t>
      </w:r>
      <w:r w:rsidRPr="005D16AB">
        <w:rPr>
          <w:rFonts w:eastAsia="Calibri"/>
          <w:szCs w:val="22"/>
        </w:rPr>
        <w:t>a pirmo pusi, ir palielinājies par 5,1% (</w:t>
      </w:r>
      <w:r>
        <w:rPr>
          <w:rFonts w:eastAsia="Calibri"/>
          <w:szCs w:val="22"/>
        </w:rPr>
        <w:t>1</w:t>
      </w:r>
      <w:r w:rsidRPr="005D16AB">
        <w:rPr>
          <w:rFonts w:eastAsia="Calibri"/>
          <w:szCs w:val="22"/>
        </w:rPr>
        <w:t>.</w:t>
      </w:r>
      <w:r>
        <w:rPr>
          <w:rFonts w:eastAsia="Calibri"/>
          <w:szCs w:val="22"/>
        </w:rPr>
        <w:t>2. attēls</w:t>
      </w:r>
      <w:r w:rsidRPr="005D16AB">
        <w:rPr>
          <w:rFonts w:eastAsia="Calibri"/>
          <w:szCs w:val="22"/>
        </w:rPr>
        <w:t xml:space="preserve">). No nozaru puses vislielākais devums Latvijas ekonomikas izaugsmē šā gada pirmajā pusē bija pieaugumam tirdzniecības nozarē par 8,9%, veselības un sociālās aprūpes nozarē par 29,6% un apstrādes rūpniecībā par 8,6%. Savukārt kritumi gada pirmajā pusē bijuši lauksaimniecības nozarē </w:t>
      </w:r>
      <w:r>
        <w:rPr>
          <w:rFonts w:eastAsia="Calibri"/>
          <w:szCs w:val="22"/>
        </w:rPr>
        <w:t>–</w:t>
      </w:r>
      <w:r w:rsidRPr="005D16AB">
        <w:rPr>
          <w:rFonts w:eastAsia="Calibri"/>
          <w:szCs w:val="22"/>
        </w:rPr>
        <w:t xml:space="preserve"> par 2,1% un būvniecības nozarē par 4,6%, ko lielā mērā noteikuši laika apstākļi. Izmitināšanas un ēdināšanas nozare, ko vissmagāk skāra </w:t>
      </w:r>
      <w:r>
        <w:rPr>
          <w:rFonts w:eastAsia="Calibri"/>
          <w:szCs w:val="22"/>
        </w:rPr>
        <w:t>Covid</w:t>
      </w:r>
      <w:r>
        <w:rPr>
          <w:rFonts w:eastAsia="Calibri"/>
          <w:szCs w:val="22"/>
        </w:rPr>
        <w:noBreakHyphen/>
        <w:t>19</w:t>
      </w:r>
      <w:r w:rsidRPr="005D16AB">
        <w:rPr>
          <w:rFonts w:eastAsia="Calibri"/>
          <w:szCs w:val="22"/>
        </w:rPr>
        <w:t xml:space="preserve"> mazināšanai noteiktie ierobežojumi, gada pirmajā pusē piedzīvojusi kritumu par 19,8%.</w:t>
      </w:r>
    </w:p>
    <w:p w14:paraId="2208DF31" w14:textId="77777777" w:rsidR="007A3A10" w:rsidRDefault="007A3A10" w:rsidP="007A3A10">
      <w:pPr>
        <w:ind w:firstLine="720"/>
        <w:rPr>
          <w:rFonts w:eastAsia="Calibri"/>
          <w:szCs w:val="22"/>
        </w:rPr>
      </w:pPr>
      <w:r w:rsidRPr="005D16AB">
        <w:rPr>
          <w:rFonts w:eastAsia="Calibri"/>
          <w:szCs w:val="22"/>
        </w:rPr>
        <w:t xml:space="preserve">No izlietojuma puses </w:t>
      </w:r>
      <w:r>
        <w:rPr>
          <w:rFonts w:eastAsia="Calibri"/>
          <w:szCs w:val="22"/>
        </w:rPr>
        <w:t>būtiskākā</w:t>
      </w:r>
      <w:r w:rsidRPr="005D16AB">
        <w:rPr>
          <w:rFonts w:eastAsia="Calibri"/>
          <w:szCs w:val="22"/>
        </w:rPr>
        <w:t xml:space="preserve"> loma ekonomikas izaugsmē 2021</w:t>
      </w:r>
      <w:r>
        <w:rPr>
          <w:rFonts w:eastAsia="Calibri"/>
          <w:szCs w:val="22"/>
        </w:rPr>
        <w:t>. gad</w:t>
      </w:r>
      <w:r w:rsidRPr="005D16AB">
        <w:rPr>
          <w:rFonts w:eastAsia="Calibri"/>
          <w:szCs w:val="22"/>
        </w:rPr>
        <w:t xml:space="preserve">a pirmajā pusē bija privātā patēriņa pieaugumam, ko nodrošināja pakāpeniskā </w:t>
      </w:r>
      <w:r>
        <w:rPr>
          <w:rFonts w:eastAsia="Calibri"/>
          <w:szCs w:val="22"/>
        </w:rPr>
        <w:t>Covid</w:t>
      </w:r>
      <w:r>
        <w:rPr>
          <w:rFonts w:eastAsia="Calibri"/>
          <w:szCs w:val="22"/>
        </w:rPr>
        <w:noBreakHyphen/>
        <w:t>19</w:t>
      </w:r>
      <w:r w:rsidRPr="005D16AB">
        <w:rPr>
          <w:rFonts w:eastAsia="Calibri"/>
          <w:szCs w:val="22"/>
        </w:rPr>
        <w:t xml:space="preserve"> ierobežojumu mazināšana un atcelšana, kā arī valsts atbalsts krīzes skartajiem </w:t>
      </w:r>
      <w:r>
        <w:rPr>
          <w:rFonts w:eastAsia="Calibri"/>
          <w:szCs w:val="22"/>
        </w:rPr>
        <w:t>uzņēmumiem</w:t>
      </w:r>
      <w:r w:rsidRPr="005D16AB">
        <w:rPr>
          <w:rFonts w:eastAsia="Calibri"/>
          <w:szCs w:val="22"/>
        </w:rPr>
        <w:t xml:space="preserve"> un iedzīvotājiem. Spēcīgs kāpums bijis sabiedriskajam patēriņam, gada pirmajā pusē palielinoties par 5,2%, investīcijas augušas par 4,0% un eksports palielinājies par 7,0%, pārsvarā augot preču eksportam, ko veicināja pasaules ekonomikas atgūšanās no krīzes un spēcīgais pieprasījums Latvijas galvenajās ārējās tirdzniecības partnervalstīs.</w:t>
      </w:r>
    </w:p>
    <w:p w14:paraId="496730E5" w14:textId="77777777" w:rsidR="007A3A10" w:rsidRDefault="007A3A10" w:rsidP="007E4415">
      <w:pPr>
        <w:keepNext/>
        <w:spacing w:before="120"/>
        <w:ind w:firstLine="0"/>
        <w:jc w:val="center"/>
        <w:rPr>
          <w:rFonts w:eastAsia="Calibri"/>
          <w:szCs w:val="22"/>
        </w:rPr>
      </w:pPr>
      <w:r w:rsidRPr="00944631">
        <w:rPr>
          <w:b/>
          <w:i/>
        </w:rPr>
        <w:t>1.</w:t>
      </w:r>
      <w:r>
        <w:rPr>
          <w:b/>
          <w:i/>
        </w:rPr>
        <w:t>2</w:t>
      </w:r>
      <w:r w:rsidRPr="00944631">
        <w:rPr>
          <w:b/>
          <w:i/>
        </w:rPr>
        <w:t>. att</w:t>
      </w:r>
      <w:r>
        <w:rPr>
          <w:b/>
          <w:i/>
        </w:rPr>
        <w:t>ēls</w:t>
      </w:r>
      <w:r w:rsidRPr="00F7422F">
        <w:rPr>
          <w:b/>
          <w:i/>
        </w:rPr>
        <w:t xml:space="preserve"> </w:t>
      </w:r>
      <w:r w:rsidRPr="008B5332">
        <w:rPr>
          <w:b/>
        </w:rPr>
        <w:t>IKP izmaiņas no izlietojuma puses un IKP pievienotās vērtības izmaiņas tautsaimniecības nozarēs, salīdzinot ar iepriekšē</w:t>
      </w:r>
      <w:r>
        <w:rPr>
          <w:b/>
        </w:rPr>
        <w:t>jā gada attiecīgo laika periodu (</w:t>
      </w:r>
      <w:r w:rsidRPr="008B5332">
        <w:rPr>
          <w:b/>
        </w:rPr>
        <w:t>%</w:t>
      </w:r>
      <w:r>
        <w:rPr>
          <w:b/>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FFFFF" w:themeFill="background1"/>
        <w:tblLook w:val="04A0" w:firstRow="1" w:lastRow="0" w:firstColumn="1" w:lastColumn="0" w:noHBand="0" w:noVBand="1"/>
      </w:tblPr>
      <w:tblGrid>
        <w:gridCol w:w="4102"/>
        <w:gridCol w:w="4969"/>
      </w:tblGrid>
      <w:tr w:rsidR="007A3A10" w:rsidRPr="0076054C" w14:paraId="5495B8AA" w14:textId="77777777" w:rsidTr="007F5E20">
        <w:tc>
          <w:tcPr>
            <w:tcW w:w="3758" w:type="dxa"/>
          </w:tcPr>
          <w:p w14:paraId="16CB8FB8" w14:textId="77777777" w:rsidR="007A3A10" w:rsidRDefault="007A3A10" w:rsidP="007E4415">
            <w:pPr>
              <w:spacing w:before="120"/>
              <w:ind w:firstLine="0"/>
              <w:jc w:val="center"/>
              <w:rPr>
                <w:noProof/>
                <w:lang w:eastAsia="lv-LV"/>
              </w:rPr>
            </w:pPr>
            <w:r>
              <w:rPr>
                <w:noProof/>
                <w:lang w:eastAsia="lv-LV"/>
              </w:rPr>
              <w:drawing>
                <wp:inline distT="0" distB="0" distL="0" distR="0" wp14:anchorId="2A77F991" wp14:editId="57ADF129">
                  <wp:extent cx="2476500" cy="3134360"/>
                  <wp:effectExtent l="0" t="0" r="0" b="8890"/>
                  <wp:docPr id="5" name="Chart 5"/>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tc>
        <w:tc>
          <w:tcPr>
            <w:tcW w:w="4548" w:type="dxa"/>
          </w:tcPr>
          <w:p w14:paraId="1A55471C" w14:textId="77777777" w:rsidR="007A3A10" w:rsidRDefault="007A3A10" w:rsidP="007E4415">
            <w:pPr>
              <w:spacing w:before="120"/>
              <w:ind w:firstLine="0"/>
              <w:jc w:val="center"/>
              <w:rPr>
                <w:noProof/>
                <w:lang w:eastAsia="lv-LV"/>
              </w:rPr>
            </w:pPr>
            <w:r>
              <w:rPr>
                <w:noProof/>
                <w:lang w:eastAsia="lv-LV"/>
              </w:rPr>
              <w:drawing>
                <wp:inline distT="0" distB="0" distL="0" distR="0" wp14:anchorId="4709A8A8" wp14:editId="58980B0C">
                  <wp:extent cx="3019425" cy="3134360"/>
                  <wp:effectExtent l="0" t="0" r="9525" b="8890"/>
                  <wp:docPr id="34" name="Chart 34"/>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tc>
      </w:tr>
    </w:tbl>
    <w:p w14:paraId="0EDA3424" w14:textId="22905972" w:rsidR="007A3A10" w:rsidRDefault="007A3A10" w:rsidP="007E4415">
      <w:pPr>
        <w:spacing w:before="240"/>
        <w:ind w:firstLine="720"/>
        <w:rPr>
          <w:rFonts w:eastAsia="Calibri"/>
          <w:szCs w:val="22"/>
        </w:rPr>
      </w:pPr>
      <w:r w:rsidRPr="005D16AB">
        <w:rPr>
          <w:rFonts w:eastAsia="Calibri"/>
          <w:szCs w:val="22"/>
        </w:rPr>
        <w:t xml:space="preserve">Līdzīgi kā pārējās Baltijas valstis, Latvijas ekonomika </w:t>
      </w:r>
      <w:r>
        <w:rPr>
          <w:rFonts w:eastAsia="Calibri"/>
          <w:szCs w:val="22"/>
        </w:rPr>
        <w:t>Covid</w:t>
      </w:r>
      <w:r>
        <w:rPr>
          <w:rFonts w:eastAsia="Calibri"/>
          <w:szCs w:val="22"/>
        </w:rPr>
        <w:noBreakHyphen/>
        <w:t>19</w:t>
      </w:r>
      <w:r w:rsidRPr="005D16AB">
        <w:rPr>
          <w:rFonts w:eastAsia="Calibri"/>
          <w:szCs w:val="22"/>
        </w:rPr>
        <w:t xml:space="preserve"> krīzi līdz šim ir pārvarējusi salīdzinoši veiksmīgāk nekā </w:t>
      </w:r>
      <w:r w:rsidR="007E4415">
        <w:rPr>
          <w:rFonts w:eastAsia="Calibri"/>
          <w:szCs w:val="22"/>
        </w:rPr>
        <w:t>ES</w:t>
      </w:r>
      <w:r w:rsidRPr="005D16AB">
        <w:rPr>
          <w:rFonts w:eastAsia="Calibri"/>
          <w:szCs w:val="22"/>
        </w:rPr>
        <w:t xml:space="preserve"> kopumā, ko nodrošinājis gan mazāks krīzes tieši skarto nozaru, tajā skaitā tūrisma īpatsvars ekonomikā, gan valsts atbalsta pasākumi, gan ne tik spēcīgi </w:t>
      </w:r>
      <w:r>
        <w:rPr>
          <w:rFonts w:eastAsia="Calibri"/>
          <w:szCs w:val="22"/>
        </w:rPr>
        <w:t>Covid</w:t>
      </w:r>
      <w:r>
        <w:rPr>
          <w:rFonts w:eastAsia="Calibri"/>
          <w:szCs w:val="22"/>
        </w:rPr>
        <w:noBreakHyphen/>
        <w:t>19</w:t>
      </w:r>
      <w:r w:rsidRPr="005D16AB">
        <w:rPr>
          <w:rFonts w:eastAsia="Calibri"/>
          <w:szCs w:val="22"/>
        </w:rPr>
        <w:t xml:space="preserve"> uzliesmojumi kā atsevišķās Eiropas dienvidu valstīs, tostarp Spānijā un Itālijā. Ja Baltijas valstu ekonomikas jau ir atgriezušās </w:t>
      </w:r>
      <w:proofErr w:type="spellStart"/>
      <w:r w:rsidRPr="005D16AB">
        <w:rPr>
          <w:rFonts w:eastAsia="Calibri"/>
          <w:szCs w:val="22"/>
        </w:rPr>
        <w:t>pirmskrīzes</w:t>
      </w:r>
      <w:proofErr w:type="spellEnd"/>
      <w:r w:rsidRPr="005D16AB">
        <w:rPr>
          <w:rFonts w:eastAsia="Calibri"/>
          <w:szCs w:val="22"/>
        </w:rPr>
        <w:t>, 2019</w:t>
      </w:r>
      <w:r>
        <w:rPr>
          <w:rFonts w:eastAsia="Calibri"/>
          <w:szCs w:val="22"/>
        </w:rPr>
        <w:t>. gad</w:t>
      </w:r>
      <w:r w:rsidRPr="005D16AB">
        <w:rPr>
          <w:rFonts w:eastAsia="Calibri"/>
          <w:szCs w:val="22"/>
        </w:rPr>
        <w:t>a ceturtā ceturkšņa līmenī, Spānija no tā vēl atpaliek par 6,8%, Malta par</w:t>
      </w:r>
      <w:r>
        <w:rPr>
          <w:rFonts w:eastAsia="Calibri"/>
          <w:szCs w:val="22"/>
        </w:rPr>
        <w:t xml:space="preserve"> 6,7% un Čehija par 4,8% (1.3</w:t>
      </w:r>
      <w:r w:rsidRPr="005D16AB">
        <w:rPr>
          <w:rFonts w:eastAsia="Calibri"/>
          <w:szCs w:val="22"/>
        </w:rPr>
        <w:t>. att</w:t>
      </w:r>
      <w:r>
        <w:rPr>
          <w:rFonts w:eastAsia="Calibri"/>
          <w:szCs w:val="22"/>
        </w:rPr>
        <w:t>ēls</w:t>
      </w:r>
      <w:r w:rsidRPr="005D16AB">
        <w:rPr>
          <w:rFonts w:eastAsia="Calibri"/>
          <w:szCs w:val="22"/>
        </w:rPr>
        <w:t xml:space="preserve">). ES ekonomika kopā šā gada otrajā ceturksnī no </w:t>
      </w:r>
      <w:proofErr w:type="spellStart"/>
      <w:r w:rsidRPr="005D16AB">
        <w:rPr>
          <w:rFonts w:eastAsia="Calibri"/>
          <w:szCs w:val="22"/>
        </w:rPr>
        <w:t>pirmskrīzes</w:t>
      </w:r>
      <w:proofErr w:type="spellEnd"/>
      <w:r w:rsidRPr="005D16AB">
        <w:rPr>
          <w:rFonts w:eastAsia="Calibri"/>
          <w:szCs w:val="22"/>
        </w:rPr>
        <w:t xml:space="preserve"> līmeņa atpalika par 2,2%.</w:t>
      </w:r>
    </w:p>
    <w:p w14:paraId="2E82C393" w14:textId="77777777" w:rsidR="007E4415" w:rsidRDefault="007A3A10" w:rsidP="007E4415">
      <w:pPr>
        <w:keepNext/>
        <w:spacing w:before="120" w:after="0"/>
        <w:ind w:firstLine="0"/>
        <w:jc w:val="center"/>
        <w:rPr>
          <w:b/>
        </w:rPr>
      </w:pPr>
      <w:r w:rsidRPr="00944631">
        <w:rPr>
          <w:b/>
          <w:i/>
        </w:rPr>
        <w:lastRenderedPageBreak/>
        <w:t>1.</w:t>
      </w:r>
      <w:r>
        <w:rPr>
          <w:b/>
          <w:i/>
        </w:rPr>
        <w:t>3</w:t>
      </w:r>
      <w:r w:rsidRPr="00944631">
        <w:rPr>
          <w:b/>
          <w:i/>
        </w:rPr>
        <w:t>. att</w:t>
      </w:r>
      <w:r>
        <w:rPr>
          <w:b/>
          <w:i/>
        </w:rPr>
        <w:t>ēls</w:t>
      </w:r>
      <w:r w:rsidRPr="00537C12">
        <w:rPr>
          <w:b/>
          <w:i/>
        </w:rPr>
        <w:t xml:space="preserve"> </w:t>
      </w:r>
      <w:r w:rsidRPr="008B5332">
        <w:rPr>
          <w:b/>
        </w:rPr>
        <w:t>IKP izmaiņas 2021</w:t>
      </w:r>
      <w:r>
        <w:rPr>
          <w:b/>
        </w:rPr>
        <w:t>. gad</w:t>
      </w:r>
      <w:r w:rsidRPr="008B5332">
        <w:rPr>
          <w:b/>
        </w:rPr>
        <w:t>a 2.ceturksnī, salīdzinot ar 2019</w:t>
      </w:r>
      <w:r>
        <w:rPr>
          <w:b/>
        </w:rPr>
        <w:t>. gad</w:t>
      </w:r>
      <w:r w:rsidRPr="008B5332">
        <w:rPr>
          <w:b/>
        </w:rPr>
        <w:t>a 4.</w:t>
      </w:r>
      <w:r>
        <w:rPr>
          <w:b/>
        </w:rPr>
        <w:t> </w:t>
      </w:r>
      <w:r w:rsidRPr="008B5332">
        <w:rPr>
          <w:b/>
        </w:rPr>
        <w:t>ceturksni</w:t>
      </w:r>
    </w:p>
    <w:p w14:paraId="640F0F82" w14:textId="25B86837" w:rsidR="007A3A10" w:rsidRPr="00537C12" w:rsidRDefault="007A3A10" w:rsidP="007E4415">
      <w:pPr>
        <w:keepNext/>
        <w:ind w:firstLine="0"/>
        <w:jc w:val="center"/>
        <w:rPr>
          <w:b/>
          <w:i/>
        </w:rPr>
      </w:pPr>
      <w:r>
        <w:rPr>
          <w:b/>
        </w:rPr>
        <w:t xml:space="preserve">(%, </w:t>
      </w:r>
      <w:r w:rsidRPr="008B5332">
        <w:rPr>
          <w:b/>
        </w:rPr>
        <w:t>sezonāli un kalendāri izlīdzināti dati)</w:t>
      </w:r>
    </w:p>
    <w:p w14:paraId="30D2E48A" w14:textId="77777777" w:rsidR="007A3A10" w:rsidRDefault="007A3A10" w:rsidP="007E4415">
      <w:pPr>
        <w:spacing w:after="240"/>
        <w:ind w:firstLine="0"/>
        <w:jc w:val="center"/>
        <w:rPr>
          <w:sz w:val="28"/>
        </w:rPr>
      </w:pPr>
      <w:r>
        <w:rPr>
          <w:noProof/>
          <w:lang w:eastAsia="lv-LV"/>
        </w:rPr>
        <w:drawing>
          <wp:inline distT="0" distB="0" distL="0" distR="0" wp14:anchorId="5BECB947" wp14:editId="238CC48B">
            <wp:extent cx="5274310" cy="2549525"/>
            <wp:effectExtent l="0" t="0" r="2540" b="3175"/>
            <wp:docPr id="35" name="Chart 35"/>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14:paraId="259654B5" w14:textId="77777777" w:rsidR="007A3A10" w:rsidRPr="006D1228" w:rsidRDefault="007A3A10" w:rsidP="007A3A10">
      <w:pPr>
        <w:ind w:firstLine="720"/>
        <w:rPr>
          <w:rFonts w:eastAsia="Calibri"/>
          <w:szCs w:val="22"/>
        </w:rPr>
      </w:pPr>
      <w:r>
        <w:rPr>
          <w:rFonts w:eastAsia="Calibri"/>
          <w:szCs w:val="22"/>
        </w:rPr>
        <w:t>Covid</w:t>
      </w:r>
      <w:r>
        <w:rPr>
          <w:rFonts w:eastAsia="Calibri"/>
          <w:szCs w:val="22"/>
        </w:rPr>
        <w:noBreakHyphen/>
        <w:t>19</w:t>
      </w:r>
      <w:r w:rsidRPr="005D16AB">
        <w:rPr>
          <w:rFonts w:eastAsia="Calibri"/>
          <w:szCs w:val="22"/>
        </w:rPr>
        <w:t xml:space="preserve"> krīzei daudz smagāk skarot pakalpojumu nozares, 2020</w:t>
      </w:r>
      <w:r>
        <w:rPr>
          <w:rFonts w:eastAsia="Calibri"/>
          <w:szCs w:val="22"/>
        </w:rPr>
        <w:t>. gad</w:t>
      </w:r>
      <w:r w:rsidRPr="005D16AB">
        <w:rPr>
          <w:rFonts w:eastAsia="Calibri"/>
          <w:szCs w:val="22"/>
        </w:rPr>
        <w:t>ā Latvijas tautsaimniecības nozaru struktūrā notikušas zināmas izmaiņas, kas varētu saglabāties arī vidējā termiņā. Lai gan lielākās nozares tāpat kā iepriekš bijušas tirdzniecība, rūpniecība, nekustamā īpašuma operācijas un transports, pakalpojumu nozaru kopējais īpatsvars pievienotajā vērtībā 2020</w:t>
      </w:r>
      <w:r>
        <w:rPr>
          <w:rFonts w:eastAsia="Calibri"/>
          <w:szCs w:val="22"/>
        </w:rPr>
        <w:t>. gad</w:t>
      </w:r>
      <w:r w:rsidRPr="005D16AB">
        <w:rPr>
          <w:rFonts w:eastAsia="Calibri"/>
          <w:szCs w:val="22"/>
        </w:rPr>
        <w:t>ā ir samazinājies par 0,8 procentpunktiem līdz 73,5%, kamēr ražojošo nozaru īpatsvars audzis līdz 26,5%. No atsevišķām nozarēm transporta īpatsvars pievienotajā vērtībā sarucis par 1,1 procentpunktu līdz 8,2%, tirdzniecības un izmitināšanas īpatsvars krities par 0,5 procentpunktiem līdz 17,0%, bet visu ražojošo nozaru īpatsvars ir audzis, tajā skaitā lauksaimniecībai un rūpniecībai par 0,2 procentpunktiem, bet būvniecībai</w:t>
      </w:r>
      <w:r>
        <w:rPr>
          <w:rFonts w:eastAsia="Calibri"/>
          <w:szCs w:val="22"/>
        </w:rPr>
        <w:t xml:space="preserve"> par 0,4 procentpunktiem (1.4 </w:t>
      </w:r>
      <w:r w:rsidRPr="005D16AB">
        <w:rPr>
          <w:rFonts w:eastAsia="Calibri"/>
          <w:szCs w:val="22"/>
        </w:rPr>
        <w:t>.att</w:t>
      </w:r>
      <w:r>
        <w:rPr>
          <w:rFonts w:eastAsia="Calibri"/>
          <w:szCs w:val="22"/>
        </w:rPr>
        <w:t>ēls</w:t>
      </w:r>
      <w:r w:rsidRPr="005D16AB">
        <w:rPr>
          <w:rFonts w:eastAsia="Calibri"/>
          <w:szCs w:val="22"/>
        </w:rPr>
        <w:t>).</w:t>
      </w:r>
    </w:p>
    <w:p w14:paraId="133C5DAD" w14:textId="77777777" w:rsidR="007A3A10" w:rsidRPr="00476C39" w:rsidRDefault="007A3A10" w:rsidP="00556BB5">
      <w:pPr>
        <w:keepNext/>
        <w:spacing w:before="120" w:after="0"/>
        <w:ind w:firstLine="0"/>
        <w:jc w:val="center"/>
        <w:rPr>
          <w:b/>
        </w:rPr>
      </w:pPr>
      <w:r w:rsidRPr="00944631">
        <w:rPr>
          <w:b/>
          <w:i/>
        </w:rPr>
        <w:t>1.</w:t>
      </w:r>
      <w:r>
        <w:rPr>
          <w:b/>
          <w:i/>
        </w:rPr>
        <w:t>4</w:t>
      </w:r>
      <w:r w:rsidRPr="00944631">
        <w:rPr>
          <w:b/>
          <w:i/>
        </w:rPr>
        <w:t>. att</w:t>
      </w:r>
      <w:r>
        <w:rPr>
          <w:b/>
          <w:i/>
        </w:rPr>
        <w:t>ēls</w:t>
      </w:r>
      <w:r w:rsidRPr="00944631">
        <w:rPr>
          <w:b/>
          <w:i/>
        </w:rPr>
        <w:t xml:space="preserve"> </w:t>
      </w:r>
      <w:r w:rsidRPr="00476C39">
        <w:rPr>
          <w:b/>
        </w:rPr>
        <w:t xml:space="preserve">Pievienotās vērtības struktūras salīdzinājums pa nozaru grupām </w:t>
      </w:r>
    </w:p>
    <w:p w14:paraId="0DE278FD" w14:textId="2CC28C8A" w:rsidR="007A3A10" w:rsidRPr="00476C39" w:rsidRDefault="007A3A10" w:rsidP="007A3A10">
      <w:pPr>
        <w:keepNext/>
        <w:jc w:val="center"/>
        <w:rPr>
          <w:sz w:val="28"/>
        </w:rPr>
      </w:pPr>
      <w:r>
        <w:rPr>
          <w:b/>
        </w:rPr>
        <w:t>2019. un 2020. gadā</w:t>
      </w:r>
      <w:r w:rsidRPr="00476C39">
        <w:rPr>
          <w:b/>
        </w:rPr>
        <w:t xml:space="preserve"> (2015.</w:t>
      </w:r>
      <w:r w:rsidR="00556BB5">
        <w:rPr>
          <w:b/>
        </w:rPr>
        <w:t xml:space="preserve"> </w:t>
      </w:r>
      <w:r w:rsidRPr="00476C39">
        <w:rPr>
          <w:b/>
        </w:rPr>
        <w:t>g. salīdzināmajās cenās</w:t>
      </w:r>
      <w:r>
        <w:rPr>
          <w:b/>
        </w:rPr>
        <w:t>, %</w:t>
      </w:r>
      <w:r w:rsidRPr="00476C39">
        <w:rPr>
          <w:b/>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20"/>
        <w:gridCol w:w="4086"/>
      </w:tblGrid>
      <w:tr w:rsidR="007A3A10" w14:paraId="62989C99" w14:textId="77777777" w:rsidTr="007F5E20">
        <w:tc>
          <w:tcPr>
            <w:tcW w:w="4220" w:type="dxa"/>
          </w:tcPr>
          <w:p w14:paraId="44482BCC" w14:textId="77777777" w:rsidR="007A3A10" w:rsidRDefault="007A3A10" w:rsidP="00556BB5">
            <w:pPr>
              <w:keepNext/>
              <w:spacing w:after="240"/>
              <w:ind w:firstLine="0"/>
              <w:jc w:val="center"/>
              <w:rPr>
                <w:sz w:val="28"/>
              </w:rPr>
            </w:pPr>
            <w:r>
              <w:rPr>
                <w:noProof/>
                <w:lang w:eastAsia="lv-LV"/>
              </w:rPr>
              <w:drawing>
                <wp:inline distT="0" distB="0" distL="0" distR="0" wp14:anchorId="6A5CC39D" wp14:editId="6DF5C9B3">
                  <wp:extent cx="2457450" cy="2209800"/>
                  <wp:effectExtent l="0" t="0" r="0" b="0"/>
                  <wp:docPr id="36" name="Chart 36"/>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tc>
        <w:tc>
          <w:tcPr>
            <w:tcW w:w="4086" w:type="dxa"/>
          </w:tcPr>
          <w:p w14:paraId="1FC4F931" w14:textId="77777777" w:rsidR="007A3A10" w:rsidRDefault="007A3A10" w:rsidP="00556BB5">
            <w:pPr>
              <w:keepNext/>
              <w:spacing w:after="240"/>
              <w:ind w:firstLine="0"/>
              <w:jc w:val="center"/>
              <w:rPr>
                <w:sz w:val="28"/>
              </w:rPr>
            </w:pPr>
            <w:r>
              <w:rPr>
                <w:noProof/>
                <w:lang w:eastAsia="lv-LV"/>
              </w:rPr>
              <w:drawing>
                <wp:inline distT="0" distB="0" distL="0" distR="0" wp14:anchorId="5B402939" wp14:editId="24675F5F">
                  <wp:extent cx="2457450" cy="2209800"/>
                  <wp:effectExtent l="0" t="0" r="0" b="0"/>
                  <wp:docPr id="37" name="Chart 37"/>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tc>
      </w:tr>
    </w:tbl>
    <w:p w14:paraId="13BC8495" w14:textId="5452C79F" w:rsidR="007A3A10" w:rsidRDefault="007A3A10" w:rsidP="007A3A10">
      <w:pPr>
        <w:ind w:firstLine="720"/>
        <w:rPr>
          <w:rFonts w:eastAsia="Calibri"/>
          <w:szCs w:val="22"/>
        </w:rPr>
      </w:pPr>
      <w:r w:rsidRPr="005D16AB">
        <w:rPr>
          <w:rFonts w:eastAsia="Calibri"/>
          <w:szCs w:val="22"/>
        </w:rPr>
        <w:t xml:space="preserve">Par spēcīgu ekonomiskās aktivitātes atjaunošanos pēc </w:t>
      </w:r>
      <w:r>
        <w:rPr>
          <w:rFonts w:eastAsia="Calibri"/>
          <w:szCs w:val="22"/>
        </w:rPr>
        <w:t>Covid</w:t>
      </w:r>
      <w:r>
        <w:rPr>
          <w:rFonts w:eastAsia="Calibri"/>
          <w:szCs w:val="22"/>
        </w:rPr>
        <w:noBreakHyphen/>
        <w:t>19</w:t>
      </w:r>
      <w:r w:rsidRPr="005D16AB">
        <w:rPr>
          <w:rFonts w:eastAsia="Calibri"/>
          <w:szCs w:val="22"/>
        </w:rPr>
        <w:t xml:space="preserve"> ierobežojumiem gan Latvijā, gan ārējās tirdzniecības partnervalstīs jau visa š</w:t>
      </w:r>
      <w:r>
        <w:rPr>
          <w:rFonts w:eastAsia="Calibri"/>
          <w:szCs w:val="22"/>
        </w:rPr>
        <w:t>ā</w:t>
      </w:r>
      <w:r w:rsidRPr="005D16AB">
        <w:rPr>
          <w:rFonts w:eastAsia="Calibri"/>
          <w:szCs w:val="22"/>
        </w:rPr>
        <w:t xml:space="preserve"> gada laikā ir signalizējuši apsteidzošie ekonomikas sentimenta rādītāji. EK veidotais ESI indekss </w:t>
      </w:r>
      <w:r w:rsidR="00556BB5">
        <w:rPr>
          <w:rFonts w:eastAsia="Calibri"/>
          <w:szCs w:val="22"/>
        </w:rPr>
        <w:t>ES</w:t>
      </w:r>
      <w:r w:rsidRPr="005D16AB">
        <w:rPr>
          <w:rFonts w:eastAsia="Calibri"/>
          <w:szCs w:val="22"/>
        </w:rPr>
        <w:t xml:space="preserve"> valstīm kopā 2021</w:t>
      </w:r>
      <w:r>
        <w:rPr>
          <w:rFonts w:eastAsia="Calibri"/>
          <w:szCs w:val="22"/>
        </w:rPr>
        <w:t>. gad</w:t>
      </w:r>
      <w:r w:rsidRPr="005D16AB">
        <w:rPr>
          <w:rFonts w:eastAsia="Calibri"/>
          <w:szCs w:val="22"/>
        </w:rPr>
        <w:t>a jūlijā sasniedza visu laiku augstāko atzīmi un tuvu šim līmenim saglabājās arī augustā, liecinot par augstu biznesa aktivitāti arī turpmākajos mēnešos. Latvijas uzņēmēju un patērētāju noskaņojums, kas jūnijā bija sasniedzis augstāko rādītāju kopš 2018</w:t>
      </w:r>
      <w:r>
        <w:rPr>
          <w:rFonts w:eastAsia="Calibri"/>
          <w:szCs w:val="22"/>
        </w:rPr>
        <w:t>. gad</w:t>
      </w:r>
      <w:r w:rsidRPr="005D16AB">
        <w:rPr>
          <w:rFonts w:eastAsia="Calibri"/>
          <w:szCs w:val="22"/>
        </w:rPr>
        <w:t xml:space="preserve">a sākuma, ir nedaudz mazāk optimistisks nekā </w:t>
      </w:r>
      <w:r w:rsidR="00556BB5">
        <w:rPr>
          <w:rFonts w:eastAsia="Calibri"/>
          <w:szCs w:val="22"/>
        </w:rPr>
        <w:t>ES</w:t>
      </w:r>
      <w:r w:rsidRPr="005D16AB">
        <w:rPr>
          <w:rFonts w:eastAsia="Calibri"/>
          <w:szCs w:val="22"/>
        </w:rPr>
        <w:t xml:space="preserve"> kopumā un pārējās Baltijas valstīs. Pēdējos divos mēnešos Latvijas </w:t>
      </w:r>
      <w:r w:rsidRPr="005D16AB">
        <w:rPr>
          <w:rFonts w:eastAsia="Calibri"/>
          <w:szCs w:val="22"/>
        </w:rPr>
        <w:lastRenderedPageBreak/>
        <w:t xml:space="preserve">ESI indekss ir nedaudz pazeminājies, ko visdrīzāk izraisījusi nedrošība par jaunu </w:t>
      </w:r>
      <w:r>
        <w:rPr>
          <w:rFonts w:eastAsia="Calibri"/>
          <w:szCs w:val="22"/>
        </w:rPr>
        <w:t>Covid</w:t>
      </w:r>
      <w:r>
        <w:rPr>
          <w:rFonts w:eastAsia="Calibri"/>
          <w:szCs w:val="22"/>
        </w:rPr>
        <w:noBreakHyphen/>
        <w:t>19</w:t>
      </w:r>
      <w:r w:rsidRPr="005D16AB">
        <w:rPr>
          <w:rFonts w:eastAsia="Calibri"/>
          <w:szCs w:val="22"/>
        </w:rPr>
        <w:t xml:space="preserve"> uzliesmojumu šā gada rudenī.</w:t>
      </w:r>
    </w:p>
    <w:p w14:paraId="42370A4A" w14:textId="77777777" w:rsidR="007A3A10" w:rsidRPr="00213BDD" w:rsidRDefault="007A3A10" w:rsidP="00556BB5">
      <w:pPr>
        <w:keepNext/>
        <w:spacing w:after="240"/>
        <w:ind w:firstLine="0"/>
        <w:jc w:val="center"/>
        <w:rPr>
          <w:b/>
          <w:i/>
        </w:rPr>
      </w:pPr>
      <w:r>
        <w:rPr>
          <w:b/>
          <w:i/>
        </w:rPr>
        <w:t>1.5</w:t>
      </w:r>
      <w:r w:rsidRPr="00B264B6">
        <w:rPr>
          <w:b/>
          <w:i/>
        </w:rPr>
        <w:t>.</w:t>
      </w:r>
      <w:r>
        <w:rPr>
          <w:b/>
          <w:i/>
        </w:rPr>
        <w:t xml:space="preserve"> </w:t>
      </w:r>
      <w:r w:rsidRPr="00B264B6">
        <w:rPr>
          <w:b/>
          <w:i/>
        </w:rPr>
        <w:t>att</w:t>
      </w:r>
      <w:r>
        <w:rPr>
          <w:b/>
          <w:i/>
        </w:rPr>
        <w:t>ēls</w:t>
      </w:r>
      <w:r w:rsidRPr="00B264B6">
        <w:rPr>
          <w:b/>
          <w:i/>
        </w:rPr>
        <w:t xml:space="preserve"> </w:t>
      </w:r>
      <w:r w:rsidRPr="00476C39">
        <w:rPr>
          <w:b/>
        </w:rPr>
        <w:t>ES, Latvijas, Lietuvas un Igaunijas ekonomiskā sentimenta indekss (ESI)</w:t>
      </w:r>
    </w:p>
    <w:p w14:paraId="5492A1A2" w14:textId="77777777" w:rsidR="007A3A10" w:rsidRDefault="007A3A10" w:rsidP="00556BB5">
      <w:pPr>
        <w:spacing w:before="60" w:after="60"/>
        <w:ind w:firstLine="0"/>
        <w:jc w:val="center"/>
        <w:rPr>
          <w:sz w:val="28"/>
        </w:rPr>
      </w:pPr>
      <w:r w:rsidRPr="00A71F21">
        <w:rPr>
          <w:noProof/>
          <w:lang w:eastAsia="lv-LV"/>
        </w:rPr>
        <w:drawing>
          <wp:inline distT="0" distB="0" distL="0" distR="0" wp14:anchorId="3D60C39F" wp14:editId="443D7EFB">
            <wp:extent cx="5274310" cy="2817628"/>
            <wp:effectExtent l="0" t="0" r="2540" b="1905"/>
            <wp:docPr id="13" name="Chart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14:paraId="714449D1" w14:textId="7CA45AEA" w:rsidR="00556BB5" w:rsidRDefault="00EF1D74" w:rsidP="00BF4556">
      <w:pPr>
        <w:keepNext/>
        <w:keepLines/>
        <w:spacing w:before="240" w:after="240"/>
        <w:ind w:firstLine="0"/>
        <w:jc w:val="center"/>
        <w:outlineLvl w:val="2"/>
        <w:rPr>
          <w:b/>
          <w:bCs/>
          <w:sz w:val="32"/>
          <w:szCs w:val="32"/>
        </w:rPr>
      </w:pPr>
      <w:r w:rsidRPr="00EF1D74">
        <w:rPr>
          <w:b/>
          <w:bCs/>
          <w:sz w:val="32"/>
          <w:szCs w:val="32"/>
        </w:rPr>
        <w:t>1.2.2. Tautsaimniecības nozaru attīstība</w:t>
      </w:r>
    </w:p>
    <w:p w14:paraId="16787701" w14:textId="77777777" w:rsidR="00BF4556" w:rsidRPr="00BA2D6E" w:rsidRDefault="00BF4556" w:rsidP="00BF4556">
      <w:pPr>
        <w:spacing w:before="240" w:after="240"/>
        <w:ind w:firstLine="0"/>
        <w:jc w:val="center"/>
        <w:rPr>
          <w:rFonts w:eastAsia="Calibri"/>
          <w:b/>
        </w:rPr>
      </w:pPr>
      <w:r w:rsidRPr="00BA2D6E">
        <w:rPr>
          <w:rFonts w:eastAsia="Calibri"/>
          <w:b/>
        </w:rPr>
        <w:t>Rūpniecība</w:t>
      </w:r>
    </w:p>
    <w:p w14:paraId="267A0F5F" w14:textId="77777777" w:rsidR="00BF4556" w:rsidRDefault="00BF4556" w:rsidP="00BF4556">
      <w:pPr>
        <w:ind w:firstLine="720"/>
        <w:rPr>
          <w:rFonts w:eastAsia="Calibri"/>
          <w:szCs w:val="22"/>
        </w:rPr>
      </w:pPr>
      <w:r w:rsidRPr="00BA2D6E">
        <w:rPr>
          <w:rFonts w:eastAsia="Calibri"/>
          <w:szCs w:val="22"/>
        </w:rPr>
        <w:t>Rūpniecības nozare Latvijā turpina atgūties no Covid-19 pandēmijas sekām, galvenajiem rādītājiem jau pārsniedzot 2019. un 2020</w:t>
      </w:r>
      <w:r>
        <w:rPr>
          <w:rFonts w:eastAsia="Calibri"/>
          <w:szCs w:val="22"/>
        </w:rPr>
        <w:t>. gad</w:t>
      </w:r>
      <w:r w:rsidRPr="00BA2D6E">
        <w:rPr>
          <w:rFonts w:eastAsia="Calibri"/>
          <w:szCs w:val="22"/>
        </w:rPr>
        <w:t>a līmeni.</w:t>
      </w:r>
      <w:r>
        <w:rPr>
          <w:rFonts w:eastAsia="Calibri"/>
          <w:szCs w:val="22"/>
        </w:rPr>
        <w:t xml:space="preserve"> </w:t>
      </w:r>
    </w:p>
    <w:p w14:paraId="33AC7738" w14:textId="77777777" w:rsidR="00BF4556" w:rsidRPr="00BA2D6E" w:rsidRDefault="00BF4556" w:rsidP="00BF4556">
      <w:pPr>
        <w:ind w:firstLine="720"/>
        <w:rPr>
          <w:rFonts w:eastAsia="Calibri"/>
          <w:szCs w:val="22"/>
        </w:rPr>
      </w:pPr>
      <w:r w:rsidRPr="00BA2D6E">
        <w:rPr>
          <w:rFonts w:eastAsia="Calibri"/>
          <w:szCs w:val="22"/>
        </w:rPr>
        <w:t>Rūpniecība ir viena no lielākajām Latvijas tautsaimniecības nozarēm, 2020</w:t>
      </w:r>
      <w:r>
        <w:rPr>
          <w:rFonts w:eastAsia="Calibri"/>
          <w:szCs w:val="22"/>
        </w:rPr>
        <w:t>. gad</w:t>
      </w:r>
      <w:r w:rsidRPr="00BA2D6E">
        <w:rPr>
          <w:rFonts w:eastAsia="Calibri"/>
          <w:szCs w:val="22"/>
        </w:rPr>
        <w:t>a pievienotās vērtības struktūrā veidojot 16,6%, kas ir par 0,2</w:t>
      </w:r>
      <w:r>
        <w:rPr>
          <w:rFonts w:eastAsia="Calibri"/>
          <w:szCs w:val="22"/>
        </w:rPr>
        <w:t xml:space="preserve"> procentpunktiem</w:t>
      </w:r>
      <w:r w:rsidRPr="00BA2D6E">
        <w:rPr>
          <w:rFonts w:eastAsia="Calibri"/>
          <w:szCs w:val="22"/>
        </w:rPr>
        <w:t xml:space="preserve"> vairāk </w:t>
      </w:r>
      <w:r>
        <w:rPr>
          <w:rFonts w:eastAsia="Calibri"/>
          <w:szCs w:val="22"/>
        </w:rPr>
        <w:t>ne</w:t>
      </w:r>
      <w:r w:rsidRPr="00BA2D6E">
        <w:rPr>
          <w:rFonts w:eastAsia="Calibri"/>
          <w:szCs w:val="22"/>
        </w:rPr>
        <w:t>kā 2019</w:t>
      </w:r>
      <w:r>
        <w:rPr>
          <w:rFonts w:eastAsia="Calibri"/>
          <w:szCs w:val="22"/>
        </w:rPr>
        <w:t>. gadā. Lielāko</w:t>
      </w:r>
      <w:r w:rsidRPr="00BA2D6E">
        <w:rPr>
          <w:rFonts w:eastAsia="Calibri"/>
          <w:szCs w:val="22"/>
        </w:rPr>
        <w:t xml:space="preserve"> </w:t>
      </w:r>
      <w:r>
        <w:rPr>
          <w:rFonts w:eastAsia="Calibri"/>
          <w:szCs w:val="22"/>
        </w:rPr>
        <w:t>pievienotās vērtības daļu</w:t>
      </w:r>
      <w:r w:rsidRPr="00BA2D6E">
        <w:rPr>
          <w:rFonts w:eastAsia="Calibri"/>
          <w:szCs w:val="22"/>
        </w:rPr>
        <w:t xml:space="preserve"> rūpniecībā veido apstrādes rūpniecība (81,2%), </w:t>
      </w:r>
      <w:r>
        <w:rPr>
          <w:rFonts w:eastAsia="Calibri"/>
          <w:szCs w:val="22"/>
        </w:rPr>
        <w:t xml:space="preserve">bet atlikušo aizņem </w:t>
      </w:r>
      <w:r w:rsidRPr="00BA2D6E">
        <w:rPr>
          <w:rFonts w:eastAsia="Calibri"/>
          <w:szCs w:val="22"/>
        </w:rPr>
        <w:t>e</w:t>
      </w:r>
      <w:r>
        <w:rPr>
          <w:rFonts w:eastAsia="Calibri"/>
          <w:szCs w:val="22"/>
        </w:rPr>
        <w:t>lektroenerģijas un gāzes apgāde</w:t>
      </w:r>
      <w:r w:rsidRPr="00BA2D6E">
        <w:rPr>
          <w:rFonts w:eastAsia="Calibri"/>
          <w:szCs w:val="22"/>
        </w:rPr>
        <w:t xml:space="preserve"> (15,6%) un ieguves rūpniecība un karjeru izstrāde (3,2%).</w:t>
      </w:r>
    </w:p>
    <w:p w14:paraId="7A6672A9" w14:textId="77777777" w:rsidR="00BF4556" w:rsidRPr="00BA2D6E" w:rsidRDefault="00BF4556" w:rsidP="00BF4556">
      <w:pPr>
        <w:ind w:firstLine="720"/>
        <w:rPr>
          <w:rFonts w:eastAsia="Calibri"/>
          <w:szCs w:val="22"/>
        </w:rPr>
      </w:pPr>
      <w:r w:rsidRPr="00BA2D6E">
        <w:rPr>
          <w:rFonts w:eastAsia="Calibri"/>
          <w:szCs w:val="22"/>
        </w:rPr>
        <w:t>Rūpniecības nozare 2020</w:t>
      </w:r>
      <w:r>
        <w:rPr>
          <w:rFonts w:eastAsia="Calibri"/>
          <w:szCs w:val="22"/>
        </w:rPr>
        <w:t>. gad</w:t>
      </w:r>
      <w:r w:rsidRPr="00BA2D6E">
        <w:rPr>
          <w:rFonts w:eastAsia="Calibri"/>
          <w:szCs w:val="22"/>
        </w:rPr>
        <w:t>ā nodrošinājusi 134</w:t>
      </w:r>
      <w:r>
        <w:rPr>
          <w:rFonts w:eastAsia="Calibri"/>
          <w:szCs w:val="22"/>
        </w:rPr>
        <w:t>,2</w:t>
      </w:r>
      <w:r w:rsidRPr="00BA2D6E">
        <w:rPr>
          <w:rFonts w:eastAsia="Calibri"/>
          <w:szCs w:val="22"/>
        </w:rPr>
        <w:t xml:space="preserve"> tūkst. darba vietu, no kurām izteikts vairākums jeb 114,5 tūkst.</w:t>
      </w:r>
      <w:r>
        <w:rPr>
          <w:rFonts w:eastAsia="Calibri"/>
          <w:szCs w:val="22"/>
        </w:rPr>
        <w:t xml:space="preserve"> bija</w:t>
      </w:r>
      <w:r w:rsidRPr="00BA2D6E">
        <w:rPr>
          <w:rFonts w:eastAsia="Calibri"/>
          <w:szCs w:val="22"/>
        </w:rPr>
        <w:t xml:space="preserve"> apstrādes rūpniecībā. Rūpniecībā pērn</w:t>
      </w:r>
      <w:r>
        <w:rPr>
          <w:rFonts w:eastAsia="Calibri"/>
          <w:szCs w:val="22"/>
        </w:rPr>
        <w:t xml:space="preserve"> bija</w:t>
      </w:r>
      <w:r w:rsidRPr="00BA2D6E">
        <w:rPr>
          <w:rFonts w:eastAsia="Calibri"/>
          <w:szCs w:val="22"/>
        </w:rPr>
        <w:t xml:space="preserve"> nodarbināti 15</w:t>
      </w:r>
      <w:r>
        <w:rPr>
          <w:rFonts w:eastAsia="Calibri"/>
          <w:szCs w:val="22"/>
        </w:rPr>
        <w:t>,0% no visiem</w:t>
      </w:r>
      <w:r w:rsidRPr="00BA2D6E">
        <w:rPr>
          <w:rFonts w:eastAsia="Calibri"/>
          <w:szCs w:val="22"/>
        </w:rPr>
        <w:t xml:space="preserve"> Latvijas </w:t>
      </w:r>
      <w:r>
        <w:rPr>
          <w:rFonts w:eastAsia="Calibri"/>
          <w:szCs w:val="22"/>
        </w:rPr>
        <w:t>strādājošajiem iedzīvotājiem</w:t>
      </w:r>
      <w:r w:rsidRPr="00BA2D6E">
        <w:rPr>
          <w:rFonts w:eastAsia="Calibri"/>
          <w:szCs w:val="22"/>
        </w:rPr>
        <w:t>,</w:t>
      </w:r>
      <w:r>
        <w:rPr>
          <w:rFonts w:eastAsia="Calibri"/>
          <w:szCs w:val="22"/>
        </w:rPr>
        <w:t xml:space="preserve"> un nozarē nodarbināto skaits bijis </w:t>
      </w:r>
      <w:r w:rsidRPr="00BA2D6E">
        <w:rPr>
          <w:rFonts w:eastAsia="Calibri"/>
          <w:szCs w:val="22"/>
        </w:rPr>
        <w:t>par 0,2</w:t>
      </w:r>
      <w:r>
        <w:rPr>
          <w:rFonts w:eastAsia="Calibri"/>
          <w:szCs w:val="22"/>
        </w:rPr>
        <w:t xml:space="preserve">% </w:t>
      </w:r>
      <w:r w:rsidRPr="00BA2D6E">
        <w:rPr>
          <w:rFonts w:eastAsia="Calibri"/>
          <w:szCs w:val="22"/>
        </w:rPr>
        <w:t>mazāk</w:t>
      </w:r>
      <w:r>
        <w:rPr>
          <w:rFonts w:eastAsia="Calibri"/>
          <w:szCs w:val="22"/>
        </w:rPr>
        <w:t>s</w:t>
      </w:r>
      <w:r w:rsidRPr="00BA2D6E">
        <w:rPr>
          <w:rFonts w:eastAsia="Calibri"/>
          <w:szCs w:val="22"/>
        </w:rPr>
        <w:t xml:space="preserve"> </w:t>
      </w:r>
      <w:r>
        <w:rPr>
          <w:rFonts w:eastAsia="Calibri"/>
          <w:szCs w:val="22"/>
        </w:rPr>
        <w:t>ne</w:t>
      </w:r>
      <w:r w:rsidRPr="00BA2D6E">
        <w:rPr>
          <w:rFonts w:eastAsia="Calibri"/>
          <w:szCs w:val="22"/>
        </w:rPr>
        <w:t>kā 2019</w:t>
      </w:r>
      <w:r>
        <w:rPr>
          <w:rFonts w:eastAsia="Calibri"/>
          <w:szCs w:val="22"/>
        </w:rPr>
        <w:t xml:space="preserve">. gadā, </w:t>
      </w:r>
      <w:r w:rsidRPr="00BA2D6E">
        <w:rPr>
          <w:rFonts w:eastAsia="Calibri"/>
          <w:szCs w:val="22"/>
        </w:rPr>
        <w:t>ko ietekmējusi gan pandēmiskā situācija, gan sistēmu automatizācija. Jāpiemin, ka iepriekšējos trīs gadus nodarbināto s</w:t>
      </w:r>
      <w:r>
        <w:rPr>
          <w:rFonts w:eastAsia="Calibri"/>
          <w:szCs w:val="22"/>
        </w:rPr>
        <w:t>kaita samazinājums rūpniecības nozarē bijis straujāks – 2,5-</w:t>
      </w:r>
      <w:r w:rsidRPr="00BA2D6E">
        <w:rPr>
          <w:rFonts w:eastAsia="Calibri"/>
          <w:szCs w:val="22"/>
        </w:rPr>
        <w:t>4,1%</w:t>
      </w:r>
      <w:r>
        <w:rPr>
          <w:rFonts w:eastAsia="Calibri"/>
          <w:szCs w:val="22"/>
        </w:rPr>
        <w:t xml:space="preserve"> apmērā</w:t>
      </w:r>
      <w:r w:rsidRPr="00BA2D6E">
        <w:rPr>
          <w:rFonts w:eastAsia="Calibri"/>
          <w:szCs w:val="22"/>
        </w:rPr>
        <w:t>, kas liecina par nodarbināto pieplūdumu no nozarēm, kuras pandēmija 2020</w:t>
      </w:r>
      <w:r>
        <w:rPr>
          <w:rFonts w:eastAsia="Calibri"/>
          <w:szCs w:val="22"/>
        </w:rPr>
        <w:t>. gadā ietekmēja spēcīgāk.</w:t>
      </w:r>
    </w:p>
    <w:p w14:paraId="4749BCFF" w14:textId="77777777" w:rsidR="00BF4556" w:rsidRPr="00BA2D6E" w:rsidRDefault="00BF4556" w:rsidP="00BF4556">
      <w:pPr>
        <w:ind w:firstLine="720"/>
        <w:rPr>
          <w:rFonts w:eastAsia="Calibri"/>
          <w:szCs w:val="22"/>
        </w:rPr>
      </w:pPr>
      <w:r w:rsidRPr="00BA2D6E">
        <w:rPr>
          <w:rFonts w:eastAsia="Calibri"/>
          <w:szCs w:val="22"/>
        </w:rPr>
        <w:t xml:space="preserve">Pērn rūpniecībā reģistrēts </w:t>
      </w:r>
      <w:r>
        <w:rPr>
          <w:rFonts w:eastAsia="Calibri"/>
          <w:szCs w:val="22"/>
        </w:rPr>
        <w:t xml:space="preserve">izlaides apjoma </w:t>
      </w:r>
      <w:r w:rsidRPr="00BA2D6E">
        <w:rPr>
          <w:rFonts w:eastAsia="Calibri"/>
          <w:szCs w:val="22"/>
        </w:rPr>
        <w:t>kritums 1,8% apmērā (salīdzināmajās cenās) pret 2019</w:t>
      </w:r>
      <w:r>
        <w:rPr>
          <w:rFonts w:eastAsia="Calibri"/>
          <w:szCs w:val="22"/>
        </w:rPr>
        <w:t>. gad</w:t>
      </w:r>
      <w:r w:rsidRPr="00BA2D6E">
        <w:rPr>
          <w:rFonts w:eastAsia="Calibri"/>
          <w:szCs w:val="22"/>
        </w:rPr>
        <w:t xml:space="preserve">u, kas liecina par nozares samērā veiksmīgu krīzes pārvarēšanu, citās ES dalībvalstīs nozarei pārsvarā piedzīvojot spēcīgākus kritumus. Samazinājumu Latvijas rūpniecībā noteica apstrādes rūpniecības sarukums par 1,2%, kur ievērojamu pieaugumu uzrādīja kokrūpniecība, taču teju visās pārējās </w:t>
      </w:r>
      <w:proofErr w:type="spellStart"/>
      <w:r w:rsidRPr="00BA2D6E">
        <w:rPr>
          <w:rFonts w:eastAsia="Calibri"/>
          <w:szCs w:val="22"/>
        </w:rPr>
        <w:t>apakšnozar</w:t>
      </w:r>
      <w:r>
        <w:rPr>
          <w:rFonts w:eastAsia="Calibri"/>
          <w:szCs w:val="22"/>
        </w:rPr>
        <w:t>ē</w:t>
      </w:r>
      <w:r w:rsidRPr="00BA2D6E">
        <w:rPr>
          <w:rFonts w:eastAsia="Calibri"/>
          <w:szCs w:val="22"/>
        </w:rPr>
        <w:t>s</w:t>
      </w:r>
      <w:proofErr w:type="spellEnd"/>
      <w:r w:rsidRPr="00BA2D6E">
        <w:rPr>
          <w:rFonts w:eastAsia="Calibri"/>
          <w:szCs w:val="22"/>
        </w:rPr>
        <w:t xml:space="preserve"> fiksēti ražošanas apjomu</w:t>
      </w:r>
      <w:r>
        <w:rPr>
          <w:rFonts w:eastAsia="Calibri"/>
          <w:szCs w:val="22"/>
        </w:rPr>
        <w:t xml:space="preserve"> samazinājumi </w:t>
      </w:r>
      <w:r w:rsidRPr="00BA2D6E">
        <w:rPr>
          <w:rFonts w:eastAsia="Calibri"/>
          <w:szCs w:val="22"/>
        </w:rPr>
        <w:t>zemāka pieprasījuma rezultātā. Elektroenerģijas un gāzes apgāde 2020</w:t>
      </w:r>
      <w:r>
        <w:rPr>
          <w:rFonts w:eastAsia="Calibri"/>
          <w:szCs w:val="22"/>
        </w:rPr>
        <w:t>. gad</w:t>
      </w:r>
      <w:r w:rsidRPr="00BA2D6E">
        <w:rPr>
          <w:rFonts w:eastAsia="Calibri"/>
          <w:szCs w:val="22"/>
        </w:rPr>
        <w:t>ā samazinājās par 7,2%, taču ieguves rūpniecībā un karjeru izstrādē pieaugums par 8,7%.</w:t>
      </w:r>
    </w:p>
    <w:p w14:paraId="72E4695C" w14:textId="77777777" w:rsidR="00BF4556" w:rsidRDefault="00BF4556" w:rsidP="00BF4556">
      <w:pPr>
        <w:ind w:firstLine="720"/>
        <w:rPr>
          <w:rFonts w:eastAsia="Calibri"/>
          <w:szCs w:val="22"/>
        </w:rPr>
      </w:pPr>
      <w:r w:rsidRPr="00BA2D6E">
        <w:rPr>
          <w:rFonts w:eastAsia="Calibri"/>
          <w:szCs w:val="22"/>
        </w:rPr>
        <w:t>Savukārt šā gada pirmajos septiņos mēnešos rūpniecības nozare Latvij</w:t>
      </w:r>
      <w:r>
        <w:rPr>
          <w:rFonts w:eastAsia="Calibri"/>
          <w:szCs w:val="22"/>
        </w:rPr>
        <w:t xml:space="preserve">ā uzrādījusi pieaugumu 8,3% </w:t>
      </w:r>
      <w:r w:rsidRPr="00BA2D6E">
        <w:rPr>
          <w:rFonts w:eastAsia="Calibri"/>
          <w:szCs w:val="22"/>
        </w:rPr>
        <w:t xml:space="preserve">apmērā </w:t>
      </w:r>
      <w:r>
        <w:rPr>
          <w:rFonts w:eastAsia="Calibri"/>
          <w:szCs w:val="22"/>
        </w:rPr>
        <w:t xml:space="preserve">(1.6 </w:t>
      </w:r>
      <w:r w:rsidRPr="00BA2D6E">
        <w:rPr>
          <w:rFonts w:eastAsia="Calibri"/>
          <w:szCs w:val="22"/>
        </w:rPr>
        <w:t>.att</w:t>
      </w:r>
      <w:r>
        <w:rPr>
          <w:rFonts w:eastAsia="Calibri"/>
          <w:szCs w:val="22"/>
        </w:rPr>
        <w:t>ēls</w:t>
      </w:r>
      <w:r w:rsidRPr="00BA2D6E">
        <w:rPr>
          <w:rFonts w:eastAsia="Calibri"/>
          <w:szCs w:val="22"/>
        </w:rPr>
        <w:t>) pret pērnā gada attiecīgo periodu un 4,8% pieaugumu pret 2019</w:t>
      </w:r>
      <w:r>
        <w:rPr>
          <w:rFonts w:eastAsia="Calibri"/>
          <w:szCs w:val="22"/>
        </w:rPr>
        <w:t>. gad</w:t>
      </w:r>
      <w:r w:rsidRPr="00BA2D6E">
        <w:rPr>
          <w:rFonts w:eastAsia="Calibri"/>
          <w:szCs w:val="22"/>
        </w:rPr>
        <w:t xml:space="preserve">a septiņiem mēnešiem, kas liecina ne tikai par veiksmīgu atgūšanos no pandēmijas </w:t>
      </w:r>
      <w:r w:rsidRPr="00BA2D6E">
        <w:rPr>
          <w:rFonts w:eastAsia="Calibri"/>
          <w:szCs w:val="22"/>
        </w:rPr>
        <w:lastRenderedPageBreak/>
        <w:t xml:space="preserve">radītās krīzes, bet arī par ievērojamu rūpniecības tempu palielinājumu salīdzinājumā ar </w:t>
      </w:r>
      <w:proofErr w:type="spellStart"/>
      <w:r w:rsidRPr="00BA2D6E">
        <w:rPr>
          <w:rFonts w:eastAsia="Calibri"/>
          <w:szCs w:val="22"/>
        </w:rPr>
        <w:t>pirmskrīzes</w:t>
      </w:r>
      <w:proofErr w:type="spellEnd"/>
      <w:r w:rsidRPr="00BA2D6E">
        <w:rPr>
          <w:rFonts w:eastAsia="Calibri"/>
          <w:szCs w:val="22"/>
        </w:rPr>
        <w:t xml:space="preserve"> rādītājiem. Šajā gadā spēcīga izaugsme fiksēta visās </w:t>
      </w:r>
      <w:proofErr w:type="spellStart"/>
      <w:r w:rsidRPr="00BA2D6E">
        <w:rPr>
          <w:rFonts w:eastAsia="Calibri"/>
          <w:szCs w:val="22"/>
        </w:rPr>
        <w:t>apakšnozarēs</w:t>
      </w:r>
      <w:proofErr w:type="spellEnd"/>
      <w:r w:rsidRPr="00BA2D6E">
        <w:rPr>
          <w:rFonts w:eastAsia="Calibri"/>
          <w:szCs w:val="22"/>
        </w:rPr>
        <w:t xml:space="preserve">. Ieguves rūpniecībā fiksēts pieaugums 6,7% apmērā, elektroenerģijas un gāzes apgādē pieaugums par 6,6%, bet nozīmīgākajā – apstrādes rūpniecībā – </w:t>
      </w:r>
      <w:r>
        <w:rPr>
          <w:rFonts w:eastAsia="Calibri"/>
          <w:szCs w:val="22"/>
        </w:rPr>
        <w:t xml:space="preserve">sasniegts </w:t>
      </w:r>
      <w:r w:rsidRPr="00BA2D6E">
        <w:rPr>
          <w:rFonts w:eastAsia="Calibri"/>
          <w:szCs w:val="22"/>
        </w:rPr>
        <w:t>kāpums par 8,9%, spēcīgu izaugsmi uzrādot kokrūpniecībai.</w:t>
      </w:r>
    </w:p>
    <w:p w14:paraId="3FAAEFC0" w14:textId="77777777" w:rsidR="00BF4556" w:rsidRPr="00103B48" w:rsidRDefault="00BF4556" w:rsidP="00BF4556">
      <w:pPr>
        <w:keepNext/>
        <w:spacing w:before="120"/>
        <w:ind w:firstLine="0"/>
        <w:jc w:val="center"/>
        <w:rPr>
          <w:b/>
          <w:i/>
        </w:rPr>
      </w:pPr>
      <w:r>
        <w:rPr>
          <w:b/>
          <w:i/>
        </w:rPr>
        <w:t>1.6</w:t>
      </w:r>
      <w:r w:rsidRPr="00103B48">
        <w:rPr>
          <w:b/>
          <w:i/>
        </w:rPr>
        <w:t>. att</w:t>
      </w:r>
      <w:r>
        <w:rPr>
          <w:b/>
          <w:i/>
        </w:rPr>
        <w:t>ēls</w:t>
      </w:r>
      <w:r w:rsidRPr="00103B48">
        <w:rPr>
          <w:b/>
          <w:i/>
        </w:rPr>
        <w:t xml:space="preserve"> </w:t>
      </w:r>
      <w:r w:rsidRPr="003A532B">
        <w:rPr>
          <w:b/>
        </w:rPr>
        <w:t xml:space="preserve">Rūpniecības produkcijas apjoma indekss </w:t>
      </w:r>
      <w:r>
        <w:rPr>
          <w:b/>
        </w:rPr>
        <w:br/>
      </w:r>
      <w:r w:rsidRPr="003A532B">
        <w:rPr>
          <w:b/>
        </w:rPr>
        <w:t>(sezonāli izlīdzināti dati,</w:t>
      </w:r>
      <w:r>
        <w:rPr>
          <w:b/>
        </w:rPr>
        <w:t xml:space="preserve"> </w:t>
      </w:r>
      <w:r w:rsidRPr="003A532B">
        <w:rPr>
          <w:b/>
        </w:rPr>
        <w:t>2015 = 100</w:t>
      </w:r>
      <w:r>
        <w:rPr>
          <w:b/>
        </w:rPr>
        <w:t>)</w:t>
      </w:r>
    </w:p>
    <w:p w14:paraId="1BBC6002" w14:textId="77777777" w:rsidR="00BF4556" w:rsidRPr="00103B48" w:rsidRDefault="00BF4556" w:rsidP="00BF4556">
      <w:pPr>
        <w:keepNext/>
        <w:ind w:firstLine="0"/>
        <w:jc w:val="center"/>
      </w:pPr>
      <w:r w:rsidRPr="00A800BC">
        <w:rPr>
          <w:noProof/>
          <w:sz w:val="18"/>
          <w:szCs w:val="18"/>
          <w:lang w:eastAsia="lv-LV"/>
        </w:rPr>
        <w:drawing>
          <wp:inline distT="0" distB="0" distL="0" distR="0" wp14:anchorId="1C72C5E3" wp14:editId="7A1E58F9">
            <wp:extent cx="5274310" cy="1998921"/>
            <wp:effectExtent l="0" t="0" r="2540" b="1905"/>
            <wp:docPr id="12" name="Chart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24BBFC9A" w14:textId="77777777" w:rsidR="00BF4556" w:rsidRPr="004848DA" w:rsidRDefault="00BF4556" w:rsidP="00BF4556">
      <w:pPr>
        <w:spacing w:before="120"/>
        <w:ind w:firstLine="720"/>
        <w:rPr>
          <w:rFonts w:eastAsia="Calibri"/>
          <w:szCs w:val="22"/>
        </w:rPr>
      </w:pPr>
      <w:r w:rsidRPr="004848DA">
        <w:rPr>
          <w:rFonts w:eastAsia="Calibri"/>
          <w:szCs w:val="22"/>
        </w:rPr>
        <w:t>Neskatoties uz pandēmijas izraisīto samazinājumu rūpniecības izlaides apjomos 2020</w:t>
      </w:r>
      <w:r>
        <w:rPr>
          <w:rFonts w:eastAsia="Calibri"/>
          <w:szCs w:val="22"/>
        </w:rPr>
        <w:t>. gad</w:t>
      </w:r>
      <w:r w:rsidRPr="004848DA">
        <w:rPr>
          <w:rFonts w:eastAsia="Calibri"/>
          <w:szCs w:val="22"/>
        </w:rPr>
        <w:t>ā, apstrādes rūp</w:t>
      </w:r>
      <w:r>
        <w:rPr>
          <w:rFonts w:eastAsia="Calibri"/>
          <w:szCs w:val="22"/>
        </w:rPr>
        <w:t>niecības izlaides struktūrā (1.7</w:t>
      </w:r>
      <w:r w:rsidRPr="004848DA">
        <w:rPr>
          <w:rFonts w:eastAsia="Calibri"/>
          <w:szCs w:val="22"/>
        </w:rPr>
        <w:t>.</w:t>
      </w:r>
      <w:r>
        <w:rPr>
          <w:rFonts w:eastAsia="Calibri"/>
          <w:szCs w:val="22"/>
        </w:rPr>
        <w:t> </w:t>
      </w:r>
      <w:r w:rsidRPr="004848DA">
        <w:rPr>
          <w:rFonts w:eastAsia="Calibri"/>
          <w:szCs w:val="22"/>
        </w:rPr>
        <w:t>att</w:t>
      </w:r>
      <w:r>
        <w:rPr>
          <w:rFonts w:eastAsia="Calibri"/>
          <w:szCs w:val="22"/>
        </w:rPr>
        <w:t>ēls</w:t>
      </w:r>
      <w:r w:rsidRPr="004848DA">
        <w:rPr>
          <w:rFonts w:eastAsia="Calibri"/>
          <w:szCs w:val="22"/>
        </w:rPr>
        <w:t>) nav ievērojamu pārmaiņu salīdzinājumā ar 2019</w:t>
      </w:r>
      <w:r>
        <w:rPr>
          <w:rFonts w:eastAsia="Calibri"/>
          <w:szCs w:val="22"/>
        </w:rPr>
        <w:t>. gad</w:t>
      </w:r>
      <w:r w:rsidRPr="004848DA">
        <w:rPr>
          <w:rFonts w:eastAsia="Calibri"/>
          <w:szCs w:val="22"/>
        </w:rPr>
        <w:t>u. Latvijas apstrādes rūpniecības struktūrā tej</w:t>
      </w:r>
      <w:r>
        <w:rPr>
          <w:rFonts w:eastAsia="Calibri"/>
          <w:szCs w:val="22"/>
        </w:rPr>
        <w:t>u pusi aizņem kokapstrāde un</w:t>
      </w:r>
      <w:r w:rsidRPr="004848DA">
        <w:rPr>
          <w:rFonts w:eastAsia="Calibri"/>
          <w:szCs w:val="22"/>
        </w:rPr>
        <w:t xml:space="preserve"> pārtikas un dzērienu ražošana, kur izteikti lielāko daļu veido pārtika</w:t>
      </w:r>
      <w:r>
        <w:rPr>
          <w:rFonts w:eastAsia="Calibri"/>
          <w:szCs w:val="22"/>
        </w:rPr>
        <w:t>s ražošana</w:t>
      </w:r>
      <w:r w:rsidRPr="004848DA">
        <w:rPr>
          <w:rFonts w:eastAsia="Calibri"/>
          <w:szCs w:val="22"/>
        </w:rPr>
        <w:t xml:space="preserve"> (19,1%).</w:t>
      </w:r>
    </w:p>
    <w:p w14:paraId="7E66BE67" w14:textId="77777777" w:rsidR="00BF4556" w:rsidRDefault="00BF4556" w:rsidP="00BF4556">
      <w:pPr>
        <w:keepNext/>
        <w:spacing w:before="120" w:after="0"/>
        <w:ind w:firstLine="0"/>
        <w:jc w:val="center"/>
        <w:rPr>
          <w:b/>
        </w:rPr>
      </w:pPr>
      <w:r w:rsidRPr="00103B48">
        <w:rPr>
          <w:b/>
          <w:i/>
        </w:rPr>
        <w:t>1</w:t>
      </w:r>
      <w:r>
        <w:rPr>
          <w:b/>
          <w:i/>
        </w:rPr>
        <w:t>.7</w:t>
      </w:r>
      <w:r w:rsidRPr="00103B48">
        <w:rPr>
          <w:b/>
          <w:i/>
        </w:rPr>
        <w:t>. att</w:t>
      </w:r>
      <w:r>
        <w:rPr>
          <w:b/>
          <w:i/>
        </w:rPr>
        <w:t>ēls</w:t>
      </w:r>
      <w:r w:rsidRPr="00103B48">
        <w:rPr>
          <w:b/>
          <w:i/>
        </w:rPr>
        <w:t xml:space="preserve"> </w:t>
      </w:r>
      <w:r w:rsidRPr="00E76472">
        <w:rPr>
          <w:b/>
        </w:rPr>
        <w:t>Apstrādes rūpniecības nozaru izlaides struktūra 2020</w:t>
      </w:r>
      <w:r>
        <w:rPr>
          <w:b/>
        </w:rPr>
        <w:t>. gad</w:t>
      </w:r>
      <w:r w:rsidRPr="00E76472">
        <w:rPr>
          <w:b/>
        </w:rPr>
        <w:t>ā</w:t>
      </w:r>
    </w:p>
    <w:p w14:paraId="5AD66B8C" w14:textId="35E07149" w:rsidR="00BF4556" w:rsidRPr="00103B48" w:rsidRDefault="00BF4556" w:rsidP="00BF4556">
      <w:pPr>
        <w:keepNext/>
        <w:ind w:firstLine="0"/>
        <w:jc w:val="center"/>
        <w:rPr>
          <w:b/>
          <w:i/>
        </w:rPr>
      </w:pPr>
      <w:r w:rsidRPr="00E76472">
        <w:rPr>
          <w:b/>
        </w:rPr>
        <w:t>(faktiskajās cenās, %)</w:t>
      </w:r>
    </w:p>
    <w:p w14:paraId="6EE8BE43" w14:textId="77777777" w:rsidR="00BF4556" w:rsidRDefault="00BF4556" w:rsidP="00BF4556">
      <w:pPr>
        <w:keepNext/>
        <w:ind w:firstLine="0"/>
        <w:jc w:val="center"/>
      </w:pPr>
      <w:r w:rsidRPr="004848DA">
        <w:rPr>
          <w:noProof/>
          <w:lang w:eastAsia="lv-LV"/>
        </w:rPr>
        <w:drawing>
          <wp:inline distT="0" distB="0" distL="0" distR="0" wp14:anchorId="79483B8B" wp14:editId="632143B2">
            <wp:extent cx="5238750" cy="2743200"/>
            <wp:effectExtent l="0" t="0" r="0" b="0"/>
            <wp:docPr id="14" name="Chart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14:paraId="71D7F976" w14:textId="77777777" w:rsidR="00BF4556" w:rsidRPr="00C34A3C" w:rsidRDefault="00BF4556" w:rsidP="00BF4556">
      <w:pPr>
        <w:ind w:firstLine="720"/>
        <w:rPr>
          <w:rFonts w:eastAsia="Calibri"/>
          <w:szCs w:val="22"/>
        </w:rPr>
      </w:pPr>
      <w:r w:rsidRPr="00C34A3C">
        <w:rPr>
          <w:rFonts w:eastAsia="Calibri"/>
          <w:szCs w:val="22"/>
        </w:rPr>
        <w:t>Struktūrā par 0,4</w:t>
      </w:r>
      <w:r>
        <w:rPr>
          <w:rFonts w:eastAsia="Calibri"/>
          <w:szCs w:val="22"/>
        </w:rPr>
        <w:t xml:space="preserve"> un 0,3 procentpunktiem</w:t>
      </w:r>
      <w:r w:rsidRPr="00C34A3C">
        <w:rPr>
          <w:rFonts w:eastAsia="Calibri"/>
          <w:szCs w:val="22"/>
        </w:rPr>
        <w:t xml:space="preserve"> augušas arī Latvijas apstrādes rūpniecībā nozīmīgās metālapstrādes un mašīnbūves </w:t>
      </w:r>
      <w:proofErr w:type="spellStart"/>
      <w:r w:rsidRPr="00C34A3C">
        <w:rPr>
          <w:rFonts w:eastAsia="Calibri"/>
          <w:szCs w:val="22"/>
        </w:rPr>
        <w:t>apakšnozares</w:t>
      </w:r>
      <w:proofErr w:type="spellEnd"/>
      <w:r w:rsidRPr="00C34A3C">
        <w:rPr>
          <w:rFonts w:eastAsia="Calibri"/>
          <w:szCs w:val="22"/>
        </w:rPr>
        <w:t>. Lielākās izmaiņas pret 2019</w:t>
      </w:r>
      <w:r>
        <w:rPr>
          <w:rFonts w:eastAsia="Calibri"/>
          <w:szCs w:val="22"/>
        </w:rPr>
        <w:t>. gad</w:t>
      </w:r>
      <w:r w:rsidRPr="00C34A3C">
        <w:rPr>
          <w:rFonts w:eastAsia="Calibri"/>
          <w:szCs w:val="22"/>
        </w:rPr>
        <w:t xml:space="preserve">u </w:t>
      </w:r>
      <w:r>
        <w:rPr>
          <w:rFonts w:eastAsia="Calibri"/>
          <w:szCs w:val="22"/>
        </w:rPr>
        <w:t xml:space="preserve">apstrādes rūpniecības struktūrā </w:t>
      </w:r>
      <w:r w:rsidRPr="00C34A3C">
        <w:rPr>
          <w:rFonts w:eastAsia="Calibri"/>
          <w:szCs w:val="22"/>
        </w:rPr>
        <w:t>fiksētas ķīmisko vielu un produktu izlaidē, kur fiksēts pieaugums 0,5</w:t>
      </w:r>
      <w:r>
        <w:rPr>
          <w:rFonts w:eastAsia="Calibri"/>
          <w:szCs w:val="22"/>
        </w:rPr>
        <w:t xml:space="preserve"> procentpunktu</w:t>
      </w:r>
      <w:r w:rsidRPr="00C34A3C">
        <w:rPr>
          <w:rFonts w:eastAsia="Calibri"/>
          <w:szCs w:val="22"/>
        </w:rPr>
        <w:t xml:space="preserve"> apmērā, ko noteica pieprasījuma kāpums pēc dezinfekci</w:t>
      </w:r>
      <w:r>
        <w:rPr>
          <w:rFonts w:eastAsia="Calibri"/>
          <w:szCs w:val="22"/>
        </w:rPr>
        <w:t xml:space="preserve">jas līdzekļiem. Savukārt </w:t>
      </w:r>
      <w:r w:rsidRPr="00C34A3C">
        <w:rPr>
          <w:rFonts w:eastAsia="Calibri"/>
          <w:szCs w:val="22"/>
        </w:rPr>
        <w:t>viegl</w:t>
      </w:r>
      <w:r>
        <w:rPr>
          <w:rFonts w:eastAsia="Calibri"/>
          <w:szCs w:val="22"/>
        </w:rPr>
        <w:t>ās</w:t>
      </w:r>
      <w:r w:rsidRPr="00C34A3C">
        <w:rPr>
          <w:rFonts w:eastAsia="Calibri"/>
          <w:szCs w:val="22"/>
        </w:rPr>
        <w:t xml:space="preserve"> rūpniecīb</w:t>
      </w:r>
      <w:r>
        <w:rPr>
          <w:rFonts w:eastAsia="Calibri"/>
          <w:szCs w:val="22"/>
        </w:rPr>
        <w:t>as īpatsvars samazinājās par 0,4 procentpunktiem</w:t>
      </w:r>
      <w:r w:rsidRPr="00C34A3C">
        <w:rPr>
          <w:rFonts w:eastAsia="Calibri"/>
          <w:szCs w:val="22"/>
        </w:rPr>
        <w:t>, galvenokārt apģērbu veikalu darbības ierobežošanas iespaidā, kad valstī tika noteikti ierobežojumi Covid-19 pandēmijas mazināšanai.</w:t>
      </w:r>
    </w:p>
    <w:p w14:paraId="058A1E14" w14:textId="77777777" w:rsidR="00BF4556" w:rsidRPr="00E17030" w:rsidRDefault="00BF4556" w:rsidP="00BF4556">
      <w:r w:rsidRPr="00103B48">
        <w:lastRenderedPageBreak/>
        <w:t>Pretēji 2020</w:t>
      </w:r>
      <w:r>
        <w:t>. gad</w:t>
      </w:r>
      <w:r w:rsidRPr="00103B48">
        <w:t>a pirmajiem septiņiem mēnešiem, šā gada septiņos mēnešos spēcīgi pieaugumi fiksēti visās rūpniecības nozarēs, kā arī teju visās apstrād</w:t>
      </w:r>
      <w:r>
        <w:t xml:space="preserve">es rūpniecības </w:t>
      </w:r>
      <w:proofErr w:type="spellStart"/>
      <w:r>
        <w:t>apakšnozarēs</w:t>
      </w:r>
      <w:proofErr w:type="spellEnd"/>
      <w:r>
        <w:t xml:space="preserve"> (1.8</w:t>
      </w:r>
      <w:r w:rsidRPr="00103B48">
        <w:t>.</w:t>
      </w:r>
      <w:r>
        <w:t> </w:t>
      </w:r>
      <w:r w:rsidRPr="00103B48">
        <w:t>att</w:t>
      </w:r>
      <w:r>
        <w:t>ēls). Augstos pieauguma</w:t>
      </w:r>
      <w:r w:rsidRPr="00103B48">
        <w:t xml:space="preserve"> tempus ietekmēja zemā bāze pērnā gada aprīlī un maijā, kad pandēmija pirmo reizi skāra Latvijas rūpniecību, kā arī pa</w:t>
      </w:r>
      <w:r>
        <w:t>šlaik</w:t>
      </w:r>
      <w:r w:rsidRPr="00103B48">
        <w:t xml:space="preserve"> augstais pieprasījums pēc Latvijas rūpnieku ražojumiem gan Latvijā, gan citur pasaulē. Šo faktoru ietekmē nozīmīgākie pieaugumi</w:t>
      </w:r>
      <w:r>
        <w:t xml:space="preserve"> šogad</w:t>
      </w:r>
      <w:r w:rsidRPr="00103B48">
        <w:t xml:space="preserve"> fiksēti kokrūpniecībā, mēbeļu ražošanā, mašīnbūvē, kā arī metālizstrādājumu ražošanā. Neliels samazinājums </w:t>
      </w:r>
      <w:r>
        <w:t xml:space="preserve">bijis </w:t>
      </w:r>
      <w:r w:rsidRPr="00103B48">
        <w:t xml:space="preserve">vienīgi pārtikas un dzērienu rūpniecībā, </w:t>
      </w:r>
      <w:r w:rsidRPr="00A046DF">
        <w:rPr>
          <w:color w:val="000000" w:themeColor="text1"/>
        </w:rPr>
        <w:t xml:space="preserve">ko ietekmējusi arī pieprasījuma samazināšanās </w:t>
      </w:r>
      <w:r w:rsidRPr="00E85DAE">
        <w:rPr>
          <w:color w:val="000000" w:themeColor="text1"/>
        </w:rPr>
        <w:t xml:space="preserve">kafejnīcām un restorāniem noteikto ierobežojumu dēļ. Pārtikas ražošanas apjomus ietekmē arī cenu </w:t>
      </w:r>
      <w:r>
        <w:rPr>
          <w:color w:val="000000" w:themeColor="text1"/>
        </w:rPr>
        <w:t xml:space="preserve">izmaiņas, un </w:t>
      </w:r>
      <w:r w:rsidRPr="00E85DAE">
        <w:rPr>
          <w:color w:val="000000" w:themeColor="text1"/>
        </w:rPr>
        <w:t>iedzīvotāju skaita, kā arī tūristu skaita samazināšanās valstī</w:t>
      </w:r>
      <w:r w:rsidRPr="00E85DAE">
        <w:t>.</w:t>
      </w:r>
    </w:p>
    <w:p w14:paraId="1EB0A2A2" w14:textId="77777777" w:rsidR="00BF4556" w:rsidRPr="00103B48" w:rsidRDefault="00BF4556" w:rsidP="009B001C">
      <w:pPr>
        <w:keepNext/>
        <w:tabs>
          <w:tab w:val="left" w:pos="3686"/>
        </w:tabs>
        <w:spacing w:before="120"/>
        <w:ind w:firstLine="0"/>
        <w:jc w:val="center"/>
        <w:rPr>
          <w:b/>
          <w:i/>
        </w:rPr>
      </w:pPr>
      <w:r>
        <w:rPr>
          <w:b/>
          <w:i/>
        </w:rPr>
        <w:t>1.8</w:t>
      </w:r>
      <w:r w:rsidRPr="00103B48">
        <w:rPr>
          <w:b/>
          <w:i/>
        </w:rPr>
        <w:t>. att</w:t>
      </w:r>
      <w:r>
        <w:rPr>
          <w:b/>
          <w:i/>
        </w:rPr>
        <w:t>ēls</w:t>
      </w:r>
      <w:r w:rsidRPr="00103B48">
        <w:rPr>
          <w:b/>
          <w:i/>
        </w:rPr>
        <w:t xml:space="preserve"> </w:t>
      </w:r>
      <w:r w:rsidRPr="00B14F97">
        <w:rPr>
          <w:b/>
        </w:rPr>
        <w:t>Rūpniecības nozaru izlaides apjoma izmaiņas 2020</w:t>
      </w:r>
      <w:r>
        <w:rPr>
          <w:b/>
        </w:rPr>
        <w:t>. gad</w:t>
      </w:r>
      <w:r w:rsidRPr="00B14F97">
        <w:rPr>
          <w:b/>
        </w:rPr>
        <w:t>ā un 2021.g. septiņos mēnešos, salīdzinot ar iepriekšējā gada attiecīgo laika periodu (kalendāri izlīdzināti dati,%)</w:t>
      </w:r>
    </w:p>
    <w:p w14:paraId="795BF19F" w14:textId="77777777" w:rsidR="00BF4556" w:rsidRPr="00103B48" w:rsidRDefault="00BF4556" w:rsidP="009B001C">
      <w:pPr>
        <w:keepNext/>
        <w:ind w:firstLine="0"/>
        <w:jc w:val="center"/>
      </w:pPr>
      <w:r w:rsidRPr="00103B48">
        <w:rPr>
          <w:noProof/>
          <w:lang w:eastAsia="lv-LV"/>
        </w:rPr>
        <w:drawing>
          <wp:inline distT="0" distB="0" distL="0" distR="0" wp14:anchorId="0E2EFBC7" wp14:editId="3B7DBB4A">
            <wp:extent cx="5274310" cy="2902226"/>
            <wp:effectExtent l="0" t="0" r="2540" b="0"/>
            <wp:docPr id="15" name="Chart 15">
              <a:extLst xmlns:a="http://schemas.openxmlformats.org/drawingml/2006/main">
                <a:ext uri="{FF2B5EF4-FFF2-40B4-BE49-F238E27FC236}">
                  <a16:creationId xmlns:a16="http://schemas.microsoft.com/office/drawing/2014/main" id="{00000000-0008-0000-01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14:paraId="5751599F" w14:textId="77777777" w:rsidR="00BF4556" w:rsidRPr="00C34A3C" w:rsidRDefault="00BF4556" w:rsidP="00BF4556">
      <w:pPr>
        <w:ind w:firstLine="720"/>
        <w:rPr>
          <w:rFonts w:eastAsia="Calibri"/>
          <w:szCs w:val="22"/>
        </w:rPr>
      </w:pPr>
      <w:r w:rsidRPr="00C34A3C">
        <w:rPr>
          <w:rFonts w:eastAsia="Calibri"/>
          <w:szCs w:val="22"/>
        </w:rPr>
        <w:t>Lielāko devumu Latvijas apstrādes rūpniecības pieaugumā nodrošinājusi kokrūp</w:t>
      </w:r>
      <w:r>
        <w:rPr>
          <w:rFonts w:eastAsia="Calibri"/>
          <w:szCs w:val="22"/>
        </w:rPr>
        <w:t>niecība, kas strauji palielinājusi</w:t>
      </w:r>
      <w:r w:rsidRPr="00C34A3C">
        <w:rPr>
          <w:rFonts w:eastAsia="Calibri"/>
          <w:szCs w:val="22"/>
        </w:rPr>
        <w:t xml:space="preserve"> ražošana</w:t>
      </w:r>
      <w:r>
        <w:rPr>
          <w:rFonts w:eastAsia="Calibri"/>
          <w:szCs w:val="22"/>
        </w:rPr>
        <w:t xml:space="preserve">s tempus kopš pērnā gada jūlija. Pateicoties augstam iekšzemes un ārējam pieprasījumam, </w:t>
      </w:r>
      <w:r w:rsidRPr="00C34A3C">
        <w:rPr>
          <w:rFonts w:eastAsia="Calibri"/>
          <w:szCs w:val="22"/>
        </w:rPr>
        <w:t>2020</w:t>
      </w:r>
      <w:r>
        <w:rPr>
          <w:rFonts w:eastAsia="Calibri"/>
          <w:szCs w:val="22"/>
        </w:rPr>
        <w:t>. gad</w:t>
      </w:r>
      <w:r w:rsidRPr="00C34A3C">
        <w:rPr>
          <w:rFonts w:eastAsia="Calibri"/>
          <w:szCs w:val="22"/>
        </w:rPr>
        <w:t xml:space="preserve">ā </w:t>
      </w:r>
      <w:r>
        <w:rPr>
          <w:rFonts w:eastAsia="Calibri"/>
          <w:szCs w:val="22"/>
        </w:rPr>
        <w:t>uzrādīts</w:t>
      </w:r>
      <w:r w:rsidRPr="00C34A3C">
        <w:rPr>
          <w:rFonts w:eastAsia="Calibri"/>
          <w:szCs w:val="22"/>
        </w:rPr>
        <w:t xml:space="preserve"> </w:t>
      </w:r>
      <w:r>
        <w:rPr>
          <w:rFonts w:eastAsia="Calibri"/>
          <w:szCs w:val="22"/>
        </w:rPr>
        <w:t>4,1% pieaugums</w:t>
      </w:r>
      <w:r w:rsidRPr="00C34A3C">
        <w:rPr>
          <w:rFonts w:eastAsia="Calibri"/>
          <w:szCs w:val="22"/>
        </w:rPr>
        <w:t xml:space="preserve">, bet šā </w:t>
      </w:r>
      <w:r>
        <w:rPr>
          <w:rFonts w:eastAsia="Calibri"/>
          <w:szCs w:val="22"/>
        </w:rPr>
        <w:t>gada septiņos mēnešos pieaugums sasniedza</w:t>
      </w:r>
      <w:r w:rsidRPr="00C34A3C">
        <w:rPr>
          <w:rFonts w:eastAsia="Calibri"/>
          <w:szCs w:val="22"/>
        </w:rPr>
        <w:t xml:space="preserve"> 8,9%. </w:t>
      </w:r>
      <w:r>
        <w:rPr>
          <w:rFonts w:eastAsia="Calibri"/>
          <w:szCs w:val="22"/>
        </w:rPr>
        <w:t xml:space="preserve">Līdz ar </w:t>
      </w:r>
      <w:r w:rsidRPr="00C34A3C">
        <w:rPr>
          <w:rFonts w:eastAsia="Calibri"/>
          <w:szCs w:val="22"/>
        </w:rPr>
        <w:t>ko</w:t>
      </w:r>
      <w:r>
        <w:rPr>
          <w:rFonts w:eastAsia="Calibri"/>
          <w:szCs w:val="22"/>
        </w:rPr>
        <w:t>kapstrāde</w:t>
      </w:r>
      <w:r w:rsidRPr="00C34A3C">
        <w:rPr>
          <w:rFonts w:eastAsia="Calibri"/>
          <w:szCs w:val="22"/>
        </w:rPr>
        <w:t xml:space="preserve">s </w:t>
      </w:r>
      <w:r>
        <w:rPr>
          <w:rFonts w:eastAsia="Calibri"/>
          <w:szCs w:val="22"/>
        </w:rPr>
        <w:t xml:space="preserve">labo sniegumu </w:t>
      </w:r>
      <w:r w:rsidRPr="00C34A3C">
        <w:rPr>
          <w:rFonts w:eastAsia="Calibri"/>
          <w:szCs w:val="22"/>
        </w:rPr>
        <w:t xml:space="preserve">Latvijas apstrādes rūpniecība </w:t>
      </w:r>
      <w:r>
        <w:rPr>
          <w:rFonts w:eastAsia="Calibri"/>
          <w:szCs w:val="22"/>
        </w:rPr>
        <w:t xml:space="preserve">kopumā </w:t>
      </w:r>
      <w:r w:rsidRPr="00C34A3C">
        <w:rPr>
          <w:rFonts w:eastAsia="Calibri"/>
          <w:szCs w:val="22"/>
        </w:rPr>
        <w:t xml:space="preserve">pandēmijas krīzi </w:t>
      </w:r>
      <w:r>
        <w:rPr>
          <w:rFonts w:eastAsia="Calibri"/>
          <w:szCs w:val="22"/>
        </w:rPr>
        <w:t>pārvarējusi</w:t>
      </w:r>
      <w:r w:rsidRPr="00C34A3C">
        <w:rPr>
          <w:rFonts w:eastAsia="Calibri"/>
          <w:szCs w:val="22"/>
        </w:rPr>
        <w:t xml:space="preserve"> </w:t>
      </w:r>
      <w:r>
        <w:rPr>
          <w:rFonts w:eastAsia="Calibri"/>
          <w:szCs w:val="22"/>
        </w:rPr>
        <w:t>visai</w:t>
      </w:r>
      <w:r w:rsidRPr="00C34A3C">
        <w:rPr>
          <w:rFonts w:eastAsia="Calibri"/>
          <w:szCs w:val="22"/>
        </w:rPr>
        <w:t xml:space="preserve"> veiksmīgi. </w:t>
      </w:r>
      <w:r>
        <w:rPr>
          <w:rFonts w:eastAsia="Calibri"/>
          <w:szCs w:val="22"/>
        </w:rPr>
        <w:t xml:space="preserve">Augstais pieprasījums pēc kokmateriāliem strauji palielināja to cenas. </w:t>
      </w:r>
      <w:r w:rsidRPr="00C34A3C">
        <w:rPr>
          <w:rFonts w:eastAsia="Calibri"/>
          <w:szCs w:val="22"/>
        </w:rPr>
        <w:t xml:space="preserve">Vidējais koksnes izstrādājumu cenu indekss šā gada septiņos mēnešos ir par 26,5% augstāks nekā pērn, jūlijā sasniedzot pat 52,5% pieaugumu. Lai arī cenas ir jūtami augušas, </w:t>
      </w:r>
      <w:r>
        <w:rPr>
          <w:rFonts w:eastAsia="Calibri"/>
          <w:szCs w:val="22"/>
        </w:rPr>
        <w:t>pieprasījums pēc koksnes izstrādājumiem saglabājas augsts. Vienlaikus</w:t>
      </w:r>
      <w:r w:rsidRPr="00C34A3C">
        <w:rPr>
          <w:rFonts w:eastAsia="Calibri"/>
          <w:szCs w:val="22"/>
        </w:rPr>
        <w:t xml:space="preserve"> ar kokizstrādājumu </w:t>
      </w:r>
      <w:r>
        <w:rPr>
          <w:rFonts w:eastAsia="Calibri"/>
          <w:szCs w:val="22"/>
        </w:rPr>
        <w:t>apgrozījuma</w:t>
      </w:r>
      <w:r w:rsidRPr="00C34A3C">
        <w:rPr>
          <w:rFonts w:eastAsia="Calibri"/>
          <w:szCs w:val="22"/>
        </w:rPr>
        <w:t xml:space="preserve"> pieaugumu strauji palielinājušies mēbeļu ražošanas apjomi, sasniedzot </w:t>
      </w:r>
      <w:r>
        <w:rPr>
          <w:rFonts w:eastAsia="Calibri"/>
          <w:szCs w:val="22"/>
        </w:rPr>
        <w:t>27,3% kāpumu septiņos mēnešos,</w:t>
      </w:r>
      <w:r w:rsidRPr="00C34A3C">
        <w:rPr>
          <w:rFonts w:eastAsia="Calibri"/>
          <w:szCs w:val="22"/>
        </w:rPr>
        <w:t xml:space="preserve"> </w:t>
      </w:r>
      <w:r>
        <w:rPr>
          <w:rFonts w:eastAsia="Calibri"/>
          <w:szCs w:val="22"/>
        </w:rPr>
        <w:t>tāpat nodrošinot</w:t>
      </w:r>
      <w:r w:rsidRPr="00C34A3C">
        <w:rPr>
          <w:rFonts w:eastAsia="Calibri"/>
          <w:szCs w:val="22"/>
        </w:rPr>
        <w:t xml:space="preserve"> nozīmīgu devumu Latvijas apstrādes rūpniecībā.</w:t>
      </w:r>
    </w:p>
    <w:p w14:paraId="66E80226" w14:textId="77777777" w:rsidR="00BF4556" w:rsidRPr="00C34A3C" w:rsidRDefault="00BF4556" w:rsidP="00BF4556">
      <w:pPr>
        <w:ind w:firstLine="720"/>
        <w:rPr>
          <w:rFonts w:eastAsia="Calibri"/>
          <w:szCs w:val="22"/>
        </w:rPr>
      </w:pPr>
      <w:r w:rsidRPr="00C34A3C">
        <w:rPr>
          <w:rFonts w:eastAsia="Calibri"/>
          <w:szCs w:val="22"/>
        </w:rPr>
        <w:t>Pandēmija visspēcīgāk iespaidoja gatavo metālizstrādājumu ražošanu, kur izlaide pē</w:t>
      </w:r>
      <w:r>
        <w:rPr>
          <w:rFonts w:eastAsia="Calibri"/>
          <w:szCs w:val="22"/>
        </w:rPr>
        <w:t>rn samazinājās par 3,3%, taču šā</w:t>
      </w:r>
      <w:r w:rsidRPr="00C34A3C">
        <w:rPr>
          <w:rFonts w:eastAsia="Calibri"/>
          <w:szCs w:val="22"/>
        </w:rPr>
        <w:t xml:space="preserve"> gada pirmajos septiņos mēnešos reģistrēts augsts pi</w:t>
      </w:r>
      <w:r>
        <w:rPr>
          <w:rFonts w:eastAsia="Calibri"/>
          <w:szCs w:val="22"/>
        </w:rPr>
        <w:t xml:space="preserve">eaugums </w:t>
      </w:r>
      <w:r w:rsidRPr="00C34A3C">
        <w:rPr>
          <w:rFonts w:eastAsia="Calibri"/>
          <w:szCs w:val="22"/>
        </w:rPr>
        <w:t>9,5% apmērā. Tāpat kā kokrūpniecībā, arī metālizstrādājumu ražošanā</w:t>
      </w:r>
      <w:r>
        <w:rPr>
          <w:rFonts w:eastAsia="Calibri"/>
          <w:szCs w:val="22"/>
        </w:rPr>
        <w:t xml:space="preserve"> rūpnieki cenšas apmierināt</w:t>
      </w:r>
      <w:r>
        <w:rPr>
          <w:rFonts w:eastAsia="Calibri"/>
          <w:color w:val="FF0000"/>
          <w:szCs w:val="22"/>
        </w:rPr>
        <w:t xml:space="preserve"> </w:t>
      </w:r>
      <w:r w:rsidRPr="00C34A3C">
        <w:rPr>
          <w:rFonts w:eastAsia="Calibri"/>
          <w:szCs w:val="22"/>
        </w:rPr>
        <w:t>augsto tirgus pieprasījumu.</w:t>
      </w:r>
    </w:p>
    <w:p w14:paraId="6DA76064" w14:textId="77777777" w:rsidR="00BF4556" w:rsidRPr="00C34A3C" w:rsidRDefault="00BF4556" w:rsidP="00BF4556">
      <w:pPr>
        <w:ind w:firstLine="720"/>
        <w:rPr>
          <w:rFonts w:eastAsia="Calibri"/>
          <w:szCs w:val="22"/>
        </w:rPr>
      </w:pPr>
      <w:r w:rsidRPr="00C34A3C">
        <w:rPr>
          <w:rFonts w:eastAsia="Calibri"/>
          <w:szCs w:val="22"/>
        </w:rPr>
        <w:t>Arī elektroenerģijas un gāzes apgāde 2020</w:t>
      </w:r>
      <w:r>
        <w:rPr>
          <w:rFonts w:eastAsia="Calibri"/>
          <w:szCs w:val="22"/>
        </w:rPr>
        <w:t>. gad</w:t>
      </w:r>
      <w:r w:rsidRPr="00C34A3C">
        <w:rPr>
          <w:rFonts w:eastAsia="Calibri"/>
          <w:szCs w:val="22"/>
        </w:rPr>
        <w:t>ā uzrādīja sarukumu par 7,2%, galvenokārt krītoties koģenerācijas stacijās saražotajiem apjomiem. Taču šā gada septiņos mēnešos fiksēts pieaugums 6,6% apmērā, palielinoties koģenerācijas staciju izlaidei, bet hidroelektrostaciju saražotajai enerģijai paliekot pērnā gada līmenī.</w:t>
      </w:r>
    </w:p>
    <w:p w14:paraId="4929CE72" w14:textId="77777777" w:rsidR="00BF4556" w:rsidRDefault="00BF4556" w:rsidP="00BF4556">
      <w:pPr>
        <w:ind w:firstLine="720"/>
        <w:rPr>
          <w:rFonts w:eastAsia="Calibri"/>
          <w:szCs w:val="22"/>
        </w:rPr>
      </w:pPr>
      <w:r w:rsidRPr="00C34A3C">
        <w:rPr>
          <w:rFonts w:eastAsia="Calibri"/>
          <w:szCs w:val="22"/>
        </w:rPr>
        <w:lastRenderedPageBreak/>
        <w:t>Apstrādes rūpniecības produkcijas</w:t>
      </w:r>
      <w:r>
        <w:rPr>
          <w:rFonts w:eastAsia="Calibri"/>
          <w:szCs w:val="22"/>
        </w:rPr>
        <w:t xml:space="preserve"> apgrozījums faktiskajās cenās</w:t>
      </w:r>
      <w:r w:rsidRPr="00C34A3C">
        <w:rPr>
          <w:rFonts w:eastAsia="Calibri"/>
          <w:szCs w:val="22"/>
        </w:rPr>
        <w:t xml:space="preserve"> pērn bija audzis par </w:t>
      </w:r>
      <w:r>
        <w:rPr>
          <w:rFonts w:eastAsia="Calibri"/>
          <w:szCs w:val="22"/>
        </w:rPr>
        <w:t>1,9</w:t>
      </w:r>
      <w:r w:rsidRPr="00C34A3C">
        <w:rPr>
          <w:rFonts w:eastAsia="Calibri"/>
          <w:szCs w:val="22"/>
        </w:rPr>
        <w:t>% pret 2019</w:t>
      </w:r>
      <w:r>
        <w:rPr>
          <w:rFonts w:eastAsia="Calibri"/>
          <w:szCs w:val="22"/>
        </w:rPr>
        <w:t>. gad</w:t>
      </w:r>
      <w:r w:rsidRPr="00C34A3C">
        <w:rPr>
          <w:rFonts w:eastAsia="Calibri"/>
          <w:szCs w:val="22"/>
        </w:rPr>
        <w:t>u, kas ir par 1</w:t>
      </w:r>
      <w:r>
        <w:rPr>
          <w:rFonts w:eastAsia="Calibri"/>
          <w:szCs w:val="22"/>
        </w:rPr>
        <w:t>,5 procentpunktiem</w:t>
      </w:r>
      <w:r w:rsidRPr="00C34A3C">
        <w:rPr>
          <w:rFonts w:eastAsia="Calibri"/>
          <w:szCs w:val="22"/>
        </w:rPr>
        <w:t xml:space="preserve"> </w:t>
      </w:r>
      <w:r>
        <w:rPr>
          <w:rFonts w:eastAsia="Calibri"/>
          <w:szCs w:val="22"/>
        </w:rPr>
        <w:t>lēnāk</w:t>
      </w:r>
      <w:r w:rsidRPr="00C34A3C">
        <w:rPr>
          <w:rFonts w:eastAsia="Calibri"/>
          <w:szCs w:val="22"/>
        </w:rPr>
        <w:t xml:space="preserve"> </w:t>
      </w:r>
      <w:r>
        <w:rPr>
          <w:rFonts w:eastAsia="Calibri"/>
          <w:szCs w:val="22"/>
        </w:rPr>
        <w:t>ne</w:t>
      </w:r>
      <w:r w:rsidRPr="00C34A3C">
        <w:rPr>
          <w:rFonts w:eastAsia="Calibri"/>
          <w:szCs w:val="22"/>
        </w:rPr>
        <w:t>kā 2019</w:t>
      </w:r>
      <w:r>
        <w:rPr>
          <w:rFonts w:eastAsia="Calibri"/>
          <w:szCs w:val="22"/>
        </w:rPr>
        <w:t>. gad</w:t>
      </w:r>
      <w:r w:rsidRPr="00C34A3C">
        <w:rPr>
          <w:rFonts w:eastAsia="Calibri"/>
          <w:szCs w:val="22"/>
        </w:rPr>
        <w:t xml:space="preserve">ā. Pieaugumu ietekmēja produkcijas realizācija eksportā (+3,8%), taču apgrozījums vietējā </w:t>
      </w:r>
      <w:r>
        <w:rPr>
          <w:rFonts w:eastAsia="Calibri"/>
          <w:szCs w:val="22"/>
        </w:rPr>
        <w:t>tirgū samazinājās par 0,7% (1.9</w:t>
      </w:r>
      <w:r w:rsidRPr="00C34A3C">
        <w:rPr>
          <w:rFonts w:eastAsia="Calibri"/>
          <w:szCs w:val="22"/>
        </w:rPr>
        <w:t>.</w:t>
      </w:r>
      <w:r>
        <w:rPr>
          <w:rFonts w:eastAsia="Calibri"/>
          <w:szCs w:val="22"/>
        </w:rPr>
        <w:t> </w:t>
      </w:r>
      <w:r w:rsidRPr="00C34A3C">
        <w:rPr>
          <w:rFonts w:eastAsia="Calibri"/>
          <w:szCs w:val="22"/>
        </w:rPr>
        <w:t>att</w:t>
      </w:r>
      <w:r>
        <w:rPr>
          <w:rFonts w:eastAsia="Calibri"/>
          <w:szCs w:val="22"/>
        </w:rPr>
        <w:t>ēls</w:t>
      </w:r>
      <w:r w:rsidRPr="00C34A3C">
        <w:rPr>
          <w:rFonts w:eastAsia="Calibri"/>
          <w:szCs w:val="22"/>
        </w:rPr>
        <w:t>),</w:t>
      </w:r>
      <w:r>
        <w:rPr>
          <w:rFonts w:eastAsia="Calibri"/>
          <w:szCs w:val="22"/>
        </w:rPr>
        <w:t xml:space="preserve"> </w:t>
      </w:r>
      <w:r w:rsidRPr="00C34A3C">
        <w:rPr>
          <w:rFonts w:eastAsia="Calibri"/>
          <w:szCs w:val="22"/>
        </w:rPr>
        <w:t>pandēmijas iespaidā krītoties pieprasījumam pēc precēm. Ja 2019. un 2020</w:t>
      </w:r>
      <w:r>
        <w:rPr>
          <w:rFonts w:eastAsia="Calibri"/>
          <w:szCs w:val="22"/>
        </w:rPr>
        <w:t>. gadā pieaugums svārstījās 2,2-</w:t>
      </w:r>
      <w:r w:rsidRPr="00C34A3C">
        <w:rPr>
          <w:rFonts w:eastAsia="Calibri"/>
          <w:szCs w:val="22"/>
        </w:rPr>
        <w:t>3,2% robežās, tad šā gada pirmajos septiņos mēnešos pieaugums sasniedz</w:t>
      </w:r>
      <w:r>
        <w:rPr>
          <w:rFonts w:eastAsia="Calibri"/>
          <w:szCs w:val="22"/>
        </w:rPr>
        <w:t>a</w:t>
      </w:r>
      <w:r w:rsidRPr="00C34A3C">
        <w:rPr>
          <w:rFonts w:eastAsia="Calibri"/>
          <w:szCs w:val="22"/>
        </w:rPr>
        <w:t xml:space="preserve"> 18,4%, apstrādes rūpniecības apgrozījumam eksportā uzrādot 20,4% pieaugumu un apgrozījumam vietējā tirgū palielinoties </w:t>
      </w:r>
      <w:r>
        <w:rPr>
          <w:rFonts w:eastAsia="Calibri"/>
          <w:szCs w:val="22"/>
        </w:rPr>
        <w:t>par</w:t>
      </w:r>
      <w:r w:rsidRPr="00C34A3C">
        <w:rPr>
          <w:rFonts w:eastAsia="Calibri"/>
          <w:szCs w:val="22"/>
        </w:rPr>
        <w:t xml:space="preserve"> 14,4%. Līdzīgi kā rūpniecības izlaidi, arī produkcijas apgrozījumu ietekmējusi zemā bāze pērn</w:t>
      </w:r>
      <w:r>
        <w:rPr>
          <w:rFonts w:eastAsia="Calibri"/>
          <w:szCs w:val="22"/>
        </w:rPr>
        <w:t>ā gada</w:t>
      </w:r>
      <w:r w:rsidRPr="00C34A3C">
        <w:rPr>
          <w:rFonts w:eastAsia="Calibri"/>
          <w:szCs w:val="22"/>
        </w:rPr>
        <w:t xml:space="preserve"> aprīlī un maijā, kā arī augstais preču pieprasījums vietējā tirgū un vēl augstāks pieprasījums ārpus valsts robežām.</w:t>
      </w:r>
    </w:p>
    <w:p w14:paraId="63E1B777" w14:textId="77777777" w:rsidR="00BF4556" w:rsidRPr="00103B48" w:rsidRDefault="00BF4556" w:rsidP="009B001C">
      <w:pPr>
        <w:keepNext/>
        <w:tabs>
          <w:tab w:val="left" w:pos="3686"/>
        </w:tabs>
        <w:spacing w:before="120"/>
        <w:ind w:firstLine="0"/>
        <w:jc w:val="center"/>
        <w:rPr>
          <w:szCs w:val="28"/>
        </w:rPr>
      </w:pPr>
      <w:r>
        <w:rPr>
          <w:b/>
          <w:i/>
        </w:rPr>
        <w:t>1.9</w:t>
      </w:r>
      <w:r w:rsidRPr="00103B48">
        <w:rPr>
          <w:b/>
          <w:i/>
        </w:rPr>
        <w:t>. att</w:t>
      </w:r>
      <w:r>
        <w:rPr>
          <w:b/>
          <w:i/>
        </w:rPr>
        <w:t>ēls</w:t>
      </w:r>
      <w:r w:rsidRPr="00103B48">
        <w:rPr>
          <w:b/>
          <w:i/>
        </w:rPr>
        <w:t xml:space="preserve"> </w:t>
      </w:r>
      <w:r w:rsidRPr="00B14F97">
        <w:rPr>
          <w:b/>
        </w:rPr>
        <w:t>Apstrādes rūpniecības apgrozījuma pārmaiņas</w:t>
      </w:r>
      <w:r w:rsidRPr="00B14F97">
        <w:t xml:space="preserve"> </w:t>
      </w:r>
      <w:r w:rsidRPr="00B14F97">
        <w:rPr>
          <w:b/>
        </w:rPr>
        <w:t>pret iepriekšējā gada attiecīgo mēnesi (kalendāri izlīdzināti dati, %)</w:t>
      </w:r>
    </w:p>
    <w:p w14:paraId="65483814" w14:textId="77777777" w:rsidR="00BF4556" w:rsidRPr="00103B48" w:rsidRDefault="00BF4556" w:rsidP="009B001C">
      <w:pPr>
        <w:keepNext/>
        <w:ind w:firstLine="0"/>
        <w:jc w:val="center"/>
      </w:pPr>
      <w:r w:rsidRPr="00103B48">
        <w:rPr>
          <w:noProof/>
          <w:lang w:eastAsia="lv-LV"/>
        </w:rPr>
        <w:drawing>
          <wp:inline distT="0" distB="0" distL="0" distR="0" wp14:anchorId="6186CFFC" wp14:editId="0BE5E90A">
            <wp:extent cx="5274310" cy="2417445"/>
            <wp:effectExtent l="0" t="0" r="2540" b="1905"/>
            <wp:docPr id="16" name="Chart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14:paraId="1E9C4E08" w14:textId="77777777" w:rsidR="00BF4556" w:rsidRPr="00C34A3C" w:rsidRDefault="00BF4556" w:rsidP="009B001C">
      <w:pPr>
        <w:spacing w:before="240"/>
        <w:ind w:firstLine="720"/>
        <w:rPr>
          <w:rFonts w:eastAsia="Calibri"/>
          <w:szCs w:val="22"/>
        </w:rPr>
      </w:pPr>
      <w:r w:rsidRPr="00C34A3C">
        <w:rPr>
          <w:rFonts w:eastAsia="Calibri"/>
          <w:szCs w:val="22"/>
        </w:rPr>
        <w:t>Apstrādes rūpniecībā apgrozījums visstraujāk audzis koksnes, koka un korķa izstrādājumiem (+38,8%), mēbelēm (+43,6%), autobūves ražojumiem (+32,7%), kā arī ķīmiskajām vielām un produktiem (+22%). Tikmēr par 24,9% krities ādas un tās izstrādājumu apgrozījums, par 4,2% krities saražoto metālu apgrozījums, pieaugot apgrozījumam vietējā tirgū, bet samazinoties eksporta apgrozījumam. Par 1,8% samazinājies pārstrādāto un konservēto augļu un dārzeņu apgrozījums.</w:t>
      </w:r>
    </w:p>
    <w:p w14:paraId="6D6A388F" w14:textId="77777777" w:rsidR="00BF4556" w:rsidRPr="00C34A3C" w:rsidRDefault="00BF4556" w:rsidP="00BF4556">
      <w:pPr>
        <w:ind w:firstLine="720"/>
        <w:rPr>
          <w:rFonts w:eastAsia="Calibri"/>
          <w:szCs w:val="22"/>
        </w:rPr>
      </w:pPr>
      <w:r w:rsidRPr="00C34A3C">
        <w:rPr>
          <w:rFonts w:eastAsia="Calibri"/>
          <w:szCs w:val="22"/>
        </w:rPr>
        <w:t>EK apkopotais ekonomiskās konfidences indekss šā gada septiņos mēnešos piedzīvojis svārstības, taču ne tādā apmērā kā 2020</w:t>
      </w:r>
      <w:r>
        <w:rPr>
          <w:rFonts w:eastAsia="Calibri"/>
          <w:szCs w:val="22"/>
        </w:rPr>
        <w:t>. gad</w:t>
      </w:r>
      <w:r w:rsidRPr="00C34A3C">
        <w:rPr>
          <w:rFonts w:eastAsia="Calibri"/>
          <w:szCs w:val="22"/>
        </w:rPr>
        <w:t xml:space="preserve">ā. </w:t>
      </w:r>
      <w:r>
        <w:rPr>
          <w:rFonts w:eastAsia="Calibri"/>
          <w:szCs w:val="22"/>
        </w:rPr>
        <w:t>Šā gada j</w:t>
      </w:r>
      <w:r w:rsidRPr="00C34A3C">
        <w:rPr>
          <w:rFonts w:eastAsia="Calibri"/>
          <w:szCs w:val="22"/>
        </w:rPr>
        <w:t>anvārī, februārī un martā Latvijas apstrādes rūpniecības noskaņojums bijis līdzīgs kā vidēji 2020</w:t>
      </w:r>
      <w:r>
        <w:rPr>
          <w:rFonts w:eastAsia="Calibri"/>
          <w:szCs w:val="22"/>
        </w:rPr>
        <w:t>. gad</w:t>
      </w:r>
      <w:r w:rsidRPr="00C34A3C">
        <w:rPr>
          <w:rFonts w:eastAsia="Calibri"/>
          <w:szCs w:val="22"/>
        </w:rPr>
        <w:t>ā, rūpniekiem ļoti zemu vērtējot sagaidāmo pasūtījumu apjomu. Taču kopš marta</w:t>
      </w:r>
      <w:r>
        <w:rPr>
          <w:rFonts w:eastAsia="Calibri"/>
          <w:szCs w:val="22"/>
        </w:rPr>
        <w:t>,</w:t>
      </w:r>
      <w:r w:rsidRPr="00C34A3C">
        <w:rPr>
          <w:rFonts w:eastAsia="Calibri"/>
          <w:szCs w:val="22"/>
        </w:rPr>
        <w:t xml:space="preserve"> uzlabojoties pandēmiskajai situācijai un valdībai mīkstinot ierobežojumus, rūpnieku noskaņojums uzlabojās, paredzot augstāku pasūtījumu skaitu, līdz ar to arī iespēju palielināt ražošanas apjomus. Ja aprīlī – jūlijā noskaņojuma indekss bija nedaudz virs </w:t>
      </w:r>
      <w:r>
        <w:rPr>
          <w:rFonts w:eastAsia="Calibri"/>
          <w:szCs w:val="22"/>
        </w:rPr>
        <w:t xml:space="preserve">ilgtermiņa vidējā rādītāja, </w:t>
      </w:r>
      <w:r w:rsidRPr="00C34A3C">
        <w:rPr>
          <w:rFonts w:eastAsia="Calibri"/>
          <w:szCs w:val="22"/>
        </w:rPr>
        <w:t xml:space="preserve">augustā </w:t>
      </w:r>
      <w:r>
        <w:rPr>
          <w:rFonts w:eastAsia="Calibri"/>
          <w:szCs w:val="22"/>
        </w:rPr>
        <w:t xml:space="preserve">tas saruka līdz nulles atzīmei. </w:t>
      </w:r>
      <w:r w:rsidRPr="00C34A3C">
        <w:rPr>
          <w:rFonts w:eastAsia="Calibri"/>
          <w:szCs w:val="22"/>
        </w:rPr>
        <w:t>Valstī atkal pasliktinoties pandēmiskajai situācijai, rūpnieki paredz nedaudz zemāku pasūtījumu apjomu un ražošanas intensitāti.</w:t>
      </w:r>
    </w:p>
    <w:p w14:paraId="1F08B3DF" w14:textId="44D442F2" w:rsidR="00BF4556" w:rsidRPr="00F14118" w:rsidRDefault="00BF4556" w:rsidP="00BF4556">
      <w:pPr>
        <w:ind w:firstLine="720"/>
        <w:rPr>
          <w:rFonts w:eastAsia="Calibri"/>
          <w:szCs w:val="22"/>
        </w:rPr>
      </w:pPr>
      <w:r>
        <w:rPr>
          <w:rFonts w:eastAsia="Calibri"/>
          <w:szCs w:val="22"/>
        </w:rPr>
        <w:t>Š</w:t>
      </w:r>
      <w:r w:rsidRPr="00C34A3C">
        <w:rPr>
          <w:rFonts w:eastAsia="Calibri"/>
          <w:szCs w:val="22"/>
        </w:rPr>
        <w:t xml:space="preserve">is gads Eiropas rūpniecībā ļoti atšķiras no pērnā gada. </w:t>
      </w:r>
      <w:r>
        <w:rPr>
          <w:rFonts w:eastAsia="Calibri"/>
          <w:szCs w:val="22"/>
        </w:rPr>
        <w:t>P</w:t>
      </w:r>
      <w:r w:rsidRPr="00C34A3C">
        <w:rPr>
          <w:rFonts w:eastAsia="Calibri"/>
          <w:szCs w:val="22"/>
        </w:rPr>
        <w:t xml:space="preserve">ērn visas ES valstis otrajā ceturksnī uzrādīja straujus rūpniecības izlaides samazinājumus, saasinoties Covid-19 pandēmijai, </w:t>
      </w:r>
      <w:r>
        <w:rPr>
          <w:rFonts w:eastAsia="Calibri"/>
          <w:szCs w:val="22"/>
        </w:rPr>
        <w:t>kamēr</w:t>
      </w:r>
      <w:r w:rsidRPr="00C34A3C">
        <w:rPr>
          <w:rFonts w:eastAsia="Calibri"/>
          <w:szCs w:val="22"/>
        </w:rPr>
        <w:t xml:space="preserve"> šā gada otrajā ceturksnī situācija </w:t>
      </w:r>
      <w:r>
        <w:rPr>
          <w:rFonts w:eastAsia="Calibri"/>
          <w:szCs w:val="22"/>
        </w:rPr>
        <w:t>bija</w:t>
      </w:r>
      <w:r w:rsidRPr="00C34A3C">
        <w:rPr>
          <w:rFonts w:eastAsia="Calibri"/>
          <w:szCs w:val="22"/>
        </w:rPr>
        <w:t xml:space="preserve"> pretēja, </w:t>
      </w:r>
      <w:r>
        <w:rPr>
          <w:rFonts w:eastAsia="Calibri"/>
          <w:szCs w:val="22"/>
        </w:rPr>
        <w:t>Eiropas rūpniecība strauji atkopās</w:t>
      </w:r>
      <w:r w:rsidRPr="007258F1">
        <w:rPr>
          <w:rFonts w:eastAsia="Calibri"/>
          <w:szCs w:val="22"/>
        </w:rPr>
        <w:t xml:space="preserve"> un pieauguma tempi p</w:t>
      </w:r>
      <w:r>
        <w:rPr>
          <w:rFonts w:eastAsia="Calibri"/>
          <w:szCs w:val="22"/>
        </w:rPr>
        <w:t>ārsniedza pērn fiksētos kritumus</w:t>
      </w:r>
      <w:r w:rsidRPr="007258F1">
        <w:rPr>
          <w:rFonts w:eastAsia="Calibri"/>
          <w:szCs w:val="22"/>
        </w:rPr>
        <w:t xml:space="preserve"> </w:t>
      </w:r>
      <w:r>
        <w:rPr>
          <w:rFonts w:eastAsia="Calibri"/>
          <w:szCs w:val="22"/>
        </w:rPr>
        <w:t>(1.10. </w:t>
      </w:r>
      <w:r w:rsidRPr="00C34A3C">
        <w:rPr>
          <w:rFonts w:eastAsia="Calibri"/>
          <w:szCs w:val="22"/>
        </w:rPr>
        <w:t>att</w:t>
      </w:r>
      <w:r>
        <w:rPr>
          <w:rFonts w:eastAsia="Calibri"/>
          <w:szCs w:val="22"/>
        </w:rPr>
        <w:t>ēls</w:t>
      </w:r>
      <w:r w:rsidRPr="00C34A3C">
        <w:rPr>
          <w:rFonts w:eastAsia="Calibri"/>
          <w:szCs w:val="22"/>
        </w:rPr>
        <w:t xml:space="preserve">). Latvijas apstrādes rūpniecības izaugsme otrajā ceturksnī </w:t>
      </w:r>
      <w:r>
        <w:rPr>
          <w:rFonts w:eastAsia="Calibri"/>
          <w:szCs w:val="22"/>
        </w:rPr>
        <w:t>bija</w:t>
      </w:r>
      <w:r w:rsidRPr="00C34A3C">
        <w:rPr>
          <w:rFonts w:eastAsia="Calibri"/>
          <w:szCs w:val="22"/>
        </w:rPr>
        <w:t xml:space="preserve"> salīdzinoši pieticīga (14,2%) uz ES vidējā rādītāja fona, </w:t>
      </w:r>
      <w:r>
        <w:rPr>
          <w:rFonts w:eastAsia="Calibri"/>
          <w:szCs w:val="22"/>
        </w:rPr>
        <w:t xml:space="preserve">tomēr </w:t>
      </w:r>
      <w:r w:rsidRPr="00C34A3C">
        <w:rPr>
          <w:rFonts w:eastAsia="Calibri"/>
          <w:szCs w:val="22"/>
        </w:rPr>
        <w:t xml:space="preserve">arī pērn rūpniecības apjomu samazinājums Latvijā bija viens no zemākajiem </w:t>
      </w:r>
      <w:r w:rsidR="009B001C">
        <w:rPr>
          <w:rFonts w:eastAsia="Calibri"/>
          <w:szCs w:val="22"/>
        </w:rPr>
        <w:t>ES</w:t>
      </w:r>
      <w:r>
        <w:rPr>
          <w:rFonts w:eastAsia="Calibri"/>
          <w:szCs w:val="22"/>
        </w:rPr>
        <w:t>, sarūkot vien par 6,1%.</w:t>
      </w:r>
    </w:p>
    <w:p w14:paraId="2BE93779" w14:textId="77777777" w:rsidR="00BF4556" w:rsidRPr="00103B48" w:rsidRDefault="00BF4556" w:rsidP="009B001C">
      <w:pPr>
        <w:keepNext/>
        <w:spacing w:before="120"/>
        <w:ind w:firstLine="0"/>
        <w:jc w:val="center"/>
        <w:rPr>
          <w:b/>
          <w:i/>
        </w:rPr>
      </w:pPr>
      <w:r>
        <w:rPr>
          <w:b/>
          <w:i/>
        </w:rPr>
        <w:lastRenderedPageBreak/>
        <w:t>1.10</w:t>
      </w:r>
      <w:r w:rsidRPr="00103B48">
        <w:rPr>
          <w:b/>
          <w:i/>
        </w:rPr>
        <w:t>.</w:t>
      </w:r>
      <w:r>
        <w:rPr>
          <w:b/>
          <w:i/>
        </w:rPr>
        <w:t xml:space="preserve"> </w:t>
      </w:r>
      <w:r w:rsidRPr="00103B48">
        <w:rPr>
          <w:b/>
          <w:i/>
        </w:rPr>
        <w:t>att</w:t>
      </w:r>
      <w:r>
        <w:rPr>
          <w:b/>
          <w:i/>
        </w:rPr>
        <w:t>ēls</w:t>
      </w:r>
      <w:r w:rsidRPr="00103B48">
        <w:rPr>
          <w:b/>
          <w:i/>
        </w:rPr>
        <w:t xml:space="preserve"> </w:t>
      </w:r>
      <w:r w:rsidRPr="00B14F97">
        <w:rPr>
          <w:b/>
        </w:rPr>
        <w:t>Apstrādes rūpniecības produkcijas apjoma pārmaiņas ES dalībvalstīs 2021</w:t>
      </w:r>
      <w:r>
        <w:rPr>
          <w:b/>
        </w:rPr>
        <w:t>. gad</w:t>
      </w:r>
      <w:r w:rsidRPr="00B14F97">
        <w:rPr>
          <w:b/>
        </w:rPr>
        <w:t>a otrajā ceturksnī, salīdzinot ar 2020</w:t>
      </w:r>
      <w:r>
        <w:rPr>
          <w:b/>
        </w:rPr>
        <w:t>. gad</w:t>
      </w:r>
      <w:r w:rsidRPr="00B14F97">
        <w:rPr>
          <w:b/>
        </w:rPr>
        <w:t>a otro ceturksni,</w:t>
      </w:r>
      <w:r>
        <w:rPr>
          <w:b/>
        </w:rPr>
        <w:br/>
      </w:r>
      <w:r w:rsidRPr="00B14F97">
        <w:rPr>
          <w:b/>
        </w:rPr>
        <w:t>(</w:t>
      </w:r>
      <w:r>
        <w:rPr>
          <w:b/>
        </w:rPr>
        <w:t xml:space="preserve">%, </w:t>
      </w:r>
      <w:r w:rsidRPr="00B14F97">
        <w:rPr>
          <w:b/>
        </w:rPr>
        <w:t>kalendāri izlīdzināti dati)</w:t>
      </w:r>
    </w:p>
    <w:p w14:paraId="2D01DF0C" w14:textId="77777777" w:rsidR="00BF4556" w:rsidRPr="00103B48" w:rsidRDefault="00BF4556" w:rsidP="009B001C">
      <w:pPr>
        <w:keepNext/>
        <w:ind w:firstLine="0"/>
        <w:jc w:val="center"/>
      </w:pPr>
      <w:r w:rsidRPr="00103B48">
        <w:rPr>
          <w:noProof/>
          <w:lang w:eastAsia="lv-LV"/>
        </w:rPr>
        <w:drawing>
          <wp:inline distT="0" distB="0" distL="0" distR="0" wp14:anchorId="0E29ED18" wp14:editId="797957A1">
            <wp:extent cx="5317298" cy="1957705"/>
            <wp:effectExtent l="0" t="0" r="0" b="4445"/>
            <wp:docPr id="7" name="Chart 7"/>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14:paraId="3BD68AC7" w14:textId="77777777" w:rsidR="00BF4556" w:rsidRPr="003523AC" w:rsidRDefault="00BF4556" w:rsidP="00BF4556">
      <w:pPr>
        <w:ind w:firstLine="720"/>
        <w:rPr>
          <w:rFonts w:eastAsia="Calibri"/>
          <w:szCs w:val="22"/>
        </w:rPr>
      </w:pPr>
      <w:r w:rsidRPr="004063B1">
        <w:rPr>
          <w:rFonts w:eastAsia="Calibri"/>
          <w:szCs w:val="22"/>
        </w:rPr>
        <w:t xml:space="preserve">Situāciju Eiropas un Latvijas rūpniecībā šogad noteiks pandēmiskās situācijas attīstība, kā arī rūpnieku spēja </w:t>
      </w:r>
      <w:r w:rsidRPr="003523AC">
        <w:rPr>
          <w:rFonts w:eastAsia="Calibri"/>
          <w:szCs w:val="22"/>
        </w:rPr>
        <w:t>pielāgoties augstajam preču pieprasījumam</w:t>
      </w:r>
      <w:r w:rsidRPr="003523AC">
        <w:rPr>
          <w:rFonts w:eastAsia="Calibri"/>
          <w:color w:val="000000" w:themeColor="text1"/>
          <w:szCs w:val="22"/>
        </w:rPr>
        <w:t>.</w:t>
      </w:r>
      <w:r>
        <w:rPr>
          <w:rFonts w:eastAsia="Calibri"/>
          <w:color w:val="FF0000"/>
          <w:szCs w:val="22"/>
        </w:rPr>
        <w:t xml:space="preserve"> </w:t>
      </w:r>
      <w:r w:rsidRPr="003523AC">
        <w:rPr>
          <w:rFonts w:eastAsia="Calibri"/>
          <w:color w:val="000000" w:themeColor="text1"/>
          <w:szCs w:val="22"/>
        </w:rPr>
        <w:t>Rūpniekiem sasniedzot vai pārsniedzot pieprasījuma līmeni, iespējama būvmateriālu, tajā skaitā kokmateriālu, cenu samazināšanās. Uzņēmēji aptaujās norāda, ka turpmākajos mēnešos paredz lielāk</w:t>
      </w:r>
      <w:r>
        <w:rPr>
          <w:rFonts w:eastAsia="Calibri"/>
          <w:color w:val="000000" w:themeColor="text1"/>
          <w:szCs w:val="22"/>
        </w:rPr>
        <w:t>u</w:t>
      </w:r>
      <w:r w:rsidRPr="003523AC">
        <w:rPr>
          <w:rFonts w:eastAsia="Calibri"/>
          <w:color w:val="000000" w:themeColor="text1"/>
          <w:szCs w:val="22"/>
        </w:rPr>
        <w:t xml:space="preserve"> darbaspēka nepieciešamību, vienlaikus norādot uz kvalificētu darbinieku trūkumu.</w:t>
      </w:r>
    </w:p>
    <w:p w14:paraId="3096CFB5" w14:textId="77777777" w:rsidR="00BF4556" w:rsidRDefault="00BF4556" w:rsidP="009B001C">
      <w:pPr>
        <w:spacing w:before="240" w:after="240"/>
        <w:ind w:firstLine="0"/>
        <w:jc w:val="center"/>
        <w:rPr>
          <w:rFonts w:eastAsia="Calibri"/>
          <w:b/>
        </w:rPr>
      </w:pPr>
      <w:r w:rsidRPr="005D16AB">
        <w:rPr>
          <w:rFonts w:eastAsia="Calibri"/>
          <w:b/>
        </w:rPr>
        <w:t>Tirdzniecība</w:t>
      </w:r>
    </w:p>
    <w:p w14:paraId="24AB1D4F" w14:textId="77777777" w:rsidR="00BF4556" w:rsidRPr="004A4196" w:rsidRDefault="00BF4556" w:rsidP="00BF4556">
      <w:pPr>
        <w:ind w:firstLine="720"/>
        <w:rPr>
          <w:rFonts w:eastAsia="Calibri"/>
          <w:szCs w:val="22"/>
        </w:rPr>
      </w:pPr>
      <w:r w:rsidRPr="004A4196">
        <w:rPr>
          <w:rFonts w:eastAsia="Calibri"/>
          <w:szCs w:val="22"/>
        </w:rPr>
        <w:t>Latvijas tirdzniecības nozare būtisku kritumu piedzīvoja šā gada janvārī un februārī, taču tam sekoja strauja izaugsme, jūnija un jūlija mēnešos uzrādot nebijuši augstus rādītājus.</w:t>
      </w:r>
      <w:r>
        <w:rPr>
          <w:rFonts w:eastAsia="Calibri"/>
          <w:szCs w:val="22"/>
        </w:rPr>
        <w:t xml:space="preserve"> </w:t>
      </w:r>
      <w:r w:rsidRPr="004A4196">
        <w:rPr>
          <w:rFonts w:eastAsia="Calibri"/>
          <w:szCs w:val="22"/>
        </w:rPr>
        <w:t>Tirdzniecības nozare ir viena no lielākajām Latvijas tautsaimniecības nozarēm un tā apvieno vairumtirdzniecību, mazumtirdzniecību, kā arī automobiļu un motociklu tirdzniecību un remontu. Latvijas IKP pievienotās vērtības struktūrā tirdzniecība 2020</w:t>
      </w:r>
      <w:r>
        <w:rPr>
          <w:rFonts w:eastAsia="Calibri"/>
          <w:szCs w:val="22"/>
        </w:rPr>
        <w:t>. gad</w:t>
      </w:r>
      <w:r w:rsidRPr="004A4196">
        <w:rPr>
          <w:rFonts w:eastAsia="Calibri"/>
          <w:szCs w:val="22"/>
        </w:rPr>
        <w:t>ā veidoja 15,6%</w:t>
      </w:r>
      <w:r>
        <w:rPr>
          <w:rFonts w:eastAsia="Calibri"/>
          <w:szCs w:val="22"/>
        </w:rPr>
        <w:t>.</w:t>
      </w:r>
    </w:p>
    <w:p w14:paraId="53902F46" w14:textId="77777777" w:rsidR="00BF4556" w:rsidRDefault="00BF4556" w:rsidP="00BF4556">
      <w:pPr>
        <w:ind w:firstLine="720"/>
        <w:rPr>
          <w:rFonts w:eastAsia="Calibri"/>
          <w:szCs w:val="22"/>
        </w:rPr>
      </w:pPr>
      <w:r w:rsidRPr="004A4196">
        <w:rPr>
          <w:rFonts w:eastAsia="Calibri"/>
          <w:szCs w:val="22"/>
        </w:rPr>
        <w:t>2020</w:t>
      </w:r>
      <w:r>
        <w:rPr>
          <w:rFonts w:eastAsia="Calibri"/>
          <w:szCs w:val="22"/>
        </w:rPr>
        <w:t>. gad</w:t>
      </w:r>
      <w:r w:rsidRPr="004A4196">
        <w:rPr>
          <w:rFonts w:eastAsia="Calibri"/>
          <w:szCs w:val="22"/>
        </w:rPr>
        <w:t xml:space="preserve">ā tirdzniecības nozarē nodarbināto skaits ievērojami </w:t>
      </w:r>
      <w:r>
        <w:rPr>
          <w:rFonts w:eastAsia="Calibri"/>
          <w:szCs w:val="22"/>
        </w:rPr>
        <w:t xml:space="preserve">ir </w:t>
      </w:r>
      <w:r w:rsidRPr="004A4196">
        <w:rPr>
          <w:rFonts w:eastAsia="Calibri"/>
          <w:szCs w:val="22"/>
        </w:rPr>
        <w:t xml:space="preserve">samazinājies </w:t>
      </w:r>
      <w:r>
        <w:rPr>
          <w:rFonts w:eastAsia="Calibri"/>
          <w:szCs w:val="22"/>
        </w:rPr>
        <w:t>–par 5,1% jeb 7 tūkstošiem</w:t>
      </w:r>
      <w:r w:rsidRPr="004A4196">
        <w:rPr>
          <w:rFonts w:eastAsia="Calibri"/>
          <w:szCs w:val="22"/>
        </w:rPr>
        <w:t xml:space="preserve">, aptverot 130,6 tūkstošus jeb 14,6% no visiem </w:t>
      </w:r>
      <w:r w:rsidRPr="005C4733">
        <w:rPr>
          <w:rFonts w:eastAsia="Calibri"/>
          <w:szCs w:val="22"/>
        </w:rPr>
        <w:t>tautsaimniecīb</w:t>
      </w:r>
      <w:r>
        <w:rPr>
          <w:rFonts w:eastAsia="Calibri"/>
          <w:szCs w:val="22"/>
        </w:rPr>
        <w:t>ā nodarbinātajiem iedzīvotājiem. Nodarbināto skaitam tirdzniecībā krītoties daudz straujāk nekā ekonomikā kopumā, par nodarbinātības līderi pagājušajā gadā atkal ir kļuvusi rūpniecības nozare.</w:t>
      </w:r>
    </w:p>
    <w:p w14:paraId="5D726685" w14:textId="77777777" w:rsidR="00BF4556" w:rsidRDefault="00BF4556" w:rsidP="00BF4556">
      <w:pPr>
        <w:ind w:firstLine="720"/>
        <w:rPr>
          <w:rFonts w:eastAsia="Calibri"/>
          <w:szCs w:val="22"/>
        </w:rPr>
      </w:pPr>
      <w:r>
        <w:rPr>
          <w:rFonts w:eastAsia="Calibri"/>
          <w:szCs w:val="22"/>
        </w:rPr>
        <w:t xml:space="preserve"> </w:t>
      </w:r>
      <w:r w:rsidRPr="005C4733">
        <w:rPr>
          <w:rFonts w:eastAsia="Calibri"/>
          <w:szCs w:val="22"/>
        </w:rPr>
        <w:t xml:space="preserve"> </w:t>
      </w:r>
      <w:r w:rsidRPr="004A4196">
        <w:rPr>
          <w:rFonts w:eastAsia="Calibri"/>
          <w:szCs w:val="22"/>
        </w:rPr>
        <w:t xml:space="preserve">Pērnā gada samazinājums </w:t>
      </w:r>
      <w:r>
        <w:rPr>
          <w:rFonts w:eastAsia="Calibri"/>
          <w:szCs w:val="22"/>
        </w:rPr>
        <w:t xml:space="preserve">tirdzniecības nozarē </w:t>
      </w:r>
      <w:r w:rsidRPr="004A4196">
        <w:rPr>
          <w:rFonts w:eastAsia="Calibri"/>
          <w:szCs w:val="22"/>
        </w:rPr>
        <w:t>skaidrojams gan ar veikalu darbības pārtraukšanu pandēmijas ierobežojumu iespaidā, gan ar sistēmu automatizāciju, arvien vairāk cilvēkiem izmantojot pašapkalpošanās kases, kā arī ar iepirkšanos interneta veikalos.</w:t>
      </w:r>
    </w:p>
    <w:p w14:paraId="08D3F135" w14:textId="77777777" w:rsidR="00BF4556" w:rsidRPr="00C1543D" w:rsidRDefault="00BF4556" w:rsidP="006F2CDA">
      <w:pPr>
        <w:keepNext/>
        <w:spacing w:before="120"/>
        <w:ind w:firstLine="0"/>
        <w:jc w:val="center"/>
        <w:rPr>
          <w:b/>
        </w:rPr>
      </w:pPr>
      <w:r>
        <w:rPr>
          <w:b/>
          <w:i/>
        </w:rPr>
        <w:t>1.11</w:t>
      </w:r>
      <w:r w:rsidRPr="00103B48">
        <w:rPr>
          <w:b/>
          <w:i/>
        </w:rPr>
        <w:t>.</w:t>
      </w:r>
      <w:r>
        <w:rPr>
          <w:b/>
          <w:i/>
        </w:rPr>
        <w:t xml:space="preserve"> </w:t>
      </w:r>
      <w:r w:rsidRPr="00103B48">
        <w:rPr>
          <w:b/>
          <w:i/>
        </w:rPr>
        <w:t>att</w:t>
      </w:r>
      <w:r>
        <w:rPr>
          <w:b/>
          <w:i/>
        </w:rPr>
        <w:t>ēls</w:t>
      </w:r>
      <w:r w:rsidRPr="00103B48">
        <w:rPr>
          <w:b/>
          <w:i/>
        </w:rPr>
        <w:t xml:space="preserve"> </w:t>
      </w:r>
      <w:r w:rsidRPr="00C1543D">
        <w:rPr>
          <w:b/>
        </w:rPr>
        <w:t>Tirdzniecības pievienotās vērtības struktūra 2020</w:t>
      </w:r>
      <w:r>
        <w:rPr>
          <w:b/>
        </w:rPr>
        <w:t>. gad</w:t>
      </w:r>
      <w:r w:rsidRPr="00C1543D">
        <w:rPr>
          <w:b/>
        </w:rPr>
        <w:t>ā</w:t>
      </w:r>
      <w:r>
        <w:rPr>
          <w:b/>
        </w:rPr>
        <w:t xml:space="preserve"> (</w:t>
      </w:r>
      <w:r w:rsidRPr="00C1543D">
        <w:rPr>
          <w:b/>
        </w:rPr>
        <w:t>%</w:t>
      </w:r>
      <w:r>
        <w:rPr>
          <w:b/>
        </w:rPr>
        <w:t>)</w:t>
      </w:r>
    </w:p>
    <w:p w14:paraId="45D93F84" w14:textId="77777777" w:rsidR="00BF4556" w:rsidRPr="00103B48" w:rsidRDefault="00BF4556" w:rsidP="006F2CDA">
      <w:pPr>
        <w:ind w:firstLine="0"/>
        <w:jc w:val="center"/>
        <w:rPr>
          <w:szCs w:val="22"/>
        </w:rPr>
      </w:pPr>
      <w:r w:rsidRPr="00103B48">
        <w:rPr>
          <w:rFonts w:asciiTheme="minorHAnsi" w:hAnsiTheme="minorHAnsi" w:cstheme="minorBidi"/>
          <w:noProof/>
          <w:sz w:val="22"/>
          <w:szCs w:val="22"/>
          <w:lang w:eastAsia="lv-LV"/>
        </w:rPr>
        <w:drawing>
          <wp:inline distT="0" distB="0" distL="0" distR="0" wp14:anchorId="3F23B83F" wp14:editId="58600CFF">
            <wp:extent cx="4572000" cy="2179675"/>
            <wp:effectExtent l="0" t="0" r="0" b="0"/>
            <wp:docPr id="17" name="Chart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14:paraId="3A668CCF" w14:textId="77777777" w:rsidR="00BF4556" w:rsidRPr="004A4196" w:rsidRDefault="00BF4556" w:rsidP="00BF4556">
      <w:pPr>
        <w:ind w:firstLine="720"/>
        <w:rPr>
          <w:rFonts w:eastAsia="Calibri"/>
          <w:szCs w:val="22"/>
        </w:rPr>
      </w:pPr>
      <w:r w:rsidRPr="004A4196">
        <w:rPr>
          <w:rFonts w:eastAsia="Calibri"/>
          <w:szCs w:val="22"/>
        </w:rPr>
        <w:lastRenderedPageBreak/>
        <w:t>Tirdzniecības struktūrā vairumtirdzniecība un mazum</w:t>
      </w:r>
      <w:r>
        <w:rPr>
          <w:rFonts w:eastAsia="Calibri"/>
          <w:szCs w:val="22"/>
        </w:rPr>
        <w:t>tirdzniecība aizņem attiecīgi 46</w:t>
      </w:r>
      <w:r w:rsidRPr="004A4196">
        <w:rPr>
          <w:rFonts w:eastAsia="Calibri"/>
          <w:szCs w:val="22"/>
        </w:rPr>
        <w:t xml:space="preserve">% un 43%, atlikušos 11% aizņemot automobiļu </w:t>
      </w:r>
      <w:r>
        <w:rPr>
          <w:rFonts w:eastAsia="Calibri"/>
          <w:szCs w:val="22"/>
        </w:rPr>
        <w:t>un motociklu tirdzniecībai (1.11</w:t>
      </w:r>
      <w:r w:rsidRPr="004A4196">
        <w:rPr>
          <w:rFonts w:eastAsia="Calibri"/>
          <w:szCs w:val="22"/>
        </w:rPr>
        <w:t>.</w:t>
      </w:r>
      <w:r>
        <w:rPr>
          <w:rFonts w:eastAsia="Calibri"/>
          <w:szCs w:val="22"/>
        </w:rPr>
        <w:t xml:space="preserve"> </w:t>
      </w:r>
      <w:r w:rsidRPr="004A4196">
        <w:rPr>
          <w:rFonts w:eastAsia="Calibri"/>
          <w:szCs w:val="22"/>
        </w:rPr>
        <w:t>att</w:t>
      </w:r>
      <w:r>
        <w:rPr>
          <w:rFonts w:eastAsia="Calibri"/>
          <w:szCs w:val="22"/>
        </w:rPr>
        <w:t>ēls</w:t>
      </w:r>
      <w:r w:rsidRPr="004A4196">
        <w:rPr>
          <w:rFonts w:eastAsia="Calibri"/>
          <w:szCs w:val="22"/>
        </w:rPr>
        <w:t>). Lai gan 2020</w:t>
      </w:r>
      <w:r>
        <w:rPr>
          <w:rFonts w:eastAsia="Calibri"/>
          <w:szCs w:val="22"/>
        </w:rPr>
        <w:t>. gad</w:t>
      </w:r>
      <w:r w:rsidRPr="004A4196">
        <w:rPr>
          <w:rFonts w:eastAsia="Calibri"/>
          <w:szCs w:val="22"/>
        </w:rPr>
        <w:t>ā, griezumā pa ceturkšņiem situācija struktūrā bija svārstīga, gada griezumā tā nav būtiski mainījusies, salīdzinot ar iepriekšējā gada struktūru. Savukārt šā gada pirmajā pusgadā mazumtirdzniecība</w:t>
      </w:r>
      <w:r>
        <w:rPr>
          <w:rFonts w:eastAsia="Calibri"/>
          <w:szCs w:val="22"/>
        </w:rPr>
        <w:t xml:space="preserve"> kopējā tirdzniecības struktūrā pieaugusi par sešiem </w:t>
      </w:r>
      <w:r w:rsidRPr="004A4196">
        <w:rPr>
          <w:rFonts w:eastAsia="Calibri"/>
          <w:szCs w:val="22"/>
        </w:rPr>
        <w:t>procentpunktiem, vienlīdzīgi samazinoties vairumtirdzniecībai un automobiļu un motoc</w:t>
      </w:r>
      <w:r>
        <w:rPr>
          <w:rFonts w:eastAsia="Calibri"/>
          <w:szCs w:val="22"/>
        </w:rPr>
        <w:t>iklu tirdzniecībai un remontam.</w:t>
      </w:r>
    </w:p>
    <w:p w14:paraId="0B34C395" w14:textId="77777777" w:rsidR="00BF4556" w:rsidRDefault="00BF4556" w:rsidP="00BF4556">
      <w:pPr>
        <w:ind w:firstLine="720"/>
        <w:rPr>
          <w:rFonts w:eastAsia="Calibri"/>
          <w:szCs w:val="22"/>
        </w:rPr>
      </w:pPr>
      <w:r w:rsidRPr="004A4196">
        <w:rPr>
          <w:rFonts w:eastAsia="Calibri"/>
          <w:szCs w:val="22"/>
        </w:rPr>
        <w:t xml:space="preserve">Mazumtirdzniecības nozare pērn pandēmijas ietekmē uzrādīja zemāko </w:t>
      </w:r>
      <w:r w:rsidRPr="00710BAD">
        <w:rPr>
          <w:rFonts w:eastAsia="Calibri"/>
          <w:szCs w:val="22"/>
        </w:rPr>
        <w:t>pieaugumu (1,4%) kopš 2010. gada. Līdzīgi kā visa Latvijas tautsaimniecība, arī mazumtirdzniecība lielāko sarukumu piedzīvoja aprīlī, tam sekojot pakāpeniskai izaugsmei. Šā gada septiņos mēnešos svārstību apmērs bijis vēl lielāks (1.12. attēls).</w:t>
      </w:r>
      <w:r w:rsidRPr="004A4196">
        <w:rPr>
          <w:rFonts w:eastAsia="Calibri"/>
          <w:szCs w:val="22"/>
        </w:rPr>
        <w:t xml:space="preserve"> </w:t>
      </w:r>
    </w:p>
    <w:p w14:paraId="023FF191" w14:textId="77777777" w:rsidR="00BF4556" w:rsidRPr="00C1543D" w:rsidRDefault="00BF4556" w:rsidP="006F2CDA">
      <w:pPr>
        <w:keepNext/>
        <w:spacing w:before="120"/>
        <w:ind w:firstLine="0"/>
        <w:jc w:val="center"/>
        <w:rPr>
          <w:b/>
        </w:rPr>
      </w:pPr>
      <w:r w:rsidRPr="00103B48">
        <w:rPr>
          <w:b/>
          <w:i/>
        </w:rPr>
        <w:t>1.1</w:t>
      </w:r>
      <w:r>
        <w:rPr>
          <w:b/>
          <w:i/>
        </w:rPr>
        <w:t>2</w:t>
      </w:r>
      <w:r w:rsidRPr="00103B48">
        <w:rPr>
          <w:b/>
          <w:i/>
        </w:rPr>
        <w:t>. att</w:t>
      </w:r>
      <w:r>
        <w:rPr>
          <w:b/>
          <w:i/>
        </w:rPr>
        <w:t>ēls</w:t>
      </w:r>
      <w:r w:rsidRPr="00103B48">
        <w:rPr>
          <w:b/>
          <w:i/>
        </w:rPr>
        <w:t xml:space="preserve"> </w:t>
      </w:r>
      <w:r w:rsidRPr="00C1543D">
        <w:rPr>
          <w:b/>
        </w:rPr>
        <w:t xml:space="preserve">Mazumtirdzniecības apgrozījuma pārmaiņas </w:t>
      </w:r>
      <w:r>
        <w:rPr>
          <w:b/>
        </w:rPr>
        <w:br/>
      </w:r>
      <w:r w:rsidRPr="00C1543D">
        <w:rPr>
          <w:b/>
        </w:rPr>
        <w:t>pret iepriekšējā gada attiecīgo mēnesi</w:t>
      </w:r>
      <w:r>
        <w:rPr>
          <w:b/>
        </w:rPr>
        <w:t xml:space="preserve"> (</w:t>
      </w:r>
      <w:r w:rsidRPr="00C1543D">
        <w:rPr>
          <w:b/>
        </w:rPr>
        <w:t>%</w:t>
      </w:r>
      <w:r>
        <w:rPr>
          <w:b/>
        </w:rPr>
        <w:t>)</w:t>
      </w:r>
    </w:p>
    <w:p w14:paraId="6A22F142" w14:textId="77777777" w:rsidR="00BF4556" w:rsidRPr="00103B48" w:rsidRDefault="00BF4556" w:rsidP="006F2CDA">
      <w:pPr>
        <w:ind w:firstLine="0"/>
        <w:jc w:val="center"/>
        <w:rPr>
          <w:rFonts w:asciiTheme="minorHAnsi" w:hAnsiTheme="minorHAnsi" w:cstheme="minorBidi"/>
          <w:sz w:val="22"/>
          <w:szCs w:val="22"/>
        </w:rPr>
      </w:pPr>
      <w:r w:rsidRPr="000C07F7">
        <w:rPr>
          <w:noProof/>
          <w:sz w:val="18"/>
          <w:szCs w:val="18"/>
          <w:lang w:eastAsia="lv-LV"/>
        </w:rPr>
        <w:drawing>
          <wp:inline distT="0" distB="0" distL="0" distR="0" wp14:anchorId="77DF70BE" wp14:editId="2E18E56B">
            <wp:extent cx="5720715" cy="2790770"/>
            <wp:effectExtent l="0" t="0" r="0" b="0"/>
            <wp:docPr id="18" name="Chart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14:paraId="598E69E9" w14:textId="77777777" w:rsidR="00BF4556" w:rsidRDefault="00BF4556" w:rsidP="00BF4556">
      <w:pPr>
        <w:ind w:firstLine="720"/>
        <w:rPr>
          <w:rFonts w:eastAsia="Calibri"/>
          <w:szCs w:val="22"/>
        </w:rPr>
      </w:pPr>
      <w:r>
        <w:rPr>
          <w:rFonts w:eastAsia="Calibri"/>
          <w:szCs w:val="22"/>
        </w:rPr>
        <w:t xml:space="preserve">Šā gada janvārī un februārī, līdz ar pandēmijas mazināšanai noteiktajiem ierobežojumiem </w:t>
      </w:r>
      <w:r w:rsidRPr="004A4196">
        <w:rPr>
          <w:rFonts w:eastAsia="Calibri"/>
          <w:szCs w:val="22"/>
        </w:rPr>
        <w:t xml:space="preserve">apģērbu, būvmateriālu u.c. </w:t>
      </w:r>
      <w:r>
        <w:rPr>
          <w:rFonts w:eastAsia="Calibri"/>
          <w:szCs w:val="22"/>
        </w:rPr>
        <w:t>veikalu darbībai, mazumtirdzniecības aktivitāte bija ļoti zema.</w:t>
      </w:r>
      <w:r w:rsidRPr="004A4196">
        <w:rPr>
          <w:rFonts w:eastAsia="Calibri"/>
          <w:szCs w:val="22"/>
        </w:rPr>
        <w:t xml:space="preserve"> Covid-19 saslimstības rādītājiem uzlabojoties, valdība</w:t>
      </w:r>
      <w:r>
        <w:rPr>
          <w:rFonts w:eastAsia="Calibri"/>
          <w:szCs w:val="22"/>
        </w:rPr>
        <w:t>,</w:t>
      </w:r>
      <w:r w:rsidRPr="004A4196">
        <w:rPr>
          <w:rFonts w:eastAsia="Calibri"/>
          <w:szCs w:val="22"/>
        </w:rPr>
        <w:t xml:space="preserve"> sākot ar aprīli</w:t>
      </w:r>
      <w:r>
        <w:rPr>
          <w:rFonts w:eastAsia="Calibri"/>
          <w:szCs w:val="22"/>
        </w:rPr>
        <w:t>,</w:t>
      </w:r>
      <w:r w:rsidRPr="004A4196">
        <w:rPr>
          <w:rFonts w:eastAsia="Calibri"/>
          <w:szCs w:val="22"/>
        </w:rPr>
        <w:t xml:space="preserve"> mīkstināja ierobežojumus, kam sekoja straujš mazumtirdzniecības apjomu palielinājums, jūlijā sasniedzot nepieredzēti augstus rādītājus.</w:t>
      </w:r>
    </w:p>
    <w:p w14:paraId="478206EE" w14:textId="77777777" w:rsidR="00BF4556" w:rsidRPr="004A4196" w:rsidRDefault="00BF4556" w:rsidP="00BF4556">
      <w:pPr>
        <w:ind w:firstLine="720"/>
        <w:rPr>
          <w:rFonts w:eastAsia="Calibri"/>
          <w:szCs w:val="22"/>
        </w:rPr>
      </w:pPr>
      <w:r>
        <w:rPr>
          <w:rFonts w:eastAsia="Calibri"/>
          <w:szCs w:val="22"/>
        </w:rPr>
        <w:t xml:space="preserve">2020. gadā kopējo mazumtirdzniecības </w:t>
      </w:r>
      <w:r w:rsidRPr="004A4196">
        <w:rPr>
          <w:rFonts w:eastAsia="Calibri"/>
          <w:szCs w:val="22"/>
        </w:rPr>
        <w:t>izaugsmi nodrošināja pārtikas preču patēriņa pieaugums 3,6% apmērā pret 2019</w:t>
      </w:r>
      <w:r>
        <w:rPr>
          <w:rFonts w:eastAsia="Calibri"/>
          <w:szCs w:val="22"/>
        </w:rPr>
        <w:t>. gad</w:t>
      </w:r>
      <w:r w:rsidRPr="004A4196">
        <w:rPr>
          <w:rFonts w:eastAsia="Calibri"/>
          <w:szCs w:val="22"/>
        </w:rPr>
        <w:t xml:space="preserve">u un degvielas tirdzniecības kāpums par 6,4%, </w:t>
      </w:r>
      <w:r>
        <w:rPr>
          <w:rFonts w:eastAsia="Calibri"/>
          <w:szCs w:val="22"/>
        </w:rPr>
        <w:t>tajā skaitā</w:t>
      </w:r>
      <w:r w:rsidRPr="004A4196">
        <w:rPr>
          <w:rFonts w:eastAsia="Calibri"/>
          <w:szCs w:val="22"/>
        </w:rPr>
        <w:t xml:space="preserve"> </w:t>
      </w:r>
      <w:r>
        <w:rPr>
          <w:rFonts w:eastAsia="Calibri"/>
          <w:szCs w:val="22"/>
        </w:rPr>
        <w:t>arī degvielas cenu krituma ietekmē, bet n</w:t>
      </w:r>
      <w:r w:rsidRPr="004A4196">
        <w:rPr>
          <w:rFonts w:eastAsia="Calibri"/>
          <w:szCs w:val="22"/>
        </w:rPr>
        <w:t xml:space="preserve">epārtikas preces (atskaitot degvielu) piedzīvoja </w:t>
      </w:r>
      <w:r>
        <w:rPr>
          <w:rFonts w:eastAsia="Calibri"/>
          <w:szCs w:val="22"/>
        </w:rPr>
        <w:t xml:space="preserve">pārdošanas </w:t>
      </w:r>
      <w:r w:rsidRPr="004A4196">
        <w:rPr>
          <w:rFonts w:eastAsia="Calibri"/>
          <w:szCs w:val="22"/>
        </w:rPr>
        <w:t xml:space="preserve">apjomu kritumu </w:t>
      </w:r>
      <w:r>
        <w:rPr>
          <w:rFonts w:eastAsia="Calibri"/>
          <w:szCs w:val="22"/>
        </w:rPr>
        <w:t xml:space="preserve">par </w:t>
      </w:r>
      <w:r w:rsidRPr="004A4196">
        <w:rPr>
          <w:rFonts w:eastAsia="Calibri"/>
          <w:szCs w:val="22"/>
        </w:rPr>
        <w:t>2</w:t>
      </w:r>
      <w:r>
        <w:rPr>
          <w:rFonts w:eastAsia="Calibri"/>
          <w:szCs w:val="22"/>
        </w:rPr>
        <w:t>,0%</w:t>
      </w:r>
      <w:r w:rsidRPr="004A4196">
        <w:rPr>
          <w:rFonts w:eastAsia="Calibri"/>
          <w:szCs w:val="22"/>
        </w:rPr>
        <w:t>, ko izraisīja tirdzniecības ierobežojumi. Savukārt šā gada septiņos mēnešos</w:t>
      </w:r>
      <w:r>
        <w:rPr>
          <w:rFonts w:eastAsia="Calibri"/>
          <w:szCs w:val="22"/>
        </w:rPr>
        <w:t xml:space="preserve"> kopējo mazumtirdzniecības</w:t>
      </w:r>
      <w:r w:rsidRPr="004A4196">
        <w:rPr>
          <w:rFonts w:eastAsia="Calibri"/>
          <w:szCs w:val="22"/>
        </w:rPr>
        <w:t xml:space="preserve"> izaugsmi 2,7% apmērā nodrošināj</w:t>
      </w:r>
      <w:r>
        <w:rPr>
          <w:rFonts w:eastAsia="Calibri"/>
          <w:szCs w:val="22"/>
        </w:rPr>
        <w:t>a</w:t>
      </w:r>
      <w:r w:rsidRPr="004A4196">
        <w:rPr>
          <w:rFonts w:eastAsia="Calibri"/>
          <w:szCs w:val="22"/>
        </w:rPr>
        <w:t xml:space="preserve"> tieši nepārtikas preču</w:t>
      </w:r>
      <w:r>
        <w:rPr>
          <w:rFonts w:eastAsia="Calibri"/>
          <w:szCs w:val="22"/>
        </w:rPr>
        <w:t xml:space="preserve"> tirdzniecība</w:t>
      </w:r>
      <w:r w:rsidRPr="004A4196">
        <w:rPr>
          <w:rFonts w:eastAsia="Calibri"/>
          <w:szCs w:val="22"/>
        </w:rPr>
        <w:t xml:space="preserve"> (+3,8%)</w:t>
      </w:r>
      <w:r>
        <w:rPr>
          <w:rFonts w:eastAsia="Calibri"/>
          <w:szCs w:val="22"/>
        </w:rPr>
        <w:t xml:space="preserve">, kā arī </w:t>
      </w:r>
      <w:r w:rsidRPr="004A4196">
        <w:rPr>
          <w:rFonts w:eastAsia="Calibri"/>
          <w:szCs w:val="22"/>
        </w:rPr>
        <w:t xml:space="preserve">degvielas </w:t>
      </w:r>
      <w:r>
        <w:rPr>
          <w:rFonts w:eastAsia="Calibri"/>
          <w:szCs w:val="22"/>
        </w:rPr>
        <w:t xml:space="preserve">tirdzniecības apjomu kāpums (+9,3%). </w:t>
      </w:r>
      <w:r w:rsidRPr="004A4196">
        <w:rPr>
          <w:rFonts w:eastAsia="Calibri"/>
          <w:szCs w:val="22"/>
        </w:rPr>
        <w:t>Pretēji pērnā gada naftas cenu sarukumam</w:t>
      </w:r>
      <w:r>
        <w:rPr>
          <w:rFonts w:eastAsia="Calibri"/>
          <w:szCs w:val="22"/>
        </w:rPr>
        <w:t xml:space="preserve">, šogad naftas cenas ir </w:t>
      </w:r>
      <w:r w:rsidRPr="004A4196">
        <w:rPr>
          <w:rFonts w:eastAsia="Calibri"/>
          <w:szCs w:val="22"/>
        </w:rPr>
        <w:t>kāpušas</w:t>
      </w:r>
      <w:r>
        <w:rPr>
          <w:rFonts w:eastAsia="Calibri"/>
          <w:szCs w:val="22"/>
        </w:rPr>
        <w:t xml:space="preserve">. Neskatoties uz cenu pieaugumu, </w:t>
      </w:r>
      <w:r w:rsidRPr="004A4196">
        <w:rPr>
          <w:rFonts w:eastAsia="Calibri"/>
          <w:szCs w:val="22"/>
        </w:rPr>
        <w:t xml:space="preserve">situācijai pasaules ekonomikā uzlabojoties, strauji aug arī degvielas </w:t>
      </w:r>
      <w:r>
        <w:rPr>
          <w:rFonts w:eastAsia="Calibri"/>
          <w:szCs w:val="22"/>
        </w:rPr>
        <w:t>pieprasījums</w:t>
      </w:r>
      <w:r w:rsidRPr="004A4196">
        <w:rPr>
          <w:rFonts w:eastAsia="Calibri"/>
          <w:szCs w:val="22"/>
        </w:rPr>
        <w:t xml:space="preserve"> un tuvākajā laikā </w:t>
      </w:r>
      <w:r>
        <w:rPr>
          <w:rFonts w:eastAsia="Calibri"/>
          <w:szCs w:val="22"/>
        </w:rPr>
        <w:t>patēriņa samazinājums</w:t>
      </w:r>
      <w:r w:rsidRPr="004A4196">
        <w:rPr>
          <w:rFonts w:eastAsia="Calibri"/>
          <w:szCs w:val="22"/>
        </w:rPr>
        <w:t xml:space="preserve"> </w:t>
      </w:r>
      <w:r>
        <w:rPr>
          <w:rFonts w:eastAsia="Calibri"/>
          <w:szCs w:val="22"/>
        </w:rPr>
        <w:t>nav paredzams. Savukārt i</w:t>
      </w:r>
      <w:r w:rsidRPr="004A4196">
        <w:rPr>
          <w:rFonts w:eastAsia="Calibri"/>
          <w:szCs w:val="22"/>
        </w:rPr>
        <w:t xml:space="preserve">lgtermiņā </w:t>
      </w:r>
      <w:r>
        <w:rPr>
          <w:rFonts w:eastAsia="Calibri"/>
          <w:szCs w:val="22"/>
        </w:rPr>
        <w:t>degvielas tirgu arvien vairāk ietekmēs</w:t>
      </w:r>
      <w:r w:rsidRPr="004A4196">
        <w:rPr>
          <w:rFonts w:eastAsia="Calibri"/>
          <w:szCs w:val="22"/>
        </w:rPr>
        <w:t xml:space="preserve"> elektroenerģijas izmantošana transporta nozarē.</w:t>
      </w:r>
    </w:p>
    <w:p w14:paraId="6250B8E4" w14:textId="77777777" w:rsidR="00BF4556" w:rsidRPr="004A4196" w:rsidRDefault="00BF4556" w:rsidP="00BF4556">
      <w:pPr>
        <w:ind w:firstLine="720"/>
        <w:rPr>
          <w:rFonts w:eastAsia="Calibri"/>
          <w:szCs w:val="22"/>
        </w:rPr>
      </w:pPr>
      <w:r w:rsidRPr="004A4196">
        <w:rPr>
          <w:rFonts w:eastAsia="Calibri"/>
          <w:szCs w:val="22"/>
        </w:rPr>
        <w:t xml:space="preserve">Vairumtirdzniecības </w:t>
      </w:r>
      <w:r>
        <w:rPr>
          <w:rFonts w:eastAsia="Calibri"/>
          <w:szCs w:val="22"/>
        </w:rPr>
        <w:t xml:space="preserve">nozares </w:t>
      </w:r>
      <w:r w:rsidRPr="004A4196">
        <w:rPr>
          <w:rFonts w:eastAsia="Calibri"/>
          <w:szCs w:val="22"/>
        </w:rPr>
        <w:t xml:space="preserve">pievienotā vērtība pērn </w:t>
      </w:r>
      <w:r>
        <w:rPr>
          <w:rFonts w:eastAsia="Calibri"/>
          <w:szCs w:val="22"/>
        </w:rPr>
        <w:t xml:space="preserve">samazinājās par </w:t>
      </w:r>
      <w:r w:rsidRPr="004A4196">
        <w:rPr>
          <w:rFonts w:eastAsia="Calibri"/>
          <w:szCs w:val="22"/>
        </w:rPr>
        <w:t xml:space="preserve">3%, taču šā gada pirmajā pusgadā </w:t>
      </w:r>
      <w:r>
        <w:rPr>
          <w:rFonts w:eastAsia="Calibri"/>
          <w:szCs w:val="22"/>
        </w:rPr>
        <w:t xml:space="preserve">pieauga par </w:t>
      </w:r>
      <w:r w:rsidRPr="004A4196">
        <w:rPr>
          <w:rFonts w:eastAsia="Calibri"/>
          <w:szCs w:val="22"/>
        </w:rPr>
        <w:t>10%, īpaši augstu pieaugumu sasniedzot otrajā ceturksnī. Šā gada pirmajā pusgadā starp vairumtirdzniecības kategorijām lielāk</w:t>
      </w:r>
      <w:r>
        <w:rPr>
          <w:rFonts w:eastAsia="Calibri"/>
          <w:szCs w:val="22"/>
        </w:rPr>
        <w:t>ie</w:t>
      </w:r>
      <w:r w:rsidRPr="004A4196">
        <w:rPr>
          <w:rFonts w:eastAsia="Calibri"/>
          <w:szCs w:val="22"/>
        </w:rPr>
        <w:t xml:space="preserve"> pieaugum</w:t>
      </w:r>
      <w:r>
        <w:rPr>
          <w:rFonts w:eastAsia="Calibri"/>
          <w:szCs w:val="22"/>
        </w:rPr>
        <w:t xml:space="preserve">i bija </w:t>
      </w:r>
      <w:r w:rsidRPr="004A4196">
        <w:rPr>
          <w:rFonts w:eastAsia="Calibri"/>
          <w:szCs w:val="22"/>
        </w:rPr>
        <w:t>mašīnu, iekārtu un to piederumu, kā arī lauksaimniecības izejvielu un dzīvu lopu pozīcij</w:t>
      </w:r>
      <w:r>
        <w:rPr>
          <w:rFonts w:eastAsia="Calibri"/>
          <w:szCs w:val="22"/>
        </w:rPr>
        <w:t>ā</w:t>
      </w:r>
      <w:r w:rsidRPr="004A4196">
        <w:rPr>
          <w:rFonts w:eastAsia="Calibri"/>
          <w:szCs w:val="22"/>
        </w:rPr>
        <w:t>s, kuras 2020</w:t>
      </w:r>
      <w:r>
        <w:rPr>
          <w:rFonts w:eastAsia="Calibri"/>
          <w:szCs w:val="22"/>
        </w:rPr>
        <w:t>. gad</w:t>
      </w:r>
      <w:r w:rsidRPr="004A4196">
        <w:rPr>
          <w:rFonts w:eastAsia="Calibri"/>
          <w:szCs w:val="22"/>
        </w:rPr>
        <w:t xml:space="preserve">a pirmajā pusgadā attiecīgi piedzīvoja lielākos samazinājumus. Pandēmiskajai situācijai </w:t>
      </w:r>
      <w:r w:rsidRPr="004A4196">
        <w:rPr>
          <w:rFonts w:eastAsia="Calibri"/>
          <w:szCs w:val="22"/>
        </w:rPr>
        <w:lastRenderedPageBreak/>
        <w:t>uzlabojoties, pieaugusi arī mājsaimniec</w:t>
      </w:r>
      <w:r>
        <w:rPr>
          <w:rFonts w:eastAsia="Calibri"/>
          <w:szCs w:val="22"/>
        </w:rPr>
        <w:t>ības preču vairumtirdzniecība. Palielinājusies</w:t>
      </w:r>
      <w:r w:rsidRPr="004A4196">
        <w:rPr>
          <w:rFonts w:eastAsia="Calibri"/>
          <w:szCs w:val="22"/>
        </w:rPr>
        <w:t xml:space="preserve"> arī vairumtirdzniecība uz līguma pamata vai par atlīdzību.</w:t>
      </w:r>
    </w:p>
    <w:p w14:paraId="4DD1FA43" w14:textId="77777777" w:rsidR="00BF4556" w:rsidRPr="004A4196" w:rsidRDefault="00BF4556" w:rsidP="00BF4556">
      <w:pPr>
        <w:ind w:firstLine="720"/>
        <w:rPr>
          <w:rFonts w:eastAsia="Calibri"/>
          <w:szCs w:val="22"/>
        </w:rPr>
      </w:pPr>
      <w:r w:rsidRPr="004A4196">
        <w:rPr>
          <w:rFonts w:eastAsia="Calibri"/>
          <w:szCs w:val="22"/>
        </w:rPr>
        <w:t>Saskaņā ar Latvijas Bankas apkopotajiem datiem, mājsaimniecību finanšu noguldījumi</w:t>
      </w:r>
      <w:r>
        <w:rPr>
          <w:rFonts w:eastAsia="Calibri"/>
          <w:szCs w:val="22"/>
        </w:rPr>
        <w:t xml:space="preserve"> komercbankās</w:t>
      </w:r>
      <w:r w:rsidRPr="004A4196">
        <w:rPr>
          <w:rFonts w:eastAsia="Calibri"/>
          <w:szCs w:val="22"/>
        </w:rPr>
        <w:t xml:space="preserve"> jūlija beigās bijuši par 17,7% augstāki kā pērn</w:t>
      </w:r>
      <w:r>
        <w:rPr>
          <w:rFonts w:eastAsia="Calibri"/>
          <w:szCs w:val="22"/>
        </w:rPr>
        <w:t xml:space="preserve"> jūlija beigās</w:t>
      </w:r>
      <w:r w:rsidRPr="004A4196">
        <w:rPr>
          <w:rFonts w:eastAsia="Calibri"/>
          <w:szCs w:val="22"/>
        </w:rPr>
        <w:t xml:space="preserve">, tostarp noguldījumi uz nakti auguši </w:t>
      </w:r>
      <w:r>
        <w:rPr>
          <w:rFonts w:eastAsia="Calibri"/>
          <w:szCs w:val="22"/>
        </w:rPr>
        <w:t>šajā periodā</w:t>
      </w:r>
      <w:r w:rsidRPr="004A4196">
        <w:rPr>
          <w:rFonts w:eastAsia="Calibri"/>
          <w:szCs w:val="22"/>
        </w:rPr>
        <w:t xml:space="preserve"> par 23,3%, kas liecina par pozitīvām tendencēm vidējās Latvijas mājsaimniecības finansiālajā situācijā. </w:t>
      </w:r>
    </w:p>
    <w:p w14:paraId="0B7ACAB6" w14:textId="77777777" w:rsidR="00BF4556" w:rsidRPr="004A4196" w:rsidRDefault="00BF4556" w:rsidP="00BF4556">
      <w:pPr>
        <w:ind w:firstLine="720"/>
        <w:rPr>
          <w:rFonts w:eastAsia="Calibri"/>
          <w:szCs w:val="22"/>
        </w:rPr>
      </w:pPr>
      <w:r w:rsidRPr="004A4196">
        <w:rPr>
          <w:rFonts w:eastAsia="Calibri"/>
          <w:szCs w:val="22"/>
        </w:rPr>
        <w:t>Mazumtirgotāju un patērētāju ekonomiskā sentimenta rādītāji, sākot ar šā gada aprīli</w:t>
      </w:r>
      <w:r>
        <w:rPr>
          <w:rFonts w:eastAsia="Calibri"/>
          <w:szCs w:val="22"/>
        </w:rPr>
        <w:t>,</w:t>
      </w:r>
      <w:r w:rsidRPr="004A4196">
        <w:rPr>
          <w:rFonts w:eastAsia="Calibri"/>
          <w:szCs w:val="22"/>
        </w:rPr>
        <w:t xml:space="preserve"> sasnieguši </w:t>
      </w:r>
      <w:proofErr w:type="spellStart"/>
      <w:r w:rsidRPr="004A4196">
        <w:rPr>
          <w:rFonts w:eastAsia="Calibri"/>
          <w:szCs w:val="22"/>
        </w:rPr>
        <w:t>pirmspandēmijas</w:t>
      </w:r>
      <w:proofErr w:type="spellEnd"/>
      <w:r w:rsidRPr="004A4196">
        <w:rPr>
          <w:rFonts w:eastAsia="Calibri"/>
          <w:szCs w:val="22"/>
        </w:rPr>
        <w:t xml:space="preserve"> līmeni, taču </w:t>
      </w:r>
      <w:r>
        <w:rPr>
          <w:rFonts w:eastAsia="Calibri"/>
          <w:szCs w:val="22"/>
        </w:rPr>
        <w:t>jūlijā</w:t>
      </w:r>
      <w:r w:rsidRPr="004A4196">
        <w:rPr>
          <w:rFonts w:eastAsia="Calibri"/>
          <w:szCs w:val="22"/>
        </w:rPr>
        <w:t xml:space="preserve"> līdz ar pandēmiskās situācijas saasināšanos</w:t>
      </w:r>
      <w:r>
        <w:rPr>
          <w:rFonts w:eastAsia="Calibri"/>
          <w:szCs w:val="22"/>
        </w:rPr>
        <w:t xml:space="preserve"> </w:t>
      </w:r>
      <w:r w:rsidRPr="004A4196">
        <w:rPr>
          <w:rFonts w:eastAsia="Calibri"/>
          <w:szCs w:val="22"/>
        </w:rPr>
        <w:t>patērētāju noskaņojums atkal pasliktināj</w:t>
      </w:r>
      <w:r>
        <w:rPr>
          <w:rFonts w:eastAsia="Calibri"/>
          <w:szCs w:val="22"/>
        </w:rPr>
        <w:t>ies</w:t>
      </w:r>
      <w:r w:rsidRPr="004A4196">
        <w:rPr>
          <w:rFonts w:eastAsia="Calibri"/>
          <w:szCs w:val="22"/>
        </w:rPr>
        <w:t xml:space="preserve">. </w:t>
      </w:r>
      <w:r w:rsidRPr="009C1B24">
        <w:rPr>
          <w:rFonts w:eastAsia="Calibri"/>
          <w:color w:val="000000" w:themeColor="text1"/>
          <w:szCs w:val="22"/>
        </w:rPr>
        <w:t xml:space="preserve">Nav sagaidāms, ka turpmāko situāciju tirdzniecības nozarē būtiski ietekmēs pandēmiskās situācijas pasliktināšanās, taču bažas raisa straujais </w:t>
      </w:r>
      <w:r>
        <w:rPr>
          <w:rFonts w:eastAsia="Calibri"/>
          <w:color w:val="000000" w:themeColor="text1"/>
          <w:szCs w:val="22"/>
        </w:rPr>
        <w:t xml:space="preserve">izejvielu </w:t>
      </w:r>
      <w:r w:rsidRPr="009C1B24">
        <w:rPr>
          <w:rFonts w:eastAsia="Calibri"/>
          <w:color w:val="000000" w:themeColor="text1"/>
          <w:szCs w:val="22"/>
        </w:rPr>
        <w:t>cenu kāpums, kas rada nelabvēlīgu vidi rūpniekiem.</w:t>
      </w:r>
    </w:p>
    <w:p w14:paraId="00BF70F4" w14:textId="77777777" w:rsidR="00BF4556" w:rsidRPr="005D16AB" w:rsidRDefault="00BF4556" w:rsidP="006F2CDA">
      <w:pPr>
        <w:spacing w:before="240" w:after="240"/>
        <w:ind w:firstLine="0"/>
        <w:jc w:val="center"/>
        <w:rPr>
          <w:rFonts w:eastAsia="Calibri"/>
          <w:b/>
        </w:rPr>
      </w:pPr>
      <w:r w:rsidRPr="005D16AB">
        <w:rPr>
          <w:rFonts w:eastAsia="Calibri"/>
          <w:b/>
        </w:rPr>
        <w:t>Transports</w:t>
      </w:r>
    </w:p>
    <w:p w14:paraId="4B5CE308" w14:textId="77777777" w:rsidR="00BF4556" w:rsidRPr="005D16AB" w:rsidRDefault="00BF4556" w:rsidP="00BF4556">
      <w:pPr>
        <w:ind w:firstLine="720"/>
        <w:rPr>
          <w:rFonts w:eastAsia="Calibri"/>
          <w:szCs w:val="22"/>
        </w:rPr>
      </w:pPr>
      <w:r w:rsidRPr="005D16AB">
        <w:rPr>
          <w:rFonts w:eastAsia="Calibri"/>
          <w:szCs w:val="22"/>
        </w:rPr>
        <w:t xml:space="preserve">Transporta nozare, kurai vēsturiski ir bijusi būtiska loma Latvijas ekonomikā, ņemot vērā tās augsto īpatsvaru kopējā pievienotajā vērtībā, </w:t>
      </w:r>
      <w:r>
        <w:rPr>
          <w:rFonts w:eastAsia="Calibri"/>
          <w:szCs w:val="22"/>
        </w:rPr>
        <w:t>Covid</w:t>
      </w:r>
      <w:r>
        <w:rPr>
          <w:rFonts w:eastAsia="Calibri"/>
          <w:szCs w:val="22"/>
        </w:rPr>
        <w:noBreakHyphen/>
        <w:t>19</w:t>
      </w:r>
      <w:r w:rsidRPr="005D16AB">
        <w:rPr>
          <w:rFonts w:eastAsia="Calibri"/>
          <w:szCs w:val="22"/>
        </w:rPr>
        <w:t xml:space="preserve"> krīzes laikā līdzās izmitināšanas un ēdināšanas nozarei bija viena no smagāk cietušajām tautsaimniecības nozarēm. 2020</w:t>
      </w:r>
      <w:r>
        <w:rPr>
          <w:rFonts w:eastAsia="Calibri"/>
          <w:szCs w:val="22"/>
        </w:rPr>
        <w:t>. gad</w:t>
      </w:r>
      <w:r w:rsidRPr="005D16AB">
        <w:rPr>
          <w:rFonts w:eastAsia="Calibri"/>
          <w:szCs w:val="22"/>
        </w:rPr>
        <w:t>ā kopējās pievienotās vērtības apjoms transporta nozarē samazinājās par 14,9%, un nozares īpatsvars kopējā pievienotajā vērtībā noslīdēja līdz 8,2%, salīdzinot ar 9,3% iepriekšējā gadā.</w:t>
      </w:r>
    </w:p>
    <w:p w14:paraId="457E920F" w14:textId="77777777" w:rsidR="00BF4556" w:rsidRPr="005D16AB" w:rsidRDefault="00BF4556" w:rsidP="00BF4556">
      <w:pPr>
        <w:ind w:firstLine="720"/>
        <w:rPr>
          <w:rFonts w:eastAsia="Calibri"/>
          <w:szCs w:val="22"/>
        </w:rPr>
      </w:pPr>
      <w:r>
        <w:rPr>
          <w:rFonts w:eastAsia="Calibri"/>
          <w:szCs w:val="22"/>
        </w:rPr>
        <w:t>Covid</w:t>
      </w:r>
      <w:r>
        <w:rPr>
          <w:rFonts w:eastAsia="Calibri"/>
          <w:szCs w:val="22"/>
        </w:rPr>
        <w:noBreakHyphen/>
        <w:t>19</w:t>
      </w:r>
      <w:r w:rsidRPr="005D16AB">
        <w:rPr>
          <w:rFonts w:eastAsia="Calibri"/>
          <w:szCs w:val="22"/>
        </w:rPr>
        <w:t xml:space="preserve"> izplatības samazināšanai laikā no pagājušā gada marta līdz jūnijam bija apturēti starptautiskie pasažieru pārvadājumi, un arī pēc satiksmes daļējas atjaunošanas pārvadājumu apjomi 2020</w:t>
      </w:r>
      <w:r>
        <w:rPr>
          <w:rFonts w:eastAsia="Calibri"/>
          <w:szCs w:val="22"/>
        </w:rPr>
        <w:t>. gad</w:t>
      </w:r>
      <w:r w:rsidRPr="005D16AB">
        <w:rPr>
          <w:rFonts w:eastAsia="Calibri"/>
          <w:szCs w:val="22"/>
        </w:rPr>
        <w:t xml:space="preserve">ā saglabājās ļoti zemi. Nozares darbību vēl papildus negatīvi ietekmēja Krievijas kravu tranzīta krasais samazinājums caur Latvijas ostām, kopējam kravu apjomam Latvijas ostās samazinoties par 28,0%, bet kravu pārvadājumu apjomam dzelzceļā krītoties par 42,0%. </w:t>
      </w:r>
    </w:p>
    <w:p w14:paraId="23B61AD3" w14:textId="77777777" w:rsidR="00BF4556" w:rsidRPr="005D16AB" w:rsidRDefault="00BF4556" w:rsidP="00BF4556">
      <w:pPr>
        <w:spacing w:after="0"/>
        <w:rPr>
          <w:rFonts w:eastAsia="Calibri"/>
          <w:szCs w:val="22"/>
        </w:rPr>
      </w:pPr>
      <w:r w:rsidRPr="005D16AB">
        <w:rPr>
          <w:rFonts w:eastAsia="Calibri"/>
          <w:szCs w:val="22"/>
        </w:rPr>
        <w:t>Pandēmijas ierobežojumu dēļ pasažieru skaits lidostā Rīga 2020</w:t>
      </w:r>
      <w:r>
        <w:rPr>
          <w:rFonts w:eastAsia="Calibri"/>
          <w:szCs w:val="22"/>
        </w:rPr>
        <w:t>. gad</w:t>
      </w:r>
      <w:r w:rsidRPr="005D16AB">
        <w:rPr>
          <w:rFonts w:eastAsia="Calibri"/>
          <w:szCs w:val="22"/>
        </w:rPr>
        <w:t>ā veidoja tikai ceturto daļu no 2019</w:t>
      </w:r>
      <w:r>
        <w:rPr>
          <w:rFonts w:eastAsia="Calibri"/>
          <w:szCs w:val="22"/>
        </w:rPr>
        <w:t>. gad</w:t>
      </w:r>
      <w:r w:rsidRPr="005D16AB">
        <w:rPr>
          <w:rFonts w:eastAsia="Calibri"/>
          <w:szCs w:val="22"/>
        </w:rPr>
        <w:t xml:space="preserve">a līmeņa, samazinoties no 7,8 miljoniem līdz 2,0 miljoniem jeb par 74,2%, prāmju pasažieru skaits Latvijas ostās kritās par 56,5%, bet pasažieru skaits sauszemes transportā saruka par 36,4%. Arī kravu apgrozība autopārvadājumos </w:t>
      </w:r>
      <w:r>
        <w:rPr>
          <w:rFonts w:eastAsia="Calibri"/>
          <w:szCs w:val="22"/>
        </w:rPr>
        <w:t>Covid</w:t>
      </w:r>
      <w:r>
        <w:rPr>
          <w:rFonts w:eastAsia="Calibri"/>
          <w:szCs w:val="22"/>
        </w:rPr>
        <w:noBreakHyphen/>
        <w:t>19</w:t>
      </w:r>
      <w:r w:rsidRPr="005D16AB">
        <w:rPr>
          <w:rFonts w:eastAsia="Calibri"/>
          <w:szCs w:val="22"/>
        </w:rPr>
        <w:t xml:space="preserve"> ietekmē pagājušajā gadā samazinājās par 8,4%.</w:t>
      </w:r>
    </w:p>
    <w:p w14:paraId="1C2FCE2C" w14:textId="77777777" w:rsidR="00BF4556" w:rsidRPr="005D16AB" w:rsidRDefault="00BF4556" w:rsidP="00BF4556">
      <w:pPr>
        <w:ind w:firstLine="720"/>
        <w:rPr>
          <w:rFonts w:eastAsia="Calibri"/>
          <w:szCs w:val="22"/>
        </w:rPr>
      </w:pPr>
      <w:r w:rsidRPr="005D16AB">
        <w:rPr>
          <w:rFonts w:eastAsia="Calibri"/>
          <w:szCs w:val="22"/>
        </w:rPr>
        <w:t>2021</w:t>
      </w:r>
      <w:r>
        <w:rPr>
          <w:rFonts w:eastAsia="Calibri"/>
          <w:szCs w:val="22"/>
        </w:rPr>
        <w:t>. gad</w:t>
      </w:r>
      <w:r w:rsidRPr="005D16AB">
        <w:rPr>
          <w:rFonts w:eastAsia="Calibri"/>
          <w:szCs w:val="22"/>
        </w:rPr>
        <w:t xml:space="preserve">a pirmajā pusē transporta nozari turpināja negatīvi ietekmēt </w:t>
      </w:r>
      <w:r>
        <w:rPr>
          <w:rFonts w:eastAsia="Calibri"/>
          <w:szCs w:val="22"/>
        </w:rPr>
        <w:t>Covid</w:t>
      </w:r>
      <w:r>
        <w:rPr>
          <w:rFonts w:eastAsia="Calibri"/>
          <w:szCs w:val="22"/>
        </w:rPr>
        <w:noBreakHyphen/>
        <w:t>19</w:t>
      </w:r>
      <w:r w:rsidRPr="005D16AB">
        <w:rPr>
          <w:rFonts w:eastAsia="Calibri"/>
          <w:szCs w:val="22"/>
        </w:rPr>
        <w:t xml:space="preserve"> izplatība un saslimstības mazināšanai noteiktie ierobežojumi. Pasažieru pārvadājumu apjomi joprojām saglabājās zemi, tālu atpaliekot no </w:t>
      </w:r>
      <w:proofErr w:type="spellStart"/>
      <w:r w:rsidRPr="005D16AB">
        <w:rPr>
          <w:rFonts w:eastAsia="Calibri"/>
          <w:szCs w:val="22"/>
        </w:rPr>
        <w:t>pirmskrīzes</w:t>
      </w:r>
      <w:proofErr w:type="spellEnd"/>
      <w:r w:rsidRPr="005D16AB">
        <w:rPr>
          <w:rFonts w:eastAsia="Calibri"/>
          <w:szCs w:val="22"/>
        </w:rPr>
        <w:t xml:space="preserve"> līmeņa, tomēr jau sāka pārsniegt 2020</w:t>
      </w:r>
      <w:r>
        <w:rPr>
          <w:rFonts w:eastAsia="Calibri"/>
          <w:szCs w:val="22"/>
        </w:rPr>
        <w:t>. gad</w:t>
      </w:r>
      <w:r w:rsidRPr="005D16AB">
        <w:rPr>
          <w:rFonts w:eastAsia="Calibri"/>
          <w:szCs w:val="22"/>
        </w:rPr>
        <w:t>a rekordzemos rādītājus. Savukārt kravu pārvadājumus turpināja negatīvi ietekmēt Krievijas kravu tranzīta tālāka samazināšanās caur Latvijas ostām, kas gan vairs nebija tik strauja kā 2020</w:t>
      </w:r>
      <w:r>
        <w:rPr>
          <w:rFonts w:eastAsia="Calibri"/>
          <w:szCs w:val="22"/>
        </w:rPr>
        <w:t>. gad</w:t>
      </w:r>
      <w:r w:rsidRPr="005D16AB">
        <w:rPr>
          <w:rFonts w:eastAsia="Calibri"/>
          <w:szCs w:val="22"/>
        </w:rPr>
        <w:t>ā. Nozares kopējā pievienotā vērtība 2021</w:t>
      </w:r>
      <w:r>
        <w:rPr>
          <w:rFonts w:eastAsia="Calibri"/>
          <w:szCs w:val="22"/>
        </w:rPr>
        <w:t>. gad</w:t>
      </w:r>
      <w:r w:rsidRPr="005D16AB">
        <w:rPr>
          <w:rFonts w:eastAsia="Calibri"/>
          <w:szCs w:val="22"/>
        </w:rPr>
        <w:t>a pirmajā pusē, salīdzinot ar 2020</w:t>
      </w:r>
      <w:r>
        <w:rPr>
          <w:rFonts w:eastAsia="Calibri"/>
          <w:szCs w:val="22"/>
        </w:rPr>
        <w:t>. gad</w:t>
      </w:r>
      <w:r w:rsidRPr="005D16AB">
        <w:rPr>
          <w:rFonts w:eastAsia="Calibri"/>
          <w:szCs w:val="22"/>
        </w:rPr>
        <w:t>a pirmo pusi, pieauga par 3,6%, bet joprojām bija par 12,3% mazāka nekā 2019</w:t>
      </w:r>
      <w:r>
        <w:rPr>
          <w:rFonts w:eastAsia="Calibri"/>
          <w:szCs w:val="22"/>
        </w:rPr>
        <w:t>. gad</w:t>
      </w:r>
      <w:r w:rsidRPr="005D16AB">
        <w:rPr>
          <w:rFonts w:eastAsia="Calibri"/>
          <w:szCs w:val="22"/>
        </w:rPr>
        <w:t>a pirmajā pusē.</w:t>
      </w:r>
    </w:p>
    <w:p w14:paraId="71052654" w14:textId="77777777" w:rsidR="00BF4556" w:rsidRPr="005D16AB" w:rsidRDefault="00BF4556" w:rsidP="00BF4556">
      <w:pPr>
        <w:ind w:firstLine="720"/>
        <w:rPr>
          <w:rFonts w:eastAsia="Calibri"/>
          <w:szCs w:val="22"/>
        </w:rPr>
      </w:pPr>
      <w:r w:rsidRPr="005D16AB">
        <w:rPr>
          <w:rFonts w:eastAsia="Calibri"/>
          <w:szCs w:val="22"/>
        </w:rPr>
        <w:t xml:space="preserve">Krievijai turpinot pārvirzīt naftas un ogļu kravas uz savām Baltijas jūras ostām, kravu apgrozījums </w:t>
      </w:r>
      <w:r w:rsidRPr="00095C58">
        <w:rPr>
          <w:rFonts w:eastAsia="Calibri"/>
          <w:szCs w:val="22"/>
        </w:rPr>
        <w:t>Latvijas ostās šā gada pirmajos astoņos mēnešos samazinājās par 10,7% līdz 26,5 milj. tonnu, bet kravu pārvadājumu apjoms dzelzceļā saruka par 14,8% līdz 13,2 milj. tonnu</w:t>
      </w:r>
      <w:r>
        <w:rPr>
          <w:rFonts w:eastAsia="Calibri"/>
          <w:szCs w:val="22"/>
        </w:rPr>
        <w:t xml:space="preserve"> (1.13</w:t>
      </w:r>
      <w:r w:rsidRPr="00095C58">
        <w:rPr>
          <w:rFonts w:eastAsia="Calibri"/>
          <w:szCs w:val="22"/>
        </w:rPr>
        <w:t>.</w:t>
      </w:r>
      <w:r>
        <w:rPr>
          <w:rFonts w:eastAsia="Calibri"/>
          <w:szCs w:val="22"/>
        </w:rPr>
        <w:t> </w:t>
      </w:r>
      <w:r w:rsidRPr="00095C58">
        <w:rPr>
          <w:rFonts w:eastAsia="Calibri"/>
          <w:szCs w:val="22"/>
        </w:rPr>
        <w:t>att</w:t>
      </w:r>
      <w:r>
        <w:rPr>
          <w:rFonts w:eastAsia="Calibri"/>
          <w:szCs w:val="22"/>
        </w:rPr>
        <w:t>ēls</w:t>
      </w:r>
      <w:r w:rsidRPr="00095C58">
        <w:rPr>
          <w:rFonts w:eastAsia="Calibri"/>
          <w:szCs w:val="22"/>
        </w:rPr>
        <w:t>).</w:t>
      </w:r>
      <w:r>
        <w:rPr>
          <w:rFonts w:eastAsia="Calibri"/>
          <w:szCs w:val="22"/>
        </w:rPr>
        <w:t xml:space="preserve"> </w:t>
      </w:r>
      <w:r w:rsidRPr="005D16AB">
        <w:rPr>
          <w:rFonts w:eastAsia="Calibri"/>
          <w:szCs w:val="22"/>
        </w:rPr>
        <w:t xml:space="preserve">Naftas produktu apjomi Latvijas ostās ir samazinājušies par 24,8%, bet ogļu tranzīts praktiski jau ir pārtraukts. Pa maģistrālo naftas produktu vadu </w:t>
      </w:r>
      <w:proofErr w:type="spellStart"/>
      <w:r w:rsidRPr="005D16AB">
        <w:rPr>
          <w:rFonts w:eastAsia="Calibri"/>
          <w:szCs w:val="22"/>
        </w:rPr>
        <w:t>Polocka</w:t>
      </w:r>
      <w:proofErr w:type="spellEnd"/>
      <w:r>
        <w:rPr>
          <w:rFonts w:eastAsia="Calibri"/>
          <w:szCs w:val="22"/>
        </w:rPr>
        <w:t>-</w:t>
      </w:r>
      <w:r w:rsidRPr="005D16AB">
        <w:rPr>
          <w:rFonts w:eastAsia="Calibri"/>
          <w:szCs w:val="22"/>
        </w:rPr>
        <w:t>Ventspils transportētais dīzeļdegvielas apjoms gada pirmajā pusē bijis par 40,3% mazāks nekā 2020</w:t>
      </w:r>
      <w:r>
        <w:rPr>
          <w:rFonts w:eastAsia="Calibri"/>
          <w:szCs w:val="22"/>
        </w:rPr>
        <w:t>. gad</w:t>
      </w:r>
      <w:r w:rsidRPr="005D16AB">
        <w:rPr>
          <w:rFonts w:eastAsia="Calibri"/>
          <w:szCs w:val="22"/>
        </w:rPr>
        <w:t>a pirmajā pusē un veidojis 0,5 milj. tonnu, tajā skaitā otrajā ceturksnī naftas produktu transportēšana praktiski bijusi pārtraukta, pārsūknējot tikai 800 tonnas.</w:t>
      </w:r>
    </w:p>
    <w:p w14:paraId="6D9C5521" w14:textId="77777777" w:rsidR="00BF4556" w:rsidRDefault="00BF4556" w:rsidP="00BF4556">
      <w:pPr>
        <w:ind w:firstLine="720"/>
        <w:rPr>
          <w:rFonts w:eastAsia="Calibri"/>
          <w:szCs w:val="22"/>
        </w:rPr>
      </w:pPr>
      <w:r w:rsidRPr="005D16AB">
        <w:rPr>
          <w:rFonts w:eastAsia="Calibri"/>
          <w:szCs w:val="22"/>
        </w:rPr>
        <w:t xml:space="preserve">Vienlaikus ar naftas produktu un ogļu tranzīta kritumu, pārējo kravu apgrozījums Latvijas ostās kopumā ir pieaudzis, salīdzinājumā ar pagājušā gada pirmajiem astoņiem mēnešiem palielinoties par 6,6%. Turpinoties strukturālām izmaiņām, naftas un ogļu kravas, </w:t>
      </w:r>
      <w:r w:rsidRPr="005D16AB">
        <w:rPr>
          <w:rFonts w:eastAsia="Calibri"/>
          <w:szCs w:val="22"/>
        </w:rPr>
        <w:lastRenderedPageBreak/>
        <w:t>kuru īpatsvars Latvijas ostās 2015</w:t>
      </w:r>
      <w:r>
        <w:rPr>
          <w:rFonts w:eastAsia="Calibri"/>
          <w:szCs w:val="22"/>
        </w:rPr>
        <w:t>. gad</w:t>
      </w:r>
      <w:r w:rsidRPr="005D16AB">
        <w:rPr>
          <w:rFonts w:eastAsia="Calibri"/>
          <w:szCs w:val="22"/>
        </w:rPr>
        <w:t>ā bija sasniedzis 65,5%, 2021</w:t>
      </w:r>
      <w:r>
        <w:rPr>
          <w:rFonts w:eastAsia="Calibri"/>
          <w:szCs w:val="22"/>
        </w:rPr>
        <w:t>. gad</w:t>
      </w:r>
      <w:r w:rsidRPr="005D16AB">
        <w:rPr>
          <w:rFonts w:eastAsia="Calibri"/>
          <w:szCs w:val="22"/>
        </w:rPr>
        <w:t>a astoņos mēnešos veidoja vairs tikai 22,7% no visām ostās pārkrautajām kravām.</w:t>
      </w:r>
    </w:p>
    <w:p w14:paraId="217AD37E" w14:textId="77777777" w:rsidR="00BF4556" w:rsidRPr="00BA6D93" w:rsidRDefault="00BF4556" w:rsidP="002443EE">
      <w:pPr>
        <w:keepNext/>
        <w:spacing w:after="0"/>
        <w:ind w:firstLine="0"/>
        <w:jc w:val="center"/>
        <w:rPr>
          <w:b/>
        </w:rPr>
      </w:pPr>
      <w:r w:rsidRPr="00316E58">
        <w:rPr>
          <w:b/>
          <w:i/>
        </w:rPr>
        <w:t>1.1</w:t>
      </w:r>
      <w:r>
        <w:rPr>
          <w:b/>
          <w:i/>
        </w:rPr>
        <w:t>3</w:t>
      </w:r>
      <w:r w:rsidRPr="00316E58">
        <w:rPr>
          <w:b/>
          <w:i/>
        </w:rPr>
        <w:t>. att</w:t>
      </w:r>
      <w:r>
        <w:rPr>
          <w:b/>
          <w:i/>
        </w:rPr>
        <w:t>ēls</w:t>
      </w:r>
      <w:r w:rsidRPr="00316E58">
        <w:rPr>
          <w:b/>
          <w:i/>
        </w:rPr>
        <w:t xml:space="preserve"> </w:t>
      </w:r>
      <w:r w:rsidRPr="00BA6D93">
        <w:rPr>
          <w:b/>
        </w:rPr>
        <w:t>Kravu apgrozījums Latvijas ostās un pārvadājumu apjoms dzelzceļā</w:t>
      </w:r>
    </w:p>
    <w:p w14:paraId="00105009" w14:textId="77777777" w:rsidR="00BF4556" w:rsidRPr="00BA6D93" w:rsidRDefault="00BF4556" w:rsidP="002443EE">
      <w:pPr>
        <w:keepNext/>
        <w:jc w:val="center"/>
        <w:rPr>
          <w:b/>
        </w:rPr>
      </w:pPr>
      <w:r w:rsidRPr="00BA6D93">
        <w:rPr>
          <w:b/>
        </w:rPr>
        <w:t xml:space="preserve"> (tūkst. tonnu), 2010.-2021</w:t>
      </w:r>
      <w:r>
        <w:rPr>
          <w:b/>
        </w:rPr>
        <w:t>. gad</w:t>
      </w:r>
      <w:r w:rsidRPr="00BA6D93">
        <w:rPr>
          <w:b/>
        </w:rPr>
        <w:t>a pirmajos astoņos mēnešos</w:t>
      </w:r>
    </w:p>
    <w:p w14:paraId="0CDB12C9" w14:textId="77777777" w:rsidR="00BF4556" w:rsidRPr="00306CFE" w:rsidRDefault="00BF4556" w:rsidP="002443EE">
      <w:pPr>
        <w:spacing w:after="0"/>
        <w:ind w:firstLine="0"/>
        <w:jc w:val="center"/>
        <w:rPr>
          <w:sz w:val="28"/>
          <w:szCs w:val="28"/>
        </w:rPr>
      </w:pPr>
      <w:r>
        <w:rPr>
          <w:noProof/>
          <w:lang w:eastAsia="lv-LV"/>
        </w:rPr>
        <w:drawing>
          <wp:inline distT="0" distB="0" distL="0" distR="0" wp14:anchorId="460A5E81" wp14:editId="3BC347E6">
            <wp:extent cx="5635953" cy="2748486"/>
            <wp:effectExtent l="0" t="0" r="3175" b="0"/>
            <wp:docPr id="38" name="Chart 38"/>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14:paraId="4B6C4E43" w14:textId="77777777" w:rsidR="00BF4556" w:rsidRPr="005D16AB" w:rsidRDefault="00BF4556" w:rsidP="00BF4556">
      <w:pPr>
        <w:spacing w:before="120"/>
        <w:ind w:firstLine="720"/>
        <w:rPr>
          <w:rFonts w:eastAsia="Calibri"/>
          <w:szCs w:val="22"/>
        </w:rPr>
      </w:pPr>
      <w:r w:rsidRPr="005D16AB">
        <w:rPr>
          <w:rFonts w:eastAsia="Calibri"/>
          <w:szCs w:val="22"/>
        </w:rPr>
        <w:t>Pretstatā dzelzceļa pārvadājumiem, kravu apgrozība autotransportā,  šā gada pirmajā pusē, atjaunojoties ekonomiskajai aktivitātei, par 17,8% pārsniegusi 2020</w:t>
      </w:r>
      <w:r>
        <w:rPr>
          <w:rFonts w:eastAsia="Calibri"/>
          <w:szCs w:val="22"/>
        </w:rPr>
        <w:t>. gad</w:t>
      </w:r>
      <w:r w:rsidRPr="005D16AB">
        <w:rPr>
          <w:rFonts w:eastAsia="Calibri"/>
          <w:szCs w:val="22"/>
        </w:rPr>
        <w:t>a līmeni un bijusi arī par 3,5% augstāka nekā 2019</w:t>
      </w:r>
      <w:r>
        <w:rPr>
          <w:rFonts w:eastAsia="Calibri"/>
          <w:szCs w:val="22"/>
        </w:rPr>
        <w:t>. gad</w:t>
      </w:r>
      <w:r w:rsidRPr="005D16AB">
        <w:rPr>
          <w:rFonts w:eastAsia="Calibri"/>
          <w:szCs w:val="22"/>
        </w:rPr>
        <w:t>ā. Gan Latvijā, gan starptautiskajā satiksmē kravu autopārvadājumu pieaugums bijis visai līdzīgs, kravu apgrozībai salīdzinājumā ar 2020</w:t>
      </w:r>
      <w:r>
        <w:rPr>
          <w:rFonts w:eastAsia="Calibri"/>
          <w:szCs w:val="22"/>
        </w:rPr>
        <w:t>. gad</w:t>
      </w:r>
      <w:r w:rsidRPr="005D16AB">
        <w:rPr>
          <w:rFonts w:eastAsia="Calibri"/>
          <w:szCs w:val="22"/>
        </w:rPr>
        <w:t>a pirmo pusi palielinoties attiecīgi par 14,7% Latvijā un 18,9% ārvalstīs.</w:t>
      </w:r>
    </w:p>
    <w:p w14:paraId="15032C0A" w14:textId="77777777" w:rsidR="00BF4556" w:rsidRDefault="00BF4556" w:rsidP="00BF4556">
      <w:pPr>
        <w:ind w:firstLine="720"/>
        <w:rPr>
          <w:rFonts w:eastAsia="Calibri"/>
          <w:szCs w:val="22"/>
        </w:rPr>
      </w:pPr>
      <w:r w:rsidRPr="005D16AB">
        <w:rPr>
          <w:rFonts w:eastAsia="Calibri"/>
          <w:szCs w:val="22"/>
        </w:rPr>
        <w:t xml:space="preserve">Saglabājoties </w:t>
      </w:r>
      <w:r>
        <w:rPr>
          <w:rFonts w:eastAsia="Calibri"/>
          <w:szCs w:val="22"/>
        </w:rPr>
        <w:t>Covid</w:t>
      </w:r>
      <w:r>
        <w:rPr>
          <w:rFonts w:eastAsia="Calibri"/>
          <w:szCs w:val="22"/>
        </w:rPr>
        <w:noBreakHyphen/>
        <w:t>19</w:t>
      </w:r>
      <w:r w:rsidRPr="005D16AB">
        <w:rPr>
          <w:rFonts w:eastAsia="Calibri"/>
          <w:szCs w:val="22"/>
        </w:rPr>
        <w:t xml:space="preserve"> ierobežojumiem, pasažieru skaits visos galvenajos transporta veidos 2021</w:t>
      </w:r>
      <w:r>
        <w:rPr>
          <w:rFonts w:eastAsia="Calibri"/>
          <w:szCs w:val="22"/>
        </w:rPr>
        <w:t>. gad</w:t>
      </w:r>
      <w:r w:rsidRPr="005D16AB">
        <w:rPr>
          <w:rFonts w:eastAsia="Calibri"/>
          <w:szCs w:val="22"/>
        </w:rPr>
        <w:t xml:space="preserve">a pirmajā pusē kopā bija mazāks nekā pirms gada, kad janvārī un februārī Latviju vēl nebija </w:t>
      </w:r>
      <w:proofErr w:type="spellStart"/>
      <w:r w:rsidRPr="005D16AB">
        <w:rPr>
          <w:rFonts w:eastAsia="Calibri"/>
          <w:szCs w:val="22"/>
        </w:rPr>
        <w:t>skār</w:t>
      </w:r>
      <w:r>
        <w:rPr>
          <w:rFonts w:eastAsia="Calibri"/>
          <w:szCs w:val="22"/>
        </w:rPr>
        <w:t>is</w:t>
      </w:r>
      <w:proofErr w:type="spellEnd"/>
      <w:r>
        <w:rPr>
          <w:rFonts w:eastAsia="Calibri"/>
          <w:szCs w:val="22"/>
        </w:rPr>
        <w:t xml:space="preserve"> slimības uzliesmojums (1.14</w:t>
      </w:r>
      <w:r w:rsidRPr="005D16AB">
        <w:rPr>
          <w:rFonts w:eastAsia="Calibri"/>
          <w:szCs w:val="22"/>
        </w:rPr>
        <w:t>. att</w:t>
      </w:r>
      <w:r>
        <w:rPr>
          <w:rFonts w:eastAsia="Calibri"/>
          <w:szCs w:val="22"/>
        </w:rPr>
        <w:t>ēls</w:t>
      </w:r>
      <w:r w:rsidRPr="005D16AB">
        <w:rPr>
          <w:rFonts w:eastAsia="Calibri"/>
          <w:szCs w:val="22"/>
        </w:rPr>
        <w:t>). Pasažieru skaits dzelzceļā kritās par 23,9%, autobusos – par 21,9%, tramvajos – par 25,1% un trolejbusos – par 21,3%. Lidostā Rīga apkalpoto pasažieru skaits bija par 69,3% mazāks nekā pirms gada un jūras ostās – par 51,7% mazāks nekā pirms gada.</w:t>
      </w:r>
    </w:p>
    <w:p w14:paraId="35BD38C6" w14:textId="77777777" w:rsidR="00BF4556" w:rsidRPr="00306CFE" w:rsidRDefault="00BF4556" w:rsidP="002443EE">
      <w:pPr>
        <w:keepNext/>
        <w:spacing w:before="120"/>
        <w:ind w:firstLine="0"/>
        <w:jc w:val="center"/>
        <w:rPr>
          <w:b/>
          <w:i/>
        </w:rPr>
      </w:pPr>
      <w:r>
        <w:rPr>
          <w:b/>
          <w:i/>
        </w:rPr>
        <w:t>1.14</w:t>
      </w:r>
      <w:r w:rsidRPr="00316E58">
        <w:rPr>
          <w:b/>
          <w:i/>
        </w:rPr>
        <w:t>. att</w:t>
      </w:r>
      <w:r>
        <w:rPr>
          <w:b/>
          <w:i/>
        </w:rPr>
        <w:t>ēls</w:t>
      </w:r>
      <w:r w:rsidRPr="00316E58">
        <w:rPr>
          <w:b/>
          <w:i/>
        </w:rPr>
        <w:t xml:space="preserve"> </w:t>
      </w:r>
      <w:r w:rsidRPr="00BA6D93">
        <w:rPr>
          <w:b/>
        </w:rPr>
        <w:t>Pasažieru skaita indekss galvenajos transporta veidos</w:t>
      </w:r>
      <w:r w:rsidRPr="00BA6D93">
        <w:rPr>
          <w:b/>
        </w:rPr>
        <w:br/>
        <w:t>(2010</w:t>
      </w:r>
      <w:r>
        <w:rPr>
          <w:b/>
        </w:rPr>
        <w:t>. gad</w:t>
      </w:r>
      <w:r w:rsidRPr="00BA6D93">
        <w:rPr>
          <w:b/>
        </w:rPr>
        <w:t>a 1.pusgads=1)</w:t>
      </w:r>
    </w:p>
    <w:p w14:paraId="3737E629" w14:textId="77777777" w:rsidR="00BF4556" w:rsidRPr="00306CFE" w:rsidRDefault="00BF4556" w:rsidP="002443EE">
      <w:pPr>
        <w:spacing w:after="0"/>
        <w:ind w:firstLine="0"/>
        <w:jc w:val="center"/>
        <w:rPr>
          <w:sz w:val="28"/>
          <w:szCs w:val="28"/>
        </w:rPr>
      </w:pPr>
      <w:r>
        <w:rPr>
          <w:noProof/>
          <w:lang w:eastAsia="lv-LV"/>
        </w:rPr>
        <w:drawing>
          <wp:inline distT="0" distB="0" distL="0" distR="0" wp14:anchorId="06B7523A" wp14:editId="126322F3">
            <wp:extent cx="5681345" cy="2801341"/>
            <wp:effectExtent l="0" t="0" r="0" b="0"/>
            <wp:docPr id="39" name="Chart 39"/>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14:paraId="768591C0" w14:textId="77777777" w:rsidR="00BF4556" w:rsidRPr="005D16AB" w:rsidRDefault="00BF4556" w:rsidP="00BF4556">
      <w:pPr>
        <w:spacing w:before="120"/>
        <w:ind w:firstLine="720"/>
        <w:rPr>
          <w:rFonts w:eastAsia="Calibri"/>
          <w:szCs w:val="22"/>
        </w:rPr>
      </w:pPr>
      <w:r w:rsidRPr="005D16AB">
        <w:rPr>
          <w:rFonts w:eastAsia="Calibri"/>
          <w:szCs w:val="22"/>
        </w:rPr>
        <w:lastRenderedPageBreak/>
        <w:t>Vienlaikus, 2021</w:t>
      </w:r>
      <w:r>
        <w:rPr>
          <w:rFonts w:eastAsia="Calibri"/>
          <w:szCs w:val="22"/>
        </w:rPr>
        <w:t>. gad</w:t>
      </w:r>
      <w:r w:rsidRPr="005D16AB">
        <w:rPr>
          <w:rFonts w:eastAsia="Calibri"/>
          <w:szCs w:val="22"/>
        </w:rPr>
        <w:t xml:space="preserve">ā pa mēnešiem, </w:t>
      </w:r>
      <w:r>
        <w:rPr>
          <w:rFonts w:eastAsia="Calibri"/>
          <w:szCs w:val="22"/>
        </w:rPr>
        <w:t>Covid</w:t>
      </w:r>
      <w:r>
        <w:rPr>
          <w:rFonts w:eastAsia="Calibri"/>
          <w:szCs w:val="22"/>
        </w:rPr>
        <w:noBreakHyphen/>
        <w:t>19</w:t>
      </w:r>
      <w:r w:rsidRPr="005D16AB">
        <w:rPr>
          <w:rFonts w:eastAsia="Calibri"/>
          <w:szCs w:val="22"/>
        </w:rPr>
        <w:t xml:space="preserve"> ierobežojumiem pakāpeniski mazinoties un atjaunojoties arī starptautiskajai satiksmei, pasažieru skaits arvien palielinājās, no aprīļa jau pārsniedzot 2020</w:t>
      </w:r>
      <w:r>
        <w:rPr>
          <w:rFonts w:eastAsia="Calibri"/>
          <w:szCs w:val="22"/>
        </w:rPr>
        <w:t>. gad</w:t>
      </w:r>
      <w:r w:rsidRPr="005D16AB">
        <w:rPr>
          <w:rFonts w:eastAsia="Calibri"/>
          <w:szCs w:val="22"/>
        </w:rPr>
        <w:t xml:space="preserve">a līmeni, bet joprojām ievērojami atpaliekot no </w:t>
      </w:r>
      <w:proofErr w:type="spellStart"/>
      <w:r w:rsidRPr="005D16AB">
        <w:rPr>
          <w:rFonts w:eastAsia="Calibri"/>
          <w:szCs w:val="22"/>
        </w:rPr>
        <w:t>pirmskrīzes</w:t>
      </w:r>
      <w:proofErr w:type="spellEnd"/>
      <w:r w:rsidRPr="005D16AB">
        <w:rPr>
          <w:rFonts w:eastAsia="Calibri"/>
          <w:szCs w:val="22"/>
        </w:rPr>
        <w:t xml:space="preserve"> līmeņa. 2021</w:t>
      </w:r>
      <w:r>
        <w:rPr>
          <w:rFonts w:eastAsia="Calibri"/>
          <w:szCs w:val="22"/>
        </w:rPr>
        <w:t>. gad</w:t>
      </w:r>
      <w:r w:rsidRPr="005D16AB">
        <w:rPr>
          <w:rFonts w:eastAsia="Calibri"/>
          <w:szCs w:val="22"/>
        </w:rPr>
        <w:t xml:space="preserve">a otrajā ceturksnī pasažieru skaits sauszemes transportā bija par 45,5% lielāks nekā attiecīgajā ceturksnī pirms gada, lidostā pagājušā gada līmenis bija pārsniegts par 22,6%, bet jūras ostās </w:t>
      </w:r>
      <w:r>
        <w:rPr>
          <w:rFonts w:eastAsia="Calibri"/>
          <w:szCs w:val="22"/>
        </w:rPr>
        <w:t>–</w:t>
      </w:r>
      <w:r w:rsidRPr="005D16AB">
        <w:rPr>
          <w:rFonts w:eastAsia="Calibri"/>
          <w:szCs w:val="22"/>
        </w:rPr>
        <w:t xml:space="preserve"> vairāk nekā četras reizes. </w:t>
      </w:r>
    </w:p>
    <w:p w14:paraId="7D35714D" w14:textId="77777777" w:rsidR="00BF4556" w:rsidRDefault="00BF4556" w:rsidP="00BF4556">
      <w:pPr>
        <w:ind w:firstLine="720"/>
        <w:rPr>
          <w:rFonts w:eastAsia="Calibri"/>
          <w:szCs w:val="22"/>
        </w:rPr>
      </w:pPr>
      <w:r w:rsidRPr="005D16AB">
        <w:rPr>
          <w:rFonts w:eastAsia="Calibri"/>
          <w:szCs w:val="22"/>
        </w:rPr>
        <w:t>Pārvadājumu pakāpenisko atjaunošanos raksturo lidostas Rīga dati, kur reisu skaits 2021</w:t>
      </w:r>
      <w:r>
        <w:rPr>
          <w:rFonts w:eastAsia="Calibri"/>
          <w:szCs w:val="22"/>
        </w:rPr>
        <w:t>. gad</w:t>
      </w:r>
      <w:r w:rsidRPr="005D16AB">
        <w:rPr>
          <w:rFonts w:eastAsia="Calibri"/>
          <w:szCs w:val="22"/>
        </w:rPr>
        <w:t>a laikā mēnesi no mēneša arvien audzis, taču vēl augustā bijis gandrīz uz pusi mazāks nekā pirms krīzes (1.1</w:t>
      </w:r>
      <w:r>
        <w:rPr>
          <w:rFonts w:eastAsia="Calibri"/>
          <w:szCs w:val="22"/>
        </w:rPr>
        <w:t>5</w:t>
      </w:r>
      <w:r w:rsidRPr="005D16AB">
        <w:rPr>
          <w:rFonts w:eastAsia="Calibri"/>
          <w:szCs w:val="22"/>
        </w:rPr>
        <w:t>. </w:t>
      </w:r>
      <w:r>
        <w:rPr>
          <w:rFonts w:eastAsia="Calibri"/>
          <w:szCs w:val="22"/>
        </w:rPr>
        <w:t>attēls</w:t>
      </w:r>
      <w:r w:rsidRPr="005D16AB">
        <w:rPr>
          <w:rFonts w:eastAsia="Calibri"/>
          <w:szCs w:val="22"/>
        </w:rPr>
        <w:t>).</w:t>
      </w:r>
    </w:p>
    <w:p w14:paraId="06488F3D" w14:textId="77777777" w:rsidR="00BF4556" w:rsidRPr="00306CFE" w:rsidRDefault="00BF4556" w:rsidP="002443EE">
      <w:pPr>
        <w:keepNext/>
        <w:ind w:firstLine="0"/>
        <w:jc w:val="center"/>
        <w:rPr>
          <w:b/>
          <w:i/>
        </w:rPr>
      </w:pPr>
      <w:r>
        <w:rPr>
          <w:b/>
          <w:i/>
        </w:rPr>
        <w:t>1.15</w:t>
      </w:r>
      <w:r w:rsidRPr="00316E58">
        <w:rPr>
          <w:b/>
          <w:i/>
        </w:rPr>
        <w:t>. </w:t>
      </w:r>
      <w:r>
        <w:rPr>
          <w:b/>
          <w:i/>
        </w:rPr>
        <w:t>attēls</w:t>
      </w:r>
      <w:r w:rsidRPr="00316E58">
        <w:rPr>
          <w:b/>
          <w:i/>
        </w:rPr>
        <w:t xml:space="preserve"> </w:t>
      </w:r>
      <w:r w:rsidRPr="00BA6D93">
        <w:rPr>
          <w:b/>
        </w:rPr>
        <w:t>Komerciālo reisu skaits lidostā Rīga 2020. un 2021</w:t>
      </w:r>
      <w:r>
        <w:rPr>
          <w:b/>
        </w:rPr>
        <w:t>. gad</w:t>
      </w:r>
      <w:r w:rsidRPr="00BA6D93">
        <w:rPr>
          <w:b/>
        </w:rPr>
        <w:t xml:space="preserve">ā pa mēnešiem, </w:t>
      </w:r>
      <w:proofErr w:type="spellStart"/>
      <w:r w:rsidRPr="002443EE">
        <w:rPr>
          <w:b/>
          <w:i/>
          <w:iCs/>
        </w:rPr>
        <w:t>Eurostat</w:t>
      </w:r>
      <w:proofErr w:type="spellEnd"/>
      <w:r w:rsidRPr="00BA6D93">
        <w:rPr>
          <w:b/>
        </w:rPr>
        <w:t>/</w:t>
      </w:r>
      <w:proofErr w:type="spellStart"/>
      <w:r w:rsidRPr="002443EE">
        <w:rPr>
          <w:b/>
          <w:i/>
          <w:iCs/>
        </w:rPr>
        <w:t>Eurocontrol</w:t>
      </w:r>
      <w:proofErr w:type="spellEnd"/>
      <w:r w:rsidRPr="00BA6D93">
        <w:rPr>
          <w:b/>
        </w:rPr>
        <w:t xml:space="preserve"> dati</w:t>
      </w:r>
    </w:p>
    <w:p w14:paraId="28ABB8CE" w14:textId="77777777" w:rsidR="00BF4556" w:rsidRDefault="00BF4556" w:rsidP="002443EE">
      <w:pPr>
        <w:spacing w:after="0"/>
        <w:ind w:firstLine="0"/>
        <w:jc w:val="center"/>
        <w:rPr>
          <w:sz w:val="28"/>
          <w:szCs w:val="28"/>
        </w:rPr>
      </w:pPr>
      <w:r w:rsidRPr="002750F7">
        <w:rPr>
          <w:noProof/>
          <w:lang w:eastAsia="lv-LV"/>
        </w:rPr>
        <w:drawing>
          <wp:inline distT="0" distB="0" distL="0" distR="0" wp14:anchorId="6A696055" wp14:editId="18131C79">
            <wp:extent cx="5607685" cy="2817198"/>
            <wp:effectExtent l="0" t="0" r="0" b="2540"/>
            <wp:docPr id="40" name="Chart 40"/>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14:paraId="5EDD7FAA" w14:textId="77777777" w:rsidR="00BF4556" w:rsidRPr="005D16AB" w:rsidRDefault="00BF4556" w:rsidP="002443EE">
      <w:pPr>
        <w:spacing w:before="240"/>
        <w:ind w:firstLine="720"/>
        <w:rPr>
          <w:rFonts w:eastAsia="Calibri"/>
          <w:szCs w:val="22"/>
        </w:rPr>
      </w:pPr>
      <w:r w:rsidRPr="005D16AB">
        <w:rPr>
          <w:rFonts w:eastAsia="Calibri"/>
          <w:szCs w:val="22"/>
        </w:rPr>
        <w:t>Arī gada tālākajos mēnešos, atsākoties arvien aktīvākai iedzīvotāju kustībai, pasažieru pārvadājumi turpinās pārsniegt pērnā gada līmeni, un augs arī kravu autopārvadājumu apjomi. Tādējādi arī visā 2021</w:t>
      </w:r>
      <w:r>
        <w:rPr>
          <w:rFonts w:eastAsia="Calibri"/>
          <w:szCs w:val="22"/>
        </w:rPr>
        <w:t>. gad</w:t>
      </w:r>
      <w:r w:rsidRPr="005D16AB">
        <w:rPr>
          <w:rFonts w:eastAsia="Calibri"/>
          <w:szCs w:val="22"/>
        </w:rPr>
        <w:t>ā kopā transporta nozare varētu uzrādīt nelielu pieaugumu salīdzinājumā ar 2020</w:t>
      </w:r>
      <w:r>
        <w:rPr>
          <w:rFonts w:eastAsia="Calibri"/>
          <w:szCs w:val="22"/>
        </w:rPr>
        <w:t>. gad</w:t>
      </w:r>
      <w:r w:rsidRPr="005D16AB">
        <w:rPr>
          <w:rFonts w:eastAsia="Calibri"/>
          <w:szCs w:val="22"/>
        </w:rPr>
        <w:t>u, tomēr vēl būtiski atpaliekot no 2019</w:t>
      </w:r>
      <w:r>
        <w:rPr>
          <w:rFonts w:eastAsia="Calibri"/>
          <w:szCs w:val="22"/>
        </w:rPr>
        <w:t>. gad</w:t>
      </w:r>
      <w:r w:rsidRPr="005D16AB">
        <w:rPr>
          <w:rFonts w:eastAsia="Calibri"/>
          <w:szCs w:val="22"/>
        </w:rPr>
        <w:t>a līmeņa. Arī 2022</w:t>
      </w:r>
      <w:r>
        <w:rPr>
          <w:rFonts w:eastAsia="Calibri"/>
          <w:szCs w:val="22"/>
        </w:rPr>
        <w:t>. gad</w:t>
      </w:r>
      <w:r w:rsidRPr="005D16AB">
        <w:rPr>
          <w:rFonts w:eastAsia="Calibri"/>
          <w:szCs w:val="22"/>
        </w:rPr>
        <w:t xml:space="preserve">ā nozares pievienotās vērtības apjomi transporta nozarē visticamāk vēl neatgriezīsies </w:t>
      </w:r>
      <w:proofErr w:type="spellStart"/>
      <w:r w:rsidRPr="005D16AB">
        <w:rPr>
          <w:rFonts w:eastAsia="Calibri"/>
          <w:szCs w:val="22"/>
        </w:rPr>
        <w:t>pirmskrīzes</w:t>
      </w:r>
      <w:proofErr w:type="spellEnd"/>
      <w:r w:rsidRPr="005D16AB">
        <w:rPr>
          <w:rFonts w:eastAsia="Calibri"/>
          <w:szCs w:val="22"/>
        </w:rPr>
        <w:t xml:space="preserve"> līmenī, ko noteiks mazāk</w:t>
      </w:r>
      <w:r>
        <w:rPr>
          <w:rFonts w:eastAsia="Calibri"/>
          <w:szCs w:val="22"/>
        </w:rPr>
        <w:t>i</w:t>
      </w:r>
      <w:r w:rsidRPr="005D16AB">
        <w:rPr>
          <w:rFonts w:eastAsia="Calibri"/>
          <w:szCs w:val="22"/>
        </w:rPr>
        <w:t xml:space="preserve"> pasažieru pārvadājumu apjomi un Krievijas kravu tranzīta daļas zaudēšana ostās un dzelzceļā.</w:t>
      </w:r>
    </w:p>
    <w:p w14:paraId="72778BE0" w14:textId="77777777" w:rsidR="00BF4556" w:rsidRDefault="00BF4556" w:rsidP="002443EE">
      <w:pPr>
        <w:spacing w:before="240" w:after="240"/>
        <w:ind w:firstLine="0"/>
        <w:jc w:val="center"/>
        <w:rPr>
          <w:rFonts w:eastAsia="Calibri"/>
          <w:b/>
        </w:rPr>
      </w:pPr>
      <w:r w:rsidRPr="003E7C97">
        <w:rPr>
          <w:rFonts w:eastAsia="Calibri"/>
          <w:b/>
        </w:rPr>
        <w:t>Būvniecība</w:t>
      </w:r>
    </w:p>
    <w:p w14:paraId="6F3DF886" w14:textId="77777777" w:rsidR="00BF4556" w:rsidRPr="008C1AFC" w:rsidRDefault="00BF4556" w:rsidP="00BF4556">
      <w:pPr>
        <w:ind w:firstLine="720"/>
        <w:rPr>
          <w:rFonts w:eastAsia="Calibri"/>
          <w:szCs w:val="22"/>
        </w:rPr>
      </w:pPr>
      <w:r>
        <w:rPr>
          <w:rFonts w:eastAsia="Calibri"/>
          <w:szCs w:val="22"/>
        </w:rPr>
        <w:t>Pandēmijas periodā, būvniecībai straujākais kritums bija šā gada pirmajā ceturksnī</w:t>
      </w:r>
      <w:r w:rsidRPr="00927B88">
        <w:rPr>
          <w:rFonts w:eastAsia="Calibri"/>
          <w:szCs w:val="22"/>
        </w:rPr>
        <w:t>,</w:t>
      </w:r>
      <w:r w:rsidRPr="008C1AFC">
        <w:rPr>
          <w:rFonts w:eastAsia="Calibri"/>
          <w:szCs w:val="22"/>
        </w:rPr>
        <w:t xml:space="preserve"> otrajā ceturksnī uzrādot līdzvērtīgus būvniecības apjomus kā pērn un 2019</w:t>
      </w:r>
      <w:r>
        <w:rPr>
          <w:rFonts w:eastAsia="Calibri"/>
          <w:szCs w:val="22"/>
        </w:rPr>
        <w:t>. gad</w:t>
      </w:r>
      <w:r w:rsidRPr="008C1AFC">
        <w:rPr>
          <w:rFonts w:eastAsia="Calibri"/>
          <w:szCs w:val="22"/>
        </w:rPr>
        <w:t>ā.</w:t>
      </w:r>
      <w:r>
        <w:rPr>
          <w:rFonts w:eastAsia="Calibri"/>
          <w:szCs w:val="22"/>
        </w:rPr>
        <w:t xml:space="preserve"> </w:t>
      </w:r>
      <w:r w:rsidRPr="008C1AFC">
        <w:rPr>
          <w:rFonts w:eastAsia="Calibri"/>
          <w:szCs w:val="22"/>
        </w:rPr>
        <w:t>Pērn, līdzīgi kā 2019</w:t>
      </w:r>
      <w:r>
        <w:rPr>
          <w:rFonts w:eastAsia="Calibri"/>
          <w:szCs w:val="22"/>
        </w:rPr>
        <w:t>. gad</w:t>
      </w:r>
      <w:r w:rsidRPr="008C1AFC">
        <w:rPr>
          <w:rFonts w:eastAsia="Calibri"/>
          <w:szCs w:val="22"/>
        </w:rPr>
        <w:t xml:space="preserve">ā, būvniecības nozare </w:t>
      </w:r>
      <w:r>
        <w:rPr>
          <w:rFonts w:eastAsia="Calibri"/>
          <w:szCs w:val="22"/>
        </w:rPr>
        <w:t xml:space="preserve">auga tikai par </w:t>
      </w:r>
      <w:r w:rsidRPr="008C1AFC">
        <w:rPr>
          <w:rFonts w:eastAsia="Calibri"/>
          <w:szCs w:val="22"/>
        </w:rPr>
        <w:t>2,7%, tajā pašā laikā nozarē nodarbināto skaits samazināj</w:t>
      </w:r>
      <w:r>
        <w:rPr>
          <w:rFonts w:eastAsia="Calibri"/>
          <w:szCs w:val="22"/>
        </w:rPr>
        <w:t>ā</w:t>
      </w:r>
      <w:r w:rsidRPr="008C1AFC">
        <w:rPr>
          <w:rFonts w:eastAsia="Calibri"/>
          <w:szCs w:val="22"/>
        </w:rPr>
        <w:t xml:space="preserve">s par 5,7%, nodarbinot 76,5 tūkstošus iedzīvotāju jeb 8,6% no visiem tautsaimniecībā </w:t>
      </w:r>
      <w:r>
        <w:rPr>
          <w:rFonts w:eastAsia="Calibri"/>
          <w:szCs w:val="22"/>
        </w:rPr>
        <w:t>strādājošajiem.</w:t>
      </w:r>
    </w:p>
    <w:p w14:paraId="3774191A" w14:textId="77777777" w:rsidR="00BF4556" w:rsidRPr="008C1AFC" w:rsidRDefault="00BF4556" w:rsidP="00BF4556">
      <w:pPr>
        <w:ind w:firstLine="720"/>
        <w:rPr>
          <w:rFonts w:eastAsia="Calibri"/>
          <w:szCs w:val="22"/>
        </w:rPr>
      </w:pPr>
      <w:r w:rsidRPr="008C1AFC">
        <w:rPr>
          <w:rFonts w:eastAsia="Calibri"/>
          <w:szCs w:val="22"/>
        </w:rPr>
        <w:t>2020</w:t>
      </w:r>
      <w:r>
        <w:rPr>
          <w:rFonts w:eastAsia="Calibri"/>
          <w:szCs w:val="22"/>
        </w:rPr>
        <w:t>. gad</w:t>
      </w:r>
      <w:r w:rsidRPr="008C1AFC">
        <w:rPr>
          <w:rFonts w:eastAsia="Calibri"/>
          <w:szCs w:val="22"/>
        </w:rPr>
        <w:t xml:space="preserve">ā </w:t>
      </w:r>
      <w:r>
        <w:rPr>
          <w:rFonts w:eastAsia="Calibri"/>
          <w:szCs w:val="22"/>
        </w:rPr>
        <w:t xml:space="preserve">būvniecības nozares </w:t>
      </w:r>
      <w:r w:rsidRPr="008C1AFC">
        <w:rPr>
          <w:rFonts w:eastAsia="Calibri"/>
          <w:szCs w:val="22"/>
        </w:rPr>
        <w:t xml:space="preserve">pieaugumu nodrošināja speciālo būvdarbu kāpums par 8%, ēku būvniecībā saglabājoties nelielam pieaugumam 0,9% apmērā, </w:t>
      </w:r>
      <w:r>
        <w:rPr>
          <w:rFonts w:eastAsia="Calibri"/>
          <w:szCs w:val="22"/>
        </w:rPr>
        <w:t xml:space="preserve">kamēr </w:t>
      </w:r>
      <w:proofErr w:type="spellStart"/>
      <w:r w:rsidRPr="008C1AFC">
        <w:rPr>
          <w:rFonts w:eastAsia="Calibri"/>
          <w:szCs w:val="22"/>
        </w:rPr>
        <w:t>inženierbūvniecībā</w:t>
      </w:r>
      <w:proofErr w:type="spellEnd"/>
      <w:r w:rsidRPr="008C1AFC">
        <w:rPr>
          <w:rFonts w:eastAsia="Calibri"/>
          <w:szCs w:val="22"/>
        </w:rPr>
        <w:t xml:space="preserve"> reģistrēts kritums 1,5% apmērā.</w:t>
      </w:r>
      <w:r>
        <w:rPr>
          <w:rFonts w:eastAsia="Calibri"/>
          <w:szCs w:val="22"/>
        </w:rPr>
        <w:t xml:space="preserve"> </w:t>
      </w:r>
      <w:r w:rsidRPr="008C1AFC">
        <w:rPr>
          <w:rFonts w:eastAsia="Calibri"/>
          <w:szCs w:val="22"/>
        </w:rPr>
        <w:t xml:space="preserve">Savukārt šā gada pirmajā pusgadā piedzīvots būvniecības </w:t>
      </w:r>
      <w:r>
        <w:rPr>
          <w:rFonts w:eastAsia="Calibri"/>
          <w:szCs w:val="22"/>
        </w:rPr>
        <w:t>apjomu samazinājums 4,7</w:t>
      </w:r>
      <w:r w:rsidRPr="008C1AFC">
        <w:rPr>
          <w:rFonts w:eastAsia="Calibri"/>
          <w:szCs w:val="22"/>
        </w:rPr>
        <w:t xml:space="preserve">% apmērā </w:t>
      </w:r>
      <w:r>
        <w:rPr>
          <w:rFonts w:eastAsia="Calibri"/>
          <w:szCs w:val="22"/>
        </w:rPr>
        <w:t>salīdzināmās cenās</w:t>
      </w:r>
      <w:r w:rsidRPr="008C1AFC">
        <w:rPr>
          <w:rFonts w:eastAsia="Calibri"/>
          <w:szCs w:val="22"/>
        </w:rPr>
        <w:t>, pirmajā cet</w:t>
      </w:r>
      <w:r>
        <w:rPr>
          <w:rFonts w:eastAsia="Calibri"/>
          <w:szCs w:val="22"/>
        </w:rPr>
        <w:t>urksnī apjomiem sarūkot par 12,3</w:t>
      </w:r>
      <w:r w:rsidRPr="008C1AFC">
        <w:rPr>
          <w:rFonts w:eastAsia="Calibri"/>
          <w:szCs w:val="22"/>
        </w:rPr>
        <w:t>%, bet otrajā ceturksnī pieaugot par 1</w:t>
      </w:r>
      <w:r>
        <w:rPr>
          <w:rFonts w:eastAsia="Calibri"/>
          <w:szCs w:val="22"/>
        </w:rPr>
        <w:t>,0</w:t>
      </w:r>
      <w:r w:rsidRPr="008C1AFC">
        <w:rPr>
          <w:rFonts w:eastAsia="Calibri"/>
          <w:szCs w:val="22"/>
        </w:rPr>
        <w:t xml:space="preserve">%. </w:t>
      </w:r>
    </w:p>
    <w:p w14:paraId="7BF3CDFD" w14:textId="77777777" w:rsidR="00BF4556" w:rsidRPr="008C1AFC" w:rsidRDefault="00BF4556" w:rsidP="00BF4556">
      <w:pPr>
        <w:ind w:firstLine="720"/>
        <w:rPr>
          <w:rFonts w:eastAsia="Calibri"/>
          <w:szCs w:val="22"/>
        </w:rPr>
      </w:pPr>
      <w:r w:rsidRPr="008C1AFC">
        <w:rPr>
          <w:rFonts w:eastAsia="Calibri"/>
          <w:szCs w:val="22"/>
        </w:rPr>
        <w:lastRenderedPageBreak/>
        <w:t xml:space="preserve">Kraso </w:t>
      </w:r>
      <w:r>
        <w:rPr>
          <w:rFonts w:eastAsia="Calibri"/>
          <w:szCs w:val="22"/>
        </w:rPr>
        <w:t xml:space="preserve">2021.gada </w:t>
      </w:r>
      <w:r w:rsidRPr="008C1AFC">
        <w:rPr>
          <w:rFonts w:eastAsia="Calibri"/>
          <w:szCs w:val="22"/>
        </w:rPr>
        <w:t>pirmā ceturkšņa samazinājumu izraisīja gan nelabvēlīgie laikapstākļi būvniecībai, Latvijai piedzīvojot bargāko ziemu pēdējo gadu laikā, gan arī ierobežojum</w:t>
      </w:r>
      <w:r>
        <w:rPr>
          <w:rFonts w:eastAsia="Calibri"/>
          <w:szCs w:val="22"/>
        </w:rPr>
        <w:t>i</w:t>
      </w:r>
      <w:r w:rsidRPr="008C1AFC">
        <w:rPr>
          <w:rFonts w:eastAsia="Calibri"/>
          <w:szCs w:val="22"/>
        </w:rPr>
        <w:t xml:space="preserve"> pandēmijas mazināšanai būvniecības preču veikalos janvārī un februārī. Pirmā ceturkšņa samazinājumu visvairāk ietekmēja ēku būvniecības apjomu sarukums par 16,7%, spēcīgu samazinājumu fiksējot nedzīvojamo ēku būvniecībā, ko ietekmēja pandēmiskās situācijas izraisītā rūpnieku un tirgotāju darbības apjomu sabremzēšanās, tādējādi samazinoties vajadzībai pēc uzņēmumu paplašināšanas un jaunu ēku būvniecības. Savukārt otrajā ceturksnī, mazinoties ierobežojumiem, strauji auga ēku nojaukšanas, būvlaukumu sagatavošanas un būvdarbu pabeigšanas darbi.</w:t>
      </w:r>
    </w:p>
    <w:p w14:paraId="5332510E" w14:textId="77777777" w:rsidR="00BF4556" w:rsidRPr="00840CE8" w:rsidRDefault="00BF4556" w:rsidP="00BF4556">
      <w:pPr>
        <w:ind w:firstLine="720"/>
        <w:rPr>
          <w:rFonts w:eastAsia="Calibri"/>
          <w:szCs w:val="22"/>
        </w:rPr>
      </w:pPr>
      <w:r w:rsidRPr="00840CE8">
        <w:rPr>
          <w:rFonts w:eastAsia="Calibri"/>
          <w:szCs w:val="22"/>
        </w:rPr>
        <w:t xml:space="preserve"> </w:t>
      </w:r>
      <w:r>
        <w:rPr>
          <w:rFonts w:eastAsia="Calibri"/>
          <w:szCs w:val="22"/>
        </w:rPr>
        <w:t>B</w:t>
      </w:r>
      <w:r w:rsidRPr="00840CE8">
        <w:rPr>
          <w:rFonts w:eastAsia="Calibri"/>
          <w:szCs w:val="22"/>
        </w:rPr>
        <w:t xml:space="preserve">ūvniecības </w:t>
      </w:r>
      <w:r>
        <w:rPr>
          <w:rFonts w:eastAsia="Calibri"/>
          <w:szCs w:val="22"/>
        </w:rPr>
        <w:t xml:space="preserve">nozares </w:t>
      </w:r>
      <w:r w:rsidRPr="00840CE8">
        <w:rPr>
          <w:rFonts w:eastAsia="Calibri"/>
          <w:szCs w:val="22"/>
        </w:rPr>
        <w:t xml:space="preserve">struktūrā (1.16. attēls) </w:t>
      </w:r>
      <w:r>
        <w:rPr>
          <w:rFonts w:eastAsia="Calibri"/>
          <w:szCs w:val="22"/>
        </w:rPr>
        <w:t xml:space="preserve">2020. gadā </w:t>
      </w:r>
      <w:r w:rsidRPr="00840CE8">
        <w:rPr>
          <w:rFonts w:eastAsia="Calibri"/>
          <w:szCs w:val="22"/>
        </w:rPr>
        <w:t xml:space="preserve">neliels samazinājums </w:t>
      </w:r>
      <w:r>
        <w:rPr>
          <w:rFonts w:eastAsia="Calibri"/>
          <w:szCs w:val="22"/>
        </w:rPr>
        <w:t xml:space="preserve">bijis </w:t>
      </w:r>
      <w:proofErr w:type="spellStart"/>
      <w:r w:rsidRPr="00840CE8">
        <w:rPr>
          <w:rFonts w:eastAsia="Calibri"/>
          <w:szCs w:val="22"/>
        </w:rPr>
        <w:t>inženi</w:t>
      </w:r>
      <w:r>
        <w:rPr>
          <w:rFonts w:eastAsia="Calibri"/>
          <w:szCs w:val="22"/>
        </w:rPr>
        <w:t>erbūvniecībai</w:t>
      </w:r>
      <w:proofErr w:type="spellEnd"/>
      <w:r>
        <w:rPr>
          <w:rFonts w:eastAsia="Calibri"/>
          <w:szCs w:val="22"/>
        </w:rPr>
        <w:t>, tās īpatsvaram kopējā būvniecības produkcijas apjomā pazeminoties</w:t>
      </w:r>
      <w:r w:rsidRPr="00840CE8">
        <w:rPr>
          <w:rFonts w:eastAsia="Calibri"/>
          <w:szCs w:val="22"/>
        </w:rPr>
        <w:t xml:space="preserve"> līdz </w:t>
      </w:r>
      <w:r>
        <w:rPr>
          <w:rFonts w:eastAsia="Calibri"/>
          <w:szCs w:val="22"/>
        </w:rPr>
        <w:t xml:space="preserve">32%. Pēdējo gadu laikā </w:t>
      </w:r>
      <w:proofErr w:type="spellStart"/>
      <w:r>
        <w:rPr>
          <w:rFonts w:eastAsia="Calibri"/>
          <w:szCs w:val="22"/>
        </w:rPr>
        <w:t>inženierbūvniecības</w:t>
      </w:r>
      <w:proofErr w:type="spellEnd"/>
      <w:r>
        <w:rPr>
          <w:rFonts w:eastAsia="Calibri"/>
          <w:szCs w:val="22"/>
        </w:rPr>
        <w:t xml:space="preserve"> īpatsvars būvniecības nozarē ir pastāvīgi samazinājies, noslīdot no 39% 2015. gadā. T</w:t>
      </w:r>
      <w:r w:rsidRPr="00840CE8">
        <w:rPr>
          <w:rFonts w:eastAsia="Calibri"/>
          <w:szCs w:val="22"/>
        </w:rPr>
        <w:t>ajā pašā laikā ik gadu pieaug ēku būv</w:t>
      </w:r>
      <w:r>
        <w:rPr>
          <w:rFonts w:eastAsia="Calibri"/>
          <w:szCs w:val="22"/>
        </w:rPr>
        <w:t xml:space="preserve">niecības daļa kopējā struktūrā, no </w:t>
      </w:r>
      <w:r w:rsidRPr="00840CE8">
        <w:rPr>
          <w:rFonts w:eastAsia="Calibri"/>
          <w:szCs w:val="22"/>
        </w:rPr>
        <w:t>29%</w:t>
      </w:r>
      <w:r>
        <w:rPr>
          <w:rFonts w:eastAsia="Calibri"/>
          <w:szCs w:val="22"/>
        </w:rPr>
        <w:t xml:space="preserve"> 2015. gadā palielinoties līdz 36% 2020. gadā, savukārt specializēto būvdarbu īpatsvars pēdējo gadu laikā bijis samērā stabils. Šā gada pirmajā pusē būvniecības nozares struktūrā par diviem</w:t>
      </w:r>
      <w:r w:rsidRPr="00840CE8">
        <w:rPr>
          <w:rFonts w:eastAsia="Calibri"/>
          <w:szCs w:val="22"/>
        </w:rPr>
        <w:t xml:space="preserve"> procentpunktiem pieauga</w:t>
      </w:r>
      <w:r>
        <w:rPr>
          <w:rFonts w:eastAsia="Calibri"/>
          <w:szCs w:val="22"/>
        </w:rPr>
        <w:t xml:space="preserve"> specializēto būvdarbu īpatsvars</w:t>
      </w:r>
      <w:r w:rsidRPr="00840CE8">
        <w:rPr>
          <w:rFonts w:eastAsia="Calibri"/>
          <w:szCs w:val="22"/>
        </w:rPr>
        <w:t>, kas skaidrojams gan ar būvdarbu pabeigšanas pieaugumu, otrajā ceturksnī mazinoties ierobežojumiem, gan ar elektroinstalāciju un cauruļvadu ievil</w:t>
      </w:r>
      <w:r>
        <w:rPr>
          <w:rFonts w:eastAsia="Calibri"/>
          <w:szCs w:val="22"/>
        </w:rPr>
        <w:t xml:space="preserve">kšanas darbu pieaugumu, savukārt </w:t>
      </w:r>
      <w:proofErr w:type="spellStart"/>
      <w:r>
        <w:rPr>
          <w:rFonts w:eastAsia="Calibri"/>
          <w:szCs w:val="22"/>
        </w:rPr>
        <w:t>inženierbūvniecības</w:t>
      </w:r>
      <w:proofErr w:type="spellEnd"/>
      <w:r>
        <w:rPr>
          <w:rFonts w:eastAsia="Calibri"/>
          <w:szCs w:val="22"/>
        </w:rPr>
        <w:t xml:space="preserve"> darbu īpatsvars turpināja samazināties.</w:t>
      </w:r>
    </w:p>
    <w:p w14:paraId="4C5C6086" w14:textId="77777777" w:rsidR="00BF4556" w:rsidRPr="00817F84" w:rsidRDefault="00BF4556" w:rsidP="002443EE">
      <w:pPr>
        <w:keepNext/>
        <w:ind w:firstLine="0"/>
        <w:jc w:val="center"/>
        <w:rPr>
          <w:b/>
        </w:rPr>
      </w:pPr>
      <w:r w:rsidRPr="00103B48">
        <w:rPr>
          <w:b/>
          <w:i/>
        </w:rPr>
        <w:t>1.1</w:t>
      </w:r>
      <w:r>
        <w:rPr>
          <w:b/>
          <w:i/>
        </w:rPr>
        <w:t>6</w:t>
      </w:r>
      <w:r w:rsidRPr="00103B48">
        <w:rPr>
          <w:b/>
          <w:i/>
        </w:rPr>
        <w:t xml:space="preserve">. </w:t>
      </w:r>
      <w:r>
        <w:rPr>
          <w:b/>
          <w:i/>
        </w:rPr>
        <w:t>attēls</w:t>
      </w:r>
      <w:r w:rsidRPr="00103B48">
        <w:rPr>
          <w:b/>
          <w:i/>
        </w:rPr>
        <w:t xml:space="preserve"> </w:t>
      </w:r>
      <w:r w:rsidRPr="00BA6D93">
        <w:rPr>
          <w:b/>
        </w:rPr>
        <w:t xml:space="preserve">Būvniecības nozares izlaides apjoms </w:t>
      </w:r>
      <w:r w:rsidRPr="00BA6D93">
        <w:rPr>
          <w:b/>
          <w:color w:val="000000" w:themeColor="text1"/>
        </w:rPr>
        <w:t xml:space="preserve">pa celtniecības darbu veidiem </w:t>
      </w:r>
      <w:r w:rsidRPr="00BA6D93">
        <w:rPr>
          <w:b/>
        </w:rPr>
        <w:t>faktiskajās cenās pa ceturkšņiem</w:t>
      </w:r>
      <w:r>
        <w:rPr>
          <w:b/>
        </w:rPr>
        <w:t xml:space="preserve"> (</w:t>
      </w:r>
      <w:r w:rsidRPr="00BA6D93">
        <w:rPr>
          <w:b/>
        </w:rPr>
        <w:t xml:space="preserve">milj. </w:t>
      </w:r>
      <w:proofErr w:type="spellStart"/>
      <w:r w:rsidRPr="00BA6D93">
        <w:rPr>
          <w:b/>
          <w:i/>
        </w:rPr>
        <w:t>euro</w:t>
      </w:r>
      <w:proofErr w:type="spellEnd"/>
      <w:r>
        <w:rPr>
          <w:b/>
        </w:rPr>
        <w:t>)</w:t>
      </w:r>
    </w:p>
    <w:p w14:paraId="0EEFD7BD" w14:textId="77777777" w:rsidR="00BF4556" w:rsidRPr="00103B48" w:rsidRDefault="00BF4556" w:rsidP="002443EE">
      <w:pPr>
        <w:ind w:firstLine="0"/>
        <w:jc w:val="center"/>
        <w:rPr>
          <w:rFonts w:asciiTheme="minorHAnsi" w:hAnsiTheme="minorHAnsi" w:cstheme="minorBidi"/>
          <w:sz w:val="22"/>
          <w:szCs w:val="22"/>
        </w:rPr>
      </w:pPr>
      <w:r w:rsidRPr="00103B48">
        <w:rPr>
          <w:rFonts w:asciiTheme="minorHAnsi" w:hAnsiTheme="minorHAnsi" w:cstheme="minorBidi"/>
          <w:noProof/>
          <w:sz w:val="22"/>
          <w:szCs w:val="22"/>
          <w:lang w:eastAsia="lv-LV"/>
        </w:rPr>
        <w:drawing>
          <wp:inline distT="0" distB="0" distL="0" distR="0" wp14:anchorId="3942D7C8" wp14:editId="1A77E8A7">
            <wp:extent cx="5380355" cy="2838340"/>
            <wp:effectExtent l="0" t="0" r="0" b="635"/>
            <wp:docPr id="19" name="Chart 19">
              <a:extLst xmlns:a="http://schemas.openxmlformats.org/drawingml/2006/main">
                <a:ext uri="{FF2B5EF4-FFF2-40B4-BE49-F238E27FC236}">
                  <a16:creationId xmlns:a16="http://schemas.microsoft.com/office/drawing/2014/main" id="{00000000-0008-0000-01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14:paraId="22342615" w14:textId="77777777" w:rsidR="00BF4556" w:rsidRDefault="00BF4556" w:rsidP="00466645">
      <w:pPr>
        <w:spacing w:before="240"/>
        <w:ind w:firstLine="720"/>
        <w:rPr>
          <w:rFonts w:eastAsia="Calibri"/>
          <w:szCs w:val="22"/>
        </w:rPr>
      </w:pPr>
      <w:r w:rsidRPr="009865A4">
        <w:rPr>
          <w:rFonts w:eastAsia="Calibri"/>
          <w:szCs w:val="22"/>
        </w:rPr>
        <w:t>Dzīvojamo māju cenas pēc 9% pieauguma 2018. un 2019</w:t>
      </w:r>
      <w:r>
        <w:rPr>
          <w:rFonts w:eastAsia="Calibri"/>
          <w:szCs w:val="22"/>
        </w:rPr>
        <w:t>. gad</w:t>
      </w:r>
      <w:r w:rsidRPr="009865A4">
        <w:rPr>
          <w:rFonts w:eastAsia="Calibri"/>
          <w:szCs w:val="22"/>
        </w:rPr>
        <w:t>ā, 2020</w:t>
      </w:r>
      <w:r>
        <w:rPr>
          <w:rFonts w:eastAsia="Calibri"/>
          <w:szCs w:val="22"/>
        </w:rPr>
        <w:t>. gad</w:t>
      </w:r>
      <w:r w:rsidRPr="009865A4">
        <w:rPr>
          <w:rFonts w:eastAsia="Calibri"/>
          <w:szCs w:val="22"/>
        </w:rPr>
        <w:t xml:space="preserve">ā </w:t>
      </w:r>
      <w:r>
        <w:rPr>
          <w:rFonts w:eastAsia="Calibri"/>
          <w:szCs w:val="22"/>
        </w:rPr>
        <w:t xml:space="preserve">pieauga </w:t>
      </w:r>
      <w:r w:rsidRPr="009865A4">
        <w:rPr>
          <w:rFonts w:eastAsia="Calibri"/>
          <w:szCs w:val="22"/>
        </w:rPr>
        <w:t xml:space="preserve">vien </w:t>
      </w:r>
      <w:r>
        <w:rPr>
          <w:rFonts w:eastAsia="Calibri"/>
          <w:szCs w:val="22"/>
        </w:rPr>
        <w:t xml:space="preserve">par </w:t>
      </w:r>
      <w:r w:rsidRPr="009865A4">
        <w:rPr>
          <w:rFonts w:eastAsia="Calibri"/>
          <w:szCs w:val="22"/>
        </w:rPr>
        <w:t>3,5%, par 7,7% p</w:t>
      </w:r>
      <w:r>
        <w:rPr>
          <w:rFonts w:eastAsia="Calibri"/>
          <w:szCs w:val="22"/>
        </w:rPr>
        <w:t>alielinoties</w:t>
      </w:r>
      <w:r w:rsidRPr="009865A4">
        <w:rPr>
          <w:rFonts w:eastAsia="Calibri"/>
          <w:szCs w:val="22"/>
        </w:rPr>
        <w:t xml:space="preserve"> jaunu mājokļu un par </w:t>
      </w:r>
      <w:r>
        <w:rPr>
          <w:rFonts w:eastAsia="Calibri"/>
          <w:szCs w:val="22"/>
        </w:rPr>
        <w:t>2,5% lietotu mājokļu cenām (1.17</w:t>
      </w:r>
      <w:r w:rsidRPr="009865A4">
        <w:rPr>
          <w:rFonts w:eastAsia="Calibri"/>
          <w:szCs w:val="22"/>
        </w:rPr>
        <w:t>.</w:t>
      </w:r>
      <w:r>
        <w:rPr>
          <w:rFonts w:eastAsia="Calibri"/>
          <w:szCs w:val="22"/>
        </w:rPr>
        <w:t> </w:t>
      </w:r>
      <w:r w:rsidRPr="009865A4">
        <w:rPr>
          <w:rFonts w:eastAsia="Calibri"/>
          <w:szCs w:val="22"/>
        </w:rPr>
        <w:t>att</w:t>
      </w:r>
      <w:r>
        <w:rPr>
          <w:rFonts w:eastAsia="Calibri"/>
          <w:szCs w:val="22"/>
        </w:rPr>
        <w:t>ēls</w:t>
      </w:r>
      <w:r w:rsidRPr="009865A4">
        <w:rPr>
          <w:rFonts w:eastAsia="Calibri"/>
          <w:szCs w:val="22"/>
        </w:rPr>
        <w:t xml:space="preserve">). Cenu pieauguma tempa samazināšanās </w:t>
      </w:r>
      <w:r>
        <w:rPr>
          <w:rFonts w:eastAsia="Calibri"/>
          <w:szCs w:val="22"/>
        </w:rPr>
        <w:t xml:space="preserve">bija saistīta gan </w:t>
      </w:r>
      <w:r w:rsidRPr="009865A4">
        <w:rPr>
          <w:rFonts w:eastAsia="Calibri"/>
          <w:szCs w:val="22"/>
        </w:rPr>
        <w:t xml:space="preserve">ar finansiālās situācijas pasliktināšanos </w:t>
      </w:r>
      <w:r>
        <w:rPr>
          <w:rFonts w:eastAsia="Calibri"/>
          <w:szCs w:val="22"/>
        </w:rPr>
        <w:t>krīzes skarto nozaru darbiniekiem</w:t>
      </w:r>
      <w:r w:rsidRPr="009865A4">
        <w:rPr>
          <w:rFonts w:eastAsia="Calibri"/>
          <w:szCs w:val="22"/>
        </w:rPr>
        <w:t xml:space="preserve">, </w:t>
      </w:r>
      <w:r>
        <w:rPr>
          <w:rFonts w:eastAsia="Calibri"/>
          <w:szCs w:val="22"/>
        </w:rPr>
        <w:t xml:space="preserve">gan vispārējo nenoteiktību un neziņu </w:t>
      </w:r>
      <w:r w:rsidRPr="009865A4">
        <w:rPr>
          <w:rFonts w:eastAsia="Calibri"/>
          <w:szCs w:val="22"/>
        </w:rPr>
        <w:t xml:space="preserve">par </w:t>
      </w:r>
      <w:r>
        <w:rPr>
          <w:rFonts w:eastAsia="Calibri"/>
          <w:szCs w:val="22"/>
        </w:rPr>
        <w:t xml:space="preserve">situācijas </w:t>
      </w:r>
      <w:r w:rsidRPr="009865A4">
        <w:rPr>
          <w:rFonts w:eastAsia="Calibri"/>
          <w:szCs w:val="22"/>
        </w:rPr>
        <w:t xml:space="preserve">turpmāko </w:t>
      </w:r>
      <w:r>
        <w:rPr>
          <w:rFonts w:eastAsia="Calibri"/>
          <w:szCs w:val="22"/>
        </w:rPr>
        <w:t>attīstību</w:t>
      </w:r>
      <w:r w:rsidRPr="009865A4">
        <w:rPr>
          <w:rFonts w:eastAsia="Calibri"/>
          <w:szCs w:val="22"/>
        </w:rPr>
        <w:t xml:space="preserve">, </w:t>
      </w:r>
      <w:r>
        <w:rPr>
          <w:rFonts w:eastAsia="Calibri"/>
          <w:szCs w:val="22"/>
        </w:rPr>
        <w:t>tādējādi</w:t>
      </w:r>
      <w:r w:rsidRPr="009865A4">
        <w:rPr>
          <w:rFonts w:eastAsia="Calibri"/>
          <w:szCs w:val="22"/>
        </w:rPr>
        <w:t xml:space="preserve"> mazinoties pieprasījumam pēc mājokļa iegādes. </w:t>
      </w:r>
      <w:r>
        <w:rPr>
          <w:rFonts w:eastAsia="Calibri"/>
          <w:szCs w:val="22"/>
        </w:rPr>
        <w:t>Šā gada</w:t>
      </w:r>
      <w:r w:rsidRPr="009865A4">
        <w:rPr>
          <w:rFonts w:eastAsia="Calibri"/>
          <w:szCs w:val="22"/>
        </w:rPr>
        <w:t xml:space="preserve"> pirmajā ceturksnī cenu pieauguma tempi </w:t>
      </w:r>
      <w:r>
        <w:rPr>
          <w:rFonts w:eastAsia="Calibri"/>
          <w:szCs w:val="22"/>
        </w:rPr>
        <w:t xml:space="preserve">vēl </w:t>
      </w:r>
      <w:r w:rsidRPr="009865A4">
        <w:rPr>
          <w:rFonts w:eastAsia="Calibri"/>
          <w:szCs w:val="22"/>
        </w:rPr>
        <w:t xml:space="preserve">saglabājās zemi, </w:t>
      </w:r>
      <w:r>
        <w:rPr>
          <w:rFonts w:eastAsia="Calibri"/>
          <w:szCs w:val="22"/>
        </w:rPr>
        <w:t>bet</w:t>
      </w:r>
      <w:r w:rsidRPr="009865A4">
        <w:rPr>
          <w:rFonts w:eastAsia="Calibri"/>
          <w:szCs w:val="22"/>
        </w:rPr>
        <w:t xml:space="preserve"> otrajā ceturksnī, </w:t>
      </w:r>
      <w:r>
        <w:rPr>
          <w:rFonts w:eastAsia="Calibri"/>
          <w:szCs w:val="22"/>
        </w:rPr>
        <w:t>epidemioloģiskajai</w:t>
      </w:r>
      <w:r w:rsidRPr="009865A4">
        <w:rPr>
          <w:rFonts w:eastAsia="Calibri"/>
          <w:szCs w:val="22"/>
        </w:rPr>
        <w:t xml:space="preserve"> situācijai uzlabojoties, fiksēts</w:t>
      </w:r>
      <w:r>
        <w:rPr>
          <w:rFonts w:eastAsia="Calibri"/>
          <w:szCs w:val="22"/>
        </w:rPr>
        <w:t xml:space="preserve"> jau</w:t>
      </w:r>
      <w:r w:rsidRPr="009865A4">
        <w:rPr>
          <w:rFonts w:eastAsia="Calibri"/>
          <w:szCs w:val="22"/>
        </w:rPr>
        <w:t xml:space="preserve"> 12,4% pieaugums, krasi pieaugot lietoto mājokļu cenām. Tādējādi šā gada pirmajā pusgadā mājokļu cenas </w:t>
      </w:r>
      <w:r>
        <w:rPr>
          <w:rFonts w:eastAsia="Calibri"/>
          <w:szCs w:val="22"/>
        </w:rPr>
        <w:t xml:space="preserve">ir </w:t>
      </w:r>
      <w:r w:rsidRPr="009865A4">
        <w:rPr>
          <w:rFonts w:eastAsia="Calibri"/>
          <w:szCs w:val="22"/>
        </w:rPr>
        <w:t>augušas par 7,6%, pateicoties lietotu mājokļu cenu kāpumam par 10,2%,</w:t>
      </w:r>
      <w:r>
        <w:rPr>
          <w:rFonts w:eastAsia="Calibri"/>
          <w:szCs w:val="22"/>
        </w:rPr>
        <w:t xml:space="preserve"> bet</w:t>
      </w:r>
      <w:r w:rsidRPr="009865A4">
        <w:rPr>
          <w:rFonts w:eastAsia="Calibri"/>
          <w:szCs w:val="22"/>
        </w:rPr>
        <w:t xml:space="preserve"> jaunu mājokļu cenām saglabājoties pērnā gada līmenī.</w:t>
      </w:r>
    </w:p>
    <w:p w14:paraId="45A5C4DA" w14:textId="77777777" w:rsidR="00BF4556" w:rsidRPr="00103B48" w:rsidRDefault="00BF4556" w:rsidP="002443EE">
      <w:pPr>
        <w:keepNext/>
        <w:spacing w:before="120"/>
        <w:ind w:firstLine="0"/>
        <w:jc w:val="center"/>
        <w:rPr>
          <w:b/>
          <w:i/>
        </w:rPr>
      </w:pPr>
      <w:r>
        <w:rPr>
          <w:b/>
          <w:i/>
        </w:rPr>
        <w:lastRenderedPageBreak/>
        <w:t>1.17</w:t>
      </w:r>
      <w:r w:rsidRPr="00103B48">
        <w:rPr>
          <w:b/>
          <w:i/>
        </w:rPr>
        <w:t xml:space="preserve">. </w:t>
      </w:r>
      <w:r>
        <w:rPr>
          <w:b/>
          <w:i/>
        </w:rPr>
        <w:t>attēls</w:t>
      </w:r>
      <w:r w:rsidRPr="00103B48">
        <w:rPr>
          <w:b/>
          <w:i/>
        </w:rPr>
        <w:t xml:space="preserve"> </w:t>
      </w:r>
      <w:r w:rsidRPr="00B843DC">
        <w:rPr>
          <w:b/>
        </w:rPr>
        <w:t>Mājokļu cenu pārmaiņas pret iepriekšējā gada attiecīgo ceturksni</w:t>
      </w:r>
      <w:r>
        <w:rPr>
          <w:b/>
        </w:rPr>
        <w:t xml:space="preserve"> (</w:t>
      </w:r>
      <w:r w:rsidRPr="00B843DC">
        <w:rPr>
          <w:b/>
        </w:rPr>
        <w:t>%</w:t>
      </w:r>
      <w:r>
        <w:rPr>
          <w:b/>
        </w:rPr>
        <w:t>)</w:t>
      </w:r>
    </w:p>
    <w:p w14:paraId="037DB524" w14:textId="77777777" w:rsidR="00BF4556" w:rsidRPr="00103B48" w:rsidRDefault="00BF4556" w:rsidP="002443EE">
      <w:pPr>
        <w:ind w:firstLine="0"/>
        <w:jc w:val="center"/>
        <w:rPr>
          <w:rFonts w:asciiTheme="minorHAnsi" w:hAnsiTheme="minorHAnsi" w:cstheme="minorBidi"/>
          <w:sz w:val="22"/>
          <w:szCs w:val="22"/>
        </w:rPr>
      </w:pPr>
      <w:r w:rsidRPr="00103B48">
        <w:rPr>
          <w:rFonts w:asciiTheme="minorHAnsi" w:hAnsiTheme="minorHAnsi" w:cstheme="minorBidi"/>
          <w:noProof/>
          <w:sz w:val="22"/>
          <w:szCs w:val="22"/>
          <w:lang w:eastAsia="lv-LV"/>
        </w:rPr>
        <w:drawing>
          <wp:inline distT="0" distB="0" distL="0" distR="0" wp14:anchorId="0C7A4E07" wp14:editId="0DE83FE2">
            <wp:extent cx="5610225" cy="2241073"/>
            <wp:effectExtent l="0" t="0" r="0" b="6985"/>
            <wp:docPr id="20" name="Chart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14:paraId="089AE6AC" w14:textId="77777777" w:rsidR="00BF4556" w:rsidRDefault="00BF4556" w:rsidP="00BF4556">
      <w:pPr>
        <w:ind w:firstLine="720"/>
        <w:rPr>
          <w:rFonts w:eastAsia="Calibri"/>
          <w:szCs w:val="22"/>
        </w:rPr>
      </w:pPr>
      <w:r w:rsidRPr="00C464C2">
        <w:rPr>
          <w:rFonts w:eastAsia="Calibri"/>
          <w:szCs w:val="22"/>
        </w:rPr>
        <w:t>Šā gada pirmajā pus</w:t>
      </w:r>
      <w:r>
        <w:rPr>
          <w:rFonts w:eastAsia="Calibri"/>
          <w:szCs w:val="22"/>
        </w:rPr>
        <w:t>ē</w:t>
      </w:r>
      <w:r w:rsidRPr="00883B8E">
        <w:rPr>
          <w:rFonts w:eastAsia="Calibri"/>
          <w:szCs w:val="22"/>
        </w:rPr>
        <w:t xml:space="preserve"> </w:t>
      </w:r>
      <w:r>
        <w:rPr>
          <w:rFonts w:eastAsia="Calibri"/>
          <w:szCs w:val="22"/>
        </w:rPr>
        <w:t xml:space="preserve">strauji pieauga būvniecības izmaksas. Tās </w:t>
      </w:r>
      <w:r w:rsidRPr="00C464C2">
        <w:rPr>
          <w:rFonts w:eastAsia="Calibri"/>
          <w:szCs w:val="22"/>
        </w:rPr>
        <w:t xml:space="preserve">sastāv no būvmateriālu izmaksām, strādnieku darba algas, kā arī mašīnu un iekārtu uzturēšanas izmaksām. Pērn </w:t>
      </w:r>
      <w:r>
        <w:rPr>
          <w:rFonts w:eastAsia="Calibri"/>
          <w:szCs w:val="22"/>
        </w:rPr>
        <w:t xml:space="preserve">kopējās </w:t>
      </w:r>
      <w:r w:rsidRPr="00C464C2">
        <w:rPr>
          <w:rFonts w:eastAsia="Calibri"/>
          <w:szCs w:val="22"/>
        </w:rPr>
        <w:t xml:space="preserve">izmaksas augušas vien par 1,4%, ko izraisīja darba samaksas pieaugums par 7%, pārējās </w:t>
      </w:r>
      <w:r w:rsidRPr="002F5EEE">
        <w:rPr>
          <w:rFonts w:eastAsia="Calibri"/>
          <w:szCs w:val="22"/>
        </w:rPr>
        <w:t xml:space="preserve">komponentēs izmaksām gandrīz nemainoties (1.18. attēls). </w:t>
      </w:r>
      <w:r>
        <w:rPr>
          <w:rFonts w:eastAsia="Calibri"/>
          <w:szCs w:val="22"/>
        </w:rPr>
        <w:t>Zems izmaksu pieaugums (+1,3%) saglabājās arī 2021. gada pirmajā ceturksnī, t</w:t>
      </w:r>
      <w:r w:rsidRPr="002F5EEE">
        <w:rPr>
          <w:rFonts w:eastAsia="Calibri"/>
          <w:szCs w:val="22"/>
        </w:rPr>
        <w:t xml:space="preserve">aču jau no otrā ceturkšņa būvniecības izmaksas strauji palielinās </w:t>
      </w:r>
      <w:r>
        <w:rPr>
          <w:rFonts w:eastAsia="Calibri"/>
          <w:szCs w:val="22"/>
        </w:rPr>
        <w:t>visās izmaksu kategorijās, sasniedzot 4,7% kopējo pieaugumu. Pirmajā pusgadā kopā būvniecības izmaksas bijušas par 3,0% augstākas nekā pirms gada, taj</w:t>
      </w:r>
      <w:r w:rsidRPr="002F5EEE">
        <w:rPr>
          <w:rFonts w:eastAsia="Calibri"/>
          <w:szCs w:val="22"/>
        </w:rPr>
        <w:t>ā skaitā būvmateriālu izmaksas</w:t>
      </w:r>
      <w:r w:rsidRPr="00C464C2">
        <w:rPr>
          <w:rFonts w:eastAsia="Calibri"/>
          <w:szCs w:val="22"/>
        </w:rPr>
        <w:t xml:space="preserve"> augušas par 3%, strādnieku darba samaksa </w:t>
      </w:r>
      <w:r>
        <w:rPr>
          <w:rFonts w:eastAsia="Calibri"/>
          <w:szCs w:val="22"/>
        </w:rPr>
        <w:t>–</w:t>
      </w:r>
      <w:r w:rsidRPr="00C464C2">
        <w:rPr>
          <w:rFonts w:eastAsia="Calibri"/>
          <w:szCs w:val="22"/>
        </w:rPr>
        <w:t xml:space="preserve"> par 3,6%, bet mašīnu un mehānismu uzturēšanas izmaksas </w:t>
      </w:r>
      <w:r>
        <w:rPr>
          <w:rFonts w:eastAsia="Calibri"/>
          <w:szCs w:val="22"/>
        </w:rPr>
        <w:t>–</w:t>
      </w:r>
      <w:r w:rsidRPr="00C464C2">
        <w:rPr>
          <w:rFonts w:eastAsia="Calibri"/>
          <w:szCs w:val="22"/>
        </w:rPr>
        <w:t xml:space="preserve"> par 2,2%.</w:t>
      </w:r>
      <w:r w:rsidRPr="009770BE">
        <w:rPr>
          <w:rFonts w:eastAsia="Calibri"/>
          <w:szCs w:val="22"/>
        </w:rPr>
        <w:t xml:space="preserve"> </w:t>
      </w:r>
      <w:r>
        <w:rPr>
          <w:rFonts w:eastAsia="Calibri"/>
          <w:szCs w:val="22"/>
        </w:rPr>
        <w:t>Šā gada jūlijā izmaksu kāpums turpinājās un sasniedza 8,2% salīdzinājumā ar pērnā gada attiecīgo periodu, krasi pieaugot būvmateriālu cenām.</w:t>
      </w:r>
    </w:p>
    <w:p w14:paraId="398FF7A0" w14:textId="77777777" w:rsidR="00BF4556" w:rsidRPr="00C464C2" w:rsidRDefault="00BF4556" w:rsidP="002443EE">
      <w:pPr>
        <w:ind w:firstLine="0"/>
        <w:jc w:val="center"/>
        <w:rPr>
          <w:rFonts w:eastAsia="Calibri"/>
          <w:szCs w:val="22"/>
        </w:rPr>
      </w:pPr>
      <w:r w:rsidRPr="00103B48">
        <w:rPr>
          <w:b/>
          <w:i/>
        </w:rPr>
        <w:t>1.1</w:t>
      </w:r>
      <w:r>
        <w:rPr>
          <w:b/>
          <w:i/>
        </w:rPr>
        <w:t>8</w:t>
      </w:r>
      <w:r w:rsidRPr="00103B48">
        <w:rPr>
          <w:b/>
          <w:i/>
        </w:rPr>
        <w:t xml:space="preserve">. </w:t>
      </w:r>
      <w:r>
        <w:rPr>
          <w:b/>
          <w:i/>
        </w:rPr>
        <w:t>attēls</w:t>
      </w:r>
      <w:r w:rsidRPr="00103B48">
        <w:rPr>
          <w:b/>
          <w:i/>
        </w:rPr>
        <w:t xml:space="preserve"> </w:t>
      </w:r>
      <w:r w:rsidRPr="00B843DC">
        <w:rPr>
          <w:b/>
        </w:rPr>
        <w:t>Būvniecības izmaksu</w:t>
      </w:r>
      <w:r w:rsidRPr="00B843DC">
        <w:t xml:space="preserve"> </w:t>
      </w:r>
      <w:r w:rsidRPr="00B843DC">
        <w:rPr>
          <w:b/>
        </w:rPr>
        <w:t>pārmaiņas pret iepri</w:t>
      </w:r>
      <w:r>
        <w:rPr>
          <w:b/>
        </w:rPr>
        <w:t>ekšējā gada attiecīgo ceturksni (</w:t>
      </w:r>
      <w:r w:rsidRPr="00B843DC">
        <w:rPr>
          <w:b/>
        </w:rPr>
        <w:t>%</w:t>
      </w:r>
      <w:r>
        <w:rPr>
          <w:b/>
        </w:rPr>
        <w:t>)</w:t>
      </w:r>
    </w:p>
    <w:p w14:paraId="631B963B" w14:textId="77777777" w:rsidR="00BF4556" w:rsidRPr="00103B48" w:rsidRDefault="00BF4556" w:rsidP="002443EE">
      <w:pPr>
        <w:ind w:firstLine="0"/>
        <w:jc w:val="center"/>
        <w:rPr>
          <w:rFonts w:asciiTheme="minorHAnsi" w:hAnsiTheme="minorHAnsi" w:cstheme="minorBidi"/>
          <w:sz w:val="22"/>
          <w:szCs w:val="22"/>
        </w:rPr>
      </w:pPr>
      <w:r w:rsidRPr="00103B48">
        <w:rPr>
          <w:rFonts w:asciiTheme="minorHAnsi" w:hAnsiTheme="minorHAnsi" w:cstheme="minorBidi"/>
          <w:noProof/>
          <w:sz w:val="22"/>
          <w:szCs w:val="22"/>
          <w:lang w:eastAsia="lv-LV"/>
        </w:rPr>
        <w:drawing>
          <wp:inline distT="0" distB="0" distL="0" distR="0" wp14:anchorId="433DAE95" wp14:editId="2B0DA5EF">
            <wp:extent cx="5727065" cy="2727344"/>
            <wp:effectExtent l="0" t="0" r="6985" b="0"/>
            <wp:docPr id="21" name="Chart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14:paraId="345F3EDC" w14:textId="77777777" w:rsidR="00BF4556" w:rsidRDefault="00BF4556" w:rsidP="00BF4556">
      <w:pPr>
        <w:spacing w:after="0"/>
      </w:pPr>
      <w:r w:rsidRPr="00C464C2">
        <w:rPr>
          <w:rFonts w:eastAsia="Calibri"/>
          <w:szCs w:val="22"/>
        </w:rPr>
        <w:t>Izsniegto būvatļauju dinamika ļauj spriest par turpmākajām būvniecības tempu izmaiņām. Pērn izdotajās būvatļaujās paredzamā platība pandēmijas ietekmē gada l</w:t>
      </w:r>
      <w:r>
        <w:rPr>
          <w:rFonts w:eastAsia="Calibri"/>
          <w:szCs w:val="22"/>
        </w:rPr>
        <w:t>aikā samazinājās par 16,9% (1.19</w:t>
      </w:r>
      <w:r w:rsidRPr="00C464C2">
        <w:rPr>
          <w:rFonts w:eastAsia="Calibri"/>
          <w:szCs w:val="22"/>
        </w:rPr>
        <w:t>.</w:t>
      </w:r>
      <w:r>
        <w:rPr>
          <w:rFonts w:eastAsia="Calibri"/>
          <w:szCs w:val="22"/>
        </w:rPr>
        <w:t xml:space="preserve"> attēls</w:t>
      </w:r>
      <w:r w:rsidRPr="00C464C2">
        <w:rPr>
          <w:rFonts w:eastAsia="Calibri"/>
          <w:szCs w:val="22"/>
        </w:rPr>
        <w:t>), visvairāk sarūkot rūpnieciskās ražošanas ēku, noliktavu, tirdzniecības un citu nedzīvojamo ēku plānotajai platībai. Turpretī, Latvijas ekonomikai atkopjoties no Covid-19 krīzes, šā gada pirmajā pusgadā reģistrēts 5,3% pieaugums, pirmajā ceturksnī paredzam</w:t>
      </w:r>
      <w:r>
        <w:rPr>
          <w:rFonts w:eastAsia="Calibri"/>
          <w:szCs w:val="22"/>
        </w:rPr>
        <w:t>aj</w:t>
      </w:r>
      <w:r w:rsidRPr="00C464C2">
        <w:rPr>
          <w:rFonts w:eastAsia="Calibri"/>
          <w:szCs w:val="22"/>
        </w:rPr>
        <w:t xml:space="preserve">ām platībām būvatļaujās esot par 17,8% </w:t>
      </w:r>
      <w:r w:rsidRPr="00103B48">
        <w:t>mazākām kā pērn attiecīgajā periodā, bet otrajā ceturksnī strauj</w:t>
      </w:r>
      <w:r>
        <w:t xml:space="preserve">i augot par </w:t>
      </w:r>
      <w:r w:rsidRPr="00103B48">
        <w:t xml:space="preserve"> 28,1%. </w:t>
      </w:r>
    </w:p>
    <w:p w14:paraId="44FB4734" w14:textId="77777777" w:rsidR="00BF4556" w:rsidRPr="00103B48" w:rsidRDefault="00BF4556" w:rsidP="002443EE">
      <w:pPr>
        <w:keepNext/>
        <w:spacing w:before="120"/>
        <w:ind w:firstLine="0"/>
        <w:jc w:val="center"/>
        <w:rPr>
          <w:b/>
          <w:i/>
          <w:vertAlign w:val="superscript"/>
        </w:rPr>
      </w:pPr>
      <w:r>
        <w:rPr>
          <w:b/>
          <w:i/>
        </w:rPr>
        <w:lastRenderedPageBreak/>
        <w:t>1.19</w:t>
      </w:r>
      <w:r w:rsidRPr="00103B48">
        <w:rPr>
          <w:b/>
          <w:i/>
        </w:rPr>
        <w:t xml:space="preserve">. </w:t>
      </w:r>
      <w:r>
        <w:rPr>
          <w:b/>
          <w:i/>
        </w:rPr>
        <w:t>attēls.</w:t>
      </w:r>
      <w:r w:rsidRPr="00103B48">
        <w:rPr>
          <w:b/>
          <w:i/>
        </w:rPr>
        <w:t xml:space="preserve"> </w:t>
      </w:r>
      <w:r w:rsidRPr="00BA6D93">
        <w:rPr>
          <w:b/>
        </w:rPr>
        <w:t>Izdotajās būvatļaujās paredzamā platība pa ēku veidiem</w:t>
      </w:r>
      <w:r>
        <w:rPr>
          <w:b/>
        </w:rPr>
        <w:t xml:space="preserve"> (</w:t>
      </w:r>
      <w:r w:rsidRPr="00BA6D93">
        <w:rPr>
          <w:b/>
        </w:rPr>
        <w:t>tūkst. km</w:t>
      </w:r>
      <w:r w:rsidRPr="00BA6D93">
        <w:rPr>
          <w:b/>
          <w:vertAlign w:val="superscript"/>
        </w:rPr>
        <w:t>2</w:t>
      </w:r>
      <w:r w:rsidRPr="00E17030">
        <w:rPr>
          <w:b/>
        </w:rPr>
        <w:t>)</w:t>
      </w:r>
    </w:p>
    <w:p w14:paraId="76E76217" w14:textId="77777777" w:rsidR="00BF4556" w:rsidRPr="00103B48" w:rsidRDefault="00BF4556" w:rsidP="002443EE">
      <w:pPr>
        <w:ind w:firstLine="0"/>
        <w:jc w:val="center"/>
        <w:rPr>
          <w:rFonts w:asciiTheme="majorHAnsi" w:hAnsiTheme="majorHAnsi"/>
          <w:color w:val="365F91" w:themeColor="accent1" w:themeShade="BF"/>
        </w:rPr>
      </w:pPr>
      <w:r w:rsidRPr="00B070A6">
        <w:rPr>
          <w:noProof/>
          <w:lang w:eastAsia="lv-LV"/>
        </w:rPr>
        <w:drawing>
          <wp:inline distT="0" distB="0" distL="0" distR="0" wp14:anchorId="57E6C31E" wp14:editId="4AD82F5D">
            <wp:extent cx="5274310" cy="2773045"/>
            <wp:effectExtent l="0" t="0" r="2540" b="8255"/>
            <wp:docPr id="6" name="Chart 6">
              <a:extLst xmlns:a="http://schemas.openxmlformats.org/drawingml/2006/main">
                <a:ext uri="{FF2B5EF4-FFF2-40B4-BE49-F238E27FC236}">
                  <a16:creationId xmlns:a16="http://schemas.microsoft.com/office/drawing/2014/main" id="{00000000-0008-0000-0700-000006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14:paraId="25AB0225" w14:textId="77777777" w:rsidR="00BF4556" w:rsidRPr="00412DB5" w:rsidRDefault="00BF4556" w:rsidP="00BF4556">
      <w:pPr>
        <w:spacing w:before="120"/>
        <w:ind w:firstLine="720"/>
        <w:rPr>
          <w:rFonts w:eastAsia="Calibri"/>
          <w:szCs w:val="22"/>
        </w:rPr>
      </w:pPr>
      <w:r w:rsidRPr="00412DB5">
        <w:rPr>
          <w:rFonts w:eastAsia="Calibri"/>
          <w:szCs w:val="22"/>
        </w:rPr>
        <w:t>Plānotās būvniecības platības samazinājumu šā gada pirmajā ceturksnī noteica viena dzīvokļa māju, rūpniecības, tirdzniecības, kā arī noliktavu ēku plānoto platību samazinājums, taču otrajā ceturksnī visās minētajās ēku grupās uzrādīti strauji plānoto būvniecības platību pieaugumi, nodrošin</w:t>
      </w:r>
      <w:r>
        <w:rPr>
          <w:rFonts w:eastAsia="Calibri"/>
          <w:szCs w:val="22"/>
        </w:rPr>
        <w:t>ot</w:t>
      </w:r>
      <w:r w:rsidRPr="00412DB5">
        <w:rPr>
          <w:rFonts w:eastAsia="Calibri"/>
          <w:szCs w:val="22"/>
        </w:rPr>
        <w:t xml:space="preserve"> arī pieaugumu pusgada griezumā.</w:t>
      </w:r>
    </w:p>
    <w:p w14:paraId="2C7E0D99" w14:textId="77777777" w:rsidR="00BF4556" w:rsidRPr="0026352A" w:rsidRDefault="00BF4556" w:rsidP="00BF4556">
      <w:pPr>
        <w:ind w:firstLine="720"/>
        <w:rPr>
          <w:rFonts w:eastAsia="Calibri"/>
          <w:szCs w:val="22"/>
        </w:rPr>
      </w:pPr>
      <w:r w:rsidRPr="00412DB5">
        <w:rPr>
          <w:rFonts w:eastAsia="Calibri"/>
          <w:szCs w:val="22"/>
        </w:rPr>
        <w:t>Nav sagaidāms, ka turpmāko situāciju būvniecībā būtiski ietekmēs jauni Covid</w:t>
      </w:r>
      <w:r>
        <w:rPr>
          <w:rFonts w:eastAsia="Calibri"/>
          <w:szCs w:val="22"/>
        </w:rPr>
        <w:noBreakHyphen/>
      </w:r>
      <w:r w:rsidRPr="00412DB5">
        <w:rPr>
          <w:rFonts w:eastAsia="Calibri"/>
          <w:szCs w:val="22"/>
        </w:rPr>
        <w:t xml:space="preserve">19 slimības uzliesmojumi, tomēr bažas rada augošās būvmateriālu izmaksas, ražotājiem nespējot segt patreiz ļoti augsto būvmateriālu pieprasījumu. Sagaidāms, ka būvniecības nozari stimulēs infrastruktūras objektu būvniecība, kur lielākais no tiem ir </w:t>
      </w:r>
      <w:proofErr w:type="spellStart"/>
      <w:r w:rsidRPr="007C2E86">
        <w:rPr>
          <w:rFonts w:eastAsia="Calibri"/>
          <w:i/>
          <w:iCs/>
          <w:szCs w:val="22"/>
        </w:rPr>
        <w:t>RailBaltica</w:t>
      </w:r>
      <w:proofErr w:type="spellEnd"/>
      <w:r w:rsidRPr="00412DB5">
        <w:rPr>
          <w:rFonts w:eastAsia="Calibri"/>
          <w:szCs w:val="22"/>
        </w:rPr>
        <w:t>.</w:t>
      </w:r>
    </w:p>
    <w:p w14:paraId="7ADC7D59" w14:textId="77777777" w:rsidR="00BF4556" w:rsidRPr="003E7C97" w:rsidRDefault="00BF4556" w:rsidP="002443EE">
      <w:pPr>
        <w:spacing w:before="240" w:after="240"/>
        <w:ind w:firstLine="0"/>
        <w:jc w:val="center"/>
        <w:rPr>
          <w:rFonts w:eastAsia="Calibri"/>
          <w:b/>
        </w:rPr>
      </w:pPr>
      <w:r w:rsidRPr="003E7C97">
        <w:rPr>
          <w:rFonts w:eastAsia="Calibri"/>
          <w:b/>
        </w:rPr>
        <w:t>Finanšu un apdrošināšanas nozare</w:t>
      </w:r>
    </w:p>
    <w:p w14:paraId="77C1A635" w14:textId="77777777" w:rsidR="00BF4556" w:rsidRPr="003E7C97" w:rsidRDefault="00BF4556" w:rsidP="00BF4556">
      <w:pPr>
        <w:ind w:firstLine="720"/>
        <w:rPr>
          <w:rFonts w:eastAsia="Calibri"/>
          <w:szCs w:val="22"/>
        </w:rPr>
      </w:pPr>
      <w:r w:rsidRPr="003E7C97">
        <w:rPr>
          <w:rFonts w:eastAsia="Calibri"/>
          <w:szCs w:val="22"/>
        </w:rPr>
        <w:t>Finanšu un apdrošināšanas nozarē vērojamais pievienotās vērtības kritums, kurš iesākās 2017</w:t>
      </w:r>
      <w:r>
        <w:rPr>
          <w:rFonts w:eastAsia="Calibri"/>
          <w:szCs w:val="22"/>
        </w:rPr>
        <w:t>. gadā,</w:t>
      </w:r>
      <w:r w:rsidRPr="003E7C97">
        <w:rPr>
          <w:rFonts w:eastAsia="Calibri"/>
          <w:szCs w:val="22"/>
        </w:rPr>
        <w:t xml:space="preserve"> turpinājās arī nākam</w:t>
      </w:r>
      <w:r>
        <w:rPr>
          <w:rFonts w:eastAsia="Calibri"/>
          <w:szCs w:val="22"/>
        </w:rPr>
        <w:t>ajos gado</w:t>
      </w:r>
      <w:r w:rsidRPr="003E7C97">
        <w:rPr>
          <w:rFonts w:eastAsia="Calibri"/>
          <w:szCs w:val="22"/>
        </w:rPr>
        <w:t>s</w:t>
      </w:r>
      <w:r>
        <w:rPr>
          <w:rFonts w:eastAsia="Calibri"/>
          <w:szCs w:val="22"/>
        </w:rPr>
        <w:t>,</w:t>
      </w:r>
      <w:r w:rsidRPr="003E7C97">
        <w:rPr>
          <w:rFonts w:eastAsia="Calibri"/>
          <w:szCs w:val="22"/>
        </w:rPr>
        <w:t xml:space="preserve"> </w:t>
      </w:r>
      <w:r>
        <w:rPr>
          <w:rFonts w:eastAsia="Calibri"/>
          <w:szCs w:val="22"/>
        </w:rPr>
        <w:t>tajā skaitā arī</w:t>
      </w:r>
      <w:r w:rsidRPr="003E7C97">
        <w:rPr>
          <w:rFonts w:eastAsia="Calibri"/>
          <w:szCs w:val="22"/>
        </w:rPr>
        <w:t xml:space="preserve"> 2020</w:t>
      </w:r>
      <w:r>
        <w:rPr>
          <w:rFonts w:eastAsia="Calibri"/>
          <w:szCs w:val="22"/>
        </w:rPr>
        <w:t>. gad</w:t>
      </w:r>
      <w:r w:rsidRPr="003E7C97">
        <w:rPr>
          <w:rFonts w:eastAsia="Calibri"/>
          <w:szCs w:val="22"/>
        </w:rPr>
        <w:t xml:space="preserve">ā, </w:t>
      </w:r>
      <w:r>
        <w:rPr>
          <w:rFonts w:eastAsia="Calibri"/>
          <w:szCs w:val="22"/>
        </w:rPr>
        <w:t>taču krituma temps</w:t>
      </w:r>
      <w:r w:rsidRPr="003E7C97">
        <w:rPr>
          <w:rFonts w:eastAsia="Calibri"/>
          <w:szCs w:val="22"/>
        </w:rPr>
        <w:t xml:space="preserve"> </w:t>
      </w:r>
      <w:r>
        <w:rPr>
          <w:rFonts w:eastAsia="Calibri"/>
          <w:szCs w:val="22"/>
        </w:rPr>
        <w:t>pērn sa</w:t>
      </w:r>
      <w:r w:rsidRPr="003E7C97">
        <w:rPr>
          <w:rFonts w:eastAsia="Calibri"/>
          <w:szCs w:val="22"/>
        </w:rPr>
        <w:t xml:space="preserve">mazinājās. </w:t>
      </w:r>
      <w:r>
        <w:rPr>
          <w:rFonts w:eastAsia="Calibri"/>
          <w:szCs w:val="22"/>
        </w:rPr>
        <w:t>P</w:t>
      </w:r>
      <w:r w:rsidRPr="003E7C97">
        <w:rPr>
          <w:rFonts w:eastAsia="Calibri"/>
          <w:szCs w:val="22"/>
        </w:rPr>
        <w:t>ievienotās vērtības kritums 2018</w:t>
      </w:r>
      <w:r>
        <w:rPr>
          <w:rFonts w:eastAsia="Calibri"/>
          <w:szCs w:val="22"/>
        </w:rPr>
        <w:t>. gad</w:t>
      </w:r>
      <w:r w:rsidRPr="003E7C97">
        <w:rPr>
          <w:rFonts w:eastAsia="Calibri"/>
          <w:szCs w:val="22"/>
        </w:rPr>
        <w:t xml:space="preserve">ā nozarē bija </w:t>
      </w:r>
      <w:r>
        <w:rPr>
          <w:rFonts w:eastAsia="Calibri"/>
          <w:szCs w:val="22"/>
        </w:rPr>
        <w:t>3,1</w:t>
      </w:r>
      <w:r w:rsidRPr="003E7C97">
        <w:rPr>
          <w:rFonts w:eastAsia="Calibri"/>
          <w:szCs w:val="22"/>
        </w:rPr>
        <w:t>%, 2019</w:t>
      </w:r>
      <w:r>
        <w:rPr>
          <w:rFonts w:eastAsia="Calibri"/>
          <w:szCs w:val="22"/>
        </w:rPr>
        <w:t>. gad</w:t>
      </w:r>
      <w:r w:rsidRPr="003E7C97">
        <w:rPr>
          <w:rFonts w:eastAsia="Calibri"/>
          <w:szCs w:val="22"/>
        </w:rPr>
        <w:t xml:space="preserve">ā </w:t>
      </w:r>
      <w:r>
        <w:rPr>
          <w:rFonts w:eastAsia="Calibri"/>
          <w:szCs w:val="22"/>
        </w:rPr>
        <w:t>–</w:t>
      </w:r>
      <w:r w:rsidRPr="003E7C97">
        <w:rPr>
          <w:rFonts w:eastAsia="Calibri"/>
          <w:szCs w:val="22"/>
        </w:rPr>
        <w:t xml:space="preserve"> </w:t>
      </w:r>
      <w:r>
        <w:rPr>
          <w:rFonts w:eastAsia="Calibri"/>
          <w:szCs w:val="22"/>
        </w:rPr>
        <w:t>15,7</w:t>
      </w:r>
      <w:r w:rsidRPr="003E7C97">
        <w:rPr>
          <w:rFonts w:eastAsia="Calibri"/>
          <w:szCs w:val="22"/>
        </w:rPr>
        <w:t>%, savukārt 2020</w:t>
      </w:r>
      <w:r>
        <w:rPr>
          <w:rFonts w:eastAsia="Calibri"/>
          <w:szCs w:val="22"/>
        </w:rPr>
        <w:t>. gad</w:t>
      </w:r>
      <w:r w:rsidRPr="003E7C97">
        <w:rPr>
          <w:rFonts w:eastAsia="Calibri"/>
          <w:szCs w:val="22"/>
        </w:rPr>
        <w:t xml:space="preserve">ā </w:t>
      </w:r>
      <w:r>
        <w:rPr>
          <w:rFonts w:eastAsia="Calibri"/>
          <w:szCs w:val="22"/>
        </w:rPr>
        <w:t>–</w:t>
      </w:r>
      <w:r w:rsidRPr="003E7C97">
        <w:rPr>
          <w:rFonts w:eastAsia="Calibri"/>
          <w:szCs w:val="22"/>
        </w:rPr>
        <w:t xml:space="preserve"> </w:t>
      </w:r>
      <w:r>
        <w:rPr>
          <w:rFonts w:eastAsia="Calibri"/>
          <w:szCs w:val="22"/>
        </w:rPr>
        <w:t>5,7</w:t>
      </w:r>
      <w:r w:rsidRPr="003E7C97">
        <w:rPr>
          <w:rFonts w:eastAsia="Calibri"/>
          <w:szCs w:val="22"/>
        </w:rPr>
        <w:t>% gada izteiksmē. Savukārt 2021</w:t>
      </w:r>
      <w:r>
        <w:rPr>
          <w:rFonts w:eastAsia="Calibri"/>
          <w:szCs w:val="22"/>
        </w:rPr>
        <w:t>. gad</w:t>
      </w:r>
      <w:r w:rsidRPr="003E7C97">
        <w:rPr>
          <w:rFonts w:eastAsia="Calibri"/>
          <w:szCs w:val="22"/>
        </w:rPr>
        <w:t>a pirmais pusgads jau ir sācies ar pie</w:t>
      </w:r>
      <w:r>
        <w:rPr>
          <w:rFonts w:eastAsia="Calibri"/>
          <w:szCs w:val="22"/>
        </w:rPr>
        <w:t>vienotās vērtības kāpumu par 14,8</w:t>
      </w:r>
      <w:r w:rsidRPr="003E7C97">
        <w:rPr>
          <w:rFonts w:eastAsia="Calibri"/>
          <w:szCs w:val="22"/>
        </w:rPr>
        <w:t xml:space="preserve">% pret iepriekšējā gada </w:t>
      </w:r>
      <w:r>
        <w:rPr>
          <w:rFonts w:eastAsia="Calibri"/>
          <w:szCs w:val="22"/>
        </w:rPr>
        <w:t>pirmo</w:t>
      </w:r>
      <w:r w:rsidRPr="003E7C97">
        <w:rPr>
          <w:rFonts w:eastAsia="Calibri"/>
          <w:szCs w:val="22"/>
        </w:rPr>
        <w:t xml:space="preserve"> pusgadu. Ja iepriekšējo gadu lejupslīdi nozarē noteica strukturālās izmaiņas</w:t>
      </w:r>
      <w:r>
        <w:rPr>
          <w:rFonts w:eastAsia="Calibri"/>
          <w:szCs w:val="22"/>
        </w:rPr>
        <w:t>, kas saistītas ar nerezidentu apkalpošanu</w:t>
      </w:r>
      <w:r w:rsidRPr="003E7C97">
        <w:rPr>
          <w:rFonts w:eastAsia="Calibri"/>
          <w:szCs w:val="22"/>
        </w:rPr>
        <w:t>, tad 2020</w:t>
      </w:r>
      <w:r>
        <w:rPr>
          <w:rFonts w:eastAsia="Calibri"/>
          <w:szCs w:val="22"/>
        </w:rPr>
        <w:t>. gad</w:t>
      </w:r>
      <w:r w:rsidRPr="003E7C97">
        <w:rPr>
          <w:rFonts w:eastAsia="Calibri"/>
          <w:szCs w:val="22"/>
        </w:rPr>
        <w:t>ā</w:t>
      </w:r>
      <w:r>
        <w:rPr>
          <w:rFonts w:eastAsia="Calibri"/>
          <w:szCs w:val="22"/>
        </w:rPr>
        <w:t xml:space="preserve"> finanšu sektoru</w:t>
      </w:r>
      <w:r w:rsidRPr="003E7C97">
        <w:rPr>
          <w:rFonts w:eastAsia="Calibri"/>
          <w:szCs w:val="22"/>
        </w:rPr>
        <w:t xml:space="preserve"> </w:t>
      </w:r>
      <w:r>
        <w:rPr>
          <w:rFonts w:eastAsia="Calibri"/>
          <w:szCs w:val="22"/>
        </w:rPr>
        <w:t xml:space="preserve">tāpat kā citas nozares </w:t>
      </w:r>
      <w:r w:rsidRPr="003E7C97">
        <w:rPr>
          <w:rFonts w:eastAsia="Calibri"/>
          <w:szCs w:val="22"/>
        </w:rPr>
        <w:t xml:space="preserve">skāra </w:t>
      </w:r>
      <w:r>
        <w:rPr>
          <w:rFonts w:eastAsia="Calibri"/>
          <w:szCs w:val="22"/>
        </w:rPr>
        <w:t>Covid</w:t>
      </w:r>
      <w:r>
        <w:rPr>
          <w:rFonts w:eastAsia="Calibri"/>
          <w:szCs w:val="22"/>
        </w:rPr>
        <w:noBreakHyphen/>
        <w:t>19</w:t>
      </w:r>
      <w:r w:rsidRPr="003E7C97">
        <w:rPr>
          <w:rFonts w:eastAsia="Calibri"/>
          <w:szCs w:val="22"/>
        </w:rPr>
        <w:t xml:space="preserve"> izraisītā krīze. Kopumā nozares īpatsvars kopējā pievienotajā vērtībā tautsaimniecībā </w:t>
      </w:r>
      <w:r>
        <w:rPr>
          <w:rFonts w:eastAsia="Calibri"/>
          <w:szCs w:val="22"/>
        </w:rPr>
        <w:t xml:space="preserve">piecu gadu laikā </w:t>
      </w:r>
      <w:r w:rsidRPr="003E7C97">
        <w:rPr>
          <w:rFonts w:eastAsia="Calibri"/>
          <w:szCs w:val="22"/>
        </w:rPr>
        <w:t xml:space="preserve">ir samazinājies gandrīz divas reizes </w:t>
      </w:r>
      <w:r>
        <w:rPr>
          <w:rFonts w:eastAsia="Calibri"/>
          <w:szCs w:val="22"/>
        </w:rPr>
        <w:t xml:space="preserve">- </w:t>
      </w:r>
      <w:r w:rsidRPr="003E7C97">
        <w:rPr>
          <w:rFonts w:eastAsia="Calibri"/>
          <w:szCs w:val="22"/>
        </w:rPr>
        <w:t>no 4,8% 2015</w:t>
      </w:r>
      <w:r>
        <w:rPr>
          <w:rFonts w:eastAsia="Calibri"/>
          <w:szCs w:val="22"/>
        </w:rPr>
        <w:t>. gad</w:t>
      </w:r>
      <w:r w:rsidRPr="003E7C97">
        <w:rPr>
          <w:rFonts w:eastAsia="Calibri"/>
          <w:szCs w:val="22"/>
        </w:rPr>
        <w:t>ā līdz 2,8% 2020</w:t>
      </w:r>
      <w:r>
        <w:rPr>
          <w:rFonts w:eastAsia="Calibri"/>
          <w:szCs w:val="22"/>
        </w:rPr>
        <w:t>. gadā. T</w:t>
      </w:r>
      <w:r w:rsidRPr="003E7C97">
        <w:rPr>
          <w:rFonts w:eastAsia="Calibri"/>
          <w:szCs w:val="22"/>
        </w:rPr>
        <w:t>aču  2021.</w:t>
      </w:r>
      <w:r>
        <w:rPr>
          <w:rFonts w:eastAsia="Calibri"/>
          <w:szCs w:val="22"/>
        </w:rPr>
        <w:t xml:space="preserve"> gada</w:t>
      </w:r>
      <w:r w:rsidRPr="003E7C97">
        <w:rPr>
          <w:rFonts w:eastAsia="Calibri"/>
          <w:szCs w:val="22"/>
        </w:rPr>
        <w:t xml:space="preserve"> pirmajā pusgadā vērojamais pie</w:t>
      </w:r>
      <w:r>
        <w:rPr>
          <w:rFonts w:eastAsia="Calibri"/>
          <w:szCs w:val="22"/>
        </w:rPr>
        <w:t>augums vieš cerības, ka kritums, kuru ietekmēja t.sk. strukturālās izmaiņas un kas noslēdzās 2019. </w:t>
      </w:r>
      <w:r w:rsidRPr="009C2773">
        <w:rPr>
          <w:rFonts w:eastAsia="Calibri"/>
          <w:szCs w:val="22"/>
        </w:rPr>
        <w:t>gadā, rezultējoties ar riskantu nerezidentu noguldījumu aizplūdi</w:t>
      </w:r>
      <w:r>
        <w:rPr>
          <w:rFonts w:eastAsia="Calibri"/>
          <w:szCs w:val="22"/>
        </w:rPr>
        <w:t xml:space="preserve">, </w:t>
      </w:r>
      <w:r w:rsidRPr="003E7C97">
        <w:rPr>
          <w:rFonts w:eastAsia="Calibri"/>
          <w:szCs w:val="22"/>
        </w:rPr>
        <w:t>varētu būt beidzies</w:t>
      </w:r>
      <w:r>
        <w:rPr>
          <w:rFonts w:eastAsia="Calibri"/>
          <w:szCs w:val="22"/>
        </w:rPr>
        <w:t xml:space="preserve">. Līdz ar to </w:t>
      </w:r>
      <w:r w:rsidRPr="003E7C97">
        <w:rPr>
          <w:rFonts w:eastAsia="Calibri"/>
          <w:szCs w:val="22"/>
        </w:rPr>
        <w:t xml:space="preserve">vairs </w:t>
      </w:r>
      <w:r>
        <w:rPr>
          <w:rFonts w:eastAsia="Calibri"/>
          <w:szCs w:val="22"/>
        </w:rPr>
        <w:t>nav gaidāma finanšu nozares daļas tālāka samazināšanās</w:t>
      </w:r>
      <w:r w:rsidRPr="003E7C97">
        <w:rPr>
          <w:rFonts w:eastAsia="Calibri"/>
          <w:szCs w:val="22"/>
        </w:rPr>
        <w:t xml:space="preserve"> kopējā</w:t>
      </w:r>
      <w:r>
        <w:rPr>
          <w:rFonts w:eastAsia="Calibri"/>
          <w:szCs w:val="22"/>
        </w:rPr>
        <w:t xml:space="preserve"> tautsaimniecības struktūrā.</w:t>
      </w:r>
    </w:p>
    <w:p w14:paraId="5B12283A" w14:textId="77777777" w:rsidR="00BF4556" w:rsidRDefault="00BF4556" w:rsidP="00BF4556">
      <w:pPr>
        <w:ind w:firstLine="720"/>
        <w:rPr>
          <w:rFonts w:eastAsia="Calibri"/>
          <w:szCs w:val="22"/>
        </w:rPr>
      </w:pPr>
      <w:r w:rsidRPr="009C2773">
        <w:rPr>
          <w:rFonts w:eastAsia="Calibri"/>
          <w:szCs w:val="22"/>
        </w:rPr>
        <w:t>Kopš 2016. gada, kad nerezidentu depozītu apjoms bija vislielākais, to apjoms līdz 2020. gada beigām bija samazinājies par 78% un  šāda tendence turpināja saglabāties arī 2021. gada pirmajā pusgadā</w:t>
      </w:r>
      <w:r>
        <w:rPr>
          <w:rFonts w:eastAsia="Calibri"/>
          <w:szCs w:val="22"/>
        </w:rPr>
        <w:t xml:space="preserve"> (1.20. attēls)</w:t>
      </w:r>
      <w:r w:rsidRPr="009C2773">
        <w:rPr>
          <w:rFonts w:eastAsia="Calibri"/>
          <w:szCs w:val="22"/>
        </w:rPr>
        <w:t>. Kopumā 2020. gad</w:t>
      </w:r>
      <w:r>
        <w:rPr>
          <w:rFonts w:eastAsia="Calibri"/>
          <w:szCs w:val="22"/>
        </w:rPr>
        <w:t>ā</w:t>
      </w:r>
      <w:r w:rsidRPr="009C2773">
        <w:rPr>
          <w:rFonts w:eastAsia="Calibri"/>
          <w:szCs w:val="22"/>
        </w:rPr>
        <w:t xml:space="preserve"> banku nozari Covid</w:t>
      </w:r>
      <w:r w:rsidRPr="009C2773">
        <w:rPr>
          <w:rFonts w:eastAsia="Calibri"/>
          <w:szCs w:val="22"/>
        </w:rPr>
        <w:noBreakHyphen/>
        <w:t xml:space="preserve">19 krīze ietekmēja minimāli, jo, lai gan kopējais kredītportfelis samazinājās par 1%, kopējie aktīvi 2020. gadā auga par 8,4% un </w:t>
      </w:r>
      <w:proofErr w:type="spellStart"/>
      <w:r w:rsidRPr="009C2773">
        <w:rPr>
          <w:rFonts w:eastAsia="Calibri"/>
          <w:szCs w:val="22"/>
        </w:rPr>
        <w:t>pelnītspēja</w:t>
      </w:r>
      <w:proofErr w:type="spellEnd"/>
      <w:r w:rsidRPr="009C2773">
        <w:rPr>
          <w:rFonts w:eastAsia="Calibri"/>
          <w:szCs w:val="22"/>
        </w:rPr>
        <w:t xml:space="preserve"> saglabājās, lai arī peļņas rādītāji 2020. gadā bija aptuveni uz pusi zemāki </w:t>
      </w:r>
      <w:r>
        <w:rPr>
          <w:rFonts w:eastAsia="Calibri"/>
          <w:szCs w:val="22"/>
        </w:rPr>
        <w:t>ne</w:t>
      </w:r>
      <w:r w:rsidRPr="009C2773">
        <w:rPr>
          <w:rFonts w:eastAsia="Calibri"/>
          <w:szCs w:val="22"/>
        </w:rPr>
        <w:t>kā iepriekšējā gadā.</w:t>
      </w:r>
    </w:p>
    <w:p w14:paraId="629E2557" w14:textId="77777777" w:rsidR="00BF4556" w:rsidRPr="00817F84" w:rsidRDefault="00BF4556" w:rsidP="002443EE">
      <w:pPr>
        <w:keepNext/>
        <w:spacing w:before="60" w:after="0"/>
        <w:ind w:firstLine="0"/>
        <w:jc w:val="center"/>
        <w:rPr>
          <w:rFonts w:cstheme="minorBidi"/>
          <w:b/>
          <w:szCs w:val="22"/>
        </w:rPr>
      </w:pPr>
      <w:r>
        <w:rPr>
          <w:rFonts w:cstheme="minorBidi"/>
          <w:b/>
          <w:i/>
          <w:szCs w:val="22"/>
        </w:rPr>
        <w:lastRenderedPageBreak/>
        <w:t>1.20</w:t>
      </w:r>
      <w:r w:rsidRPr="0044795F">
        <w:rPr>
          <w:rFonts w:cstheme="minorBidi"/>
          <w:b/>
          <w:i/>
          <w:szCs w:val="22"/>
        </w:rPr>
        <w:t xml:space="preserve">. </w:t>
      </w:r>
      <w:r>
        <w:rPr>
          <w:rFonts w:cstheme="minorBidi"/>
          <w:b/>
          <w:i/>
          <w:szCs w:val="22"/>
        </w:rPr>
        <w:t>attēls</w:t>
      </w:r>
      <w:r w:rsidRPr="0044795F">
        <w:rPr>
          <w:rFonts w:cstheme="minorBidi"/>
          <w:b/>
          <w:i/>
          <w:szCs w:val="22"/>
        </w:rPr>
        <w:t xml:space="preserve"> </w:t>
      </w:r>
      <w:r w:rsidRPr="00F92A8F">
        <w:rPr>
          <w:rFonts w:cstheme="minorBidi"/>
          <w:b/>
          <w:szCs w:val="22"/>
        </w:rPr>
        <w:t>Nerezidentu un rezidentu noguldījumi Latvijas bankās</w:t>
      </w:r>
      <w:r>
        <w:rPr>
          <w:rFonts w:cstheme="minorBidi"/>
          <w:b/>
          <w:szCs w:val="22"/>
        </w:rPr>
        <w:t xml:space="preserve"> (</w:t>
      </w:r>
      <w:r w:rsidRPr="00F92A8F">
        <w:rPr>
          <w:rFonts w:cstheme="minorBidi"/>
          <w:b/>
          <w:szCs w:val="22"/>
        </w:rPr>
        <w:t>milj.</w:t>
      </w:r>
      <w:r w:rsidRPr="0044795F">
        <w:rPr>
          <w:rFonts w:cstheme="minorBidi"/>
          <w:b/>
          <w:i/>
          <w:szCs w:val="22"/>
        </w:rPr>
        <w:t xml:space="preserve"> </w:t>
      </w:r>
      <w:proofErr w:type="spellStart"/>
      <w:r w:rsidRPr="0044795F">
        <w:rPr>
          <w:rFonts w:cstheme="minorBidi"/>
          <w:b/>
          <w:i/>
          <w:szCs w:val="22"/>
        </w:rPr>
        <w:t>euro</w:t>
      </w:r>
      <w:proofErr w:type="spellEnd"/>
      <w:r>
        <w:rPr>
          <w:rFonts w:cstheme="minorBidi"/>
          <w:b/>
          <w:szCs w:val="22"/>
        </w:rPr>
        <w:t>)</w:t>
      </w:r>
    </w:p>
    <w:p w14:paraId="680B6680" w14:textId="77777777" w:rsidR="00BF4556" w:rsidRDefault="00BF4556" w:rsidP="002443EE">
      <w:pPr>
        <w:spacing w:before="60" w:after="0"/>
        <w:ind w:firstLine="0"/>
        <w:jc w:val="center"/>
        <w:rPr>
          <w:rFonts w:cstheme="minorBidi"/>
          <w:sz w:val="28"/>
          <w:szCs w:val="28"/>
        </w:rPr>
      </w:pPr>
      <w:r>
        <w:rPr>
          <w:noProof/>
          <w:lang w:eastAsia="lv-LV"/>
        </w:rPr>
        <w:drawing>
          <wp:inline distT="0" distB="0" distL="0" distR="0" wp14:anchorId="629DD7FA" wp14:editId="2202AD72">
            <wp:extent cx="5274310" cy="2510636"/>
            <wp:effectExtent l="0" t="0" r="2540" b="4445"/>
            <wp:docPr id="11" name="Chart 11">
              <a:extLst xmlns:a="http://schemas.openxmlformats.org/drawingml/2006/main">
                <a:ext uri="{FF2B5EF4-FFF2-40B4-BE49-F238E27FC236}">
                  <a16:creationId xmlns:a16="http://schemas.microsoft.com/office/drawing/2014/main" id="{6D3B48E5-0C3F-42D3-9206-447C3710842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14:paraId="18682BEC" w14:textId="77777777" w:rsidR="00BF4556" w:rsidRPr="003E7C97" w:rsidRDefault="00BF4556" w:rsidP="002443EE">
      <w:pPr>
        <w:spacing w:before="240"/>
        <w:ind w:firstLine="720"/>
        <w:rPr>
          <w:rFonts w:eastAsia="Calibri"/>
          <w:szCs w:val="22"/>
        </w:rPr>
      </w:pPr>
      <w:r w:rsidRPr="003E7C97">
        <w:rPr>
          <w:rFonts w:eastAsia="Calibri"/>
          <w:szCs w:val="22"/>
        </w:rPr>
        <w:t>2021</w:t>
      </w:r>
      <w:r>
        <w:rPr>
          <w:rFonts w:eastAsia="Calibri"/>
          <w:szCs w:val="22"/>
        </w:rPr>
        <w:t>. gadā kopējie banku aktīvi turpināja pieaugt, pirmajos astoņos mēnešos gada pieaugums bija 10,7%. Arī k</w:t>
      </w:r>
      <w:r w:rsidRPr="003E7C97">
        <w:rPr>
          <w:rFonts w:eastAsia="Calibri"/>
          <w:szCs w:val="22"/>
        </w:rPr>
        <w:t xml:space="preserve">opējais Latvijas mājsaimniecībām </w:t>
      </w:r>
      <w:proofErr w:type="spellStart"/>
      <w:r w:rsidRPr="003E7C97">
        <w:rPr>
          <w:rFonts w:eastAsia="Calibri"/>
          <w:szCs w:val="22"/>
        </w:rPr>
        <w:t>jaunizsniegto</w:t>
      </w:r>
      <w:proofErr w:type="spellEnd"/>
      <w:r w:rsidRPr="003E7C97">
        <w:rPr>
          <w:rFonts w:eastAsia="Calibri"/>
          <w:szCs w:val="22"/>
        </w:rPr>
        <w:t xml:space="preserve"> kredītu apjoms mājokļa iegādei 2021</w:t>
      </w:r>
      <w:r>
        <w:rPr>
          <w:rFonts w:eastAsia="Calibri"/>
          <w:szCs w:val="22"/>
        </w:rPr>
        <w:t>. gad</w:t>
      </w:r>
      <w:r w:rsidRPr="003E7C97">
        <w:rPr>
          <w:rFonts w:eastAsia="Calibri"/>
          <w:szCs w:val="22"/>
        </w:rPr>
        <w:t>a septiņos mēne</w:t>
      </w:r>
      <w:r>
        <w:rPr>
          <w:rFonts w:eastAsia="Calibri"/>
          <w:szCs w:val="22"/>
        </w:rPr>
        <w:t xml:space="preserve">šos ir sasniedzis 478,2 milj. </w:t>
      </w:r>
      <w:proofErr w:type="spellStart"/>
      <w:r w:rsidRPr="00F25C76">
        <w:rPr>
          <w:rFonts w:eastAsia="Calibri"/>
          <w:i/>
          <w:szCs w:val="22"/>
        </w:rPr>
        <w:t>euro</w:t>
      </w:r>
      <w:proofErr w:type="spellEnd"/>
      <w:r w:rsidRPr="003E7C97">
        <w:rPr>
          <w:rFonts w:eastAsia="Calibri"/>
          <w:szCs w:val="22"/>
        </w:rPr>
        <w:t xml:space="preserve"> un ir par 75</w:t>
      </w:r>
      <w:r>
        <w:rPr>
          <w:rFonts w:eastAsia="Calibri"/>
          <w:szCs w:val="22"/>
        </w:rPr>
        <w:t>,</w:t>
      </w:r>
      <w:r w:rsidRPr="003E7C97">
        <w:rPr>
          <w:rFonts w:eastAsia="Calibri"/>
          <w:szCs w:val="22"/>
        </w:rPr>
        <w:t xml:space="preserve">1% lielāks </w:t>
      </w:r>
      <w:r>
        <w:rPr>
          <w:rFonts w:eastAsia="Calibri"/>
          <w:szCs w:val="22"/>
        </w:rPr>
        <w:t xml:space="preserve">nekā attiecīgajā periodā pērn, kas ir </w:t>
      </w:r>
      <w:r w:rsidRPr="003E7C97">
        <w:rPr>
          <w:rFonts w:eastAsia="Calibri"/>
          <w:szCs w:val="22"/>
        </w:rPr>
        <w:t>arī absolūti lielākais kāpums kopš 2015</w:t>
      </w:r>
      <w:r>
        <w:rPr>
          <w:rFonts w:eastAsia="Calibri"/>
          <w:szCs w:val="22"/>
        </w:rPr>
        <w:t>. gad</w:t>
      </w:r>
      <w:r w:rsidRPr="003E7C97">
        <w:rPr>
          <w:rFonts w:eastAsia="Calibri"/>
          <w:szCs w:val="22"/>
        </w:rPr>
        <w:t>a</w:t>
      </w:r>
      <w:r>
        <w:rPr>
          <w:rFonts w:eastAsia="Calibri"/>
          <w:szCs w:val="22"/>
        </w:rPr>
        <w:t xml:space="preserve"> (1.21. attēls)</w:t>
      </w:r>
      <w:r w:rsidRPr="003E7C97">
        <w:rPr>
          <w:rFonts w:eastAsia="Calibri"/>
          <w:szCs w:val="22"/>
        </w:rPr>
        <w:t xml:space="preserve">. </w:t>
      </w:r>
      <w:r>
        <w:rPr>
          <w:rFonts w:eastAsia="Calibri"/>
          <w:szCs w:val="22"/>
        </w:rPr>
        <w:t>Tomēr</w:t>
      </w:r>
      <w:r w:rsidRPr="003E7C97">
        <w:rPr>
          <w:rFonts w:eastAsia="Calibri"/>
          <w:szCs w:val="22"/>
        </w:rPr>
        <w:t xml:space="preserve"> citas kredītu kategorijas pagaidām neuzrāda šādu kāpumu.</w:t>
      </w:r>
    </w:p>
    <w:p w14:paraId="6F69B407" w14:textId="77777777" w:rsidR="00BF4556" w:rsidRDefault="00BF4556" w:rsidP="00BF4556">
      <w:pPr>
        <w:ind w:firstLine="720"/>
        <w:rPr>
          <w:rFonts w:eastAsia="Calibri"/>
          <w:szCs w:val="22"/>
        </w:rPr>
      </w:pPr>
      <w:r w:rsidRPr="003E7C97">
        <w:rPr>
          <w:rFonts w:eastAsia="Calibri"/>
          <w:szCs w:val="22"/>
        </w:rPr>
        <w:t>Tāpat kā iepriekšējos gados</w:t>
      </w:r>
      <w:r>
        <w:rPr>
          <w:rFonts w:eastAsia="Calibri"/>
          <w:szCs w:val="22"/>
        </w:rPr>
        <w:t>,</w:t>
      </w:r>
      <w:r w:rsidRPr="003E7C97">
        <w:rPr>
          <w:rFonts w:eastAsia="Calibri"/>
          <w:szCs w:val="22"/>
        </w:rPr>
        <w:t xml:space="preserve"> arī 2021</w:t>
      </w:r>
      <w:r>
        <w:rPr>
          <w:rFonts w:eastAsia="Calibri"/>
          <w:szCs w:val="22"/>
        </w:rPr>
        <w:t>. gad</w:t>
      </w:r>
      <w:r w:rsidRPr="003E7C97">
        <w:rPr>
          <w:rFonts w:eastAsia="Calibri"/>
          <w:szCs w:val="22"/>
        </w:rPr>
        <w:t>ā savu devumu Latvijas tautsaimniecības kreditēšanā ir sniegusi valsts attīstības finanšu institūcija ALTUM</w:t>
      </w:r>
      <w:r>
        <w:rPr>
          <w:rFonts w:eastAsia="Calibri"/>
          <w:szCs w:val="22"/>
        </w:rPr>
        <w:t xml:space="preserve">, </w:t>
      </w:r>
      <w:r>
        <w:t>pirmajā pusgadā</w:t>
      </w:r>
      <w:r>
        <w:rPr>
          <w:rFonts w:eastAsia="Calibri"/>
          <w:szCs w:val="22"/>
        </w:rPr>
        <w:t xml:space="preserve"> kredītportfeli palielinot </w:t>
      </w:r>
      <w:r>
        <w:t xml:space="preserve">par 55,4 milj. </w:t>
      </w:r>
      <w:proofErr w:type="spellStart"/>
      <w:r w:rsidRPr="00991898">
        <w:rPr>
          <w:i/>
        </w:rPr>
        <w:t>euro</w:t>
      </w:r>
      <w:proofErr w:type="spellEnd"/>
      <w:r>
        <w:t xml:space="preserve"> jeb par 6,9% salīdzinājumā ar 2020. gada pirmo pusgadu</w:t>
      </w:r>
      <w:r w:rsidRPr="003E7C97">
        <w:rPr>
          <w:rFonts w:eastAsia="Calibri"/>
          <w:szCs w:val="22"/>
        </w:rPr>
        <w:t xml:space="preserve">. </w:t>
      </w:r>
      <w:r>
        <w:t xml:space="preserve">2021. gada pirmajā pusgadā visos segmentos bija vērojams apjoma pieaugums. Lielākais kāpums sasniegts privātpersonu kreditēšanā, kopējam kredītportfelim pieaugot par 24,5 milj. </w:t>
      </w:r>
      <w:proofErr w:type="spellStart"/>
      <w:r w:rsidRPr="00991898">
        <w:rPr>
          <w:i/>
        </w:rPr>
        <w:t>euro</w:t>
      </w:r>
      <w:proofErr w:type="spellEnd"/>
      <w:r>
        <w:t xml:space="preserve"> (+15%), kas ir ievērojami vairāk nekā 2020. gada pirmajā pusgadā.</w:t>
      </w:r>
    </w:p>
    <w:p w14:paraId="452C72B2" w14:textId="77777777" w:rsidR="00BF4556" w:rsidRDefault="00BF4556" w:rsidP="00BF4556">
      <w:pPr>
        <w:ind w:firstLine="720"/>
        <w:rPr>
          <w:rFonts w:eastAsia="Calibri"/>
          <w:szCs w:val="22"/>
        </w:rPr>
      </w:pPr>
      <w:r w:rsidRPr="003E7C97">
        <w:rPr>
          <w:rFonts w:eastAsia="Calibri"/>
          <w:szCs w:val="22"/>
        </w:rPr>
        <w:t>Ja 2020</w:t>
      </w:r>
      <w:r>
        <w:rPr>
          <w:rFonts w:eastAsia="Calibri"/>
          <w:szCs w:val="22"/>
        </w:rPr>
        <w:t>. gad</w:t>
      </w:r>
      <w:r w:rsidRPr="003E7C97">
        <w:rPr>
          <w:rFonts w:eastAsia="Calibri"/>
          <w:szCs w:val="22"/>
        </w:rPr>
        <w:t xml:space="preserve">ā </w:t>
      </w:r>
      <w:r>
        <w:rPr>
          <w:rFonts w:eastAsia="Calibri"/>
          <w:szCs w:val="22"/>
        </w:rPr>
        <w:t>Covid</w:t>
      </w:r>
      <w:r>
        <w:rPr>
          <w:rFonts w:eastAsia="Calibri"/>
          <w:szCs w:val="22"/>
        </w:rPr>
        <w:noBreakHyphen/>
        <w:t>19</w:t>
      </w:r>
      <w:r w:rsidRPr="003E7C97">
        <w:rPr>
          <w:rFonts w:eastAsia="Calibri"/>
          <w:szCs w:val="22"/>
        </w:rPr>
        <w:t xml:space="preserve"> ierobežojumi un nenoteiktība jūtami mazināja mājsaimniecību vēlmi kreditēties, tad </w:t>
      </w:r>
      <w:r>
        <w:rPr>
          <w:rFonts w:eastAsia="Calibri"/>
          <w:szCs w:val="22"/>
        </w:rPr>
        <w:t>A</w:t>
      </w:r>
      <w:r w:rsidRPr="003E7C97">
        <w:rPr>
          <w:rFonts w:eastAsia="Calibri"/>
          <w:szCs w:val="22"/>
        </w:rPr>
        <w:t xml:space="preserve">LTUM mājokļu garantiju programmā (ģimenēm ar bērniem) 2021. </w:t>
      </w:r>
      <w:r>
        <w:rPr>
          <w:rFonts w:eastAsia="Calibri"/>
          <w:szCs w:val="22"/>
        </w:rPr>
        <w:t xml:space="preserve">gada pirmajā </w:t>
      </w:r>
      <w:r w:rsidRPr="003E7C97">
        <w:rPr>
          <w:rFonts w:eastAsia="Calibri"/>
          <w:szCs w:val="22"/>
        </w:rPr>
        <w:t>pusgadā izsniegto g</w:t>
      </w:r>
      <w:r>
        <w:rPr>
          <w:rFonts w:eastAsia="Calibri"/>
          <w:szCs w:val="22"/>
        </w:rPr>
        <w:t>arantiju apjoms, salīdzinot ar 2020. gada pirmo pusgadu, palielinājās par</w:t>
      </w:r>
      <w:r w:rsidRPr="003E7C97">
        <w:rPr>
          <w:rFonts w:eastAsia="Calibri"/>
          <w:szCs w:val="22"/>
        </w:rPr>
        <w:t xml:space="preserve"> 90%</w:t>
      </w:r>
      <w:r>
        <w:rPr>
          <w:rFonts w:eastAsia="Calibri"/>
          <w:szCs w:val="22"/>
        </w:rPr>
        <w:t xml:space="preserve">, sasniedzot 17,1 milj. </w:t>
      </w:r>
      <w:proofErr w:type="spellStart"/>
      <w:r w:rsidRPr="00EA416E">
        <w:rPr>
          <w:rFonts w:eastAsia="Calibri"/>
          <w:i/>
          <w:szCs w:val="22"/>
        </w:rPr>
        <w:t>euro</w:t>
      </w:r>
      <w:proofErr w:type="spellEnd"/>
      <w:r w:rsidRPr="003E7C97">
        <w:rPr>
          <w:rFonts w:eastAsia="Calibri"/>
          <w:szCs w:val="22"/>
        </w:rPr>
        <w:t>.</w:t>
      </w:r>
    </w:p>
    <w:p w14:paraId="5538DDC5" w14:textId="0E4EFC71" w:rsidR="00BF4556" w:rsidRPr="00817F84" w:rsidRDefault="00BF4556" w:rsidP="00895BB9">
      <w:pPr>
        <w:keepNext/>
        <w:spacing w:before="120"/>
        <w:ind w:firstLine="0"/>
        <w:jc w:val="center"/>
        <w:rPr>
          <w:rFonts w:cstheme="minorBidi"/>
          <w:b/>
          <w:szCs w:val="22"/>
        </w:rPr>
      </w:pPr>
      <w:r>
        <w:rPr>
          <w:rFonts w:cstheme="minorBidi"/>
          <w:b/>
          <w:i/>
          <w:szCs w:val="22"/>
        </w:rPr>
        <w:t>1.21</w:t>
      </w:r>
      <w:r w:rsidRPr="0044795F">
        <w:rPr>
          <w:rFonts w:cstheme="minorBidi"/>
          <w:b/>
          <w:i/>
          <w:szCs w:val="22"/>
        </w:rPr>
        <w:t xml:space="preserve">. </w:t>
      </w:r>
      <w:r>
        <w:rPr>
          <w:rFonts w:cstheme="minorBidi"/>
          <w:b/>
          <w:i/>
          <w:szCs w:val="22"/>
        </w:rPr>
        <w:t>attēls</w:t>
      </w:r>
      <w:r w:rsidRPr="0044795F">
        <w:rPr>
          <w:rFonts w:cstheme="minorBidi"/>
          <w:b/>
          <w:i/>
          <w:szCs w:val="22"/>
        </w:rPr>
        <w:t xml:space="preserve"> </w:t>
      </w:r>
      <w:r w:rsidRPr="00414027">
        <w:rPr>
          <w:rFonts w:cstheme="minorBidi"/>
          <w:b/>
          <w:szCs w:val="22"/>
        </w:rPr>
        <w:t>Rezidentiem izsniegtie jaunie kredīti</w:t>
      </w:r>
      <w:r w:rsidR="00895BB9">
        <w:rPr>
          <w:rFonts w:cstheme="minorBidi"/>
          <w:b/>
          <w:szCs w:val="22"/>
        </w:rPr>
        <w:t xml:space="preserve"> </w:t>
      </w:r>
      <w:r w:rsidRPr="00414027">
        <w:rPr>
          <w:rFonts w:cstheme="minorBidi"/>
          <w:b/>
          <w:szCs w:val="22"/>
        </w:rPr>
        <w:t>(bez refinansētiem kredītiem, milj.</w:t>
      </w:r>
      <w:r>
        <w:rPr>
          <w:rFonts w:cstheme="minorBidi"/>
          <w:b/>
          <w:i/>
          <w:szCs w:val="22"/>
        </w:rPr>
        <w:t xml:space="preserve"> </w:t>
      </w:r>
      <w:proofErr w:type="spellStart"/>
      <w:r>
        <w:rPr>
          <w:rFonts w:cstheme="minorBidi"/>
          <w:b/>
          <w:i/>
          <w:szCs w:val="22"/>
        </w:rPr>
        <w:t>euro</w:t>
      </w:r>
      <w:proofErr w:type="spellEnd"/>
      <w:r>
        <w:rPr>
          <w:rFonts w:cstheme="minorBidi"/>
          <w:b/>
          <w:szCs w:val="22"/>
        </w:rPr>
        <w:t>)</w:t>
      </w:r>
    </w:p>
    <w:p w14:paraId="01A0B6DF" w14:textId="77777777" w:rsidR="00BF4556" w:rsidRPr="00F33903" w:rsidRDefault="00BF4556" w:rsidP="00466645">
      <w:pPr>
        <w:ind w:firstLine="0"/>
        <w:jc w:val="center"/>
        <w:rPr>
          <w:rFonts w:eastAsia="Calibri"/>
          <w:szCs w:val="22"/>
        </w:rPr>
      </w:pPr>
      <w:r w:rsidRPr="00F33903">
        <w:rPr>
          <w:noProof/>
          <w:lang w:eastAsia="lv-LV"/>
        </w:rPr>
        <w:drawing>
          <wp:inline distT="0" distB="0" distL="0" distR="0" wp14:anchorId="55FB4147" wp14:editId="731A1B6D">
            <wp:extent cx="5702935" cy="2981050"/>
            <wp:effectExtent l="0" t="0" r="0" b="0"/>
            <wp:docPr id="26" name="Chart 26">
              <a:extLst xmlns:a="http://schemas.openxmlformats.org/drawingml/2006/main">
                <a:ext uri="{FF2B5EF4-FFF2-40B4-BE49-F238E27FC236}">
                  <a16:creationId xmlns:a16="http://schemas.microsoft.com/office/drawing/2014/main" id="{7A180801-A3B9-4FB1-B4B4-A786BFE4FA1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14:paraId="0D94367F" w14:textId="77777777" w:rsidR="00BF4556" w:rsidRPr="008C2A95" w:rsidRDefault="00BF4556" w:rsidP="00BF4556">
      <w:pPr>
        <w:ind w:firstLine="720"/>
        <w:rPr>
          <w:rFonts w:eastAsia="Calibri"/>
          <w:szCs w:val="22"/>
        </w:rPr>
      </w:pPr>
      <w:r w:rsidRPr="008C2A95">
        <w:rPr>
          <w:rFonts w:eastAsia="Calibri"/>
          <w:szCs w:val="22"/>
        </w:rPr>
        <w:lastRenderedPageBreak/>
        <w:t>Saskaņā ar banku uzraug</w:t>
      </w:r>
      <w:r>
        <w:rPr>
          <w:rFonts w:eastAsia="Calibri"/>
          <w:szCs w:val="22"/>
        </w:rPr>
        <w:t>a un regulatora Finanšu un k</w:t>
      </w:r>
      <w:r w:rsidRPr="008C2A95">
        <w:rPr>
          <w:rFonts w:eastAsia="Calibri"/>
          <w:szCs w:val="22"/>
        </w:rPr>
        <w:t>apitāla tirgus komisijas</w:t>
      </w:r>
      <w:r>
        <w:rPr>
          <w:rFonts w:eastAsia="Calibri"/>
          <w:szCs w:val="22"/>
        </w:rPr>
        <w:t xml:space="preserve"> (FKTK)</w:t>
      </w:r>
      <w:r w:rsidRPr="008C2A95">
        <w:rPr>
          <w:rFonts w:eastAsia="Calibri"/>
          <w:szCs w:val="22"/>
        </w:rPr>
        <w:t xml:space="preserve"> apkopojumu, 2020. gadā banku sektors darbojās ar peļņu aptuveni 154 milj. </w:t>
      </w:r>
      <w:proofErr w:type="spellStart"/>
      <w:r w:rsidRPr="001F12A1">
        <w:rPr>
          <w:rFonts w:eastAsia="Calibri"/>
          <w:i/>
          <w:szCs w:val="22"/>
        </w:rPr>
        <w:t>euro</w:t>
      </w:r>
      <w:proofErr w:type="spellEnd"/>
      <w:r w:rsidRPr="008C2A95">
        <w:rPr>
          <w:rFonts w:eastAsia="Calibri"/>
          <w:szCs w:val="22"/>
        </w:rPr>
        <w:t xml:space="preserve"> </w:t>
      </w:r>
      <w:r>
        <w:rPr>
          <w:rFonts w:eastAsia="Calibri"/>
          <w:szCs w:val="22"/>
        </w:rPr>
        <w:t xml:space="preserve">apmērā </w:t>
      </w:r>
      <w:r w:rsidRPr="008C2A95">
        <w:rPr>
          <w:rFonts w:eastAsia="Calibri"/>
          <w:szCs w:val="22"/>
        </w:rPr>
        <w:t>un arī kredītportfeļa kvalitāte 2020</w:t>
      </w:r>
      <w:r>
        <w:rPr>
          <w:rFonts w:eastAsia="Calibri"/>
          <w:szCs w:val="22"/>
        </w:rPr>
        <w:t>. gad</w:t>
      </w:r>
      <w:r w:rsidRPr="008C2A95">
        <w:rPr>
          <w:rFonts w:eastAsia="Calibri"/>
          <w:szCs w:val="22"/>
        </w:rPr>
        <w:t xml:space="preserve">ā ir uzlabojusies, ienākumus nenesošo kredītu </w:t>
      </w:r>
      <w:r>
        <w:rPr>
          <w:rFonts w:eastAsia="Calibri"/>
          <w:szCs w:val="22"/>
        </w:rPr>
        <w:t xml:space="preserve">īpatsvaram samazinoties </w:t>
      </w:r>
      <w:r w:rsidRPr="008C2A95">
        <w:rPr>
          <w:rFonts w:eastAsia="Calibri"/>
          <w:szCs w:val="22"/>
        </w:rPr>
        <w:t>līdz 4</w:t>
      </w:r>
      <w:r>
        <w:rPr>
          <w:rFonts w:eastAsia="Calibri"/>
          <w:szCs w:val="22"/>
        </w:rPr>
        <w:t>,</w:t>
      </w:r>
      <w:r w:rsidRPr="008C2A95">
        <w:rPr>
          <w:rFonts w:eastAsia="Calibri"/>
          <w:szCs w:val="22"/>
        </w:rPr>
        <w:t>7%</w:t>
      </w:r>
      <w:r>
        <w:rPr>
          <w:rFonts w:eastAsia="Calibri"/>
          <w:szCs w:val="22"/>
        </w:rPr>
        <w:t xml:space="preserve"> no kopējā kredītportfeļa jeb par vienu procentpunktu salīdzinājumā ar 2019. gadā.</w:t>
      </w:r>
    </w:p>
    <w:p w14:paraId="09FB636F" w14:textId="77777777" w:rsidR="00BF4556" w:rsidRDefault="00BF4556" w:rsidP="00BF4556">
      <w:pPr>
        <w:ind w:firstLine="720"/>
        <w:rPr>
          <w:rFonts w:eastAsia="Calibri"/>
          <w:szCs w:val="22"/>
        </w:rPr>
      </w:pPr>
      <w:r>
        <w:rPr>
          <w:rFonts w:eastAsia="Calibri"/>
          <w:szCs w:val="22"/>
        </w:rPr>
        <w:t>Pēc</w:t>
      </w:r>
      <w:r w:rsidRPr="008C2A95">
        <w:rPr>
          <w:rFonts w:eastAsia="Calibri"/>
          <w:szCs w:val="22"/>
        </w:rPr>
        <w:t xml:space="preserve"> </w:t>
      </w:r>
      <w:r>
        <w:rPr>
          <w:rFonts w:eastAsia="Calibri"/>
          <w:szCs w:val="22"/>
        </w:rPr>
        <w:t>FKTK informācijas</w:t>
      </w:r>
      <w:r w:rsidRPr="008C2A95">
        <w:rPr>
          <w:rFonts w:eastAsia="Calibri"/>
          <w:szCs w:val="22"/>
        </w:rPr>
        <w:t>, arī apdrošināšanas sabiedrību darbīb</w:t>
      </w:r>
      <w:r>
        <w:rPr>
          <w:rFonts w:eastAsia="Calibri"/>
          <w:szCs w:val="22"/>
        </w:rPr>
        <w:t>u Covid-19 krīze</w:t>
      </w:r>
      <w:r w:rsidRPr="008C2A95">
        <w:rPr>
          <w:rFonts w:eastAsia="Calibri"/>
          <w:szCs w:val="22"/>
        </w:rPr>
        <w:t xml:space="preserve"> </w:t>
      </w:r>
      <w:r>
        <w:rPr>
          <w:rFonts w:eastAsia="Calibri"/>
          <w:szCs w:val="22"/>
        </w:rPr>
        <w:t xml:space="preserve">2020. gadā </w:t>
      </w:r>
      <w:r w:rsidRPr="008C2A95">
        <w:rPr>
          <w:rFonts w:eastAsia="Calibri"/>
          <w:szCs w:val="22"/>
        </w:rPr>
        <w:t>ietekmē</w:t>
      </w:r>
      <w:r>
        <w:rPr>
          <w:rFonts w:eastAsia="Calibri"/>
          <w:szCs w:val="22"/>
        </w:rPr>
        <w:t>ja</w:t>
      </w:r>
      <w:r w:rsidRPr="008C2A95">
        <w:rPr>
          <w:rFonts w:eastAsia="Calibri"/>
          <w:szCs w:val="22"/>
        </w:rPr>
        <w:t xml:space="preserve"> minimāli. </w:t>
      </w:r>
      <w:r>
        <w:rPr>
          <w:rFonts w:eastAsia="Calibri"/>
          <w:szCs w:val="22"/>
        </w:rPr>
        <w:t>A</w:t>
      </w:r>
      <w:r w:rsidRPr="008C2A95">
        <w:rPr>
          <w:rFonts w:eastAsia="Calibri"/>
          <w:szCs w:val="22"/>
        </w:rPr>
        <w:t>pdrošināšanas nozare kopumā ir kāpinājusi peļņas apjomus un kopējā apdrošināšanas nozares peļņa 2020</w:t>
      </w:r>
      <w:r>
        <w:rPr>
          <w:rFonts w:eastAsia="Calibri"/>
          <w:szCs w:val="22"/>
        </w:rPr>
        <w:t>. gad</w:t>
      </w:r>
      <w:r w:rsidRPr="008C2A95">
        <w:rPr>
          <w:rFonts w:eastAsia="Calibri"/>
          <w:szCs w:val="22"/>
        </w:rPr>
        <w:t xml:space="preserve">ā sasniedza 53 milj. </w:t>
      </w:r>
      <w:proofErr w:type="spellStart"/>
      <w:r w:rsidRPr="001F12A1">
        <w:rPr>
          <w:rFonts w:eastAsia="Calibri"/>
          <w:i/>
          <w:szCs w:val="22"/>
        </w:rPr>
        <w:t>euro</w:t>
      </w:r>
      <w:proofErr w:type="spellEnd"/>
      <w:r w:rsidRPr="008C2A95">
        <w:rPr>
          <w:rFonts w:eastAsia="Calibri"/>
          <w:szCs w:val="22"/>
        </w:rPr>
        <w:t>, kas ir 73% kāpums pret 2019</w:t>
      </w:r>
      <w:r>
        <w:rPr>
          <w:rFonts w:eastAsia="Calibri"/>
          <w:szCs w:val="22"/>
        </w:rPr>
        <w:t>. gad</w:t>
      </w:r>
      <w:r w:rsidRPr="008C2A95">
        <w:rPr>
          <w:rFonts w:eastAsia="Calibri"/>
          <w:szCs w:val="22"/>
        </w:rPr>
        <w:t xml:space="preserve">u. </w:t>
      </w:r>
      <w:r>
        <w:rPr>
          <w:rFonts w:eastAsia="Calibri"/>
          <w:szCs w:val="22"/>
        </w:rPr>
        <w:t>K</w:t>
      </w:r>
      <w:r w:rsidRPr="008C2A95">
        <w:rPr>
          <w:rFonts w:eastAsia="Calibri"/>
          <w:szCs w:val="22"/>
        </w:rPr>
        <w:t xml:space="preserve">opējais parakstīto prēmiju apjoms </w:t>
      </w:r>
      <w:r>
        <w:rPr>
          <w:rFonts w:eastAsia="Calibri"/>
          <w:szCs w:val="22"/>
        </w:rPr>
        <w:t>pagājušajā gadā ir krities par 6%, bet izmaksāto atlīdzību apjoms samazinājās straujāk – par 8%.</w:t>
      </w:r>
    </w:p>
    <w:p w14:paraId="0C224845" w14:textId="77777777" w:rsidR="00BF4556" w:rsidRPr="008C2A95" w:rsidRDefault="00BF4556" w:rsidP="00BF4556">
      <w:pPr>
        <w:ind w:firstLine="720"/>
        <w:rPr>
          <w:rFonts w:eastAsia="Calibri"/>
          <w:szCs w:val="22"/>
        </w:rPr>
      </w:pPr>
      <w:r w:rsidRPr="008C2A95">
        <w:rPr>
          <w:rFonts w:eastAsia="Calibri"/>
          <w:szCs w:val="22"/>
        </w:rPr>
        <w:t>Arī ieguldījumu fondu un alternatīvo ieguldījumu fondu darbība 2020</w:t>
      </w:r>
      <w:r>
        <w:rPr>
          <w:rFonts w:eastAsia="Calibri"/>
          <w:szCs w:val="22"/>
        </w:rPr>
        <w:t>. gad</w:t>
      </w:r>
      <w:r w:rsidRPr="008C2A95">
        <w:rPr>
          <w:rFonts w:eastAsia="Calibri"/>
          <w:szCs w:val="22"/>
        </w:rPr>
        <w:t>ā ir bijusi samēr</w:t>
      </w:r>
      <w:r>
        <w:rPr>
          <w:rFonts w:eastAsia="Calibri"/>
          <w:szCs w:val="22"/>
        </w:rPr>
        <w:t>ā</w:t>
      </w:r>
      <w:r w:rsidRPr="008C2A95">
        <w:rPr>
          <w:rFonts w:eastAsia="Calibri"/>
          <w:szCs w:val="22"/>
        </w:rPr>
        <w:t xml:space="preserve"> noturīga pret </w:t>
      </w:r>
      <w:r>
        <w:rPr>
          <w:rFonts w:eastAsia="Calibri"/>
          <w:szCs w:val="22"/>
        </w:rPr>
        <w:t>Covid</w:t>
      </w:r>
      <w:r>
        <w:rPr>
          <w:rFonts w:eastAsia="Calibri"/>
          <w:szCs w:val="22"/>
        </w:rPr>
        <w:noBreakHyphen/>
        <w:t>19</w:t>
      </w:r>
      <w:r w:rsidRPr="008C2A95">
        <w:rPr>
          <w:rFonts w:eastAsia="Calibri"/>
          <w:szCs w:val="22"/>
        </w:rPr>
        <w:t xml:space="preserve"> krīzi un to aktīvu apjoms 2020</w:t>
      </w:r>
      <w:r>
        <w:rPr>
          <w:rFonts w:eastAsia="Calibri"/>
          <w:szCs w:val="22"/>
        </w:rPr>
        <w:t>. gad</w:t>
      </w:r>
      <w:r w:rsidRPr="008C2A95">
        <w:rPr>
          <w:rFonts w:eastAsia="Calibri"/>
          <w:szCs w:val="22"/>
        </w:rPr>
        <w:t>ā ir audzis par attiecīgi 9% ieguldījumu fondiem un 12% alternatīvo ieguldījumu fondiem</w:t>
      </w:r>
      <w:r>
        <w:rPr>
          <w:rFonts w:eastAsia="Calibri"/>
          <w:szCs w:val="22"/>
        </w:rPr>
        <w:t>,</w:t>
      </w:r>
      <w:r w:rsidRPr="008C2A95">
        <w:rPr>
          <w:rFonts w:eastAsia="Calibri"/>
          <w:szCs w:val="22"/>
        </w:rPr>
        <w:t xml:space="preserve"> sasniedzot </w:t>
      </w:r>
      <w:r>
        <w:rPr>
          <w:rFonts w:eastAsia="Calibri"/>
          <w:szCs w:val="22"/>
        </w:rPr>
        <w:t xml:space="preserve">attiecīgi </w:t>
      </w:r>
      <w:r w:rsidRPr="008C2A95">
        <w:rPr>
          <w:rFonts w:eastAsia="Calibri"/>
          <w:szCs w:val="22"/>
        </w:rPr>
        <w:t xml:space="preserve">248 milj. </w:t>
      </w:r>
      <w:proofErr w:type="spellStart"/>
      <w:r w:rsidRPr="001F12A1">
        <w:rPr>
          <w:rFonts w:eastAsia="Calibri"/>
          <w:i/>
          <w:szCs w:val="22"/>
        </w:rPr>
        <w:t>euro</w:t>
      </w:r>
      <w:proofErr w:type="spellEnd"/>
      <w:r w:rsidRPr="008C2A95">
        <w:rPr>
          <w:rFonts w:eastAsia="Calibri"/>
          <w:szCs w:val="22"/>
        </w:rPr>
        <w:t xml:space="preserve"> un 224 milj. </w:t>
      </w:r>
      <w:proofErr w:type="spellStart"/>
      <w:r w:rsidRPr="001F12A1">
        <w:rPr>
          <w:rFonts w:eastAsia="Calibri"/>
          <w:i/>
          <w:szCs w:val="22"/>
        </w:rPr>
        <w:t>euro</w:t>
      </w:r>
      <w:proofErr w:type="spellEnd"/>
      <w:r w:rsidRPr="008C2A95">
        <w:rPr>
          <w:rFonts w:eastAsia="Calibri"/>
          <w:szCs w:val="22"/>
        </w:rPr>
        <w:t>. Latvijas kapitāla tirgū regulētā tirgus kapitalizācija 2020</w:t>
      </w:r>
      <w:r>
        <w:rPr>
          <w:rFonts w:eastAsia="Calibri"/>
          <w:szCs w:val="22"/>
        </w:rPr>
        <w:t>. gad</w:t>
      </w:r>
      <w:r w:rsidRPr="008C2A95">
        <w:rPr>
          <w:rFonts w:eastAsia="Calibri"/>
          <w:szCs w:val="22"/>
        </w:rPr>
        <w:t>ā ir augusi par 6,1%</w:t>
      </w:r>
      <w:r>
        <w:rPr>
          <w:rFonts w:eastAsia="Calibri"/>
          <w:szCs w:val="22"/>
        </w:rPr>
        <w:t>,</w:t>
      </w:r>
      <w:r w:rsidRPr="008C2A95">
        <w:rPr>
          <w:rFonts w:eastAsia="Calibri"/>
          <w:szCs w:val="22"/>
        </w:rPr>
        <w:t xml:space="preserve"> sasniedzot 2,89 miljardus </w:t>
      </w:r>
      <w:proofErr w:type="spellStart"/>
      <w:r w:rsidRPr="001F12A1">
        <w:rPr>
          <w:rFonts w:eastAsia="Calibri"/>
          <w:i/>
          <w:szCs w:val="22"/>
        </w:rPr>
        <w:t>euro</w:t>
      </w:r>
      <w:proofErr w:type="spellEnd"/>
      <w:r w:rsidRPr="008C2A95">
        <w:rPr>
          <w:rFonts w:eastAsia="Calibri"/>
          <w:szCs w:val="22"/>
        </w:rPr>
        <w:t xml:space="preserve">, savukārt neregulētā tirgus kapitalizācija </w:t>
      </w:r>
      <w:r>
        <w:rPr>
          <w:rFonts w:eastAsia="Calibri"/>
          <w:szCs w:val="22"/>
        </w:rPr>
        <w:t xml:space="preserve">palielinājusies </w:t>
      </w:r>
      <w:r w:rsidRPr="008C2A95">
        <w:rPr>
          <w:rFonts w:eastAsia="Calibri"/>
          <w:szCs w:val="22"/>
        </w:rPr>
        <w:t>par 163,3%</w:t>
      </w:r>
      <w:r>
        <w:rPr>
          <w:rFonts w:eastAsia="Calibri"/>
          <w:szCs w:val="22"/>
        </w:rPr>
        <w:t>,</w:t>
      </w:r>
      <w:r w:rsidRPr="008C2A95">
        <w:rPr>
          <w:rFonts w:eastAsia="Calibri"/>
          <w:szCs w:val="22"/>
        </w:rPr>
        <w:t xml:space="preserve"> sasniedzot 83,3 milj. </w:t>
      </w:r>
      <w:proofErr w:type="spellStart"/>
      <w:r w:rsidRPr="001F12A1">
        <w:rPr>
          <w:rFonts w:eastAsia="Calibri"/>
          <w:i/>
          <w:szCs w:val="22"/>
        </w:rPr>
        <w:t>euro</w:t>
      </w:r>
      <w:proofErr w:type="spellEnd"/>
      <w:r w:rsidRPr="008C2A95">
        <w:rPr>
          <w:rFonts w:eastAsia="Calibri"/>
          <w:szCs w:val="22"/>
        </w:rPr>
        <w:t xml:space="preserve">. </w:t>
      </w:r>
      <w:r>
        <w:rPr>
          <w:rFonts w:eastAsia="Calibri"/>
          <w:szCs w:val="22"/>
        </w:rPr>
        <w:t>V</w:t>
      </w:r>
      <w:r w:rsidRPr="008C2A95">
        <w:rPr>
          <w:rFonts w:eastAsia="Calibri"/>
          <w:szCs w:val="22"/>
        </w:rPr>
        <w:t xml:space="preserve">alsts </w:t>
      </w:r>
      <w:proofErr w:type="spellStart"/>
      <w:r w:rsidRPr="008C2A95">
        <w:rPr>
          <w:rFonts w:eastAsia="Calibri"/>
          <w:szCs w:val="22"/>
        </w:rPr>
        <w:t>fondēto</w:t>
      </w:r>
      <w:proofErr w:type="spellEnd"/>
      <w:r w:rsidRPr="008C2A95">
        <w:rPr>
          <w:rFonts w:eastAsia="Calibri"/>
          <w:szCs w:val="22"/>
        </w:rPr>
        <w:t xml:space="preserve"> pensiju shēmas kopējos aktīvos</w:t>
      </w:r>
      <w:r>
        <w:rPr>
          <w:rFonts w:eastAsia="Calibri"/>
          <w:szCs w:val="22"/>
        </w:rPr>
        <w:t xml:space="preserve"> un</w:t>
      </w:r>
      <w:r w:rsidRPr="008C2A95">
        <w:rPr>
          <w:rFonts w:eastAsia="Calibri"/>
          <w:szCs w:val="22"/>
        </w:rPr>
        <w:t xml:space="preserve"> privāto pensiju fondu kopējos aktīvos 2020</w:t>
      </w:r>
      <w:r>
        <w:rPr>
          <w:rFonts w:eastAsia="Calibri"/>
          <w:szCs w:val="22"/>
        </w:rPr>
        <w:t>. gad</w:t>
      </w:r>
      <w:r w:rsidRPr="008C2A95">
        <w:rPr>
          <w:rFonts w:eastAsia="Calibri"/>
          <w:szCs w:val="22"/>
        </w:rPr>
        <w:t>ā ir fiksēts pieaugums attiecīgi</w:t>
      </w:r>
      <w:r>
        <w:rPr>
          <w:rFonts w:eastAsia="Calibri"/>
          <w:szCs w:val="22"/>
        </w:rPr>
        <w:t xml:space="preserve"> par </w:t>
      </w:r>
      <w:r w:rsidRPr="008C2A95">
        <w:rPr>
          <w:rFonts w:eastAsia="Calibri"/>
          <w:szCs w:val="22"/>
        </w:rPr>
        <w:t>13% un 9%</w:t>
      </w:r>
      <w:r>
        <w:rPr>
          <w:rFonts w:eastAsia="Calibri"/>
          <w:szCs w:val="22"/>
        </w:rPr>
        <w:t>,</w:t>
      </w:r>
      <w:r w:rsidRPr="008C2A95">
        <w:rPr>
          <w:rFonts w:eastAsia="Calibri"/>
          <w:szCs w:val="22"/>
        </w:rPr>
        <w:t xml:space="preserve"> sasniedzot kopējos aktīvu apjomus attiecīgi 5,1 miljards </w:t>
      </w:r>
      <w:proofErr w:type="spellStart"/>
      <w:r w:rsidRPr="001F12A1">
        <w:rPr>
          <w:rFonts w:eastAsia="Calibri"/>
          <w:i/>
          <w:szCs w:val="22"/>
        </w:rPr>
        <w:t>euro</w:t>
      </w:r>
      <w:proofErr w:type="spellEnd"/>
      <w:r w:rsidRPr="008C2A95">
        <w:rPr>
          <w:rFonts w:eastAsia="Calibri"/>
          <w:szCs w:val="22"/>
        </w:rPr>
        <w:t xml:space="preserve"> un 0,6 miljardi </w:t>
      </w:r>
      <w:proofErr w:type="spellStart"/>
      <w:r w:rsidRPr="001F12A1">
        <w:rPr>
          <w:rFonts w:eastAsia="Calibri"/>
          <w:i/>
          <w:szCs w:val="22"/>
        </w:rPr>
        <w:t>euro</w:t>
      </w:r>
      <w:proofErr w:type="spellEnd"/>
      <w:r w:rsidRPr="008C2A95">
        <w:rPr>
          <w:rFonts w:eastAsia="Calibri"/>
          <w:szCs w:val="22"/>
        </w:rPr>
        <w:t>.</w:t>
      </w:r>
    </w:p>
    <w:p w14:paraId="1A3B3DF9" w14:textId="77777777" w:rsidR="00BF4556" w:rsidRPr="00F0045E" w:rsidRDefault="00BF4556" w:rsidP="00895BB9">
      <w:pPr>
        <w:spacing w:before="240" w:after="240"/>
        <w:ind w:firstLine="0"/>
        <w:jc w:val="center"/>
        <w:rPr>
          <w:rFonts w:eastAsia="Calibri"/>
          <w:b/>
        </w:rPr>
      </w:pPr>
      <w:r w:rsidRPr="00F0045E">
        <w:rPr>
          <w:rFonts w:eastAsia="Calibri"/>
          <w:b/>
        </w:rPr>
        <w:t>Lauksaimniecība</w:t>
      </w:r>
    </w:p>
    <w:p w14:paraId="6DC52C71" w14:textId="77777777" w:rsidR="00BF4556" w:rsidRDefault="00BF4556" w:rsidP="00BF4556">
      <w:pPr>
        <w:ind w:firstLine="720"/>
        <w:rPr>
          <w:rFonts w:eastAsia="Calibri"/>
          <w:szCs w:val="22"/>
        </w:rPr>
      </w:pPr>
      <w:r w:rsidRPr="002C6AC6">
        <w:rPr>
          <w:rFonts w:eastAsia="Calibri"/>
          <w:szCs w:val="22"/>
        </w:rPr>
        <w:t>Lauksaimniecības nozar</w:t>
      </w:r>
      <w:r>
        <w:rPr>
          <w:rFonts w:eastAsia="Calibri"/>
          <w:szCs w:val="22"/>
        </w:rPr>
        <w:t>i veido</w:t>
      </w:r>
      <w:r w:rsidRPr="002C6AC6">
        <w:rPr>
          <w:rFonts w:eastAsia="Calibri"/>
          <w:szCs w:val="22"/>
        </w:rPr>
        <w:t xml:space="preserve"> mežsaimniecīb</w:t>
      </w:r>
      <w:r>
        <w:rPr>
          <w:rFonts w:eastAsia="Calibri"/>
          <w:szCs w:val="22"/>
        </w:rPr>
        <w:t>a</w:t>
      </w:r>
      <w:r w:rsidRPr="002C6AC6">
        <w:rPr>
          <w:rFonts w:eastAsia="Calibri"/>
          <w:szCs w:val="22"/>
        </w:rPr>
        <w:t>, zivsaimniecīb</w:t>
      </w:r>
      <w:r>
        <w:rPr>
          <w:rFonts w:eastAsia="Calibri"/>
          <w:szCs w:val="22"/>
        </w:rPr>
        <w:t>a</w:t>
      </w:r>
      <w:r w:rsidRPr="002C6AC6">
        <w:rPr>
          <w:rFonts w:eastAsia="Calibri"/>
          <w:szCs w:val="22"/>
        </w:rPr>
        <w:t xml:space="preserve"> un lauksaimniecīb</w:t>
      </w:r>
      <w:r>
        <w:rPr>
          <w:rFonts w:eastAsia="Calibri"/>
          <w:szCs w:val="22"/>
        </w:rPr>
        <w:t>a</w:t>
      </w:r>
      <w:r w:rsidRPr="002C6AC6">
        <w:rPr>
          <w:rFonts w:eastAsia="Calibri"/>
          <w:szCs w:val="22"/>
        </w:rPr>
        <w:t xml:space="preserve"> (lopkopība</w:t>
      </w:r>
      <w:r>
        <w:rPr>
          <w:rFonts w:eastAsia="Calibri"/>
          <w:szCs w:val="22"/>
        </w:rPr>
        <w:t xml:space="preserve"> un </w:t>
      </w:r>
      <w:r w:rsidRPr="002C6AC6">
        <w:rPr>
          <w:rFonts w:eastAsia="Calibri"/>
          <w:szCs w:val="22"/>
        </w:rPr>
        <w:t>augkopība).</w:t>
      </w:r>
      <w:r>
        <w:rPr>
          <w:rFonts w:eastAsia="Calibri"/>
          <w:szCs w:val="22"/>
        </w:rPr>
        <w:t xml:space="preserve"> Lauksaimniecība ir viena no nozarēm, kuras darbību Covid-19 krīze tieši </w:t>
      </w:r>
      <w:proofErr w:type="spellStart"/>
      <w:r>
        <w:rPr>
          <w:rFonts w:eastAsia="Calibri"/>
          <w:szCs w:val="22"/>
        </w:rPr>
        <w:t>skārusi</w:t>
      </w:r>
      <w:proofErr w:type="spellEnd"/>
      <w:r>
        <w:rPr>
          <w:rFonts w:eastAsia="Calibri"/>
          <w:szCs w:val="22"/>
        </w:rPr>
        <w:t xml:space="preserve"> vismazāk, un nozares īpatsvars kopējā pievienotajā vērtībā 2020. gadā sasniedza 4,0%, salīdzinājumā ar 2019. gadu palielinoties par 0,2 procentpunktiem.</w:t>
      </w:r>
    </w:p>
    <w:p w14:paraId="4046EF56" w14:textId="77777777" w:rsidR="00BF4556" w:rsidRPr="002C6AC6" w:rsidRDefault="00BF4556" w:rsidP="00BF4556">
      <w:pPr>
        <w:ind w:firstLine="720"/>
        <w:rPr>
          <w:rFonts w:eastAsia="Calibri"/>
          <w:szCs w:val="22"/>
        </w:rPr>
      </w:pPr>
      <w:r w:rsidRPr="002C6AC6">
        <w:rPr>
          <w:rFonts w:eastAsia="Calibri"/>
          <w:szCs w:val="22"/>
        </w:rPr>
        <w:t xml:space="preserve"> </w:t>
      </w:r>
      <w:r>
        <w:rPr>
          <w:rFonts w:eastAsia="Calibri"/>
          <w:szCs w:val="22"/>
        </w:rPr>
        <w:t>Lauksaimniecībā 2020. gadā bija nodarbināti 64,3 tūkst.</w:t>
      </w:r>
      <w:r w:rsidRPr="002C6AC6">
        <w:rPr>
          <w:rFonts w:eastAsia="Calibri"/>
          <w:szCs w:val="22"/>
        </w:rPr>
        <w:t xml:space="preserve"> jeb 7,2% no kopējā tautsaimniecībā nodarbināto skaita. Kopš 2008</w:t>
      </w:r>
      <w:r>
        <w:rPr>
          <w:rFonts w:eastAsia="Calibri"/>
          <w:szCs w:val="22"/>
        </w:rPr>
        <w:t>. gad</w:t>
      </w:r>
      <w:r w:rsidRPr="002C6AC6">
        <w:rPr>
          <w:rFonts w:eastAsia="Calibri"/>
          <w:szCs w:val="22"/>
        </w:rPr>
        <w:t xml:space="preserve">a lauksaimniecībā novērota nodarbināto skaita samazināšanās, kas skaidrojama galvenokārt ar industrializācijas attīstību, nomainot fizisko darbaspēku ar automatizētām iekārtām. Arī </w:t>
      </w:r>
      <w:r>
        <w:rPr>
          <w:rFonts w:eastAsia="Calibri"/>
          <w:szCs w:val="22"/>
        </w:rPr>
        <w:t>2020. gadā</w:t>
      </w:r>
      <w:r w:rsidRPr="002C6AC6">
        <w:rPr>
          <w:rFonts w:eastAsia="Calibri"/>
          <w:szCs w:val="22"/>
        </w:rPr>
        <w:t xml:space="preserve"> nodarbināto skaits nozarē samazināj</w:t>
      </w:r>
      <w:r>
        <w:rPr>
          <w:rFonts w:eastAsia="Calibri"/>
          <w:szCs w:val="22"/>
        </w:rPr>
        <w:t>ā</w:t>
      </w:r>
      <w:r w:rsidRPr="002C6AC6">
        <w:rPr>
          <w:rFonts w:eastAsia="Calibri"/>
          <w:szCs w:val="22"/>
        </w:rPr>
        <w:t>s par 3%</w:t>
      </w:r>
      <w:r>
        <w:rPr>
          <w:rFonts w:eastAsia="Calibri"/>
          <w:szCs w:val="22"/>
        </w:rPr>
        <w:t xml:space="preserve"> salīdzinājumā ar 2019.gadu</w:t>
      </w:r>
      <w:r w:rsidRPr="002C6AC6">
        <w:rPr>
          <w:rFonts w:eastAsia="Calibri"/>
          <w:szCs w:val="22"/>
        </w:rPr>
        <w:t>.</w:t>
      </w:r>
    </w:p>
    <w:p w14:paraId="6DB03AE2" w14:textId="77777777" w:rsidR="00BF4556" w:rsidRPr="00103B48" w:rsidRDefault="00BF4556" w:rsidP="00895BB9">
      <w:pPr>
        <w:keepNext/>
        <w:spacing w:before="120"/>
        <w:ind w:firstLine="0"/>
        <w:jc w:val="center"/>
        <w:rPr>
          <w:b/>
          <w:i/>
        </w:rPr>
      </w:pPr>
      <w:r w:rsidRPr="00103B48">
        <w:rPr>
          <w:b/>
          <w:i/>
        </w:rPr>
        <w:t>1.2</w:t>
      </w:r>
      <w:r>
        <w:rPr>
          <w:b/>
          <w:i/>
        </w:rPr>
        <w:t>2</w:t>
      </w:r>
      <w:r w:rsidRPr="00103B48">
        <w:rPr>
          <w:b/>
          <w:i/>
        </w:rPr>
        <w:t xml:space="preserve">. </w:t>
      </w:r>
      <w:r>
        <w:rPr>
          <w:b/>
          <w:i/>
        </w:rPr>
        <w:t>attēls</w:t>
      </w:r>
      <w:r w:rsidRPr="00103B48">
        <w:rPr>
          <w:b/>
          <w:i/>
        </w:rPr>
        <w:t xml:space="preserve"> </w:t>
      </w:r>
      <w:r w:rsidRPr="00414027">
        <w:rPr>
          <w:b/>
        </w:rPr>
        <w:t>Lauksaimniecības nozares pievienotās vērtības struktūra 2020</w:t>
      </w:r>
      <w:r>
        <w:rPr>
          <w:b/>
        </w:rPr>
        <w:t>. gad</w:t>
      </w:r>
      <w:r w:rsidRPr="00414027">
        <w:rPr>
          <w:b/>
        </w:rPr>
        <w:t>ā (%)</w:t>
      </w:r>
    </w:p>
    <w:p w14:paraId="1CCFE405" w14:textId="77777777" w:rsidR="00BF4556" w:rsidRPr="00103B48" w:rsidRDefault="00BF4556" w:rsidP="00895BB9">
      <w:pPr>
        <w:ind w:firstLine="0"/>
        <w:jc w:val="center"/>
        <w:rPr>
          <w:szCs w:val="22"/>
        </w:rPr>
      </w:pPr>
      <w:r w:rsidRPr="00103B48">
        <w:rPr>
          <w:rFonts w:asciiTheme="minorHAnsi" w:hAnsiTheme="minorHAnsi" w:cstheme="minorBidi"/>
          <w:noProof/>
          <w:sz w:val="22"/>
          <w:szCs w:val="22"/>
          <w:lang w:eastAsia="lv-LV"/>
        </w:rPr>
        <w:drawing>
          <wp:inline distT="0" distB="0" distL="0" distR="0" wp14:anchorId="7005A471" wp14:editId="238280EF">
            <wp:extent cx="4572000" cy="2369489"/>
            <wp:effectExtent l="0" t="0" r="0" b="0"/>
            <wp:docPr id="22" name="Chart 22"/>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14:paraId="7390DA81" w14:textId="77777777" w:rsidR="00895BB9" w:rsidRDefault="00895BB9" w:rsidP="00895BB9">
      <w:pPr>
        <w:spacing w:before="240"/>
        <w:ind w:firstLine="720"/>
        <w:rPr>
          <w:rFonts w:eastAsia="Calibri"/>
          <w:szCs w:val="22"/>
        </w:rPr>
      </w:pPr>
      <w:r w:rsidRPr="002C6AC6">
        <w:rPr>
          <w:rFonts w:eastAsia="Calibri"/>
          <w:szCs w:val="22"/>
        </w:rPr>
        <w:t>Lauksaimniecības pievienotā vērtība pēc straujā kāpuma 2019</w:t>
      </w:r>
      <w:r>
        <w:rPr>
          <w:rFonts w:eastAsia="Calibri"/>
          <w:szCs w:val="22"/>
        </w:rPr>
        <w:t>. gad</w:t>
      </w:r>
      <w:r w:rsidRPr="002C6AC6">
        <w:rPr>
          <w:rFonts w:eastAsia="Calibri"/>
          <w:szCs w:val="22"/>
        </w:rPr>
        <w:t xml:space="preserve">ā, pērn </w:t>
      </w:r>
      <w:r>
        <w:rPr>
          <w:rFonts w:eastAsia="Calibri"/>
          <w:szCs w:val="22"/>
        </w:rPr>
        <w:t xml:space="preserve">ir </w:t>
      </w:r>
      <w:r w:rsidRPr="002C6AC6">
        <w:rPr>
          <w:rFonts w:eastAsia="Calibri"/>
          <w:szCs w:val="22"/>
        </w:rPr>
        <w:t xml:space="preserve">uzrādījusi vājāku izaugsmi 1,8% apmērā, vairāk pieaugot lopkopības un augkopības </w:t>
      </w:r>
      <w:proofErr w:type="spellStart"/>
      <w:r w:rsidRPr="002C6AC6">
        <w:rPr>
          <w:rFonts w:eastAsia="Calibri"/>
          <w:szCs w:val="22"/>
        </w:rPr>
        <w:t>apakšnozarei</w:t>
      </w:r>
      <w:proofErr w:type="spellEnd"/>
      <w:r w:rsidRPr="002C6AC6">
        <w:rPr>
          <w:rFonts w:eastAsia="Calibri"/>
          <w:szCs w:val="22"/>
        </w:rPr>
        <w:t>, taču krītot zivsaimniecības pievienotajai vērtībai. Pieauguma</w:t>
      </w:r>
      <w:r>
        <w:rPr>
          <w:rFonts w:eastAsia="Calibri"/>
          <w:szCs w:val="22"/>
        </w:rPr>
        <w:t xml:space="preserve"> tempa</w:t>
      </w:r>
      <w:r w:rsidRPr="002C6AC6">
        <w:rPr>
          <w:rFonts w:eastAsia="Calibri"/>
          <w:szCs w:val="22"/>
        </w:rPr>
        <w:t xml:space="preserve"> samazinājumam</w:t>
      </w:r>
      <w:r>
        <w:rPr>
          <w:rFonts w:eastAsia="Calibri"/>
          <w:szCs w:val="22"/>
        </w:rPr>
        <w:t xml:space="preserve"> 2020. gadā</w:t>
      </w:r>
      <w:r w:rsidRPr="002C6AC6">
        <w:rPr>
          <w:rFonts w:eastAsia="Calibri"/>
          <w:szCs w:val="22"/>
        </w:rPr>
        <w:t xml:space="preserve"> sekoja 2,1% kritums šā gada pirmajā pusgadā, ko ietekmēja gan mežsaimniecības, gan </w:t>
      </w:r>
      <w:r w:rsidRPr="002C6AC6">
        <w:rPr>
          <w:rFonts w:eastAsia="Calibri"/>
          <w:szCs w:val="22"/>
        </w:rPr>
        <w:lastRenderedPageBreak/>
        <w:t xml:space="preserve">lopkopības un augkopības pievienotās vērtības samazinājums, taču </w:t>
      </w:r>
      <w:r>
        <w:rPr>
          <w:rFonts w:eastAsia="Calibri"/>
          <w:szCs w:val="22"/>
        </w:rPr>
        <w:t xml:space="preserve">straujš pieaugums bija </w:t>
      </w:r>
      <w:r w:rsidRPr="002C6AC6">
        <w:rPr>
          <w:rFonts w:eastAsia="Calibri"/>
          <w:szCs w:val="22"/>
        </w:rPr>
        <w:t>zivsaimniecības</w:t>
      </w:r>
      <w:r>
        <w:rPr>
          <w:rFonts w:eastAsia="Calibri"/>
          <w:szCs w:val="22"/>
        </w:rPr>
        <w:t xml:space="preserve"> nozarē.</w:t>
      </w:r>
    </w:p>
    <w:p w14:paraId="6E6B474A" w14:textId="20E98281" w:rsidR="00BF4556" w:rsidRDefault="00BF4556" w:rsidP="00BF4556">
      <w:pPr>
        <w:ind w:firstLine="720"/>
        <w:rPr>
          <w:rFonts w:eastAsia="Calibri"/>
          <w:szCs w:val="22"/>
        </w:rPr>
      </w:pPr>
      <w:r w:rsidRPr="0004049C">
        <w:rPr>
          <w:rFonts w:eastAsia="Calibri"/>
          <w:szCs w:val="22"/>
        </w:rPr>
        <w:t xml:space="preserve">Lopkopības un augkopības apvienotā </w:t>
      </w:r>
      <w:proofErr w:type="spellStart"/>
      <w:r w:rsidRPr="0004049C">
        <w:rPr>
          <w:rFonts w:eastAsia="Calibri"/>
          <w:szCs w:val="22"/>
        </w:rPr>
        <w:t>apakšnozare</w:t>
      </w:r>
      <w:proofErr w:type="spellEnd"/>
      <w:r w:rsidRPr="0004049C">
        <w:rPr>
          <w:rFonts w:eastAsia="Calibri"/>
          <w:szCs w:val="22"/>
        </w:rPr>
        <w:t xml:space="preserve"> ir lielākā l</w:t>
      </w:r>
      <w:r>
        <w:rPr>
          <w:rFonts w:eastAsia="Calibri"/>
          <w:szCs w:val="22"/>
        </w:rPr>
        <w:t>auksaimniecības nozarē un 2020. gadā aizņēma</w:t>
      </w:r>
      <w:r w:rsidRPr="0004049C">
        <w:rPr>
          <w:rFonts w:eastAsia="Calibri"/>
          <w:szCs w:val="22"/>
        </w:rPr>
        <w:t xml:space="preserve"> 52% no kopējā sektora (1.2</w:t>
      </w:r>
      <w:r>
        <w:rPr>
          <w:rFonts w:eastAsia="Calibri"/>
          <w:szCs w:val="22"/>
        </w:rPr>
        <w:t>2</w:t>
      </w:r>
      <w:r w:rsidRPr="0004049C">
        <w:rPr>
          <w:rFonts w:eastAsia="Calibri"/>
          <w:szCs w:val="22"/>
        </w:rPr>
        <w:t>.</w:t>
      </w:r>
      <w:r>
        <w:rPr>
          <w:rFonts w:eastAsia="Calibri"/>
          <w:szCs w:val="22"/>
        </w:rPr>
        <w:t xml:space="preserve"> attēls</w:t>
      </w:r>
      <w:r w:rsidRPr="0004049C">
        <w:rPr>
          <w:rFonts w:eastAsia="Calibri"/>
          <w:szCs w:val="22"/>
        </w:rPr>
        <w:t xml:space="preserve">), kas </w:t>
      </w:r>
      <w:r>
        <w:rPr>
          <w:rFonts w:eastAsia="Calibri"/>
          <w:szCs w:val="22"/>
        </w:rPr>
        <w:t>bija</w:t>
      </w:r>
      <w:r w:rsidRPr="0004049C">
        <w:rPr>
          <w:rFonts w:eastAsia="Calibri"/>
          <w:szCs w:val="22"/>
        </w:rPr>
        <w:t xml:space="preserve"> par 2</w:t>
      </w:r>
      <w:r>
        <w:rPr>
          <w:rFonts w:eastAsia="Calibri"/>
          <w:szCs w:val="22"/>
        </w:rPr>
        <w:t xml:space="preserve"> procentpunktiem</w:t>
      </w:r>
      <w:r w:rsidRPr="0004049C">
        <w:rPr>
          <w:rFonts w:eastAsia="Calibri"/>
          <w:szCs w:val="22"/>
        </w:rPr>
        <w:t xml:space="preserve"> vairāk </w:t>
      </w:r>
      <w:r>
        <w:rPr>
          <w:rFonts w:eastAsia="Calibri"/>
          <w:szCs w:val="22"/>
        </w:rPr>
        <w:t>ne</w:t>
      </w:r>
      <w:r w:rsidRPr="0004049C">
        <w:rPr>
          <w:rFonts w:eastAsia="Calibri"/>
          <w:szCs w:val="22"/>
        </w:rPr>
        <w:t>kā 2019</w:t>
      </w:r>
      <w:r>
        <w:rPr>
          <w:rFonts w:eastAsia="Calibri"/>
          <w:szCs w:val="22"/>
        </w:rPr>
        <w:t>. gadā. Pateicoties labajai graudaugu ražai, au</w:t>
      </w:r>
      <w:r w:rsidRPr="0004049C">
        <w:rPr>
          <w:rFonts w:eastAsia="Calibri"/>
          <w:szCs w:val="22"/>
        </w:rPr>
        <w:t xml:space="preserve">gkopības produkcija </w:t>
      </w:r>
      <w:r>
        <w:rPr>
          <w:rFonts w:eastAsia="Calibri"/>
          <w:szCs w:val="22"/>
        </w:rPr>
        <w:t xml:space="preserve">pēc 39,9% kāpuma 2019. gadā pagājušajā gadā ir </w:t>
      </w:r>
      <w:r w:rsidRPr="0004049C">
        <w:rPr>
          <w:rFonts w:eastAsia="Calibri"/>
          <w:szCs w:val="22"/>
        </w:rPr>
        <w:t xml:space="preserve">palielinājusies vēl par </w:t>
      </w:r>
      <w:r>
        <w:rPr>
          <w:rFonts w:eastAsia="Calibri"/>
          <w:szCs w:val="22"/>
        </w:rPr>
        <w:t>5%, bet lopkopības produkcijas apjomi pēdējos gados ir saglabājušies stabili (1.23</w:t>
      </w:r>
      <w:r w:rsidRPr="0004049C">
        <w:rPr>
          <w:rFonts w:eastAsia="Calibri"/>
          <w:szCs w:val="22"/>
        </w:rPr>
        <w:t>.</w:t>
      </w:r>
      <w:r>
        <w:rPr>
          <w:rFonts w:eastAsia="Calibri"/>
          <w:szCs w:val="22"/>
        </w:rPr>
        <w:t xml:space="preserve"> attēls</w:t>
      </w:r>
      <w:r w:rsidRPr="0004049C">
        <w:rPr>
          <w:rFonts w:eastAsia="Calibri"/>
          <w:szCs w:val="22"/>
        </w:rPr>
        <w:t xml:space="preserve">). </w:t>
      </w:r>
      <w:r>
        <w:rPr>
          <w:rFonts w:eastAsia="Calibri"/>
          <w:szCs w:val="22"/>
        </w:rPr>
        <w:t>Tā kā 2021. gada</w:t>
      </w:r>
      <w:r w:rsidRPr="0004049C">
        <w:rPr>
          <w:rFonts w:eastAsia="Calibri"/>
          <w:szCs w:val="22"/>
        </w:rPr>
        <w:t xml:space="preserve"> vasara </w:t>
      </w:r>
      <w:r>
        <w:rPr>
          <w:rFonts w:eastAsia="Calibri"/>
          <w:szCs w:val="22"/>
        </w:rPr>
        <w:t xml:space="preserve">ir </w:t>
      </w:r>
      <w:r w:rsidRPr="0004049C">
        <w:rPr>
          <w:rFonts w:eastAsia="Calibri"/>
          <w:szCs w:val="22"/>
        </w:rPr>
        <w:t xml:space="preserve">bijusi karsta un sausa, </w:t>
      </w:r>
      <w:r>
        <w:rPr>
          <w:rFonts w:eastAsia="Calibri"/>
          <w:szCs w:val="22"/>
        </w:rPr>
        <w:t xml:space="preserve">šā gada </w:t>
      </w:r>
      <w:r w:rsidRPr="0004049C">
        <w:rPr>
          <w:rFonts w:eastAsia="Calibri"/>
          <w:szCs w:val="22"/>
        </w:rPr>
        <w:t xml:space="preserve">augkopības raža </w:t>
      </w:r>
      <w:r>
        <w:rPr>
          <w:rFonts w:eastAsia="Calibri"/>
          <w:szCs w:val="22"/>
        </w:rPr>
        <w:t>varētu būt mazāka nekā pērn</w:t>
      </w:r>
      <w:r w:rsidRPr="0004049C">
        <w:rPr>
          <w:rFonts w:eastAsia="Calibri"/>
          <w:szCs w:val="22"/>
        </w:rPr>
        <w:t>.</w:t>
      </w:r>
    </w:p>
    <w:p w14:paraId="249AD9EC" w14:textId="77777777" w:rsidR="00BF4556" w:rsidRPr="00103B48" w:rsidRDefault="00BF4556" w:rsidP="00895BB9">
      <w:pPr>
        <w:keepNext/>
        <w:spacing w:before="120"/>
        <w:ind w:firstLine="0"/>
        <w:jc w:val="center"/>
        <w:rPr>
          <w:b/>
          <w:i/>
        </w:rPr>
      </w:pPr>
      <w:r w:rsidRPr="00103B48">
        <w:rPr>
          <w:b/>
          <w:i/>
        </w:rPr>
        <w:t>1.2</w:t>
      </w:r>
      <w:r>
        <w:rPr>
          <w:b/>
          <w:i/>
        </w:rPr>
        <w:t>3</w:t>
      </w:r>
      <w:r w:rsidRPr="00103B48">
        <w:rPr>
          <w:b/>
          <w:i/>
        </w:rPr>
        <w:t xml:space="preserve">. </w:t>
      </w:r>
      <w:r>
        <w:rPr>
          <w:b/>
          <w:i/>
        </w:rPr>
        <w:t>attēls</w:t>
      </w:r>
      <w:r w:rsidRPr="00103B48">
        <w:rPr>
          <w:b/>
          <w:i/>
        </w:rPr>
        <w:t xml:space="preserve"> </w:t>
      </w:r>
      <w:r w:rsidRPr="00A905DF">
        <w:rPr>
          <w:b/>
        </w:rPr>
        <w:t>Lauksaimniecības produkcijas indeksi</w:t>
      </w:r>
      <w:r>
        <w:rPr>
          <w:b/>
        </w:rPr>
        <w:br/>
      </w:r>
      <w:r w:rsidRPr="00A905DF">
        <w:rPr>
          <w:b/>
        </w:rPr>
        <w:t>(salīdzināmajās cenās, 2015=100</w:t>
      </w:r>
      <w:r>
        <w:rPr>
          <w:b/>
        </w:rPr>
        <w:t>)</w:t>
      </w:r>
    </w:p>
    <w:p w14:paraId="63A6E5E9" w14:textId="77777777" w:rsidR="00BF4556" w:rsidRPr="00103B48" w:rsidRDefault="00BF4556" w:rsidP="00895BB9">
      <w:pPr>
        <w:ind w:firstLine="0"/>
        <w:jc w:val="center"/>
        <w:rPr>
          <w:rFonts w:asciiTheme="minorHAnsi" w:hAnsiTheme="minorHAnsi" w:cstheme="minorBidi"/>
          <w:sz w:val="22"/>
          <w:szCs w:val="22"/>
        </w:rPr>
      </w:pPr>
      <w:r w:rsidRPr="00103B48">
        <w:rPr>
          <w:rFonts w:asciiTheme="minorHAnsi" w:hAnsiTheme="minorHAnsi" w:cstheme="minorBidi"/>
          <w:noProof/>
          <w:sz w:val="22"/>
          <w:szCs w:val="22"/>
          <w:lang w:eastAsia="lv-LV"/>
        </w:rPr>
        <w:drawing>
          <wp:inline distT="0" distB="0" distL="0" distR="0" wp14:anchorId="60990A4B" wp14:editId="2F22A2D3">
            <wp:extent cx="5660823" cy="2743200"/>
            <wp:effectExtent l="0" t="0" r="0" b="0"/>
            <wp:docPr id="24" name="Chart 24"/>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14:paraId="14CEF7CF" w14:textId="77777777" w:rsidR="00BF4556" w:rsidRDefault="00BF4556" w:rsidP="00BF4556">
      <w:pPr>
        <w:ind w:firstLine="720"/>
        <w:rPr>
          <w:rFonts w:eastAsia="Calibri"/>
          <w:szCs w:val="22"/>
        </w:rPr>
      </w:pPr>
      <w:r w:rsidRPr="00734C9D">
        <w:rPr>
          <w:rFonts w:eastAsia="Calibri"/>
          <w:szCs w:val="22"/>
        </w:rPr>
        <w:t>Lauksaimniecības produkcijas cenas pēc 4,6% kāpuma 2019</w:t>
      </w:r>
      <w:r>
        <w:rPr>
          <w:rFonts w:eastAsia="Calibri"/>
          <w:szCs w:val="22"/>
        </w:rPr>
        <w:t>. gad</w:t>
      </w:r>
      <w:r w:rsidRPr="00734C9D">
        <w:rPr>
          <w:rFonts w:eastAsia="Calibri"/>
          <w:szCs w:val="22"/>
        </w:rPr>
        <w:t>ā</w:t>
      </w:r>
      <w:r>
        <w:rPr>
          <w:rFonts w:eastAsia="Calibri"/>
          <w:szCs w:val="22"/>
        </w:rPr>
        <w:t xml:space="preserve">, 2020.gadā ir </w:t>
      </w:r>
      <w:r w:rsidRPr="00734C9D">
        <w:rPr>
          <w:rFonts w:eastAsia="Calibri"/>
          <w:szCs w:val="22"/>
        </w:rPr>
        <w:t>kritušās par 1,9%</w:t>
      </w:r>
      <w:r>
        <w:rPr>
          <w:rFonts w:eastAsia="Calibri"/>
          <w:szCs w:val="22"/>
        </w:rPr>
        <w:t>,</w:t>
      </w:r>
      <w:r w:rsidRPr="00734C9D">
        <w:rPr>
          <w:rFonts w:eastAsia="Calibri"/>
          <w:szCs w:val="22"/>
        </w:rPr>
        <w:t xml:space="preserve"> salīdzinot ar </w:t>
      </w:r>
      <w:r>
        <w:rPr>
          <w:rFonts w:eastAsia="Calibri"/>
          <w:szCs w:val="22"/>
        </w:rPr>
        <w:t>iepriekšējo</w:t>
      </w:r>
      <w:r w:rsidRPr="00734C9D">
        <w:rPr>
          <w:rFonts w:eastAsia="Calibri"/>
          <w:szCs w:val="22"/>
        </w:rPr>
        <w:t xml:space="preserve"> gadu. Tostarp augkopības produkcija</w:t>
      </w:r>
      <w:r>
        <w:rPr>
          <w:rFonts w:eastAsia="Calibri"/>
          <w:szCs w:val="22"/>
        </w:rPr>
        <w:t xml:space="preserve">s cenas pērn </w:t>
      </w:r>
      <w:r w:rsidRPr="00734C9D">
        <w:rPr>
          <w:rFonts w:eastAsia="Calibri"/>
          <w:szCs w:val="22"/>
        </w:rPr>
        <w:t>samazināju</w:t>
      </w:r>
      <w:r>
        <w:rPr>
          <w:rFonts w:eastAsia="Calibri"/>
          <w:szCs w:val="22"/>
        </w:rPr>
        <w:t>šās</w:t>
      </w:r>
      <w:r w:rsidRPr="00734C9D">
        <w:rPr>
          <w:rFonts w:eastAsia="Calibri"/>
          <w:szCs w:val="22"/>
        </w:rPr>
        <w:t xml:space="preserve"> par 2,1% un lopkopības produkcija</w:t>
      </w:r>
      <w:r>
        <w:rPr>
          <w:rFonts w:eastAsia="Calibri"/>
          <w:szCs w:val="22"/>
        </w:rPr>
        <w:t>s cenas</w:t>
      </w:r>
      <w:r w:rsidRPr="00734C9D">
        <w:rPr>
          <w:rFonts w:eastAsia="Calibri"/>
          <w:szCs w:val="22"/>
        </w:rPr>
        <w:t xml:space="preserve"> </w:t>
      </w:r>
      <w:r>
        <w:rPr>
          <w:rFonts w:eastAsia="Calibri"/>
          <w:szCs w:val="22"/>
        </w:rPr>
        <w:t xml:space="preserve">– </w:t>
      </w:r>
      <w:r w:rsidRPr="00734C9D">
        <w:rPr>
          <w:rFonts w:eastAsia="Calibri"/>
          <w:szCs w:val="22"/>
        </w:rPr>
        <w:t>par 3,7%, tajā s</w:t>
      </w:r>
      <w:r>
        <w:rPr>
          <w:rFonts w:eastAsia="Calibri"/>
          <w:szCs w:val="22"/>
        </w:rPr>
        <w:t>kaitā</w:t>
      </w:r>
      <w:r w:rsidRPr="00734C9D">
        <w:rPr>
          <w:rFonts w:eastAsia="Calibri"/>
          <w:szCs w:val="22"/>
        </w:rPr>
        <w:t xml:space="preserve"> piena produkcija</w:t>
      </w:r>
      <w:r>
        <w:rPr>
          <w:rFonts w:eastAsia="Calibri"/>
          <w:szCs w:val="22"/>
        </w:rPr>
        <w:t>s cenas</w:t>
      </w:r>
      <w:r w:rsidRPr="00734C9D">
        <w:rPr>
          <w:rFonts w:eastAsia="Calibri"/>
          <w:szCs w:val="22"/>
        </w:rPr>
        <w:t xml:space="preserve"> – par 4,1% (1.2</w:t>
      </w:r>
      <w:r>
        <w:rPr>
          <w:rFonts w:eastAsia="Calibri"/>
          <w:szCs w:val="22"/>
        </w:rPr>
        <w:t>4</w:t>
      </w:r>
      <w:r w:rsidRPr="00734C9D">
        <w:rPr>
          <w:rFonts w:eastAsia="Calibri"/>
          <w:szCs w:val="22"/>
        </w:rPr>
        <w:t>.</w:t>
      </w:r>
      <w:r>
        <w:rPr>
          <w:rFonts w:eastAsia="Calibri"/>
          <w:szCs w:val="22"/>
        </w:rPr>
        <w:t xml:space="preserve"> attēls</w:t>
      </w:r>
      <w:r w:rsidRPr="00734C9D">
        <w:rPr>
          <w:rFonts w:eastAsia="Calibri"/>
          <w:szCs w:val="22"/>
        </w:rPr>
        <w:t>). Savukārt š</w:t>
      </w:r>
      <w:r>
        <w:rPr>
          <w:rFonts w:eastAsia="Calibri"/>
          <w:szCs w:val="22"/>
        </w:rPr>
        <w:t>ā</w:t>
      </w:r>
      <w:r w:rsidRPr="00734C9D">
        <w:rPr>
          <w:rFonts w:eastAsia="Calibri"/>
          <w:szCs w:val="22"/>
        </w:rPr>
        <w:t xml:space="preserve"> gada pirmā pusgada cenās vērojams pieaugums 1,4% apmērā, par 2,7% pieaugot augkopības un par 0,6% lopkopības produkcijas cenām, tajā skaitā </w:t>
      </w:r>
      <w:r>
        <w:rPr>
          <w:rFonts w:eastAsia="Calibri"/>
          <w:szCs w:val="22"/>
        </w:rPr>
        <w:t xml:space="preserve">piena cenām </w:t>
      </w:r>
      <w:r w:rsidRPr="00734C9D">
        <w:rPr>
          <w:rFonts w:eastAsia="Calibri"/>
          <w:szCs w:val="22"/>
        </w:rPr>
        <w:t xml:space="preserve">par 5,4%. No augkopības produkcijas pirmajā pusgadā visstraujāk </w:t>
      </w:r>
      <w:r>
        <w:rPr>
          <w:rFonts w:eastAsia="Calibri"/>
          <w:szCs w:val="22"/>
        </w:rPr>
        <w:t>pie</w:t>
      </w:r>
      <w:r w:rsidRPr="00734C9D">
        <w:rPr>
          <w:rFonts w:eastAsia="Calibri"/>
          <w:szCs w:val="22"/>
        </w:rPr>
        <w:t xml:space="preserve">auga miežu cenas, turpretī lētāki </w:t>
      </w:r>
      <w:r>
        <w:rPr>
          <w:rFonts w:eastAsia="Calibri"/>
          <w:szCs w:val="22"/>
        </w:rPr>
        <w:t xml:space="preserve">ir </w:t>
      </w:r>
      <w:r w:rsidRPr="00734C9D">
        <w:rPr>
          <w:rFonts w:eastAsia="Calibri"/>
          <w:szCs w:val="22"/>
        </w:rPr>
        <w:t xml:space="preserve">kļuvuši kartupeļi. Savukārt lopkopībā strauji </w:t>
      </w:r>
      <w:r>
        <w:rPr>
          <w:rFonts w:eastAsia="Calibri"/>
          <w:szCs w:val="22"/>
        </w:rPr>
        <w:t xml:space="preserve">ir </w:t>
      </w:r>
      <w:r w:rsidRPr="00734C9D">
        <w:rPr>
          <w:rFonts w:eastAsia="Calibri"/>
          <w:szCs w:val="22"/>
        </w:rPr>
        <w:t>augusi broileru cena, tajā pašā laikā cūk</w:t>
      </w:r>
      <w:r>
        <w:rPr>
          <w:rFonts w:eastAsia="Calibri"/>
          <w:szCs w:val="22"/>
        </w:rPr>
        <w:t>u</w:t>
      </w:r>
      <w:r w:rsidRPr="00734C9D">
        <w:rPr>
          <w:rFonts w:eastAsia="Calibri"/>
          <w:szCs w:val="22"/>
        </w:rPr>
        <w:t xml:space="preserve"> cena strauji kritusi.</w:t>
      </w:r>
    </w:p>
    <w:p w14:paraId="630583B5" w14:textId="77777777" w:rsidR="00BF4556" w:rsidRPr="00A905DF" w:rsidRDefault="00BF4556" w:rsidP="00895BB9">
      <w:pPr>
        <w:keepNext/>
        <w:spacing w:before="120"/>
        <w:ind w:firstLine="0"/>
        <w:jc w:val="center"/>
        <w:rPr>
          <w:i/>
        </w:rPr>
      </w:pPr>
      <w:r w:rsidRPr="00A905DF">
        <w:rPr>
          <w:b/>
          <w:i/>
          <w:lang w:eastAsia="lv-LV"/>
        </w:rPr>
        <w:t>1.2</w:t>
      </w:r>
      <w:r>
        <w:rPr>
          <w:b/>
          <w:i/>
          <w:lang w:eastAsia="lv-LV"/>
        </w:rPr>
        <w:t>4</w:t>
      </w:r>
      <w:r w:rsidRPr="00A905DF">
        <w:rPr>
          <w:b/>
          <w:i/>
          <w:lang w:eastAsia="lv-LV"/>
        </w:rPr>
        <w:t xml:space="preserve">. attēls </w:t>
      </w:r>
      <w:r w:rsidRPr="00A905DF">
        <w:rPr>
          <w:b/>
          <w:lang w:eastAsia="lv-LV"/>
        </w:rPr>
        <w:t>Lauksaimniecības produkcijas cenas</w:t>
      </w:r>
      <w:r>
        <w:rPr>
          <w:b/>
          <w:lang w:eastAsia="lv-LV"/>
        </w:rPr>
        <w:t xml:space="preserve"> (</w:t>
      </w:r>
      <w:proofErr w:type="spellStart"/>
      <w:r w:rsidRPr="00A905DF">
        <w:rPr>
          <w:b/>
          <w:i/>
          <w:lang w:eastAsia="lv-LV"/>
        </w:rPr>
        <w:t>euro</w:t>
      </w:r>
      <w:proofErr w:type="spellEnd"/>
      <w:r w:rsidRPr="00A905DF">
        <w:rPr>
          <w:b/>
          <w:lang w:eastAsia="lv-LV"/>
        </w:rPr>
        <w:t xml:space="preserve"> par 1 tonnu</w:t>
      </w:r>
      <w:r>
        <w:rPr>
          <w:b/>
          <w:lang w:eastAsia="lv-LV"/>
        </w:rPr>
        <w:t>)</w:t>
      </w:r>
    </w:p>
    <w:p w14:paraId="659AA9D7" w14:textId="77777777" w:rsidR="00BF4556" w:rsidRPr="00103B48" w:rsidRDefault="00BF4556" w:rsidP="00895BB9">
      <w:pPr>
        <w:ind w:firstLine="0"/>
        <w:jc w:val="center"/>
        <w:rPr>
          <w:b/>
          <w:i/>
        </w:rPr>
      </w:pPr>
      <w:r w:rsidRPr="008928F4">
        <w:rPr>
          <w:noProof/>
          <w:sz w:val="22"/>
          <w:szCs w:val="22"/>
          <w:lang w:eastAsia="lv-LV"/>
        </w:rPr>
        <w:drawing>
          <wp:inline distT="0" distB="0" distL="0" distR="0" wp14:anchorId="5299DD95" wp14:editId="3AE2C001">
            <wp:extent cx="5644298" cy="2423795"/>
            <wp:effectExtent l="0" t="0" r="0" b="0"/>
            <wp:docPr id="25" name="Chart 25"/>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14:paraId="79729D4E" w14:textId="77777777" w:rsidR="00BF4556" w:rsidRDefault="00BF4556" w:rsidP="00BF4556">
      <w:pPr>
        <w:ind w:firstLine="720"/>
        <w:rPr>
          <w:rFonts w:eastAsia="Calibri"/>
          <w:szCs w:val="22"/>
        </w:rPr>
      </w:pPr>
      <w:r w:rsidRPr="00282A9C">
        <w:rPr>
          <w:rFonts w:eastAsia="Calibri"/>
          <w:szCs w:val="22"/>
        </w:rPr>
        <w:lastRenderedPageBreak/>
        <w:t>Mežsaimniecība un mežizstrāde, k</w:t>
      </w:r>
      <w:r>
        <w:rPr>
          <w:rFonts w:eastAsia="Calibri"/>
          <w:szCs w:val="22"/>
        </w:rPr>
        <w:t xml:space="preserve">as 2020. gadā veidoja 45% </w:t>
      </w:r>
      <w:r>
        <w:t>no Latvijas lauksaimniecības sektora, pagājušajā gadā palielinājās par</w:t>
      </w:r>
      <w:r>
        <w:rPr>
          <w:rFonts w:eastAsia="Calibri"/>
          <w:szCs w:val="22"/>
        </w:rPr>
        <w:t xml:space="preserve"> 1,1%, </w:t>
      </w:r>
      <w:r w:rsidRPr="0011722E">
        <w:rPr>
          <w:rFonts w:eastAsia="Calibri"/>
          <w:szCs w:val="22"/>
        </w:rPr>
        <w:t xml:space="preserve">gada sākumā nozarei sarūkot, </w:t>
      </w:r>
      <w:r>
        <w:rPr>
          <w:rFonts w:eastAsia="Calibri"/>
          <w:szCs w:val="22"/>
        </w:rPr>
        <w:t>bet</w:t>
      </w:r>
      <w:r w:rsidRPr="0011722E">
        <w:rPr>
          <w:rFonts w:eastAsia="Calibri"/>
          <w:szCs w:val="22"/>
        </w:rPr>
        <w:t xml:space="preserve"> pēdējā ceturksnī uzrādot strauju pieaugumu.</w:t>
      </w:r>
      <w:r>
        <w:rPr>
          <w:rFonts w:eastAsia="Calibri"/>
          <w:szCs w:val="22"/>
        </w:rPr>
        <w:t xml:space="preserve"> Š</w:t>
      </w:r>
      <w:r w:rsidRPr="0011722E">
        <w:rPr>
          <w:rFonts w:eastAsia="Calibri"/>
          <w:szCs w:val="22"/>
        </w:rPr>
        <w:t>ā gada pirmajā pusgadā</w:t>
      </w:r>
      <w:r>
        <w:rPr>
          <w:rFonts w:eastAsia="Calibri"/>
          <w:szCs w:val="22"/>
        </w:rPr>
        <w:t xml:space="preserve"> mežsaimniecībā un mežizstrādē</w:t>
      </w:r>
      <w:r w:rsidRPr="0011722E">
        <w:rPr>
          <w:rFonts w:eastAsia="Calibri"/>
          <w:szCs w:val="22"/>
        </w:rPr>
        <w:t xml:space="preserve"> </w:t>
      </w:r>
      <w:r>
        <w:rPr>
          <w:rFonts w:eastAsia="Calibri"/>
          <w:szCs w:val="22"/>
        </w:rPr>
        <w:t xml:space="preserve">bijis </w:t>
      </w:r>
      <w:r w:rsidRPr="0011722E">
        <w:rPr>
          <w:rFonts w:eastAsia="Calibri"/>
          <w:szCs w:val="22"/>
        </w:rPr>
        <w:t>samazinājums 1,4% apmērā,</w:t>
      </w:r>
      <w:r w:rsidRPr="000431D1">
        <w:t xml:space="preserve"> </w:t>
      </w:r>
      <w:r w:rsidRPr="000431D1">
        <w:rPr>
          <w:rFonts w:eastAsia="Calibri"/>
          <w:szCs w:val="22"/>
        </w:rPr>
        <w:t xml:space="preserve">lielākam sarukumam </w:t>
      </w:r>
      <w:r>
        <w:rPr>
          <w:rFonts w:eastAsia="Calibri"/>
          <w:szCs w:val="22"/>
        </w:rPr>
        <w:t>izpaužoties</w:t>
      </w:r>
      <w:r w:rsidRPr="000431D1">
        <w:rPr>
          <w:rFonts w:eastAsia="Calibri"/>
          <w:szCs w:val="22"/>
        </w:rPr>
        <w:t xml:space="preserve"> pirmajā ce</w:t>
      </w:r>
      <w:r>
        <w:rPr>
          <w:rFonts w:eastAsia="Calibri"/>
          <w:szCs w:val="22"/>
        </w:rPr>
        <w:t>turksnī, kad mežistrādes nozari var būt ietekmējuši laika apstākļi. Vienlaikus nozares attīstību šogad veicina strauji pieaugušās kokmateriālu cenas, stimulējot paplašināt mežistrādes apjomus un nodrošinot papildus resursus meža kopšanai un atjaunošanai.</w:t>
      </w:r>
    </w:p>
    <w:p w14:paraId="3D09B15F" w14:textId="77777777" w:rsidR="00BF4556" w:rsidRDefault="00BF4556" w:rsidP="00BF4556">
      <w:pPr>
        <w:rPr>
          <w:color w:val="000000" w:themeColor="text1"/>
        </w:rPr>
      </w:pPr>
      <w:r w:rsidRPr="00103B48">
        <w:t>Zivsaimniecība ir pārliecinoši mazākā no lauksaimniecības nozarēm, veidojot 3% no lauksaimniecības pievienotās vērtības. Pērn zivsaimniecība</w:t>
      </w:r>
      <w:r>
        <w:t xml:space="preserve">s </w:t>
      </w:r>
      <w:r w:rsidRPr="00103B48">
        <w:t>pievienotā</w:t>
      </w:r>
      <w:r>
        <w:t xml:space="preserve"> </w:t>
      </w:r>
      <w:r w:rsidRPr="00103B48">
        <w:t>vērtība samazināj</w:t>
      </w:r>
      <w:r>
        <w:t>ās par</w:t>
      </w:r>
      <w:r w:rsidRPr="00103B48">
        <w:t xml:space="preserve"> 5,8%, ko ietekmēja straujš kritums pirmajā pusgadā. Savukārt</w:t>
      </w:r>
      <w:r>
        <w:t xml:space="preserve"> šā gada pirmajā pusgadā</w:t>
      </w:r>
      <w:r w:rsidRPr="00103B48">
        <w:t xml:space="preserve"> </w:t>
      </w:r>
      <w:r w:rsidRPr="0051060C">
        <w:rPr>
          <w:color w:val="000000" w:themeColor="text1"/>
        </w:rPr>
        <w:t xml:space="preserve">zivsaimniecības pievienotā vērtība </w:t>
      </w:r>
      <w:r>
        <w:rPr>
          <w:color w:val="000000" w:themeColor="text1"/>
        </w:rPr>
        <w:t xml:space="preserve">ir </w:t>
      </w:r>
      <w:r w:rsidRPr="0051060C">
        <w:rPr>
          <w:color w:val="000000" w:themeColor="text1"/>
        </w:rPr>
        <w:t>augusi par 23,4%.</w:t>
      </w:r>
    </w:p>
    <w:p w14:paraId="37E6630D" w14:textId="77777777" w:rsidR="00BF4556" w:rsidRDefault="00BF4556" w:rsidP="00BF4556">
      <w:pPr>
        <w:rPr>
          <w:color w:val="000000" w:themeColor="text1"/>
        </w:rPr>
      </w:pPr>
      <w:r>
        <w:rPr>
          <w:color w:val="000000" w:themeColor="text1"/>
        </w:rPr>
        <w:t>2021. gadā lauksaimniecības nozares attīstību pozitīvi var ietekmēt cenu pieaugums, kas atsācies pēc Covid-19 krīzes, taču karstie laika apstākļi un mazais nokrišņu daudzums vasarā var būt samazinājis ražas apjomus.</w:t>
      </w:r>
    </w:p>
    <w:p w14:paraId="53154DB6" w14:textId="72C57322" w:rsidR="00EF1D74" w:rsidRDefault="00EF1D74" w:rsidP="00EF1D74">
      <w:pPr>
        <w:keepNext/>
        <w:keepLines/>
        <w:spacing w:before="240" w:after="240"/>
        <w:ind w:firstLine="0"/>
        <w:jc w:val="center"/>
        <w:outlineLvl w:val="2"/>
        <w:rPr>
          <w:b/>
          <w:bCs/>
          <w:sz w:val="32"/>
          <w:szCs w:val="32"/>
        </w:rPr>
      </w:pPr>
      <w:r w:rsidRPr="00EF1D74">
        <w:rPr>
          <w:b/>
          <w:bCs/>
          <w:sz w:val="32"/>
          <w:szCs w:val="32"/>
        </w:rPr>
        <w:t>1.2.3. Inflācija</w:t>
      </w:r>
    </w:p>
    <w:p w14:paraId="0CEF2C01" w14:textId="77777777" w:rsidR="0016040A" w:rsidRPr="00BF76AF" w:rsidRDefault="0016040A" w:rsidP="0016040A">
      <w:pPr>
        <w:ind w:firstLine="720"/>
        <w:rPr>
          <w:rFonts w:eastAsia="Calibri"/>
          <w:szCs w:val="22"/>
        </w:rPr>
      </w:pPr>
      <w:r w:rsidRPr="00BF76AF">
        <w:rPr>
          <w:rFonts w:eastAsia="Calibri"/>
          <w:szCs w:val="22"/>
        </w:rPr>
        <w:t>2020</w:t>
      </w:r>
      <w:r>
        <w:rPr>
          <w:rFonts w:eastAsia="Calibri"/>
          <w:szCs w:val="22"/>
        </w:rPr>
        <w:t>. gad</w:t>
      </w:r>
      <w:r w:rsidRPr="00BF76AF">
        <w:rPr>
          <w:rFonts w:eastAsia="Calibri"/>
          <w:szCs w:val="22"/>
        </w:rPr>
        <w:t>ā patēriņa cenas Latvijā pieauga par 0,2%. Pandēmija būtiski izmainīja patēriņa cenu dinamiku gan Eiropā, gan Latvijā. Ja vēl pērn janvārī un februārī gada inflācija Latvijā pārsniedza 2%, tad 2020</w:t>
      </w:r>
      <w:r>
        <w:rPr>
          <w:rFonts w:eastAsia="Calibri"/>
          <w:szCs w:val="22"/>
        </w:rPr>
        <w:t>. gad</w:t>
      </w:r>
      <w:r w:rsidRPr="00BF76AF">
        <w:rPr>
          <w:rFonts w:eastAsia="Calibri"/>
          <w:szCs w:val="22"/>
        </w:rPr>
        <w:t>a maijā un jūnijā pirmo reizi kopš 2016</w:t>
      </w:r>
      <w:r>
        <w:rPr>
          <w:rFonts w:eastAsia="Calibri"/>
          <w:szCs w:val="22"/>
        </w:rPr>
        <w:t>. gad</w:t>
      </w:r>
      <w:r w:rsidRPr="00BF76AF">
        <w:rPr>
          <w:rFonts w:eastAsia="Calibri"/>
          <w:szCs w:val="22"/>
        </w:rPr>
        <w:t xml:space="preserve">a vidus bija fiksēta deflācija. </w:t>
      </w:r>
      <w:r>
        <w:rPr>
          <w:rFonts w:eastAsia="Calibri"/>
          <w:szCs w:val="22"/>
        </w:rPr>
        <w:t>Pērnā gada j</w:t>
      </w:r>
      <w:r w:rsidRPr="00BF76AF">
        <w:rPr>
          <w:rFonts w:eastAsia="Calibri"/>
          <w:szCs w:val="22"/>
        </w:rPr>
        <w:t>ūlijā īslaicīgi bija novērojama inflācija – patēriņa cenas pieauga par 0,5% gada izteiksmē, ko lielā mērā noteica pārtikas cenu pieaugums. Savukārt jau augustā atkal bija deflācija, kas saglabājās līdz 2020</w:t>
      </w:r>
      <w:r>
        <w:rPr>
          <w:rFonts w:eastAsia="Calibri"/>
          <w:szCs w:val="22"/>
        </w:rPr>
        <w:t>. gad</w:t>
      </w:r>
      <w:r w:rsidRPr="00BF76AF">
        <w:rPr>
          <w:rFonts w:eastAsia="Calibri"/>
          <w:szCs w:val="22"/>
        </w:rPr>
        <w:t>a beigām.</w:t>
      </w:r>
    </w:p>
    <w:p w14:paraId="4E77CD4C" w14:textId="77777777" w:rsidR="0016040A" w:rsidRPr="00BF76AF" w:rsidRDefault="0016040A" w:rsidP="0016040A">
      <w:pPr>
        <w:ind w:firstLine="720"/>
        <w:rPr>
          <w:rFonts w:eastAsia="Calibri"/>
          <w:szCs w:val="22"/>
        </w:rPr>
      </w:pPr>
      <w:r w:rsidRPr="00BF76AF">
        <w:rPr>
          <w:rFonts w:eastAsia="Calibri"/>
          <w:szCs w:val="22"/>
        </w:rPr>
        <w:t>Straujo patēriņa cenu kritumu samērā īsā laika periodā noteica gan ārējie, gan iekšējie faktori, tomēr abos gadījumos cenu kritums ir saistīts ar Covid-19 pandēmijas sekām. Pandēmijas dēļ visā pasaulē samazinājās ekonomiskā aktivitāte un pieprasījums pēc energoresursiem, tādējādi naftas cena 2020</w:t>
      </w:r>
      <w:r>
        <w:rPr>
          <w:rFonts w:eastAsia="Calibri"/>
          <w:szCs w:val="22"/>
        </w:rPr>
        <w:t>. gad</w:t>
      </w:r>
      <w:r w:rsidRPr="00BF76AF">
        <w:rPr>
          <w:rFonts w:eastAsia="Calibri"/>
          <w:szCs w:val="22"/>
        </w:rPr>
        <w:t xml:space="preserve">a aprīlī piedzīvoja kritumu līdz zemākajam līmenim pēdējo 16 gadu laikā. Rezultātā Latvijā strauji samazinājās gāzes, degvielas un siltumenerģijas cenas. Savukārt ārkārtējās situācijas izsludināšana gan Latvijā, gan pārējās pasaules valstīs, kā arī ieviestie pasākumiem cīņai pret </w:t>
      </w:r>
      <w:proofErr w:type="spellStart"/>
      <w:r w:rsidRPr="00BF76AF">
        <w:rPr>
          <w:rFonts w:eastAsia="Calibri"/>
          <w:szCs w:val="22"/>
        </w:rPr>
        <w:t>koronovīrusa</w:t>
      </w:r>
      <w:proofErr w:type="spellEnd"/>
      <w:r w:rsidRPr="00BF76AF">
        <w:rPr>
          <w:rFonts w:eastAsia="Calibri"/>
          <w:szCs w:val="22"/>
        </w:rPr>
        <w:t xml:space="preserve"> izplatību mazināja pieprasījumu ar tūrisma nozari saistītajiem pakalpojumiem, kā piemēram, aviopārvadājumiem un izmitināšanas pakalpojumiem. Tā rezultātā saruka arī šo pakalpojumu cenas. Kopumā 2020</w:t>
      </w:r>
      <w:r>
        <w:rPr>
          <w:rFonts w:eastAsia="Calibri"/>
          <w:szCs w:val="22"/>
        </w:rPr>
        <w:t>. gad</w:t>
      </w:r>
      <w:r w:rsidRPr="00BF76AF">
        <w:rPr>
          <w:rFonts w:eastAsia="Calibri"/>
          <w:szCs w:val="22"/>
        </w:rPr>
        <w:t>ā preču cenas vidēji samazinājās par 0,5%, bet pakalpojumu cenas palielinājās vidēji par 1,9%. Lai arī pakalpojumu cenas pērn palielinājās, fiksētais kāpums bija gandrīz uz pusi mazāks nekā iepriekšējos gados.</w:t>
      </w:r>
    </w:p>
    <w:p w14:paraId="650BB985" w14:textId="77777777" w:rsidR="0016040A" w:rsidRPr="00BF76AF" w:rsidRDefault="0016040A" w:rsidP="0016040A">
      <w:pPr>
        <w:ind w:firstLine="720"/>
        <w:rPr>
          <w:rFonts w:eastAsia="Calibri"/>
          <w:szCs w:val="22"/>
        </w:rPr>
      </w:pPr>
      <w:r w:rsidRPr="00BF76AF">
        <w:rPr>
          <w:rFonts w:eastAsia="Calibri"/>
          <w:szCs w:val="22"/>
        </w:rPr>
        <w:t>2021</w:t>
      </w:r>
      <w:r>
        <w:rPr>
          <w:rFonts w:eastAsia="Calibri"/>
          <w:szCs w:val="22"/>
        </w:rPr>
        <w:t>. gad</w:t>
      </w:r>
      <w:r w:rsidRPr="00BF76AF">
        <w:rPr>
          <w:rFonts w:eastAsia="Calibri"/>
          <w:szCs w:val="22"/>
        </w:rPr>
        <w:t>a astoņos mēnešos patēriņa cenu līmenis Latvijā bija par 1,6% augstāks nekā pērn attiecīgajā periodā</w:t>
      </w:r>
      <w:r>
        <w:rPr>
          <w:rFonts w:eastAsia="Calibri"/>
          <w:szCs w:val="22"/>
        </w:rPr>
        <w:t xml:space="preserve"> </w:t>
      </w:r>
      <w:r w:rsidRPr="00BF76AF">
        <w:rPr>
          <w:rFonts w:eastAsia="Calibri"/>
          <w:szCs w:val="22"/>
        </w:rPr>
        <w:t>(</w:t>
      </w:r>
      <w:r>
        <w:rPr>
          <w:rFonts w:eastAsia="Calibri"/>
          <w:szCs w:val="22"/>
        </w:rPr>
        <w:t>1.2.</w:t>
      </w:r>
      <w:r w:rsidRPr="00BF76AF">
        <w:rPr>
          <w:rFonts w:eastAsia="Calibri"/>
          <w:szCs w:val="22"/>
        </w:rPr>
        <w:t xml:space="preserve"> tab</w:t>
      </w:r>
      <w:r>
        <w:rPr>
          <w:rFonts w:eastAsia="Calibri"/>
          <w:szCs w:val="22"/>
        </w:rPr>
        <w:t>ula un 1.25. attēls</w:t>
      </w:r>
      <w:r w:rsidRPr="00BF76AF">
        <w:rPr>
          <w:rFonts w:eastAsia="Calibri"/>
          <w:szCs w:val="22"/>
        </w:rPr>
        <w:t xml:space="preserve">). Neskatoties uz to, ka inflācija šajā periodā kopumā bija mērena, cenu izmaiņas gada sākumā un vēlākajos mēnešos būtiski atšķiras. </w:t>
      </w:r>
      <w:r>
        <w:rPr>
          <w:rFonts w:eastAsia="Calibri"/>
          <w:szCs w:val="22"/>
        </w:rPr>
        <w:t>Šā gada</w:t>
      </w:r>
      <w:r w:rsidRPr="00BF76AF">
        <w:rPr>
          <w:rFonts w:eastAsia="Calibri"/>
          <w:szCs w:val="22"/>
        </w:rPr>
        <w:t xml:space="preserve"> janvārī un februārī Latvijā turpinājās deflācija un kopumā bija saglabājusies iepriekšējā gada nogales tendence, kad patēriņa cenu līm</w:t>
      </w:r>
      <w:r>
        <w:rPr>
          <w:rFonts w:eastAsia="Calibri"/>
          <w:szCs w:val="22"/>
        </w:rPr>
        <w:t>enis bija krītošs. Savukārt</w:t>
      </w:r>
      <w:r w:rsidRPr="00BF76AF">
        <w:rPr>
          <w:rFonts w:eastAsia="Calibri"/>
          <w:szCs w:val="22"/>
        </w:rPr>
        <w:t xml:space="preserve"> martā patēriņa cenas pirmo reizi kopš pērnā gada augusta palielinājās – par 0,3% gada izteiksmē. Kopš pandēmijas sākuma bija pagājis viens gads, tādējādi, mazinoties Covid-19 krīzes negatīvajiem faktoriem un izzūdot bāzes efektiem, deflācijas periods Latvijā, ko izraisīja pandēmija, bija beidzies. Turpmākajos mēnešos cenu pieaugums paātrinājās no 1,7% aprīlī līdz 3,7% augustā, inflācijas spiedienam kļūstot arvien pamanāmākam ikdienas tēriņos.</w:t>
      </w:r>
    </w:p>
    <w:p w14:paraId="0DD90626" w14:textId="77777777" w:rsidR="0016040A" w:rsidRPr="00BF76AF" w:rsidRDefault="0016040A" w:rsidP="0016040A">
      <w:pPr>
        <w:ind w:firstLine="720"/>
        <w:rPr>
          <w:rFonts w:eastAsia="Calibri"/>
          <w:szCs w:val="22"/>
        </w:rPr>
      </w:pPr>
      <w:r w:rsidRPr="00BF76AF">
        <w:rPr>
          <w:rFonts w:eastAsia="Calibri"/>
          <w:szCs w:val="22"/>
        </w:rPr>
        <w:t>Patē</w:t>
      </w:r>
      <w:r>
        <w:rPr>
          <w:rFonts w:eastAsia="Calibri"/>
          <w:szCs w:val="22"/>
        </w:rPr>
        <w:t>riņa cenu paātrinājumu kopš šā gada</w:t>
      </w:r>
      <w:r w:rsidRPr="00BF76AF">
        <w:rPr>
          <w:rFonts w:eastAsia="Calibri"/>
          <w:szCs w:val="22"/>
        </w:rPr>
        <w:t xml:space="preserve"> aprīļa noteica vairāki faktori. Viens no faktoriem bija bāzes efekts, jo sākot no pērna gada maija un līdz gada beigām, izņemot jūliju, Latvijā bija fiksēta deflācija. Tomēr noteicošā loma bija izejvielu cenu kāpumam, kas atspoguļojās augošajās energoresursu un pārtikas cenās. </w:t>
      </w:r>
      <w:r>
        <w:rPr>
          <w:rFonts w:eastAsia="Calibri"/>
          <w:szCs w:val="22"/>
        </w:rPr>
        <w:t>P</w:t>
      </w:r>
      <w:r w:rsidRPr="00BF76AF">
        <w:rPr>
          <w:rFonts w:eastAsia="Calibri"/>
          <w:szCs w:val="22"/>
        </w:rPr>
        <w:t xml:space="preserve">ašreizējo patēriņa cenu dinamiku </w:t>
      </w:r>
      <w:r w:rsidRPr="00BF76AF">
        <w:rPr>
          <w:rFonts w:eastAsia="Calibri"/>
          <w:szCs w:val="22"/>
        </w:rPr>
        <w:lastRenderedPageBreak/>
        <w:t>nosaka galvenokārt ārējie faktori, t.i., naftas un gāzes, kā arī pārtikas cenu pieaugums pasaulē, transportēšanas izmaksu pieaugums, ko ietekmē gan augstākas degvielas cenas, gan piegāžu traucējumi pandēmijas dēļ saistībā ar ierobežojumiem visā pasaulē. Papildus tam cenu dinamiku nosaka pasaules ekonomikas atkopšanās no pandēmijas un līdz ar to augošais preču pieprasījums, kas apsteidz piedāvājumu. Ja iepriekšējā gadā tieši ārējie faktori noteica deflāciju Latvijā a</w:t>
      </w:r>
      <w:r>
        <w:rPr>
          <w:rFonts w:eastAsia="Calibri"/>
          <w:szCs w:val="22"/>
        </w:rPr>
        <w:t>tsevišķos mēnešos, tad šogad</w:t>
      </w:r>
      <w:r w:rsidRPr="00BF76AF">
        <w:rPr>
          <w:rFonts w:eastAsia="Calibri"/>
          <w:szCs w:val="22"/>
        </w:rPr>
        <w:t xml:space="preserve"> vērojama pretēja situācija – importētā inflācija būs ievērojam</w:t>
      </w:r>
      <w:r>
        <w:rPr>
          <w:rFonts w:eastAsia="Calibri"/>
          <w:szCs w:val="22"/>
        </w:rPr>
        <w:t>i</w:t>
      </w:r>
      <w:r w:rsidRPr="00BF76AF">
        <w:rPr>
          <w:rFonts w:eastAsia="Calibri"/>
          <w:szCs w:val="22"/>
        </w:rPr>
        <w:t xml:space="preserve"> augstāka nekā pamatinflācija. Vienlaicīgi jāatzīmē, ka tādos pakalpojumu sektoros kā izmitināšana un pasažieru aviopārvadājumi pandēmijas ietekme joprojām būs jūtama, jo šajos sektoros cenas </w:t>
      </w:r>
      <w:r>
        <w:rPr>
          <w:rFonts w:eastAsia="Calibri"/>
          <w:szCs w:val="22"/>
        </w:rPr>
        <w:t>šā gada</w:t>
      </w:r>
      <w:r w:rsidRPr="00BF76AF">
        <w:rPr>
          <w:rFonts w:eastAsia="Calibri"/>
          <w:szCs w:val="22"/>
        </w:rPr>
        <w:t xml:space="preserve"> pirmajos astoņos mēnešos turpināja samazināties.</w:t>
      </w:r>
    </w:p>
    <w:p w14:paraId="59CDA9AF" w14:textId="77777777" w:rsidR="0016040A" w:rsidRPr="00BF76AF" w:rsidRDefault="0016040A" w:rsidP="0016040A">
      <w:pPr>
        <w:ind w:firstLine="720"/>
        <w:rPr>
          <w:rFonts w:eastAsia="Calibri"/>
          <w:szCs w:val="22"/>
        </w:rPr>
      </w:pPr>
      <w:r w:rsidRPr="00BF76AF">
        <w:rPr>
          <w:rFonts w:eastAsia="Calibri"/>
          <w:szCs w:val="22"/>
        </w:rPr>
        <w:t xml:space="preserve">Lielāko devumu patēriņa cenu pieaugumā </w:t>
      </w:r>
      <w:r>
        <w:rPr>
          <w:rFonts w:eastAsia="Calibri"/>
          <w:szCs w:val="22"/>
        </w:rPr>
        <w:t>šā gada</w:t>
      </w:r>
      <w:r w:rsidRPr="00BF76AF">
        <w:rPr>
          <w:rFonts w:eastAsia="Calibri"/>
          <w:szCs w:val="22"/>
        </w:rPr>
        <w:t xml:space="preserve"> astoņos mēnešos noteica degvielas cenu kāpums par 11,2% salīdzinājumā ar pagājušā gada attiecīgo periodu, izskaidrojot 0,6 procentpunktus no fiksētās 1,6% inflācijas. Šā gada sākumā degvielas cenas gada izteiksmē turpināja samazināties, bet martā sākās straujš cenu pieaugums. Maijā degvielas </w:t>
      </w:r>
      <w:r w:rsidRPr="00F305DE">
        <w:rPr>
          <w:rFonts w:eastAsia="Calibri"/>
          <w:szCs w:val="22"/>
        </w:rPr>
        <w:t xml:space="preserve">cenas pieauga par 29,5% salīdzinājumā ar iepriekšējā gada maiju, kas bija straujākais kāpums kopš 2010. gada sākuma un sasniedza šā gada cenu pieauguma maksimumu, bet jūlijā un augustā tās pieauga attiecīgi par 17,8% un 19,1%. Šādu pieaugumu varētu uzskatīt par ļoti strauju, tomēr dīzeļdegvielas vidējā cena Latvijā šā gada augustā bija 1,25 </w:t>
      </w:r>
      <w:proofErr w:type="spellStart"/>
      <w:r w:rsidRPr="00F305DE">
        <w:rPr>
          <w:rFonts w:eastAsia="Calibri"/>
          <w:i/>
          <w:szCs w:val="22"/>
        </w:rPr>
        <w:t>euro</w:t>
      </w:r>
      <w:proofErr w:type="spellEnd"/>
      <w:r w:rsidRPr="00F305DE">
        <w:rPr>
          <w:rFonts w:eastAsia="Calibri"/>
          <w:szCs w:val="22"/>
        </w:rPr>
        <w:t xml:space="preserve"> par litru, kas atbilst 2020. gada janvāra līmenim jeb </w:t>
      </w:r>
      <w:proofErr w:type="spellStart"/>
      <w:r w:rsidRPr="00F305DE">
        <w:rPr>
          <w:rFonts w:eastAsia="Calibri"/>
          <w:szCs w:val="22"/>
        </w:rPr>
        <w:t>pirmspandēmijas</w:t>
      </w:r>
      <w:proofErr w:type="spellEnd"/>
      <w:r w:rsidRPr="00F305DE">
        <w:rPr>
          <w:rFonts w:eastAsia="Calibri"/>
          <w:szCs w:val="22"/>
        </w:rPr>
        <w:t xml:space="preserve"> līmenim, pirms naftas cena pasaules biržās sāka strauji samazināties un 2020. gada augustā 1 litrs dīzeļdegvielas jau maksāja 1,05 </w:t>
      </w:r>
      <w:proofErr w:type="spellStart"/>
      <w:r w:rsidRPr="00F305DE">
        <w:rPr>
          <w:rFonts w:eastAsia="Calibri"/>
          <w:i/>
          <w:szCs w:val="22"/>
        </w:rPr>
        <w:t>euro</w:t>
      </w:r>
      <w:proofErr w:type="spellEnd"/>
      <w:r w:rsidRPr="00F305DE">
        <w:rPr>
          <w:rFonts w:eastAsia="Calibri"/>
          <w:szCs w:val="22"/>
        </w:rPr>
        <w:t xml:space="preserve">. Tādējādi straujo degvielas cenu pieaugumu ietekmē zemā bāze. </w:t>
      </w:r>
      <w:r>
        <w:rPr>
          <w:rFonts w:eastAsia="Calibri"/>
          <w:szCs w:val="22"/>
        </w:rPr>
        <w:t>Līdz septembrim</w:t>
      </w:r>
      <w:r w:rsidRPr="00F305DE">
        <w:rPr>
          <w:rFonts w:eastAsia="Calibri"/>
          <w:szCs w:val="22"/>
        </w:rPr>
        <w:t xml:space="preserve"> </w:t>
      </w:r>
      <w:proofErr w:type="spellStart"/>
      <w:r w:rsidRPr="00F305DE">
        <w:rPr>
          <w:rFonts w:eastAsia="Calibri"/>
          <w:i/>
          <w:szCs w:val="22"/>
        </w:rPr>
        <w:t>Brent</w:t>
      </w:r>
      <w:proofErr w:type="spellEnd"/>
      <w:r w:rsidRPr="00F305DE">
        <w:rPr>
          <w:rFonts w:eastAsia="Calibri"/>
          <w:szCs w:val="22"/>
        </w:rPr>
        <w:t xml:space="preserve"> markas jēlnaftas cena ir palielinājusies </w:t>
      </w:r>
      <w:r>
        <w:rPr>
          <w:rFonts w:eastAsia="Calibri"/>
          <w:szCs w:val="22"/>
        </w:rPr>
        <w:t xml:space="preserve">līdz 75 ASV dolāriem par barelu, kas ir </w:t>
      </w:r>
      <w:r w:rsidRPr="00F305DE">
        <w:rPr>
          <w:rFonts w:eastAsia="Calibri"/>
          <w:szCs w:val="22"/>
        </w:rPr>
        <w:t>gandrīz divas reizes</w:t>
      </w:r>
      <w:r>
        <w:rPr>
          <w:rFonts w:eastAsia="Calibri"/>
          <w:szCs w:val="22"/>
        </w:rPr>
        <w:t xml:space="preserve"> vairāk</w:t>
      </w:r>
      <w:r w:rsidRPr="00F305DE">
        <w:rPr>
          <w:rFonts w:eastAsia="Calibri"/>
          <w:szCs w:val="22"/>
        </w:rPr>
        <w:t xml:space="preserve"> nekā pirms gada. Turpmākās naftas cenu svārstības noteiks</w:t>
      </w:r>
      <w:r w:rsidRPr="00BF76AF">
        <w:rPr>
          <w:rFonts w:eastAsia="Calibri"/>
          <w:szCs w:val="22"/>
        </w:rPr>
        <w:t xml:space="preserve"> pieprasījuma apjoms atkarībā no pasaules ekonomikas attīstības tempiem. Sagaidāms, ka degvielas cenu pieaugums arī turpmākajos mēnešos gada izteiksmē būs augsts un saglabāsies kā galvenais inflāciju ietekmējošais faktors, tomēr pieauguma temps pakāpeniski mazināsies.</w:t>
      </w:r>
    </w:p>
    <w:p w14:paraId="41F37C29" w14:textId="77777777" w:rsidR="0016040A" w:rsidRPr="00BF76AF" w:rsidRDefault="0016040A" w:rsidP="0016040A">
      <w:pPr>
        <w:ind w:firstLine="720"/>
        <w:rPr>
          <w:rFonts w:eastAsia="Calibri"/>
          <w:szCs w:val="22"/>
        </w:rPr>
      </w:pPr>
      <w:r w:rsidRPr="00BF76AF">
        <w:rPr>
          <w:rFonts w:eastAsia="Calibri"/>
          <w:szCs w:val="22"/>
        </w:rPr>
        <w:t>Naftas un gāzes cenu pieaugums pasaulē ietekmē arī ar mājokli saistīto pakalpojumu cenas. Mājokļu apsaimniekošanas izdevumi šā gada astoņos mēnešos palielinājās par 0,3% salīdzinājumā ar pērnā gada attiecīgo periodu. Šo pakalpojumu vidējais pieaugums astoņos mēnešos bija zems, tomēr līdz gada</w:t>
      </w:r>
      <w:r>
        <w:rPr>
          <w:rFonts w:eastAsia="Calibri"/>
          <w:szCs w:val="22"/>
        </w:rPr>
        <w:t xml:space="preserve"> beigām</w:t>
      </w:r>
      <w:r w:rsidRPr="00BF76AF">
        <w:rPr>
          <w:rFonts w:eastAsia="Calibri"/>
          <w:szCs w:val="22"/>
        </w:rPr>
        <w:t xml:space="preserve"> tas palielināsies. Augustā mājokļu uzturēšanas pakalpojumu cena gada gr</w:t>
      </w:r>
      <w:r>
        <w:rPr>
          <w:rFonts w:eastAsia="Calibri"/>
          <w:szCs w:val="22"/>
        </w:rPr>
        <w:t>iezumā palielinājās par 6,8%. Tā</w:t>
      </w:r>
      <w:r w:rsidRPr="00BF76AF">
        <w:rPr>
          <w:rFonts w:eastAsia="Calibri"/>
          <w:szCs w:val="22"/>
        </w:rPr>
        <w:t xml:space="preserve"> pamatā bija cenu pieaugums tādiem komunālajiem pakalpojumiem kā gāze (+36,4%), siltumenerģija (+6,1%) un elektrība (+7,8%), jo jūlijā </w:t>
      </w:r>
      <w:r>
        <w:rPr>
          <w:rFonts w:eastAsia="Calibri"/>
          <w:szCs w:val="22"/>
        </w:rPr>
        <w:t>tika</w:t>
      </w:r>
      <w:r w:rsidRPr="00BF76AF">
        <w:rPr>
          <w:rFonts w:eastAsia="Calibri"/>
          <w:szCs w:val="22"/>
        </w:rPr>
        <w:t xml:space="preserve"> pārskatīti gāzes tarifi, bet augustā tika palielināts elektroenerģijas tarifs, kā arī siltumenerģijas tarifs Rīgā. Tādējādi, lai arī astoņos mēnešos mājokļu uzturēšanas pakalpojumi vidēji uzrādīja nebūtisku pieaugumu, tomēr sākot </w:t>
      </w:r>
      <w:r>
        <w:rPr>
          <w:rFonts w:eastAsia="Calibri"/>
          <w:szCs w:val="22"/>
        </w:rPr>
        <w:t>ar</w:t>
      </w:r>
      <w:r w:rsidRPr="00BF76AF">
        <w:rPr>
          <w:rFonts w:eastAsia="Calibri"/>
          <w:szCs w:val="22"/>
        </w:rPr>
        <w:t xml:space="preserve"> august</w:t>
      </w:r>
      <w:r>
        <w:rPr>
          <w:rFonts w:eastAsia="Calibri"/>
          <w:szCs w:val="22"/>
        </w:rPr>
        <w:t>u</w:t>
      </w:r>
      <w:r w:rsidRPr="00BF76AF">
        <w:rPr>
          <w:rFonts w:eastAsia="Calibri"/>
          <w:szCs w:val="22"/>
        </w:rPr>
        <w:t xml:space="preserve"> kāpums ir ievērojams, kas paātrināsies arī </w:t>
      </w:r>
      <w:r>
        <w:rPr>
          <w:rFonts w:eastAsia="Calibri"/>
          <w:szCs w:val="22"/>
        </w:rPr>
        <w:t xml:space="preserve">šā gada </w:t>
      </w:r>
      <w:r w:rsidRPr="00BF76AF">
        <w:rPr>
          <w:rFonts w:eastAsia="Calibri"/>
          <w:szCs w:val="22"/>
        </w:rPr>
        <w:t xml:space="preserve">septembrī, </w:t>
      </w:r>
      <w:r>
        <w:rPr>
          <w:rFonts w:eastAsia="Calibri"/>
          <w:szCs w:val="22"/>
        </w:rPr>
        <w:t xml:space="preserve">ko ietekmēs atkārtots </w:t>
      </w:r>
      <w:r w:rsidRPr="00BF76AF">
        <w:rPr>
          <w:rFonts w:eastAsia="Calibri"/>
          <w:szCs w:val="22"/>
        </w:rPr>
        <w:t>siltumenerģijas tarif</w:t>
      </w:r>
      <w:r>
        <w:rPr>
          <w:rFonts w:eastAsia="Calibri"/>
          <w:szCs w:val="22"/>
        </w:rPr>
        <w:t>a palielinājum</w:t>
      </w:r>
      <w:r w:rsidRPr="00BF76AF">
        <w:rPr>
          <w:rFonts w:eastAsia="Calibri"/>
          <w:szCs w:val="22"/>
        </w:rPr>
        <w:t>s Rīgā.</w:t>
      </w:r>
    </w:p>
    <w:p w14:paraId="34EF05B7" w14:textId="77777777" w:rsidR="0016040A" w:rsidRPr="00BF76AF" w:rsidRDefault="0016040A" w:rsidP="0016040A">
      <w:pPr>
        <w:ind w:firstLine="720"/>
        <w:rPr>
          <w:rFonts w:eastAsia="Calibri"/>
          <w:szCs w:val="22"/>
        </w:rPr>
      </w:pPr>
      <w:r w:rsidRPr="00BF76AF">
        <w:rPr>
          <w:rFonts w:eastAsia="Calibri"/>
          <w:szCs w:val="22"/>
        </w:rPr>
        <w:t>Pārtikas cenas Latvijā š</w:t>
      </w:r>
      <w:r>
        <w:rPr>
          <w:rFonts w:eastAsia="Calibri"/>
          <w:szCs w:val="22"/>
        </w:rPr>
        <w:t xml:space="preserve">ā </w:t>
      </w:r>
      <w:r w:rsidRPr="00BF76AF">
        <w:rPr>
          <w:rFonts w:eastAsia="Calibri"/>
          <w:szCs w:val="22"/>
        </w:rPr>
        <w:t>g</w:t>
      </w:r>
      <w:r>
        <w:rPr>
          <w:rFonts w:eastAsia="Calibri"/>
          <w:szCs w:val="22"/>
        </w:rPr>
        <w:t>ada</w:t>
      </w:r>
      <w:r w:rsidRPr="00BF76AF">
        <w:rPr>
          <w:rFonts w:eastAsia="Calibri"/>
          <w:szCs w:val="22"/>
        </w:rPr>
        <w:t xml:space="preserve"> pirmajos astoņos mēnešos palielinājās par 0,7% salīdzinājumā ar pērnā gada attiecīgo periodu</w:t>
      </w:r>
      <w:r>
        <w:rPr>
          <w:rFonts w:eastAsia="Calibri"/>
          <w:szCs w:val="22"/>
        </w:rPr>
        <w:t xml:space="preserve"> </w:t>
      </w:r>
      <w:r w:rsidRPr="00BF76AF">
        <w:rPr>
          <w:rFonts w:eastAsia="Calibri"/>
          <w:szCs w:val="22"/>
        </w:rPr>
        <w:t>un t</w:t>
      </w:r>
      <w:r>
        <w:rPr>
          <w:rFonts w:eastAsia="Calibri"/>
          <w:szCs w:val="22"/>
        </w:rPr>
        <w:t>o</w:t>
      </w:r>
      <w:r w:rsidRPr="00BF76AF">
        <w:rPr>
          <w:rFonts w:eastAsia="Calibri"/>
          <w:szCs w:val="22"/>
        </w:rPr>
        <w:t xml:space="preserve"> devums kopējā inflācijā bija 0,2 procentpunkti</w:t>
      </w:r>
      <w:r>
        <w:rPr>
          <w:rFonts w:eastAsia="Calibri"/>
          <w:szCs w:val="22"/>
        </w:rPr>
        <w:t xml:space="preserve">. </w:t>
      </w:r>
      <w:r w:rsidRPr="00BF76AF">
        <w:rPr>
          <w:rFonts w:eastAsia="Calibri"/>
          <w:szCs w:val="22"/>
        </w:rPr>
        <w:t xml:space="preserve">ANO Pārtikas un lauksaimniecības </w:t>
      </w:r>
      <w:r>
        <w:rPr>
          <w:rFonts w:eastAsia="Calibri"/>
          <w:szCs w:val="22"/>
        </w:rPr>
        <w:t xml:space="preserve">organizācijas </w:t>
      </w:r>
      <w:r w:rsidRPr="00BF76AF">
        <w:rPr>
          <w:rFonts w:eastAsia="Calibri"/>
          <w:szCs w:val="22"/>
        </w:rPr>
        <w:t>dati par neapstrādātās pārtikas cenām pasaulē liecina, ka pārtikas cenu indekss ir būtiski audzis kopš 2020</w:t>
      </w:r>
      <w:r>
        <w:rPr>
          <w:rFonts w:eastAsia="Calibri"/>
          <w:szCs w:val="22"/>
        </w:rPr>
        <w:t>. gad</w:t>
      </w:r>
      <w:r w:rsidRPr="00BF76AF">
        <w:rPr>
          <w:rFonts w:eastAsia="Calibri"/>
          <w:szCs w:val="22"/>
        </w:rPr>
        <w:t>a vidus, sasniedzot augtāko līmeni kopš 2011</w:t>
      </w:r>
      <w:r>
        <w:rPr>
          <w:rFonts w:eastAsia="Calibri"/>
          <w:szCs w:val="22"/>
        </w:rPr>
        <w:t>. gad</w:t>
      </w:r>
      <w:r w:rsidRPr="00BF76AF">
        <w:rPr>
          <w:rFonts w:eastAsia="Calibri"/>
          <w:szCs w:val="22"/>
        </w:rPr>
        <w:t>a beigām. Cenu kāpums ir vērojams visām galvenajām pārtikas grupām, tajā skaitā graudaugiem, eļļām, cukuram, pienam.</w:t>
      </w:r>
    </w:p>
    <w:p w14:paraId="50BB08A2" w14:textId="77777777" w:rsidR="0016040A" w:rsidRDefault="0016040A" w:rsidP="0016040A">
      <w:pPr>
        <w:ind w:firstLine="720"/>
        <w:rPr>
          <w:rFonts w:eastAsia="Calibri"/>
          <w:szCs w:val="22"/>
        </w:rPr>
      </w:pPr>
      <w:r w:rsidRPr="00BF76AF">
        <w:rPr>
          <w:rFonts w:eastAsia="Calibri"/>
          <w:szCs w:val="22"/>
        </w:rPr>
        <w:t>Neapstrādātās pārtikas cenu kāpumu noteicošie faktori ir dažādi un ir saistīti ar sliktajiem laika apstākļiem (attiecīgi ar slikto ražu), pieprasījuma pieaugumu, kas būtiski apsteidz piedāvājumu, naftas cenu kāpumu, kas palielina transportēšanas izmaksas, un piegāžu traucējumiem. Attiecībā uz pieprasījumu jāatzīmē, ka tajās valstīs, kur vakcinēšanas process notiek diezgan raiti, pulcēšan</w:t>
      </w:r>
      <w:r>
        <w:rPr>
          <w:rFonts w:eastAsia="Calibri"/>
          <w:szCs w:val="22"/>
        </w:rPr>
        <w:t>ā</w:t>
      </w:r>
      <w:r w:rsidRPr="00BF76AF">
        <w:rPr>
          <w:rFonts w:eastAsia="Calibri"/>
          <w:szCs w:val="22"/>
        </w:rPr>
        <w:t>s ierobežojumi pakāpeniski tiek atviegloti un atkal var strādāt restorāni un kafejnīcas, palielinot pieprasījumu pēc pārtikas. Turpmāko pārtikas cenu dinamiku ietekmēs pasaules ekonomikas aktivitāte, rudenī gaidāmā raža, kā arī situācija ar pandēmij</w:t>
      </w:r>
      <w:r>
        <w:rPr>
          <w:rFonts w:eastAsia="Calibri"/>
          <w:szCs w:val="22"/>
        </w:rPr>
        <w:t xml:space="preserve">as </w:t>
      </w:r>
      <w:r>
        <w:rPr>
          <w:rFonts w:eastAsia="Calibri"/>
          <w:szCs w:val="22"/>
        </w:rPr>
        <w:lastRenderedPageBreak/>
        <w:t>attīstību pasaulē</w:t>
      </w:r>
      <w:r w:rsidRPr="00BF76AF">
        <w:rPr>
          <w:rFonts w:eastAsia="Calibri"/>
          <w:szCs w:val="22"/>
        </w:rPr>
        <w:t>. Latvijā kopš gada sākuma pārtikas cenas palielinājās minimāli</w:t>
      </w:r>
      <w:r>
        <w:rPr>
          <w:rFonts w:eastAsia="Calibri"/>
          <w:szCs w:val="22"/>
        </w:rPr>
        <w:t>,</w:t>
      </w:r>
      <w:r w:rsidRPr="00BF76AF">
        <w:rPr>
          <w:rFonts w:eastAsia="Calibri"/>
          <w:szCs w:val="22"/>
        </w:rPr>
        <w:t xml:space="preserve"> </w:t>
      </w:r>
      <w:r>
        <w:rPr>
          <w:rFonts w:eastAsia="Calibri"/>
          <w:szCs w:val="22"/>
        </w:rPr>
        <w:t>t</w:t>
      </w:r>
      <w:r w:rsidRPr="00BF76AF">
        <w:rPr>
          <w:rFonts w:eastAsia="Calibri"/>
          <w:szCs w:val="22"/>
        </w:rPr>
        <w:t>omēr pārtikas cenu kāpums varētu paātrināties š</w:t>
      </w:r>
      <w:r>
        <w:rPr>
          <w:rFonts w:eastAsia="Calibri"/>
          <w:szCs w:val="22"/>
        </w:rPr>
        <w:t xml:space="preserve">ā </w:t>
      </w:r>
      <w:r w:rsidRPr="00BF76AF">
        <w:rPr>
          <w:rFonts w:eastAsia="Calibri"/>
          <w:szCs w:val="22"/>
        </w:rPr>
        <w:t>g</w:t>
      </w:r>
      <w:r>
        <w:rPr>
          <w:rFonts w:eastAsia="Calibri"/>
          <w:szCs w:val="22"/>
        </w:rPr>
        <w:t>ada</w:t>
      </w:r>
      <w:r w:rsidRPr="00BF76AF">
        <w:rPr>
          <w:rFonts w:eastAsia="Calibri"/>
          <w:szCs w:val="22"/>
        </w:rPr>
        <w:t xml:space="preserve"> nogalē vai nāk</w:t>
      </w:r>
      <w:r>
        <w:rPr>
          <w:rFonts w:eastAsia="Calibri"/>
          <w:szCs w:val="22"/>
        </w:rPr>
        <w:t>amā</w:t>
      </w:r>
      <w:r w:rsidRPr="00BF76AF">
        <w:rPr>
          <w:rFonts w:eastAsia="Calibri"/>
          <w:szCs w:val="22"/>
        </w:rPr>
        <w:t xml:space="preserve"> gada sākumā</w:t>
      </w:r>
      <w:r>
        <w:rPr>
          <w:rFonts w:eastAsia="Calibri"/>
          <w:szCs w:val="22"/>
        </w:rP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24"/>
        <w:gridCol w:w="137"/>
        <w:gridCol w:w="4662"/>
      </w:tblGrid>
      <w:tr w:rsidR="0016040A" w:rsidRPr="00F41F2B" w14:paraId="1E355876" w14:textId="77777777" w:rsidTr="007F5E20">
        <w:tc>
          <w:tcPr>
            <w:tcW w:w="4253" w:type="dxa"/>
            <w:gridSpan w:val="2"/>
          </w:tcPr>
          <w:p w14:paraId="32470FCF" w14:textId="77777777" w:rsidR="0016040A" w:rsidRPr="00F9769C" w:rsidRDefault="0016040A" w:rsidP="00FC2104">
            <w:pPr>
              <w:spacing w:before="60" w:after="60"/>
              <w:ind w:firstLine="0"/>
              <w:jc w:val="center"/>
              <w:rPr>
                <w:i/>
                <w:szCs w:val="28"/>
              </w:rPr>
            </w:pPr>
            <w:r w:rsidRPr="00F9769C">
              <w:rPr>
                <w:b/>
                <w:bCs/>
                <w:i/>
                <w:szCs w:val="28"/>
              </w:rPr>
              <w:t xml:space="preserve">1.2. tabula. </w:t>
            </w:r>
            <w:r w:rsidRPr="00F9769C">
              <w:rPr>
                <w:b/>
                <w:bCs/>
                <w:szCs w:val="28"/>
              </w:rPr>
              <w:t>PCI izmaiņas pa grupām 2020</w:t>
            </w:r>
            <w:r>
              <w:rPr>
                <w:b/>
                <w:bCs/>
                <w:szCs w:val="28"/>
              </w:rPr>
              <w:t>. gad</w:t>
            </w:r>
            <w:r w:rsidRPr="00F9769C">
              <w:rPr>
                <w:b/>
                <w:bCs/>
                <w:szCs w:val="28"/>
              </w:rPr>
              <w:t>ā un 2021.g. astoņos mēnešos</w:t>
            </w:r>
            <w:r w:rsidRPr="00F9769C">
              <w:rPr>
                <w:b/>
                <w:bCs/>
                <w:i/>
                <w:szCs w:val="28"/>
              </w:rPr>
              <w:t xml:space="preserve"> </w:t>
            </w:r>
          </w:p>
        </w:tc>
        <w:tc>
          <w:tcPr>
            <w:tcW w:w="4053" w:type="dxa"/>
          </w:tcPr>
          <w:p w14:paraId="6B3653AF" w14:textId="77777777" w:rsidR="0016040A" w:rsidRPr="00F9769C" w:rsidRDefault="0016040A" w:rsidP="007F5E20">
            <w:pPr>
              <w:spacing w:before="60" w:after="60"/>
              <w:ind w:firstLine="0"/>
              <w:jc w:val="center"/>
              <w:rPr>
                <w:i/>
                <w:szCs w:val="28"/>
              </w:rPr>
            </w:pPr>
            <w:r w:rsidRPr="00F9769C">
              <w:rPr>
                <w:b/>
                <w:bCs/>
                <w:i/>
                <w:szCs w:val="28"/>
              </w:rPr>
              <w:t xml:space="preserve">1.25. attēls </w:t>
            </w:r>
            <w:r w:rsidRPr="00F9769C">
              <w:rPr>
                <w:b/>
                <w:bCs/>
                <w:szCs w:val="28"/>
              </w:rPr>
              <w:t>Devums gada inflācijā pēc izcelsmes avota (</w:t>
            </w:r>
            <w:proofErr w:type="spellStart"/>
            <w:r w:rsidRPr="00F9769C">
              <w:rPr>
                <w:b/>
                <w:bCs/>
                <w:szCs w:val="28"/>
              </w:rPr>
              <w:t>pp</w:t>
            </w:r>
            <w:proofErr w:type="spellEnd"/>
            <w:r w:rsidRPr="00F9769C">
              <w:rPr>
                <w:b/>
                <w:bCs/>
                <w:szCs w:val="28"/>
              </w:rPr>
              <w:t>) un PCI (%)</w:t>
            </w:r>
          </w:p>
        </w:tc>
      </w:tr>
      <w:tr w:rsidR="0016040A" w14:paraId="4267CE93" w14:textId="77777777" w:rsidTr="007F5E20">
        <w:tc>
          <w:tcPr>
            <w:tcW w:w="4116" w:type="dxa"/>
          </w:tcPr>
          <w:tbl>
            <w:tblPr>
              <w:tblW w:w="3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2114"/>
              <w:gridCol w:w="942"/>
              <w:gridCol w:w="942"/>
            </w:tblGrid>
            <w:tr w:rsidR="0016040A" w:rsidRPr="004270AC" w14:paraId="4E508267" w14:textId="77777777" w:rsidTr="00FC2104">
              <w:trPr>
                <w:jc w:val="center"/>
              </w:trPr>
              <w:tc>
                <w:tcPr>
                  <w:tcW w:w="2297" w:type="dxa"/>
                  <w:shd w:val="clear" w:color="auto" w:fill="auto"/>
                  <w:tcMar>
                    <w:top w:w="12" w:type="dxa"/>
                    <w:left w:w="12" w:type="dxa"/>
                    <w:bottom w:w="0" w:type="dxa"/>
                    <w:right w:w="12" w:type="dxa"/>
                  </w:tcMar>
                  <w:vAlign w:val="center"/>
                  <w:hideMark/>
                </w:tcPr>
                <w:p w14:paraId="7F8F7251" w14:textId="77777777" w:rsidR="0016040A" w:rsidRPr="004270AC" w:rsidRDefault="0016040A" w:rsidP="00FC2104">
                  <w:pPr>
                    <w:spacing w:before="60" w:after="60"/>
                    <w:ind w:firstLine="17"/>
                    <w:jc w:val="center"/>
                    <w:rPr>
                      <w:sz w:val="18"/>
                      <w:szCs w:val="18"/>
                    </w:rPr>
                  </w:pPr>
                  <w:r w:rsidRPr="004270AC">
                    <w:rPr>
                      <w:b/>
                      <w:bCs/>
                      <w:sz w:val="18"/>
                      <w:szCs w:val="18"/>
                    </w:rPr>
                    <w:t>Grupas un apakšgrupas</w:t>
                  </w:r>
                </w:p>
              </w:tc>
              <w:tc>
                <w:tcPr>
                  <w:tcW w:w="851" w:type="dxa"/>
                  <w:shd w:val="clear" w:color="auto" w:fill="auto"/>
                  <w:tcMar>
                    <w:top w:w="12" w:type="dxa"/>
                    <w:left w:w="12" w:type="dxa"/>
                    <w:bottom w:w="0" w:type="dxa"/>
                    <w:right w:w="12" w:type="dxa"/>
                  </w:tcMar>
                  <w:vAlign w:val="center"/>
                  <w:hideMark/>
                </w:tcPr>
                <w:p w14:paraId="3D218A42" w14:textId="77777777" w:rsidR="0016040A" w:rsidRPr="004270AC" w:rsidRDefault="0016040A" w:rsidP="00FC2104">
                  <w:pPr>
                    <w:spacing w:before="60" w:after="60"/>
                    <w:ind w:firstLine="205"/>
                    <w:rPr>
                      <w:sz w:val="18"/>
                      <w:szCs w:val="18"/>
                    </w:rPr>
                  </w:pPr>
                  <w:r w:rsidRPr="004270AC">
                    <w:rPr>
                      <w:b/>
                      <w:bCs/>
                      <w:sz w:val="18"/>
                      <w:szCs w:val="18"/>
                      <w:lang w:val="nn-NO"/>
                    </w:rPr>
                    <w:t>2020.g.</w:t>
                  </w:r>
                </w:p>
              </w:tc>
              <w:tc>
                <w:tcPr>
                  <w:tcW w:w="850" w:type="dxa"/>
                  <w:shd w:val="clear" w:color="auto" w:fill="auto"/>
                  <w:tcMar>
                    <w:top w:w="12" w:type="dxa"/>
                    <w:left w:w="12" w:type="dxa"/>
                    <w:bottom w:w="0" w:type="dxa"/>
                    <w:right w:w="12" w:type="dxa"/>
                  </w:tcMar>
                  <w:vAlign w:val="center"/>
                  <w:hideMark/>
                </w:tcPr>
                <w:p w14:paraId="4AC1D121" w14:textId="77777777" w:rsidR="0016040A" w:rsidRPr="004270AC" w:rsidRDefault="0016040A" w:rsidP="00FC2104">
                  <w:pPr>
                    <w:spacing w:before="60" w:after="60"/>
                    <w:ind w:firstLine="0"/>
                    <w:jc w:val="center"/>
                    <w:rPr>
                      <w:b/>
                      <w:bCs/>
                      <w:sz w:val="18"/>
                      <w:szCs w:val="18"/>
                    </w:rPr>
                  </w:pPr>
                  <w:r w:rsidRPr="004270AC">
                    <w:rPr>
                      <w:b/>
                      <w:bCs/>
                      <w:sz w:val="18"/>
                      <w:szCs w:val="18"/>
                    </w:rPr>
                    <w:t xml:space="preserve">I-VIII </w:t>
                  </w:r>
                </w:p>
                <w:p w14:paraId="0880BFF3" w14:textId="77777777" w:rsidR="0016040A" w:rsidRPr="004270AC" w:rsidRDefault="0016040A" w:rsidP="007F5E20">
                  <w:pPr>
                    <w:spacing w:before="60" w:after="60"/>
                    <w:ind w:firstLine="89"/>
                    <w:jc w:val="center"/>
                    <w:rPr>
                      <w:sz w:val="18"/>
                      <w:szCs w:val="18"/>
                    </w:rPr>
                  </w:pPr>
                  <w:r w:rsidRPr="004270AC">
                    <w:rPr>
                      <w:b/>
                      <w:bCs/>
                      <w:sz w:val="18"/>
                      <w:szCs w:val="18"/>
                    </w:rPr>
                    <w:t xml:space="preserve">2021.g. </w:t>
                  </w:r>
                </w:p>
              </w:tc>
            </w:tr>
            <w:tr w:rsidR="0016040A" w:rsidRPr="004270AC" w14:paraId="164DA0E3" w14:textId="77777777" w:rsidTr="00FC2104">
              <w:trPr>
                <w:jc w:val="center"/>
              </w:trPr>
              <w:tc>
                <w:tcPr>
                  <w:tcW w:w="2297" w:type="dxa"/>
                  <w:shd w:val="clear" w:color="auto" w:fill="auto"/>
                  <w:tcMar>
                    <w:top w:w="12" w:type="dxa"/>
                    <w:left w:w="12" w:type="dxa"/>
                    <w:bottom w:w="0" w:type="dxa"/>
                    <w:right w:w="12" w:type="dxa"/>
                  </w:tcMar>
                  <w:vAlign w:val="center"/>
                  <w:hideMark/>
                </w:tcPr>
                <w:p w14:paraId="01A77AF2" w14:textId="77777777" w:rsidR="0016040A" w:rsidRPr="004270AC" w:rsidRDefault="0016040A" w:rsidP="00FC2104">
                  <w:pPr>
                    <w:spacing w:before="60" w:after="60"/>
                    <w:ind w:firstLine="17"/>
                    <w:rPr>
                      <w:sz w:val="18"/>
                      <w:szCs w:val="18"/>
                    </w:rPr>
                  </w:pPr>
                  <w:r w:rsidRPr="004270AC">
                    <w:rPr>
                      <w:b/>
                      <w:bCs/>
                      <w:sz w:val="18"/>
                      <w:szCs w:val="18"/>
                    </w:rPr>
                    <w:t>Vidējā inflācija</w:t>
                  </w:r>
                </w:p>
              </w:tc>
              <w:tc>
                <w:tcPr>
                  <w:tcW w:w="851" w:type="dxa"/>
                  <w:shd w:val="clear" w:color="auto" w:fill="auto"/>
                  <w:tcMar>
                    <w:top w:w="12" w:type="dxa"/>
                    <w:left w:w="12" w:type="dxa"/>
                    <w:bottom w:w="0" w:type="dxa"/>
                    <w:right w:w="12" w:type="dxa"/>
                  </w:tcMar>
                  <w:vAlign w:val="center"/>
                  <w:hideMark/>
                </w:tcPr>
                <w:p w14:paraId="11243B02" w14:textId="77777777" w:rsidR="0016040A" w:rsidRPr="004270AC" w:rsidRDefault="0016040A" w:rsidP="00FC2104">
                  <w:pPr>
                    <w:spacing w:before="60" w:after="60"/>
                    <w:ind w:firstLine="692"/>
                    <w:jc w:val="center"/>
                    <w:rPr>
                      <w:sz w:val="18"/>
                      <w:szCs w:val="18"/>
                    </w:rPr>
                  </w:pPr>
                  <w:r w:rsidRPr="004270AC">
                    <w:rPr>
                      <w:b/>
                      <w:bCs/>
                      <w:sz w:val="18"/>
                      <w:szCs w:val="18"/>
                    </w:rPr>
                    <w:t>0,2</w:t>
                  </w:r>
                </w:p>
              </w:tc>
              <w:tc>
                <w:tcPr>
                  <w:tcW w:w="850" w:type="dxa"/>
                  <w:shd w:val="clear" w:color="auto" w:fill="auto"/>
                  <w:tcMar>
                    <w:top w:w="12" w:type="dxa"/>
                    <w:left w:w="12" w:type="dxa"/>
                    <w:bottom w:w="0" w:type="dxa"/>
                    <w:right w:w="12" w:type="dxa"/>
                  </w:tcMar>
                  <w:vAlign w:val="center"/>
                </w:tcPr>
                <w:p w14:paraId="35F86BD5" w14:textId="77777777" w:rsidR="0016040A" w:rsidRPr="004270AC" w:rsidRDefault="0016040A" w:rsidP="00FC2104">
                  <w:pPr>
                    <w:spacing w:before="60" w:after="60"/>
                    <w:ind w:firstLine="692"/>
                    <w:jc w:val="center"/>
                    <w:rPr>
                      <w:b/>
                      <w:sz w:val="18"/>
                      <w:szCs w:val="18"/>
                    </w:rPr>
                  </w:pPr>
                  <w:r w:rsidRPr="004270AC">
                    <w:rPr>
                      <w:b/>
                      <w:sz w:val="18"/>
                      <w:szCs w:val="18"/>
                    </w:rPr>
                    <w:t>1,6</w:t>
                  </w:r>
                </w:p>
              </w:tc>
            </w:tr>
            <w:tr w:rsidR="0016040A" w:rsidRPr="004270AC" w14:paraId="107AA09A" w14:textId="77777777" w:rsidTr="00FC2104">
              <w:trPr>
                <w:jc w:val="center"/>
              </w:trPr>
              <w:tc>
                <w:tcPr>
                  <w:tcW w:w="2297" w:type="dxa"/>
                  <w:shd w:val="clear" w:color="auto" w:fill="auto"/>
                  <w:tcMar>
                    <w:top w:w="12" w:type="dxa"/>
                    <w:left w:w="12" w:type="dxa"/>
                    <w:bottom w:w="0" w:type="dxa"/>
                    <w:right w:w="12" w:type="dxa"/>
                  </w:tcMar>
                  <w:vAlign w:val="center"/>
                  <w:hideMark/>
                </w:tcPr>
                <w:p w14:paraId="3B21DFCF" w14:textId="77777777" w:rsidR="0016040A" w:rsidRPr="004270AC" w:rsidRDefault="0016040A" w:rsidP="00FC2104">
                  <w:pPr>
                    <w:spacing w:before="60" w:after="60"/>
                    <w:ind w:firstLine="0"/>
                    <w:rPr>
                      <w:sz w:val="18"/>
                      <w:szCs w:val="18"/>
                    </w:rPr>
                  </w:pPr>
                  <w:r w:rsidRPr="004270AC">
                    <w:rPr>
                      <w:sz w:val="18"/>
                      <w:szCs w:val="18"/>
                    </w:rPr>
                    <w:t>Pārtika un bezalkoholiskie dzērieni</w:t>
                  </w:r>
                </w:p>
              </w:tc>
              <w:tc>
                <w:tcPr>
                  <w:tcW w:w="851" w:type="dxa"/>
                  <w:shd w:val="clear" w:color="auto" w:fill="auto"/>
                  <w:tcMar>
                    <w:top w:w="12" w:type="dxa"/>
                    <w:left w:w="12" w:type="dxa"/>
                    <w:bottom w:w="0" w:type="dxa"/>
                    <w:right w:w="12" w:type="dxa"/>
                  </w:tcMar>
                  <w:vAlign w:val="center"/>
                  <w:hideMark/>
                </w:tcPr>
                <w:p w14:paraId="1D93DCA5" w14:textId="77777777" w:rsidR="0016040A" w:rsidRPr="004270AC" w:rsidRDefault="0016040A" w:rsidP="00FC2104">
                  <w:pPr>
                    <w:spacing w:before="60" w:after="60"/>
                    <w:ind w:firstLine="692"/>
                    <w:jc w:val="center"/>
                    <w:rPr>
                      <w:sz w:val="18"/>
                      <w:szCs w:val="18"/>
                    </w:rPr>
                  </w:pPr>
                  <w:r w:rsidRPr="004270AC">
                    <w:rPr>
                      <w:sz w:val="18"/>
                      <w:szCs w:val="18"/>
                    </w:rPr>
                    <w:t>2,4</w:t>
                  </w:r>
                </w:p>
              </w:tc>
              <w:tc>
                <w:tcPr>
                  <w:tcW w:w="850" w:type="dxa"/>
                  <w:shd w:val="clear" w:color="auto" w:fill="auto"/>
                  <w:tcMar>
                    <w:top w:w="12" w:type="dxa"/>
                    <w:left w:w="12" w:type="dxa"/>
                    <w:bottom w:w="0" w:type="dxa"/>
                    <w:right w:w="12" w:type="dxa"/>
                  </w:tcMar>
                  <w:vAlign w:val="center"/>
                </w:tcPr>
                <w:p w14:paraId="4C84749E" w14:textId="77777777" w:rsidR="0016040A" w:rsidRPr="004270AC" w:rsidRDefault="0016040A" w:rsidP="00FC2104">
                  <w:pPr>
                    <w:spacing w:before="60" w:after="60"/>
                    <w:ind w:firstLine="692"/>
                    <w:jc w:val="center"/>
                    <w:rPr>
                      <w:sz w:val="18"/>
                      <w:szCs w:val="18"/>
                    </w:rPr>
                  </w:pPr>
                  <w:r w:rsidRPr="004270AC">
                    <w:rPr>
                      <w:sz w:val="18"/>
                      <w:szCs w:val="18"/>
                    </w:rPr>
                    <w:t>0,7</w:t>
                  </w:r>
                </w:p>
              </w:tc>
            </w:tr>
            <w:tr w:rsidR="0016040A" w:rsidRPr="004270AC" w14:paraId="0048301B" w14:textId="77777777" w:rsidTr="00FC2104">
              <w:trPr>
                <w:jc w:val="center"/>
              </w:trPr>
              <w:tc>
                <w:tcPr>
                  <w:tcW w:w="2297" w:type="dxa"/>
                  <w:shd w:val="clear" w:color="auto" w:fill="auto"/>
                  <w:tcMar>
                    <w:top w:w="12" w:type="dxa"/>
                    <w:left w:w="12" w:type="dxa"/>
                    <w:bottom w:w="0" w:type="dxa"/>
                    <w:right w:w="12" w:type="dxa"/>
                  </w:tcMar>
                  <w:vAlign w:val="center"/>
                  <w:hideMark/>
                </w:tcPr>
                <w:p w14:paraId="4B6FE732" w14:textId="77777777" w:rsidR="0016040A" w:rsidRPr="004270AC" w:rsidRDefault="0016040A" w:rsidP="00FC2104">
                  <w:pPr>
                    <w:spacing w:before="60" w:after="60"/>
                    <w:ind w:firstLine="17"/>
                    <w:rPr>
                      <w:sz w:val="18"/>
                      <w:szCs w:val="18"/>
                    </w:rPr>
                  </w:pPr>
                  <w:r w:rsidRPr="004270AC">
                    <w:rPr>
                      <w:sz w:val="18"/>
                      <w:szCs w:val="18"/>
                    </w:rPr>
                    <w:t>Mājokļa īres maksa</w:t>
                  </w:r>
                </w:p>
              </w:tc>
              <w:tc>
                <w:tcPr>
                  <w:tcW w:w="851" w:type="dxa"/>
                  <w:shd w:val="clear" w:color="auto" w:fill="auto"/>
                  <w:tcMar>
                    <w:top w:w="12" w:type="dxa"/>
                    <w:left w:w="12" w:type="dxa"/>
                    <w:bottom w:w="0" w:type="dxa"/>
                    <w:right w:w="12" w:type="dxa"/>
                  </w:tcMar>
                  <w:vAlign w:val="center"/>
                  <w:hideMark/>
                </w:tcPr>
                <w:p w14:paraId="1F054C4C" w14:textId="77777777" w:rsidR="0016040A" w:rsidRPr="004270AC" w:rsidRDefault="0016040A" w:rsidP="00FC2104">
                  <w:pPr>
                    <w:spacing w:before="60" w:after="60"/>
                    <w:ind w:firstLine="439"/>
                    <w:jc w:val="center"/>
                    <w:rPr>
                      <w:sz w:val="18"/>
                      <w:szCs w:val="18"/>
                    </w:rPr>
                  </w:pPr>
                  <w:r w:rsidRPr="004270AC">
                    <w:rPr>
                      <w:sz w:val="18"/>
                      <w:szCs w:val="18"/>
                    </w:rPr>
                    <w:t>-2,2</w:t>
                  </w:r>
                </w:p>
              </w:tc>
              <w:tc>
                <w:tcPr>
                  <w:tcW w:w="850" w:type="dxa"/>
                  <w:shd w:val="clear" w:color="auto" w:fill="auto"/>
                  <w:tcMar>
                    <w:top w:w="12" w:type="dxa"/>
                    <w:left w:w="12" w:type="dxa"/>
                    <w:bottom w:w="0" w:type="dxa"/>
                    <w:right w:w="12" w:type="dxa"/>
                  </w:tcMar>
                  <w:vAlign w:val="center"/>
                </w:tcPr>
                <w:p w14:paraId="294CBF00" w14:textId="77777777" w:rsidR="0016040A" w:rsidRPr="004270AC" w:rsidRDefault="0016040A" w:rsidP="00FC2104">
                  <w:pPr>
                    <w:spacing w:before="60" w:after="60"/>
                    <w:ind w:firstLine="439"/>
                    <w:jc w:val="center"/>
                    <w:rPr>
                      <w:sz w:val="18"/>
                      <w:szCs w:val="18"/>
                    </w:rPr>
                  </w:pPr>
                  <w:r w:rsidRPr="004270AC">
                    <w:rPr>
                      <w:sz w:val="18"/>
                      <w:szCs w:val="18"/>
                    </w:rPr>
                    <w:t>0,6</w:t>
                  </w:r>
                </w:p>
              </w:tc>
            </w:tr>
            <w:tr w:rsidR="0016040A" w:rsidRPr="004270AC" w14:paraId="35843D89" w14:textId="77777777" w:rsidTr="00FC2104">
              <w:trPr>
                <w:jc w:val="center"/>
              </w:trPr>
              <w:tc>
                <w:tcPr>
                  <w:tcW w:w="2297" w:type="dxa"/>
                  <w:shd w:val="clear" w:color="auto" w:fill="auto"/>
                  <w:tcMar>
                    <w:top w:w="12" w:type="dxa"/>
                    <w:left w:w="12" w:type="dxa"/>
                    <w:bottom w:w="0" w:type="dxa"/>
                    <w:right w:w="12" w:type="dxa"/>
                  </w:tcMar>
                  <w:vAlign w:val="center"/>
                  <w:hideMark/>
                </w:tcPr>
                <w:p w14:paraId="6C6A2BC3" w14:textId="77777777" w:rsidR="0016040A" w:rsidRPr="004270AC" w:rsidRDefault="0016040A" w:rsidP="00FC2104">
                  <w:pPr>
                    <w:spacing w:before="60" w:after="60"/>
                    <w:ind w:firstLine="17"/>
                    <w:rPr>
                      <w:b/>
                      <w:sz w:val="18"/>
                      <w:szCs w:val="18"/>
                    </w:rPr>
                  </w:pPr>
                  <w:r w:rsidRPr="004270AC">
                    <w:rPr>
                      <w:b/>
                      <w:bCs/>
                      <w:sz w:val="18"/>
                      <w:szCs w:val="18"/>
                    </w:rPr>
                    <w:t>Elektroenerģija</w:t>
                  </w:r>
                </w:p>
              </w:tc>
              <w:tc>
                <w:tcPr>
                  <w:tcW w:w="851" w:type="dxa"/>
                  <w:shd w:val="clear" w:color="auto" w:fill="auto"/>
                  <w:tcMar>
                    <w:top w:w="12" w:type="dxa"/>
                    <w:left w:w="12" w:type="dxa"/>
                    <w:bottom w:w="0" w:type="dxa"/>
                    <w:right w:w="12" w:type="dxa"/>
                  </w:tcMar>
                  <w:vAlign w:val="center"/>
                  <w:hideMark/>
                </w:tcPr>
                <w:p w14:paraId="401DBB45" w14:textId="77777777" w:rsidR="0016040A" w:rsidRPr="004270AC" w:rsidRDefault="0016040A" w:rsidP="00FC2104">
                  <w:pPr>
                    <w:spacing w:before="60" w:after="60"/>
                    <w:ind w:firstLine="439"/>
                    <w:jc w:val="center"/>
                    <w:rPr>
                      <w:b/>
                      <w:sz w:val="18"/>
                      <w:szCs w:val="18"/>
                    </w:rPr>
                  </w:pPr>
                  <w:r w:rsidRPr="004270AC">
                    <w:rPr>
                      <w:b/>
                      <w:bCs/>
                      <w:sz w:val="18"/>
                      <w:szCs w:val="18"/>
                    </w:rPr>
                    <w:t>-2,9</w:t>
                  </w:r>
                </w:p>
              </w:tc>
              <w:tc>
                <w:tcPr>
                  <w:tcW w:w="850" w:type="dxa"/>
                  <w:shd w:val="clear" w:color="auto" w:fill="auto"/>
                  <w:tcMar>
                    <w:top w:w="12" w:type="dxa"/>
                    <w:left w:w="12" w:type="dxa"/>
                    <w:bottom w:w="0" w:type="dxa"/>
                    <w:right w:w="12" w:type="dxa"/>
                  </w:tcMar>
                  <w:vAlign w:val="center"/>
                </w:tcPr>
                <w:p w14:paraId="4FA62FCA" w14:textId="77777777" w:rsidR="0016040A" w:rsidRPr="004270AC" w:rsidRDefault="0016040A" w:rsidP="00FC2104">
                  <w:pPr>
                    <w:spacing w:before="60" w:after="60"/>
                    <w:ind w:firstLine="439"/>
                    <w:jc w:val="center"/>
                    <w:rPr>
                      <w:b/>
                      <w:sz w:val="18"/>
                      <w:szCs w:val="18"/>
                    </w:rPr>
                  </w:pPr>
                  <w:r w:rsidRPr="004270AC">
                    <w:rPr>
                      <w:b/>
                      <w:sz w:val="18"/>
                      <w:szCs w:val="18"/>
                    </w:rPr>
                    <w:t>1,3</w:t>
                  </w:r>
                </w:p>
              </w:tc>
            </w:tr>
            <w:tr w:rsidR="0016040A" w:rsidRPr="004270AC" w14:paraId="25F546F4" w14:textId="77777777" w:rsidTr="00FC2104">
              <w:trPr>
                <w:jc w:val="center"/>
              </w:trPr>
              <w:tc>
                <w:tcPr>
                  <w:tcW w:w="2297" w:type="dxa"/>
                  <w:shd w:val="clear" w:color="auto" w:fill="auto"/>
                  <w:tcMar>
                    <w:top w:w="12" w:type="dxa"/>
                    <w:left w:w="12" w:type="dxa"/>
                    <w:bottom w:w="0" w:type="dxa"/>
                    <w:right w:w="12" w:type="dxa"/>
                  </w:tcMar>
                  <w:vAlign w:val="center"/>
                  <w:hideMark/>
                </w:tcPr>
                <w:p w14:paraId="2D3992DA" w14:textId="77777777" w:rsidR="0016040A" w:rsidRPr="004270AC" w:rsidRDefault="0016040A" w:rsidP="00FC2104">
                  <w:pPr>
                    <w:spacing w:before="60" w:after="60"/>
                    <w:ind w:firstLine="17"/>
                    <w:rPr>
                      <w:b/>
                      <w:sz w:val="18"/>
                      <w:szCs w:val="18"/>
                    </w:rPr>
                  </w:pPr>
                  <w:r w:rsidRPr="004270AC">
                    <w:rPr>
                      <w:b/>
                      <w:bCs/>
                      <w:sz w:val="18"/>
                      <w:szCs w:val="18"/>
                    </w:rPr>
                    <w:t>Gāze</w:t>
                  </w:r>
                </w:p>
              </w:tc>
              <w:tc>
                <w:tcPr>
                  <w:tcW w:w="851" w:type="dxa"/>
                  <w:shd w:val="clear" w:color="auto" w:fill="auto"/>
                  <w:tcMar>
                    <w:top w:w="12" w:type="dxa"/>
                    <w:left w:w="12" w:type="dxa"/>
                    <w:bottom w:w="0" w:type="dxa"/>
                    <w:right w:w="12" w:type="dxa"/>
                  </w:tcMar>
                  <w:vAlign w:val="center"/>
                  <w:hideMark/>
                </w:tcPr>
                <w:p w14:paraId="14C3861F" w14:textId="77777777" w:rsidR="0016040A" w:rsidRPr="004270AC" w:rsidRDefault="0016040A" w:rsidP="00FC2104">
                  <w:pPr>
                    <w:spacing w:before="60" w:after="60"/>
                    <w:ind w:firstLine="439"/>
                    <w:jc w:val="center"/>
                    <w:rPr>
                      <w:b/>
                      <w:sz w:val="18"/>
                      <w:szCs w:val="18"/>
                    </w:rPr>
                  </w:pPr>
                  <w:r w:rsidRPr="004270AC">
                    <w:rPr>
                      <w:b/>
                      <w:bCs/>
                      <w:sz w:val="18"/>
                      <w:szCs w:val="18"/>
                    </w:rPr>
                    <w:t>-15,5</w:t>
                  </w:r>
                </w:p>
              </w:tc>
              <w:tc>
                <w:tcPr>
                  <w:tcW w:w="850" w:type="dxa"/>
                  <w:shd w:val="clear" w:color="auto" w:fill="auto"/>
                  <w:tcMar>
                    <w:top w:w="12" w:type="dxa"/>
                    <w:left w:w="12" w:type="dxa"/>
                    <w:bottom w:w="0" w:type="dxa"/>
                    <w:right w:w="12" w:type="dxa"/>
                  </w:tcMar>
                  <w:vAlign w:val="center"/>
                </w:tcPr>
                <w:p w14:paraId="2BFD0D55" w14:textId="77777777" w:rsidR="0016040A" w:rsidRPr="004270AC" w:rsidRDefault="0016040A" w:rsidP="00FC2104">
                  <w:pPr>
                    <w:spacing w:before="60" w:after="60"/>
                    <w:ind w:firstLine="439"/>
                    <w:jc w:val="center"/>
                    <w:rPr>
                      <w:b/>
                      <w:sz w:val="18"/>
                      <w:szCs w:val="18"/>
                    </w:rPr>
                  </w:pPr>
                  <w:r w:rsidRPr="004270AC">
                    <w:rPr>
                      <w:b/>
                      <w:sz w:val="18"/>
                      <w:szCs w:val="18"/>
                    </w:rPr>
                    <w:t>6,6</w:t>
                  </w:r>
                </w:p>
              </w:tc>
            </w:tr>
            <w:tr w:rsidR="0016040A" w:rsidRPr="004270AC" w14:paraId="5C2AFDD1" w14:textId="77777777" w:rsidTr="00FC2104">
              <w:trPr>
                <w:jc w:val="center"/>
              </w:trPr>
              <w:tc>
                <w:tcPr>
                  <w:tcW w:w="2297" w:type="dxa"/>
                  <w:shd w:val="clear" w:color="auto" w:fill="auto"/>
                  <w:tcMar>
                    <w:top w:w="12" w:type="dxa"/>
                    <w:left w:w="12" w:type="dxa"/>
                    <w:bottom w:w="0" w:type="dxa"/>
                    <w:right w:w="12" w:type="dxa"/>
                  </w:tcMar>
                  <w:vAlign w:val="center"/>
                  <w:hideMark/>
                </w:tcPr>
                <w:p w14:paraId="4DAFC6A5" w14:textId="77777777" w:rsidR="0016040A" w:rsidRPr="004270AC" w:rsidRDefault="0016040A" w:rsidP="00FC2104">
                  <w:pPr>
                    <w:spacing w:before="60" w:after="60"/>
                    <w:ind w:firstLine="17"/>
                    <w:rPr>
                      <w:b/>
                      <w:sz w:val="18"/>
                      <w:szCs w:val="18"/>
                    </w:rPr>
                  </w:pPr>
                  <w:r w:rsidRPr="004270AC">
                    <w:rPr>
                      <w:b/>
                      <w:bCs/>
                      <w:sz w:val="18"/>
                      <w:szCs w:val="18"/>
                    </w:rPr>
                    <w:t>Siltumenerģija</w:t>
                  </w:r>
                </w:p>
              </w:tc>
              <w:tc>
                <w:tcPr>
                  <w:tcW w:w="851" w:type="dxa"/>
                  <w:shd w:val="clear" w:color="auto" w:fill="auto"/>
                  <w:tcMar>
                    <w:top w:w="12" w:type="dxa"/>
                    <w:left w:w="12" w:type="dxa"/>
                    <w:bottom w:w="0" w:type="dxa"/>
                    <w:right w:w="12" w:type="dxa"/>
                  </w:tcMar>
                  <w:vAlign w:val="center"/>
                  <w:hideMark/>
                </w:tcPr>
                <w:p w14:paraId="6B649722" w14:textId="77777777" w:rsidR="0016040A" w:rsidRPr="004270AC" w:rsidRDefault="0016040A" w:rsidP="00FC2104">
                  <w:pPr>
                    <w:spacing w:before="60" w:after="60"/>
                    <w:ind w:firstLine="439"/>
                    <w:jc w:val="center"/>
                    <w:rPr>
                      <w:b/>
                      <w:sz w:val="18"/>
                      <w:szCs w:val="18"/>
                    </w:rPr>
                  </w:pPr>
                  <w:r w:rsidRPr="004270AC">
                    <w:rPr>
                      <w:b/>
                      <w:bCs/>
                      <w:sz w:val="18"/>
                      <w:szCs w:val="18"/>
                    </w:rPr>
                    <w:t>-3,6</w:t>
                  </w:r>
                </w:p>
              </w:tc>
              <w:tc>
                <w:tcPr>
                  <w:tcW w:w="850" w:type="dxa"/>
                  <w:shd w:val="clear" w:color="auto" w:fill="auto"/>
                  <w:tcMar>
                    <w:top w:w="12" w:type="dxa"/>
                    <w:left w:w="12" w:type="dxa"/>
                    <w:bottom w:w="0" w:type="dxa"/>
                    <w:right w:w="12" w:type="dxa"/>
                  </w:tcMar>
                  <w:vAlign w:val="center"/>
                </w:tcPr>
                <w:p w14:paraId="0D06E279" w14:textId="77777777" w:rsidR="0016040A" w:rsidRPr="004270AC" w:rsidRDefault="0016040A" w:rsidP="00FC2104">
                  <w:pPr>
                    <w:spacing w:before="60" w:after="60"/>
                    <w:ind w:firstLine="439"/>
                    <w:jc w:val="center"/>
                    <w:rPr>
                      <w:b/>
                      <w:sz w:val="18"/>
                      <w:szCs w:val="18"/>
                    </w:rPr>
                  </w:pPr>
                  <w:r w:rsidRPr="004270AC">
                    <w:rPr>
                      <w:b/>
                      <w:sz w:val="18"/>
                      <w:szCs w:val="18"/>
                    </w:rPr>
                    <w:t>-4,4</w:t>
                  </w:r>
                </w:p>
              </w:tc>
            </w:tr>
            <w:tr w:rsidR="0016040A" w:rsidRPr="004270AC" w14:paraId="2BBBD80A" w14:textId="77777777" w:rsidTr="00FC2104">
              <w:trPr>
                <w:jc w:val="center"/>
              </w:trPr>
              <w:tc>
                <w:tcPr>
                  <w:tcW w:w="2297" w:type="dxa"/>
                  <w:shd w:val="clear" w:color="auto" w:fill="auto"/>
                  <w:tcMar>
                    <w:top w:w="12" w:type="dxa"/>
                    <w:left w:w="12" w:type="dxa"/>
                    <w:bottom w:w="0" w:type="dxa"/>
                    <w:right w:w="12" w:type="dxa"/>
                  </w:tcMar>
                  <w:vAlign w:val="center"/>
                  <w:hideMark/>
                </w:tcPr>
                <w:p w14:paraId="78582E2A" w14:textId="77777777" w:rsidR="0016040A" w:rsidRPr="004270AC" w:rsidRDefault="0016040A" w:rsidP="00FC2104">
                  <w:pPr>
                    <w:spacing w:before="60" w:after="60"/>
                    <w:ind w:firstLine="17"/>
                    <w:rPr>
                      <w:sz w:val="18"/>
                      <w:szCs w:val="18"/>
                    </w:rPr>
                  </w:pPr>
                  <w:r w:rsidRPr="004270AC">
                    <w:rPr>
                      <w:sz w:val="18"/>
                      <w:szCs w:val="18"/>
                    </w:rPr>
                    <w:t>Veselības aprūpe</w:t>
                  </w:r>
                </w:p>
              </w:tc>
              <w:tc>
                <w:tcPr>
                  <w:tcW w:w="851" w:type="dxa"/>
                  <w:shd w:val="clear" w:color="auto" w:fill="auto"/>
                  <w:tcMar>
                    <w:top w:w="12" w:type="dxa"/>
                    <w:left w:w="12" w:type="dxa"/>
                    <w:bottom w:w="0" w:type="dxa"/>
                    <w:right w:w="12" w:type="dxa"/>
                  </w:tcMar>
                  <w:vAlign w:val="center"/>
                  <w:hideMark/>
                </w:tcPr>
                <w:p w14:paraId="69EFE908" w14:textId="77777777" w:rsidR="0016040A" w:rsidRPr="004270AC" w:rsidRDefault="0016040A" w:rsidP="00FC2104">
                  <w:pPr>
                    <w:spacing w:before="60" w:after="60"/>
                    <w:ind w:firstLine="439"/>
                    <w:jc w:val="center"/>
                    <w:rPr>
                      <w:sz w:val="18"/>
                      <w:szCs w:val="18"/>
                    </w:rPr>
                  </w:pPr>
                  <w:r w:rsidRPr="004270AC">
                    <w:rPr>
                      <w:sz w:val="18"/>
                      <w:szCs w:val="18"/>
                    </w:rPr>
                    <w:t>3,0</w:t>
                  </w:r>
                </w:p>
              </w:tc>
              <w:tc>
                <w:tcPr>
                  <w:tcW w:w="850" w:type="dxa"/>
                  <w:shd w:val="clear" w:color="auto" w:fill="auto"/>
                  <w:tcMar>
                    <w:top w:w="12" w:type="dxa"/>
                    <w:left w:w="12" w:type="dxa"/>
                    <w:bottom w:w="0" w:type="dxa"/>
                    <w:right w:w="12" w:type="dxa"/>
                  </w:tcMar>
                  <w:vAlign w:val="center"/>
                </w:tcPr>
                <w:p w14:paraId="33CBC7C6" w14:textId="77777777" w:rsidR="0016040A" w:rsidRPr="004270AC" w:rsidRDefault="0016040A" w:rsidP="00FC2104">
                  <w:pPr>
                    <w:spacing w:before="60" w:after="60"/>
                    <w:ind w:firstLine="439"/>
                    <w:jc w:val="center"/>
                    <w:rPr>
                      <w:sz w:val="18"/>
                      <w:szCs w:val="18"/>
                    </w:rPr>
                  </w:pPr>
                  <w:r w:rsidRPr="004270AC">
                    <w:rPr>
                      <w:sz w:val="18"/>
                      <w:szCs w:val="18"/>
                    </w:rPr>
                    <w:t>2,6</w:t>
                  </w:r>
                </w:p>
              </w:tc>
            </w:tr>
            <w:tr w:rsidR="0016040A" w:rsidRPr="004270AC" w14:paraId="5BBA9D52" w14:textId="77777777" w:rsidTr="00FC2104">
              <w:trPr>
                <w:jc w:val="center"/>
              </w:trPr>
              <w:tc>
                <w:tcPr>
                  <w:tcW w:w="2297" w:type="dxa"/>
                  <w:shd w:val="clear" w:color="auto" w:fill="auto"/>
                  <w:tcMar>
                    <w:top w:w="12" w:type="dxa"/>
                    <w:left w:w="12" w:type="dxa"/>
                    <w:bottom w:w="0" w:type="dxa"/>
                    <w:right w:w="12" w:type="dxa"/>
                  </w:tcMar>
                  <w:vAlign w:val="center"/>
                  <w:hideMark/>
                </w:tcPr>
                <w:p w14:paraId="605BBAB1" w14:textId="77777777" w:rsidR="0016040A" w:rsidRPr="004270AC" w:rsidRDefault="0016040A" w:rsidP="00FC2104">
                  <w:pPr>
                    <w:spacing w:before="60" w:after="60"/>
                    <w:ind w:firstLine="17"/>
                    <w:rPr>
                      <w:b/>
                      <w:sz w:val="18"/>
                      <w:szCs w:val="18"/>
                    </w:rPr>
                  </w:pPr>
                  <w:r w:rsidRPr="004270AC">
                    <w:rPr>
                      <w:b/>
                      <w:bCs/>
                      <w:sz w:val="18"/>
                      <w:szCs w:val="18"/>
                    </w:rPr>
                    <w:t>Degviela</w:t>
                  </w:r>
                </w:p>
              </w:tc>
              <w:tc>
                <w:tcPr>
                  <w:tcW w:w="851" w:type="dxa"/>
                  <w:shd w:val="clear" w:color="auto" w:fill="auto"/>
                  <w:tcMar>
                    <w:top w:w="12" w:type="dxa"/>
                    <w:left w:w="12" w:type="dxa"/>
                    <w:bottom w:w="0" w:type="dxa"/>
                    <w:right w:w="12" w:type="dxa"/>
                  </w:tcMar>
                  <w:vAlign w:val="center"/>
                  <w:hideMark/>
                </w:tcPr>
                <w:p w14:paraId="3A1607F2" w14:textId="77777777" w:rsidR="0016040A" w:rsidRPr="004270AC" w:rsidRDefault="0016040A" w:rsidP="00FC2104">
                  <w:pPr>
                    <w:spacing w:before="60" w:after="60"/>
                    <w:ind w:firstLine="439"/>
                    <w:jc w:val="center"/>
                    <w:rPr>
                      <w:b/>
                      <w:sz w:val="18"/>
                      <w:szCs w:val="18"/>
                    </w:rPr>
                  </w:pPr>
                  <w:r w:rsidRPr="004270AC">
                    <w:rPr>
                      <w:b/>
                      <w:bCs/>
                      <w:sz w:val="18"/>
                      <w:szCs w:val="18"/>
                    </w:rPr>
                    <w:t>-10,6</w:t>
                  </w:r>
                </w:p>
              </w:tc>
              <w:tc>
                <w:tcPr>
                  <w:tcW w:w="850" w:type="dxa"/>
                  <w:shd w:val="clear" w:color="auto" w:fill="auto"/>
                  <w:tcMar>
                    <w:top w:w="12" w:type="dxa"/>
                    <w:left w:w="12" w:type="dxa"/>
                    <w:bottom w:w="0" w:type="dxa"/>
                    <w:right w:w="12" w:type="dxa"/>
                  </w:tcMar>
                  <w:vAlign w:val="center"/>
                </w:tcPr>
                <w:p w14:paraId="7A3B9B1D" w14:textId="77777777" w:rsidR="0016040A" w:rsidRPr="004270AC" w:rsidRDefault="0016040A" w:rsidP="00FC2104">
                  <w:pPr>
                    <w:spacing w:before="60" w:after="60"/>
                    <w:ind w:firstLine="439"/>
                    <w:jc w:val="center"/>
                    <w:rPr>
                      <w:b/>
                      <w:sz w:val="18"/>
                      <w:szCs w:val="18"/>
                    </w:rPr>
                  </w:pPr>
                  <w:r w:rsidRPr="004270AC">
                    <w:rPr>
                      <w:b/>
                      <w:sz w:val="18"/>
                      <w:szCs w:val="18"/>
                    </w:rPr>
                    <w:t>11,2</w:t>
                  </w:r>
                </w:p>
              </w:tc>
            </w:tr>
            <w:tr w:rsidR="0016040A" w:rsidRPr="004270AC" w14:paraId="11FF5AB6" w14:textId="77777777" w:rsidTr="00FC2104">
              <w:trPr>
                <w:jc w:val="center"/>
              </w:trPr>
              <w:tc>
                <w:tcPr>
                  <w:tcW w:w="2297" w:type="dxa"/>
                  <w:shd w:val="clear" w:color="auto" w:fill="auto"/>
                  <w:tcMar>
                    <w:top w:w="12" w:type="dxa"/>
                    <w:left w:w="12" w:type="dxa"/>
                    <w:bottom w:w="0" w:type="dxa"/>
                    <w:right w:w="12" w:type="dxa"/>
                  </w:tcMar>
                  <w:vAlign w:val="center"/>
                  <w:hideMark/>
                </w:tcPr>
                <w:p w14:paraId="2132414F" w14:textId="77777777" w:rsidR="0016040A" w:rsidRPr="004270AC" w:rsidRDefault="0016040A" w:rsidP="00FC2104">
                  <w:pPr>
                    <w:spacing w:before="60" w:after="60"/>
                    <w:ind w:firstLine="17"/>
                    <w:rPr>
                      <w:sz w:val="18"/>
                      <w:szCs w:val="18"/>
                    </w:rPr>
                  </w:pPr>
                  <w:r w:rsidRPr="004270AC">
                    <w:rPr>
                      <w:sz w:val="18"/>
                      <w:szCs w:val="18"/>
                    </w:rPr>
                    <w:t>Pārvadājumu pakalpojumi</w:t>
                  </w:r>
                </w:p>
              </w:tc>
              <w:tc>
                <w:tcPr>
                  <w:tcW w:w="851" w:type="dxa"/>
                  <w:shd w:val="clear" w:color="auto" w:fill="auto"/>
                  <w:tcMar>
                    <w:top w:w="12" w:type="dxa"/>
                    <w:left w:w="12" w:type="dxa"/>
                    <w:bottom w:w="0" w:type="dxa"/>
                    <w:right w:w="12" w:type="dxa"/>
                  </w:tcMar>
                  <w:vAlign w:val="center"/>
                  <w:hideMark/>
                </w:tcPr>
                <w:p w14:paraId="20004A78" w14:textId="77777777" w:rsidR="0016040A" w:rsidRPr="004270AC" w:rsidRDefault="0016040A" w:rsidP="00FC2104">
                  <w:pPr>
                    <w:spacing w:before="60" w:after="60"/>
                    <w:ind w:firstLine="439"/>
                    <w:jc w:val="center"/>
                    <w:rPr>
                      <w:sz w:val="18"/>
                      <w:szCs w:val="18"/>
                    </w:rPr>
                  </w:pPr>
                  <w:r w:rsidRPr="004270AC">
                    <w:rPr>
                      <w:sz w:val="18"/>
                      <w:szCs w:val="18"/>
                    </w:rPr>
                    <w:t>0,0</w:t>
                  </w:r>
                </w:p>
              </w:tc>
              <w:tc>
                <w:tcPr>
                  <w:tcW w:w="850" w:type="dxa"/>
                  <w:shd w:val="clear" w:color="auto" w:fill="auto"/>
                  <w:tcMar>
                    <w:top w:w="12" w:type="dxa"/>
                    <w:left w:w="12" w:type="dxa"/>
                    <w:bottom w:w="0" w:type="dxa"/>
                    <w:right w:w="12" w:type="dxa"/>
                  </w:tcMar>
                  <w:vAlign w:val="center"/>
                </w:tcPr>
                <w:p w14:paraId="46359E1B" w14:textId="77777777" w:rsidR="0016040A" w:rsidRPr="004270AC" w:rsidRDefault="0016040A" w:rsidP="00FC2104">
                  <w:pPr>
                    <w:spacing w:before="60" w:after="60"/>
                    <w:ind w:firstLine="439"/>
                    <w:jc w:val="center"/>
                    <w:rPr>
                      <w:sz w:val="18"/>
                      <w:szCs w:val="18"/>
                    </w:rPr>
                  </w:pPr>
                  <w:r w:rsidRPr="004270AC">
                    <w:rPr>
                      <w:sz w:val="18"/>
                      <w:szCs w:val="18"/>
                    </w:rPr>
                    <w:t>-1,1</w:t>
                  </w:r>
                </w:p>
              </w:tc>
            </w:tr>
            <w:tr w:rsidR="0016040A" w:rsidRPr="004270AC" w14:paraId="1539F464" w14:textId="77777777" w:rsidTr="00FC2104">
              <w:trPr>
                <w:jc w:val="center"/>
              </w:trPr>
              <w:tc>
                <w:tcPr>
                  <w:tcW w:w="2297" w:type="dxa"/>
                  <w:shd w:val="clear" w:color="auto" w:fill="auto"/>
                  <w:tcMar>
                    <w:top w:w="12" w:type="dxa"/>
                    <w:left w:w="12" w:type="dxa"/>
                    <w:bottom w:w="0" w:type="dxa"/>
                    <w:right w:w="12" w:type="dxa"/>
                  </w:tcMar>
                  <w:vAlign w:val="center"/>
                  <w:hideMark/>
                </w:tcPr>
                <w:p w14:paraId="0C47B6FC" w14:textId="77777777" w:rsidR="0016040A" w:rsidRPr="004270AC" w:rsidRDefault="0016040A" w:rsidP="00FC2104">
                  <w:pPr>
                    <w:spacing w:before="60" w:after="60"/>
                    <w:ind w:firstLine="17"/>
                    <w:rPr>
                      <w:sz w:val="18"/>
                      <w:szCs w:val="18"/>
                    </w:rPr>
                  </w:pPr>
                  <w:r w:rsidRPr="004270AC">
                    <w:rPr>
                      <w:sz w:val="18"/>
                      <w:szCs w:val="18"/>
                    </w:rPr>
                    <w:t>Atpūta un kultūra</w:t>
                  </w:r>
                </w:p>
              </w:tc>
              <w:tc>
                <w:tcPr>
                  <w:tcW w:w="851" w:type="dxa"/>
                  <w:shd w:val="clear" w:color="auto" w:fill="auto"/>
                  <w:tcMar>
                    <w:top w:w="12" w:type="dxa"/>
                    <w:left w:w="12" w:type="dxa"/>
                    <w:bottom w:w="0" w:type="dxa"/>
                    <w:right w:w="12" w:type="dxa"/>
                  </w:tcMar>
                  <w:vAlign w:val="center"/>
                  <w:hideMark/>
                </w:tcPr>
                <w:p w14:paraId="3643A43C" w14:textId="77777777" w:rsidR="0016040A" w:rsidRPr="004270AC" w:rsidRDefault="0016040A" w:rsidP="00FC2104">
                  <w:pPr>
                    <w:spacing w:before="60" w:after="60"/>
                    <w:ind w:firstLine="439"/>
                    <w:jc w:val="center"/>
                    <w:rPr>
                      <w:sz w:val="18"/>
                      <w:szCs w:val="18"/>
                    </w:rPr>
                  </w:pPr>
                  <w:r w:rsidRPr="004270AC">
                    <w:rPr>
                      <w:sz w:val="18"/>
                      <w:szCs w:val="18"/>
                    </w:rPr>
                    <w:t>2,0</w:t>
                  </w:r>
                </w:p>
              </w:tc>
              <w:tc>
                <w:tcPr>
                  <w:tcW w:w="850" w:type="dxa"/>
                  <w:shd w:val="clear" w:color="auto" w:fill="auto"/>
                  <w:tcMar>
                    <w:top w:w="12" w:type="dxa"/>
                    <w:left w:w="12" w:type="dxa"/>
                    <w:bottom w:w="0" w:type="dxa"/>
                    <w:right w:w="12" w:type="dxa"/>
                  </w:tcMar>
                  <w:vAlign w:val="center"/>
                </w:tcPr>
                <w:p w14:paraId="5C005E99" w14:textId="77777777" w:rsidR="0016040A" w:rsidRPr="004270AC" w:rsidRDefault="0016040A" w:rsidP="00FC2104">
                  <w:pPr>
                    <w:spacing w:before="60" w:after="60"/>
                    <w:ind w:firstLine="439"/>
                    <w:jc w:val="center"/>
                    <w:rPr>
                      <w:sz w:val="18"/>
                      <w:szCs w:val="18"/>
                    </w:rPr>
                  </w:pPr>
                  <w:r w:rsidRPr="004270AC">
                    <w:rPr>
                      <w:sz w:val="18"/>
                      <w:szCs w:val="18"/>
                    </w:rPr>
                    <w:t>2,2</w:t>
                  </w:r>
                </w:p>
              </w:tc>
            </w:tr>
            <w:tr w:rsidR="0016040A" w:rsidRPr="004270AC" w14:paraId="2F1994EE" w14:textId="77777777" w:rsidTr="00FC2104">
              <w:trPr>
                <w:jc w:val="center"/>
              </w:trPr>
              <w:tc>
                <w:tcPr>
                  <w:tcW w:w="2297" w:type="dxa"/>
                  <w:shd w:val="clear" w:color="auto" w:fill="auto"/>
                  <w:tcMar>
                    <w:top w:w="12" w:type="dxa"/>
                    <w:left w:w="12" w:type="dxa"/>
                    <w:bottom w:w="0" w:type="dxa"/>
                    <w:right w:w="12" w:type="dxa"/>
                  </w:tcMar>
                  <w:vAlign w:val="center"/>
                  <w:hideMark/>
                </w:tcPr>
                <w:p w14:paraId="6B616DE0" w14:textId="77777777" w:rsidR="0016040A" w:rsidRPr="004270AC" w:rsidRDefault="0016040A" w:rsidP="00FC2104">
                  <w:pPr>
                    <w:spacing w:before="60" w:after="60"/>
                    <w:ind w:firstLine="17"/>
                    <w:rPr>
                      <w:sz w:val="18"/>
                      <w:szCs w:val="18"/>
                    </w:rPr>
                  </w:pPr>
                  <w:r w:rsidRPr="004270AC">
                    <w:rPr>
                      <w:sz w:val="18"/>
                      <w:szCs w:val="18"/>
                    </w:rPr>
                    <w:t>Restorāni un viesnīcas</w:t>
                  </w:r>
                </w:p>
              </w:tc>
              <w:tc>
                <w:tcPr>
                  <w:tcW w:w="851" w:type="dxa"/>
                  <w:shd w:val="clear" w:color="auto" w:fill="auto"/>
                  <w:tcMar>
                    <w:top w:w="12" w:type="dxa"/>
                    <w:left w:w="12" w:type="dxa"/>
                    <w:bottom w:w="0" w:type="dxa"/>
                    <w:right w:w="12" w:type="dxa"/>
                  </w:tcMar>
                  <w:vAlign w:val="center"/>
                  <w:hideMark/>
                </w:tcPr>
                <w:p w14:paraId="13C12A81" w14:textId="77777777" w:rsidR="0016040A" w:rsidRPr="004270AC" w:rsidRDefault="0016040A" w:rsidP="00FC2104">
                  <w:pPr>
                    <w:spacing w:before="60" w:after="60"/>
                    <w:ind w:firstLine="439"/>
                    <w:jc w:val="center"/>
                    <w:rPr>
                      <w:sz w:val="18"/>
                      <w:szCs w:val="18"/>
                    </w:rPr>
                  </w:pPr>
                  <w:r w:rsidRPr="004270AC">
                    <w:rPr>
                      <w:sz w:val="18"/>
                      <w:szCs w:val="18"/>
                    </w:rPr>
                    <w:t>2,7</w:t>
                  </w:r>
                </w:p>
              </w:tc>
              <w:tc>
                <w:tcPr>
                  <w:tcW w:w="850" w:type="dxa"/>
                  <w:shd w:val="clear" w:color="auto" w:fill="auto"/>
                  <w:tcMar>
                    <w:top w:w="12" w:type="dxa"/>
                    <w:left w:w="12" w:type="dxa"/>
                    <w:bottom w:w="0" w:type="dxa"/>
                    <w:right w:w="12" w:type="dxa"/>
                  </w:tcMar>
                  <w:vAlign w:val="center"/>
                </w:tcPr>
                <w:p w14:paraId="748861B7" w14:textId="77777777" w:rsidR="0016040A" w:rsidRPr="004270AC" w:rsidRDefault="0016040A" w:rsidP="00FC2104">
                  <w:pPr>
                    <w:spacing w:before="60" w:after="60"/>
                    <w:ind w:firstLine="439"/>
                    <w:jc w:val="center"/>
                    <w:rPr>
                      <w:sz w:val="18"/>
                      <w:szCs w:val="18"/>
                    </w:rPr>
                  </w:pPr>
                  <w:r w:rsidRPr="004270AC">
                    <w:rPr>
                      <w:sz w:val="18"/>
                      <w:szCs w:val="18"/>
                    </w:rPr>
                    <w:t>1,4</w:t>
                  </w:r>
                </w:p>
              </w:tc>
            </w:tr>
            <w:tr w:rsidR="0016040A" w:rsidRPr="004270AC" w14:paraId="377CD6D7" w14:textId="77777777" w:rsidTr="00FC2104">
              <w:trPr>
                <w:jc w:val="center"/>
              </w:trPr>
              <w:tc>
                <w:tcPr>
                  <w:tcW w:w="2297" w:type="dxa"/>
                  <w:shd w:val="clear" w:color="auto" w:fill="auto"/>
                  <w:tcMar>
                    <w:top w:w="12" w:type="dxa"/>
                    <w:left w:w="12" w:type="dxa"/>
                    <w:bottom w:w="0" w:type="dxa"/>
                    <w:right w:w="12" w:type="dxa"/>
                  </w:tcMar>
                  <w:vAlign w:val="center"/>
                  <w:hideMark/>
                </w:tcPr>
                <w:p w14:paraId="03733439" w14:textId="77777777" w:rsidR="0016040A" w:rsidRPr="004270AC" w:rsidRDefault="0016040A" w:rsidP="00FC2104">
                  <w:pPr>
                    <w:spacing w:before="60" w:after="60"/>
                    <w:ind w:firstLine="17"/>
                    <w:rPr>
                      <w:sz w:val="18"/>
                      <w:szCs w:val="18"/>
                    </w:rPr>
                  </w:pPr>
                  <w:proofErr w:type="spellStart"/>
                  <w:r w:rsidRPr="004270AC">
                    <w:rPr>
                      <w:sz w:val="18"/>
                      <w:szCs w:val="18"/>
                      <w:lang w:val="es-ES"/>
                    </w:rPr>
                    <w:t>Dažādas</w:t>
                  </w:r>
                  <w:proofErr w:type="spellEnd"/>
                  <w:r w:rsidRPr="004270AC">
                    <w:rPr>
                      <w:sz w:val="18"/>
                      <w:szCs w:val="18"/>
                      <w:lang w:val="es-ES"/>
                    </w:rPr>
                    <w:t xml:space="preserve"> preces un </w:t>
                  </w:r>
                  <w:proofErr w:type="spellStart"/>
                  <w:r w:rsidRPr="004270AC">
                    <w:rPr>
                      <w:sz w:val="18"/>
                      <w:szCs w:val="18"/>
                      <w:lang w:val="es-ES"/>
                    </w:rPr>
                    <w:t>pakalpojumi</w:t>
                  </w:r>
                  <w:proofErr w:type="spellEnd"/>
                </w:p>
              </w:tc>
              <w:tc>
                <w:tcPr>
                  <w:tcW w:w="851" w:type="dxa"/>
                  <w:shd w:val="clear" w:color="auto" w:fill="auto"/>
                  <w:tcMar>
                    <w:top w:w="12" w:type="dxa"/>
                    <w:left w:w="12" w:type="dxa"/>
                    <w:bottom w:w="0" w:type="dxa"/>
                    <w:right w:w="12" w:type="dxa"/>
                  </w:tcMar>
                  <w:vAlign w:val="center"/>
                  <w:hideMark/>
                </w:tcPr>
                <w:p w14:paraId="75A7264D" w14:textId="77777777" w:rsidR="0016040A" w:rsidRPr="004270AC" w:rsidRDefault="0016040A" w:rsidP="00FC2104">
                  <w:pPr>
                    <w:spacing w:before="60" w:after="60"/>
                    <w:ind w:firstLine="439"/>
                    <w:jc w:val="center"/>
                    <w:rPr>
                      <w:sz w:val="18"/>
                      <w:szCs w:val="18"/>
                    </w:rPr>
                  </w:pPr>
                  <w:r w:rsidRPr="004270AC">
                    <w:rPr>
                      <w:sz w:val="18"/>
                      <w:szCs w:val="18"/>
                    </w:rPr>
                    <w:t>-0,1</w:t>
                  </w:r>
                </w:p>
              </w:tc>
              <w:tc>
                <w:tcPr>
                  <w:tcW w:w="850" w:type="dxa"/>
                  <w:shd w:val="clear" w:color="auto" w:fill="auto"/>
                  <w:tcMar>
                    <w:top w:w="12" w:type="dxa"/>
                    <w:left w:w="12" w:type="dxa"/>
                    <w:bottom w:w="0" w:type="dxa"/>
                    <w:right w:w="12" w:type="dxa"/>
                  </w:tcMar>
                  <w:vAlign w:val="center"/>
                </w:tcPr>
                <w:p w14:paraId="28754FA3" w14:textId="77777777" w:rsidR="0016040A" w:rsidRPr="004270AC" w:rsidRDefault="0016040A" w:rsidP="00FC2104">
                  <w:pPr>
                    <w:spacing w:before="60" w:after="60"/>
                    <w:ind w:firstLine="439"/>
                    <w:jc w:val="center"/>
                    <w:rPr>
                      <w:sz w:val="18"/>
                      <w:szCs w:val="18"/>
                    </w:rPr>
                  </w:pPr>
                  <w:r w:rsidRPr="004270AC">
                    <w:rPr>
                      <w:sz w:val="18"/>
                      <w:szCs w:val="18"/>
                    </w:rPr>
                    <w:t>-0,1</w:t>
                  </w:r>
                </w:p>
              </w:tc>
            </w:tr>
          </w:tbl>
          <w:p w14:paraId="4B4AB98A" w14:textId="77777777" w:rsidR="0016040A" w:rsidRDefault="0016040A" w:rsidP="007F5E20">
            <w:pPr>
              <w:spacing w:before="60" w:after="60"/>
              <w:rPr>
                <w:szCs w:val="28"/>
              </w:rPr>
            </w:pPr>
          </w:p>
        </w:tc>
        <w:tc>
          <w:tcPr>
            <w:tcW w:w="4190" w:type="dxa"/>
            <w:gridSpan w:val="2"/>
          </w:tcPr>
          <w:p w14:paraId="0CBCCF42" w14:textId="43E5237E" w:rsidR="0016040A" w:rsidRDefault="00F84C32" w:rsidP="007F5E20">
            <w:pPr>
              <w:spacing w:before="60" w:after="60"/>
              <w:ind w:firstLine="492"/>
              <w:rPr>
                <w:szCs w:val="28"/>
              </w:rPr>
            </w:pPr>
            <w:r>
              <w:rPr>
                <w:noProof/>
                <w:lang w:eastAsia="lv-LV"/>
              </w:rPr>
              <w:drawing>
                <wp:inline distT="0" distB="0" distL="0" distR="0" wp14:anchorId="488F63B4" wp14:editId="3FF0BC71">
                  <wp:extent cx="2584450" cy="3256767"/>
                  <wp:effectExtent l="0" t="0" r="6350" b="1270"/>
                  <wp:docPr id="28" name="Chart 28">
                    <a:extLst xmlns:a="http://schemas.openxmlformats.org/drawingml/2006/main">
                      <a:ext uri="{FF2B5EF4-FFF2-40B4-BE49-F238E27FC236}">
                        <a16:creationId xmlns:a16="http://schemas.microsoft.com/office/drawing/2014/main" id="{00000000-0008-0000-02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tc>
      </w:tr>
    </w:tbl>
    <w:p w14:paraId="236CAEB4" w14:textId="77777777" w:rsidR="0016040A" w:rsidRPr="00BF76AF" w:rsidRDefault="0016040A" w:rsidP="0016040A">
      <w:pPr>
        <w:spacing w:before="120"/>
        <w:ind w:firstLine="720"/>
        <w:rPr>
          <w:rFonts w:eastAsia="Calibri"/>
          <w:szCs w:val="22"/>
        </w:rPr>
      </w:pPr>
      <w:r w:rsidRPr="00BF76AF">
        <w:rPr>
          <w:rFonts w:eastAsia="Calibri"/>
          <w:szCs w:val="22"/>
        </w:rPr>
        <w:t xml:space="preserve">Patēriņa cenu izmaiņas Latvijā atbilst tendencēm </w:t>
      </w:r>
      <w:proofErr w:type="spellStart"/>
      <w:r w:rsidRPr="00BF76AF">
        <w:rPr>
          <w:rFonts w:eastAsia="Calibri"/>
          <w:szCs w:val="22"/>
        </w:rPr>
        <w:t>eirozonā</w:t>
      </w:r>
      <w:proofErr w:type="spellEnd"/>
      <w:r w:rsidRPr="00BF76AF">
        <w:rPr>
          <w:rFonts w:eastAsia="Calibri"/>
          <w:szCs w:val="22"/>
        </w:rPr>
        <w:t>. Š</w:t>
      </w:r>
      <w:r>
        <w:rPr>
          <w:rFonts w:eastAsia="Calibri"/>
          <w:szCs w:val="22"/>
        </w:rPr>
        <w:t>ā gada</w:t>
      </w:r>
      <w:r w:rsidRPr="00BF76AF">
        <w:rPr>
          <w:rFonts w:eastAsia="Calibri"/>
          <w:szCs w:val="22"/>
        </w:rPr>
        <w:t xml:space="preserve"> pirmajos astoņos mēnešos saskaņotais patēriņa cenu indekss </w:t>
      </w:r>
      <w:proofErr w:type="spellStart"/>
      <w:r w:rsidRPr="00BF76AF">
        <w:rPr>
          <w:rFonts w:eastAsia="Calibri"/>
          <w:szCs w:val="22"/>
        </w:rPr>
        <w:t>eirozonā</w:t>
      </w:r>
      <w:proofErr w:type="spellEnd"/>
      <w:r w:rsidRPr="00BF76AF">
        <w:rPr>
          <w:rFonts w:eastAsia="Calibri"/>
          <w:szCs w:val="22"/>
        </w:rPr>
        <w:t xml:space="preserve"> ir palielinājies nedaudz straujāk nekā Latvijā un salīdzinājumā ar pērnā gada attiecīgo periodu bija p</w:t>
      </w:r>
      <w:r>
        <w:rPr>
          <w:rFonts w:eastAsia="Calibri"/>
          <w:szCs w:val="22"/>
        </w:rPr>
        <w:t>ar 1,7% augstāks. Savukārt</w:t>
      </w:r>
      <w:r w:rsidRPr="00BF76AF">
        <w:rPr>
          <w:rFonts w:eastAsia="Calibri"/>
          <w:szCs w:val="22"/>
        </w:rPr>
        <w:t xml:space="preserve"> augustā saskaņotais patēriņa cenu indekss </w:t>
      </w:r>
      <w:proofErr w:type="spellStart"/>
      <w:r w:rsidRPr="00BF76AF">
        <w:rPr>
          <w:rFonts w:eastAsia="Calibri"/>
          <w:szCs w:val="22"/>
        </w:rPr>
        <w:t>eirozonā</w:t>
      </w:r>
      <w:proofErr w:type="spellEnd"/>
      <w:r w:rsidRPr="00BF76AF">
        <w:rPr>
          <w:rFonts w:eastAsia="Calibri"/>
          <w:szCs w:val="22"/>
        </w:rPr>
        <w:t xml:space="preserve"> gada griezumā palielinājās par 3,0%, kas tāpat kā Latvijā ir straujākais cenu pieaugums kopš 2012</w:t>
      </w:r>
      <w:r>
        <w:rPr>
          <w:rFonts w:eastAsia="Calibri"/>
          <w:szCs w:val="22"/>
        </w:rPr>
        <w:t>. gad</w:t>
      </w:r>
      <w:r w:rsidRPr="00BF76AF">
        <w:rPr>
          <w:rFonts w:eastAsia="Calibri"/>
          <w:szCs w:val="22"/>
        </w:rPr>
        <w:t xml:space="preserve">a. </w:t>
      </w:r>
      <w:proofErr w:type="spellStart"/>
      <w:r w:rsidRPr="00BF76AF">
        <w:rPr>
          <w:rFonts w:eastAsia="Calibri"/>
          <w:szCs w:val="22"/>
        </w:rPr>
        <w:t>Eirozonas</w:t>
      </w:r>
      <w:proofErr w:type="spellEnd"/>
      <w:r w:rsidRPr="00BF76AF">
        <w:rPr>
          <w:rFonts w:eastAsia="Calibri"/>
          <w:szCs w:val="22"/>
        </w:rPr>
        <w:t xml:space="preserve"> valstīs būtisku devumu inflācijā gan astoņos mēnešos kopumā, gan augustā nodrošināja energoresursu cenu pieaugums (degviela, gāze, siltumenerģija, elektroenerģija), jo, izslēdzot tās, vidējais cenu līmenis būtu palielinājies gandrīz divas reizes mazāk. Papildus tam jāatzīmē, ka pamatinflācija jeb cenu izmaiņas, kas raksturo tieši iekšējā tirgus ekonomikas procesus, šā gada astoņos mēnešos </w:t>
      </w:r>
      <w:proofErr w:type="spellStart"/>
      <w:r w:rsidRPr="00BF76AF">
        <w:rPr>
          <w:rFonts w:eastAsia="Calibri"/>
          <w:szCs w:val="22"/>
        </w:rPr>
        <w:t>eirozonā</w:t>
      </w:r>
      <w:proofErr w:type="spellEnd"/>
      <w:r w:rsidRPr="00BF76AF">
        <w:rPr>
          <w:rFonts w:eastAsia="Calibri"/>
          <w:szCs w:val="22"/>
        </w:rPr>
        <w:t xml:space="preserve"> bija 1,0%, bet Latvijā 1,2%, kas pie samērā straujās ekonomiskās izaugsmes šā </w:t>
      </w:r>
      <w:r>
        <w:rPr>
          <w:rFonts w:eastAsia="Calibri"/>
          <w:szCs w:val="22"/>
        </w:rPr>
        <w:t>gada pirmajā pusgadā nav daudz.</w:t>
      </w:r>
    </w:p>
    <w:p w14:paraId="42303F67" w14:textId="6B50C971" w:rsidR="00EF1D74" w:rsidRDefault="00EF1D74" w:rsidP="006F769D">
      <w:pPr>
        <w:keepNext/>
        <w:keepLines/>
        <w:spacing w:before="240" w:after="240"/>
        <w:ind w:firstLine="0"/>
        <w:jc w:val="center"/>
        <w:outlineLvl w:val="2"/>
        <w:rPr>
          <w:b/>
          <w:bCs/>
          <w:sz w:val="32"/>
          <w:szCs w:val="32"/>
        </w:rPr>
      </w:pPr>
      <w:r w:rsidRPr="00EF1D74">
        <w:rPr>
          <w:b/>
          <w:bCs/>
          <w:sz w:val="32"/>
          <w:szCs w:val="32"/>
        </w:rPr>
        <w:t>1.2.4. Nodarbinātība un bezdarbs</w:t>
      </w:r>
    </w:p>
    <w:p w14:paraId="28BDB77D" w14:textId="77777777" w:rsidR="00D16D1B" w:rsidRPr="00F0045E" w:rsidRDefault="00D16D1B" w:rsidP="00D16D1B">
      <w:pPr>
        <w:ind w:firstLine="720"/>
        <w:rPr>
          <w:rFonts w:eastAsia="Calibri"/>
          <w:szCs w:val="22"/>
        </w:rPr>
      </w:pPr>
      <w:r w:rsidRPr="00F0045E">
        <w:rPr>
          <w:rFonts w:eastAsia="Calibri"/>
          <w:szCs w:val="22"/>
        </w:rPr>
        <w:t>Bezdarba līmenis, kas līdz ar spēcīgo ekonomikas izaugsmi laikā līdz 2019</w:t>
      </w:r>
      <w:r>
        <w:rPr>
          <w:rFonts w:eastAsia="Calibri"/>
          <w:szCs w:val="22"/>
        </w:rPr>
        <w:t>. gad</w:t>
      </w:r>
      <w:r w:rsidRPr="00F0045E">
        <w:rPr>
          <w:rFonts w:eastAsia="Calibri"/>
          <w:szCs w:val="22"/>
        </w:rPr>
        <w:t xml:space="preserve">am bija būtiski samazinājies, </w:t>
      </w:r>
      <w:r>
        <w:rPr>
          <w:rFonts w:eastAsia="Calibri"/>
          <w:szCs w:val="22"/>
        </w:rPr>
        <w:t>Covid</w:t>
      </w:r>
      <w:r>
        <w:rPr>
          <w:rFonts w:eastAsia="Calibri"/>
          <w:szCs w:val="22"/>
        </w:rPr>
        <w:noBreakHyphen/>
        <w:t>19</w:t>
      </w:r>
      <w:r w:rsidRPr="00F0045E">
        <w:rPr>
          <w:rFonts w:eastAsia="Calibri"/>
          <w:szCs w:val="22"/>
        </w:rPr>
        <w:t xml:space="preserve"> krīzes laikā 2020</w:t>
      </w:r>
      <w:r>
        <w:rPr>
          <w:rFonts w:eastAsia="Calibri"/>
          <w:szCs w:val="22"/>
        </w:rPr>
        <w:t>. gad</w:t>
      </w:r>
      <w:r w:rsidRPr="00F0045E">
        <w:rPr>
          <w:rFonts w:eastAsia="Calibri"/>
          <w:szCs w:val="22"/>
        </w:rPr>
        <w:t>ā un 2021</w:t>
      </w:r>
      <w:r>
        <w:rPr>
          <w:rFonts w:eastAsia="Calibri"/>
          <w:szCs w:val="22"/>
        </w:rPr>
        <w:t>. gad</w:t>
      </w:r>
      <w:r w:rsidRPr="00F0045E">
        <w:rPr>
          <w:rFonts w:eastAsia="Calibri"/>
          <w:szCs w:val="22"/>
        </w:rPr>
        <w:t>a pirmajā pusē atkal pieauga, tomēr šis bezdarba kāpums bija nesalīdzināmi mazāks nekā 2009.-2010</w:t>
      </w:r>
      <w:r>
        <w:rPr>
          <w:rFonts w:eastAsia="Calibri"/>
          <w:szCs w:val="22"/>
        </w:rPr>
        <w:t>. gad</w:t>
      </w:r>
      <w:r w:rsidRPr="00F0045E">
        <w:rPr>
          <w:rFonts w:eastAsia="Calibri"/>
          <w:szCs w:val="22"/>
        </w:rPr>
        <w:t xml:space="preserve">a ekonomiskās krīzes laikā un arī mērenāks, nekā tika prognozēts </w:t>
      </w:r>
      <w:r>
        <w:rPr>
          <w:rFonts w:eastAsia="Calibri"/>
          <w:szCs w:val="22"/>
        </w:rPr>
        <w:t>Covid</w:t>
      </w:r>
      <w:r>
        <w:rPr>
          <w:rFonts w:eastAsia="Calibri"/>
          <w:szCs w:val="22"/>
        </w:rPr>
        <w:noBreakHyphen/>
        <w:t>19</w:t>
      </w:r>
      <w:r w:rsidRPr="00F0045E">
        <w:rPr>
          <w:rFonts w:eastAsia="Calibri"/>
          <w:szCs w:val="22"/>
        </w:rPr>
        <w:t xml:space="preserve"> krīzes sākumā 2020</w:t>
      </w:r>
      <w:r>
        <w:rPr>
          <w:rFonts w:eastAsia="Calibri"/>
          <w:szCs w:val="22"/>
        </w:rPr>
        <w:t>. gad</w:t>
      </w:r>
      <w:r w:rsidRPr="00F0045E">
        <w:rPr>
          <w:rFonts w:eastAsia="Calibri"/>
          <w:szCs w:val="22"/>
        </w:rPr>
        <w:t xml:space="preserve">a pavasarī. </w:t>
      </w:r>
    </w:p>
    <w:p w14:paraId="113503AA" w14:textId="77777777" w:rsidR="00D16D1B" w:rsidRPr="00F0045E" w:rsidRDefault="00D16D1B" w:rsidP="00D16D1B">
      <w:pPr>
        <w:ind w:firstLine="720"/>
        <w:rPr>
          <w:rFonts w:eastAsia="Calibri"/>
          <w:szCs w:val="22"/>
        </w:rPr>
      </w:pPr>
      <w:r w:rsidRPr="00F0045E">
        <w:rPr>
          <w:rFonts w:eastAsia="Calibri"/>
          <w:szCs w:val="22"/>
        </w:rPr>
        <w:t>2020</w:t>
      </w:r>
      <w:r>
        <w:rPr>
          <w:rFonts w:eastAsia="Calibri"/>
          <w:szCs w:val="22"/>
        </w:rPr>
        <w:t>. gad</w:t>
      </w:r>
      <w:r w:rsidRPr="00F0045E">
        <w:rPr>
          <w:rFonts w:eastAsia="Calibri"/>
          <w:szCs w:val="22"/>
        </w:rPr>
        <w:t xml:space="preserve">ā bezdarba līmenis, pēc darbaspēka </w:t>
      </w:r>
      <w:proofErr w:type="spellStart"/>
      <w:r w:rsidRPr="00F0045E">
        <w:rPr>
          <w:rFonts w:eastAsia="Calibri"/>
          <w:szCs w:val="22"/>
        </w:rPr>
        <w:t>apsekojuma</w:t>
      </w:r>
      <w:proofErr w:type="spellEnd"/>
      <w:r w:rsidRPr="00F0045E">
        <w:rPr>
          <w:rFonts w:eastAsia="Calibri"/>
          <w:szCs w:val="22"/>
        </w:rPr>
        <w:t>, salīdzinot ar 2019</w:t>
      </w:r>
      <w:r>
        <w:rPr>
          <w:rFonts w:eastAsia="Calibri"/>
          <w:szCs w:val="22"/>
        </w:rPr>
        <w:t>. gad</w:t>
      </w:r>
      <w:r w:rsidRPr="00F0045E">
        <w:rPr>
          <w:rFonts w:eastAsia="Calibri"/>
          <w:szCs w:val="22"/>
        </w:rPr>
        <w:t>u palielinājās par 1,8 procentpunktiem un sasniedza 8,1% no ekonomiski aktīvajiem iedzīvotājiem, tālu atpaliekot no pagājušajā krīzē 2010</w:t>
      </w:r>
      <w:r>
        <w:rPr>
          <w:rFonts w:eastAsia="Calibri"/>
          <w:szCs w:val="22"/>
        </w:rPr>
        <w:t>. gad</w:t>
      </w:r>
      <w:r w:rsidRPr="00F0045E">
        <w:rPr>
          <w:rFonts w:eastAsia="Calibri"/>
          <w:szCs w:val="22"/>
        </w:rPr>
        <w:t xml:space="preserve">ā sasniegtā 19,5% maksimuma. Šā gada pirmajā ceturksnī, līdz ar </w:t>
      </w:r>
      <w:r>
        <w:rPr>
          <w:rFonts w:eastAsia="Calibri"/>
          <w:szCs w:val="22"/>
        </w:rPr>
        <w:t>Covid</w:t>
      </w:r>
      <w:r>
        <w:rPr>
          <w:rFonts w:eastAsia="Calibri"/>
          <w:szCs w:val="22"/>
        </w:rPr>
        <w:noBreakHyphen/>
        <w:t>19</w:t>
      </w:r>
      <w:r w:rsidRPr="00F0045E">
        <w:rPr>
          <w:rFonts w:eastAsia="Calibri"/>
          <w:szCs w:val="22"/>
        </w:rPr>
        <w:t xml:space="preserve"> atkārtoto uzliesmojumu, bezdarbs saglabājās sasniegtajā 8,1% līmenī, bet otrajā ceturksnī, slimības izplatībai un ierobežojumiem mazinoties, jau noslīdēja līdz 7,9%. Salīdzinājumā ar 2020</w:t>
      </w:r>
      <w:r>
        <w:rPr>
          <w:rFonts w:eastAsia="Calibri"/>
          <w:szCs w:val="22"/>
        </w:rPr>
        <w:t>. gad</w:t>
      </w:r>
      <w:r w:rsidRPr="00F0045E">
        <w:rPr>
          <w:rFonts w:eastAsia="Calibri"/>
          <w:szCs w:val="22"/>
        </w:rPr>
        <w:t xml:space="preserve">a otro ceturksni, kad Latviju </w:t>
      </w:r>
      <w:proofErr w:type="spellStart"/>
      <w:r w:rsidRPr="00F0045E">
        <w:rPr>
          <w:rFonts w:eastAsia="Calibri"/>
          <w:szCs w:val="22"/>
        </w:rPr>
        <w:t>visjūtamāk</w:t>
      </w:r>
      <w:proofErr w:type="spellEnd"/>
      <w:r w:rsidRPr="00F0045E">
        <w:rPr>
          <w:rFonts w:eastAsia="Calibri"/>
          <w:szCs w:val="22"/>
        </w:rPr>
        <w:t xml:space="preserve"> bija </w:t>
      </w:r>
      <w:proofErr w:type="spellStart"/>
      <w:r w:rsidRPr="00F0045E">
        <w:rPr>
          <w:rFonts w:eastAsia="Calibri"/>
          <w:szCs w:val="22"/>
        </w:rPr>
        <w:t>skāris</w:t>
      </w:r>
      <w:proofErr w:type="spellEnd"/>
      <w:r w:rsidRPr="00F0045E">
        <w:rPr>
          <w:rFonts w:eastAsia="Calibri"/>
          <w:szCs w:val="22"/>
        </w:rPr>
        <w:t xml:space="preserve"> </w:t>
      </w:r>
      <w:r>
        <w:rPr>
          <w:rFonts w:eastAsia="Calibri"/>
          <w:szCs w:val="22"/>
        </w:rPr>
        <w:t>Covid</w:t>
      </w:r>
      <w:r>
        <w:rPr>
          <w:rFonts w:eastAsia="Calibri"/>
          <w:szCs w:val="22"/>
        </w:rPr>
        <w:noBreakHyphen/>
        <w:t>19</w:t>
      </w:r>
      <w:r w:rsidRPr="00F0045E">
        <w:rPr>
          <w:rFonts w:eastAsia="Calibri"/>
          <w:szCs w:val="22"/>
        </w:rPr>
        <w:t xml:space="preserve"> uzliesmojums, bezdarba līmenis bija samazinājies jau par 0,7 procentpunktiem, </w:t>
      </w:r>
      <w:r w:rsidRPr="00F0045E">
        <w:rPr>
          <w:rFonts w:eastAsia="Calibri"/>
          <w:szCs w:val="22"/>
        </w:rPr>
        <w:lastRenderedPageBreak/>
        <w:t>bet bezdarbnieku skaits krities par 10,1 tūkstoti jeb 12,1%. Tāpat</w:t>
      </w:r>
      <w:r>
        <w:rPr>
          <w:rFonts w:eastAsia="Calibri"/>
          <w:szCs w:val="22"/>
        </w:rPr>
        <w:t xml:space="preserve"> kā</w:t>
      </w:r>
      <w:r w:rsidRPr="00F0045E">
        <w:rPr>
          <w:rFonts w:eastAsia="Calibri"/>
          <w:szCs w:val="22"/>
        </w:rPr>
        <w:t xml:space="preserve"> 2020</w:t>
      </w:r>
      <w:r>
        <w:rPr>
          <w:rFonts w:eastAsia="Calibri"/>
          <w:szCs w:val="22"/>
        </w:rPr>
        <w:t xml:space="preserve">. gadā, </w:t>
      </w:r>
      <w:r w:rsidRPr="00F0045E">
        <w:rPr>
          <w:rFonts w:eastAsia="Calibri"/>
          <w:szCs w:val="22"/>
        </w:rPr>
        <w:t xml:space="preserve">arī šā gada pirmajā pusē bezdarba līmeni būtiski ierobežoja valsts sniegtais nodarbinātības atbalsts dīkstāves pabalstu un algu subsīdiju veidā, gan tas, ka ekonomika krīzes otrajā vilnī jau bija labāk pielāgojusies </w:t>
      </w:r>
      <w:r>
        <w:rPr>
          <w:rFonts w:eastAsia="Calibri"/>
          <w:szCs w:val="22"/>
        </w:rPr>
        <w:t>Covid</w:t>
      </w:r>
      <w:r>
        <w:rPr>
          <w:rFonts w:eastAsia="Calibri"/>
          <w:szCs w:val="22"/>
        </w:rPr>
        <w:noBreakHyphen/>
        <w:t>19</w:t>
      </w:r>
      <w:r w:rsidRPr="00F0045E">
        <w:rPr>
          <w:rFonts w:eastAsia="Calibri"/>
          <w:szCs w:val="22"/>
        </w:rPr>
        <w:t xml:space="preserve"> ierobežojumiem.</w:t>
      </w:r>
    </w:p>
    <w:p w14:paraId="39DA4EA6" w14:textId="77777777" w:rsidR="00D16D1B" w:rsidRPr="00F0045E" w:rsidRDefault="00D16D1B" w:rsidP="00D16D1B">
      <w:pPr>
        <w:ind w:firstLine="720"/>
        <w:rPr>
          <w:rFonts w:eastAsia="Calibri"/>
          <w:szCs w:val="22"/>
        </w:rPr>
      </w:pPr>
      <w:r w:rsidRPr="00F0045E">
        <w:rPr>
          <w:rFonts w:eastAsia="Calibri"/>
          <w:szCs w:val="22"/>
        </w:rPr>
        <w:t>Līdzīgi reģistrētā bezdarba līmenis, kas 2021</w:t>
      </w:r>
      <w:r>
        <w:rPr>
          <w:rFonts w:eastAsia="Calibri"/>
          <w:szCs w:val="22"/>
        </w:rPr>
        <w:t>. gad</w:t>
      </w:r>
      <w:r w:rsidRPr="00F0045E">
        <w:rPr>
          <w:rFonts w:eastAsia="Calibri"/>
          <w:szCs w:val="22"/>
        </w:rPr>
        <w:t>a ziemas mēnešos bija pieaudzis līdz 8,2%, kopš marta visai stabili samazinās un augusta beigās jau ir noslīdējis līdz  6,5% no ekonomiski aktīvajiem iedzīvotājiem, kas ir par 1,7 procentpunktiem mazāk nekā pirms gada. Reģistrēto bezdarbnieku skaits gada laikā ir sarucis par 21,3% un augusta beigās bija 59,0 tūkstoši. Arī beidzoties dīkstāves atbalsta periodam, gada otrajā pusē bezdarba līmenis nav sācis pieaug</w:t>
      </w:r>
      <w:r>
        <w:rPr>
          <w:rFonts w:eastAsia="Calibri"/>
          <w:szCs w:val="22"/>
        </w:rPr>
        <w:t>t</w:t>
      </w:r>
      <w:r w:rsidRPr="00F0045E">
        <w:rPr>
          <w:rFonts w:eastAsia="Calibri"/>
          <w:szCs w:val="22"/>
        </w:rPr>
        <w:t xml:space="preserve">, bet tieši pretēji </w:t>
      </w:r>
      <w:r>
        <w:rPr>
          <w:rFonts w:eastAsia="Calibri"/>
          <w:szCs w:val="22"/>
        </w:rPr>
        <w:t>–</w:t>
      </w:r>
      <w:r w:rsidRPr="00F0045E">
        <w:rPr>
          <w:rFonts w:eastAsia="Calibri"/>
          <w:szCs w:val="22"/>
        </w:rPr>
        <w:t xml:space="preserve"> bezdarbnieku skaita kritums jūlijā un augustā kļuvis vēl straujāks, ko ietekmējuši gan sezonāli faktori, gan </w:t>
      </w:r>
      <w:r>
        <w:rPr>
          <w:rFonts w:eastAsia="Calibri"/>
          <w:szCs w:val="22"/>
        </w:rPr>
        <w:t>Covid</w:t>
      </w:r>
      <w:r>
        <w:rPr>
          <w:rFonts w:eastAsia="Calibri"/>
          <w:szCs w:val="22"/>
        </w:rPr>
        <w:noBreakHyphen/>
        <w:t>19</w:t>
      </w:r>
      <w:r w:rsidRPr="00F0045E">
        <w:rPr>
          <w:rFonts w:eastAsia="Calibri"/>
          <w:szCs w:val="22"/>
        </w:rPr>
        <w:t xml:space="preserve"> ierobežojumu mazināšana un atcelšana. </w:t>
      </w:r>
    </w:p>
    <w:p w14:paraId="0708117F" w14:textId="77777777" w:rsidR="00D16D1B" w:rsidRDefault="00D16D1B" w:rsidP="00D16D1B">
      <w:pPr>
        <w:ind w:firstLine="720"/>
        <w:rPr>
          <w:rFonts w:eastAsia="Calibri"/>
          <w:szCs w:val="22"/>
        </w:rPr>
      </w:pPr>
      <w:r w:rsidRPr="00F0045E">
        <w:rPr>
          <w:rFonts w:eastAsia="Calibri"/>
          <w:szCs w:val="22"/>
        </w:rPr>
        <w:t xml:space="preserve">Pašlaik pieejamie dati neliecina, ka </w:t>
      </w:r>
      <w:r>
        <w:rPr>
          <w:rFonts w:eastAsia="Calibri"/>
          <w:szCs w:val="22"/>
        </w:rPr>
        <w:t>Covid</w:t>
      </w:r>
      <w:r>
        <w:rPr>
          <w:rFonts w:eastAsia="Calibri"/>
          <w:szCs w:val="22"/>
        </w:rPr>
        <w:noBreakHyphen/>
        <w:t>19</w:t>
      </w:r>
      <w:r w:rsidRPr="00F0045E">
        <w:rPr>
          <w:rFonts w:eastAsia="Calibri"/>
          <w:szCs w:val="22"/>
        </w:rPr>
        <w:t xml:space="preserve"> pandēmija un slimības apkarošanai noteiktie ierobežojumi būtu atstājuši paliekošu negatīvu ietekmi darba tirgū, un septembra sākumā reģistrētais bezdarbs praktiski jau ir atgriezies </w:t>
      </w:r>
      <w:proofErr w:type="spellStart"/>
      <w:r w:rsidRPr="00F0045E">
        <w:rPr>
          <w:rFonts w:eastAsia="Calibri"/>
          <w:szCs w:val="22"/>
        </w:rPr>
        <w:t>pirmskrīzes</w:t>
      </w:r>
      <w:proofErr w:type="spellEnd"/>
      <w:r w:rsidRPr="00F0045E">
        <w:rPr>
          <w:rFonts w:eastAsia="Calibri"/>
          <w:szCs w:val="22"/>
        </w:rPr>
        <w:t xml:space="preserve"> līmenī, kad 2020</w:t>
      </w:r>
      <w:r>
        <w:rPr>
          <w:rFonts w:eastAsia="Calibri"/>
          <w:szCs w:val="22"/>
        </w:rPr>
        <w:t>. gad</w:t>
      </w:r>
      <w:r w:rsidRPr="00F0045E">
        <w:rPr>
          <w:rFonts w:eastAsia="Calibri"/>
          <w:szCs w:val="22"/>
        </w:rPr>
        <w:t xml:space="preserve">a februārī reģistrētā bezdarba līmenis bija 6,3%. Arī skatoties pa reģioniem, kur </w:t>
      </w:r>
      <w:r>
        <w:rPr>
          <w:rFonts w:eastAsia="Calibri"/>
          <w:szCs w:val="22"/>
        </w:rPr>
        <w:t>Covid</w:t>
      </w:r>
      <w:r>
        <w:rPr>
          <w:rFonts w:eastAsia="Calibri"/>
          <w:szCs w:val="22"/>
        </w:rPr>
        <w:noBreakHyphen/>
        <w:t>19</w:t>
      </w:r>
      <w:r w:rsidRPr="00F0045E">
        <w:rPr>
          <w:rFonts w:eastAsia="Calibri"/>
          <w:szCs w:val="22"/>
        </w:rPr>
        <w:t xml:space="preserve"> uzliesmojumā visvairāk cieta pārsvarā Rīgā bāzētās pakalpojumu nozares, bezdarba līmenis ir sācis atgriezties </w:t>
      </w:r>
      <w:proofErr w:type="spellStart"/>
      <w:r w:rsidRPr="00F0045E">
        <w:rPr>
          <w:rFonts w:eastAsia="Calibri"/>
          <w:szCs w:val="22"/>
        </w:rPr>
        <w:t>pirmskrīzes</w:t>
      </w:r>
      <w:proofErr w:type="spellEnd"/>
      <w:r w:rsidRPr="00F0045E">
        <w:rPr>
          <w:rFonts w:eastAsia="Calibri"/>
          <w:szCs w:val="22"/>
        </w:rPr>
        <w:t xml:space="preserve"> laika zemajos līmeņos. Reģistrētā bezdarba līmenis Rīgas reģionā, kur tas pērn vasarā bija sasniedzis 6,9%, augusta beigās samazinājies jau līdz 4,7%, un gandrīz tikpat straujš kritums bijis arī</w:t>
      </w:r>
      <w:r>
        <w:rPr>
          <w:rFonts w:eastAsia="Calibri"/>
          <w:szCs w:val="22"/>
        </w:rPr>
        <w:t xml:space="preserve"> citos Latvijas reģionos (</w:t>
      </w:r>
      <w:r w:rsidRPr="00F0045E">
        <w:rPr>
          <w:rFonts w:eastAsia="Calibri"/>
          <w:szCs w:val="22"/>
        </w:rPr>
        <w:t>1.2</w:t>
      </w:r>
      <w:r>
        <w:rPr>
          <w:rFonts w:eastAsia="Calibri"/>
          <w:szCs w:val="22"/>
        </w:rPr>
        <w:t>6</w:t>
      </w:r>
      <w:r w:rsidRPr="00F0045E">
        <w:rPr>
          <w:rFonts w:eastAsia="Calibri"/>
          <w:szCs w:val="22"/>
        </w:rPr>
        <w:t>.</w:t>
      </w:r>
      <w:r>
        <w:rPr>
          <w:rFonts w:eastAsia="Calibri"/>
          <w:szCs w:val="22"/>
        </w:rPr>
        <w:t xml:space="preserve"> attēls</w:t>
      </w:r>
      <w:r w:rsidRPr="00F0045E">
        <w:rPr>
          <w:rFonts w:eastAsia="Calibri"/>
          <w:szCs w:val="22"/>
        </w:rPr>
        <w:t>).</w:t>
      </w:r>
    </w:p>
    <w:p w14:paraId="5B93EAC9" w14:textId="77777777" w:rsidR="00D16D1B" w:rsidRPr="009F37FF" w:rsidRDefault="00D16D1B" w:rsidP="00D16D1B">
      <w:pPr>
        <w:keepNext/>
        <w:spacing w:before="120" w:after="0"/>
        <w:ind w:firstLine="0"/>
        <w:jc w:val="center"/>
        <w:rPr>
          <w:b/>
        </w:rPr>
      </w:pPr>
      <w:r w:rsidRPr="00316E58">
        <w:rPr>
          <w:b/>
          <w:i/>
          <w:color w:val="000000" w:themeColor="text1"/>
        </w:rPr>
        <w:t>1.2</w:t>
      </w:r>
      <w:r>
        <w:rPr>
          <w:b/>
          <w:i/>
          <w:color w:val="000000" w:themeColor="text1"/>
        </w:rPr>
        <w:t>6</w:t>
      </w:r>
      <w:r w:rsidRPr="00316E58">
        <w:rPr>
          <w:b/>
          <w:i/>
          <w:color w:val="000000" w:themeColor="text1"/>
        </w:rPr>
        <w:t xml:space="preserve">. </w:t>
      </w:r>
      <w:r>
        <w:rPr>
          <w:b/>
          <w:i/>
          <w:color w:val="000000" w:themeColor="text1"/>
        </w:rPr>
        <w:t>attēls</w:t>
      </w:r>
      <w:r w:rsidRPr="0041048E">
        <w:rPr>
          <w:b/>
          <w:i/>
        </w:rPr>
        <w:t xml:space="preserve"> </w:t>
      </w:r>
      <w:r w:rsidRPr="009F37FF">
        <w:rPr>
          <w:b/>
        </w:rPr>
        <w:t>Reģistrētā bezdarba līmenis Latvijas reģionos</w:t>
      </w:r>
    </w:p>
    <w:p w14:paraId="54A2FCF5" w14:textId="77777777" w:rsidR="00D16D1B" w:rsidRPr="009F37FF" w:rsidRDefault="00D16D1B" w:rsidP="00D16D1B">
      <w:pPr>
        <w:keepNext/>
        <w:ind w:firstLine="0"/>
        <w:jc w:val="center"/>
      </w:pPr>
      <w:r w:rsidRPr="009F37FF">
        <w:rPr>
          <w:b/>
        </w:rPr>
        <w:t>(% no ekonomiski aktīvajiem iedzīvotājiem) perioda beigās</w:t>
      </w:r>
    </w:p>
    <w:p w14:paraId="0BCF17FA" w14:textId="77777777" w:rsidR="00D16D1B" w:rsidRPr="0041048E" w:rsidRDefault="00D16D1B" w:rsidP="00D16D1B">
      <w:pPr>
        <w:spacing w:after="0"/>
        <w:ind w:firstLine="0"/>
        <w:jc w:val="center"/>
        <w:rPr>
          <w:sz w:val="28"/>
          <w:szCs w:val="28"/>
          <w:lang w:eastAsia="lv-LV"/>
        </w:rPr>
      </w:pPr>
      <w:r w:rsidRPr="0041048E">
        <w:rPr>
          <w:noProof/>
          <w:sz w:val="28"/>
          <w:szCs w:val="28"/>
          <w:lang w:eastAsia="lv-LV"/>
        </w:rPr>
        <w:drawing>
          <wp:inline distT="0" distB="0" distL="0" distR="0" wp14:anchorId="66D91E23" wp14:editId="0C0AA93A">
            <wp:extent cx="5687251" cy="3133725"/>
            <wp:effectExtent l="0" t="0" r="8890" b="0"/>
            <wp:docPr id="41" name="Chart 41"/>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14:paraId="22D7848D" w14:textId="77777777" w:rsidR="00D16D1B" w:rsidRPr="00F0045E" w:rsidRDefault="00D16D1B" w:rsidP="00D16D1B">
      <w:pPr>
        <w:spacing w:before="240"/>
        <w:ind w:firstLine="720"/>
        <w:rPr>
          <w:rFonts w:eastAsia="Calibri"/>
          <w:szCs w:val="22"/>
        </w:rPr>
      </w:pPr>
      <w:r w:rsidRPr="00F0045E">
        <w:rPr>
          <w:rFonts w:eastAsia="Calibri"/>
          <w:szCs w:val="22"/>
        </w:rPr>
        <w:t>Tautsaimniecībā nodarbināto iedzīvotāju skaits 2020</w:t>
      </w:r>
      <w:r>
        <w:rPr>
          <w:rFonts w:eastAsia="Calibri"/>
          <w:szCs w:val="22"/>
        </w:rPr>
        <w:t>. gad</w:t>
      </w:r>
      <w:r w:rsidRPr="00F0045E">
        <w:rPr>
          <w:rFonts w:eastAsia="Calibri"/>
          <w:szCs w:val="22"/>
        </w:rPr>
        <w:t>ā samazinājās par 17 tūkstošiem jeb 1,9% un veidoja 893 tūkstošus. Dati par aizņemtajām darba vietām rāda, ka 2020</w:t>
      </w:r>
      <w:r>
        <w:rPr>
          <w:rFonts w:eastAsia="Calibri"/>
          <w:szCs w:val="22"/>
        </w:rPr>
        <w:t>. gad</w:t>
      </w:r>
      <w:r w:rsidRPr="00F0045E">
        <w:rPr>
          <w:rFonts w:eastAsia="Calibri"/>
          <w:szCs w:val="22"/>
        </w:rPr>
        <w:t xml:space="preserve">ā lielākais strādājošo skaita kritums bijis </w:t>
      </w:r>
      <w:r>
        <w:rPr>
          <w:rFonts w:eastAsia="Calibri"/>
          <w:szCs w:val="22"/>
        </w:rPr>
        <w:t>Covid</w:t>
      </w:r>
      <w:r>
        <w:rPr>
          <w:rFonts w:eastAsia="Calibri"/>
          <w:szCs w:val="22"/>
        </w:rPr>
        <w:noBreakHyphen/>
        <w:t>19</w:t>
      </w:r>
      <w:r w:rsidRPr="00F0045E">
        <w:rPr>
          <w:rFonts w:eastAsia="Calibri"/>
          <w:szCs w:val="22"/>
        </w:rPr>
        <w:t xml:space="preserve"> krīzes tieši skartajās nozarēs, tajā skaitā izmitināšanas un ēdināšanas nozarē aizņemto darba vietu skaits samazinājās par 21,4%, citu pakalpojumu nozarēs – par 8,1%, transporta nozarē – par 7,1% un mākslas izklaides un atpūtas nozarē – par 6,5%. Tajā pašā laikā darba vietu skaits veselības nozarē pieauga par 3,0%, informācijas un komunikācijas pakalpojumu nozarē – par 2,9%, ieguves rūpniecībā – par 2,1% un izglītības nozarē – par 1,2%.</w:t>
      </w:r>
    </w:p>
    <w:p w14:paraId="4104C793" w14:textId="77777777" w:rsidR="00D16D1B" w:rsidRPr="00F0045E" w:rsidRDefault="00D16D1B" w:rsidP="00D16D1B">
      <w:pPr>
        <w:ind w:firstLine="720"/>
        <w:rPr>
          <w:rFonts w:eastAsia="Calibri"/>
          <w:szCs w:val="22"/>
        </w:rPr>
      </w:pPr>
      <w:r w:rsidRPr="00F0045E">
        <w:rPr>
          <w:rFonts w:eastAsia="Calibri"/>
          <w:szCs w:val="22"/>
        </w:rPr>
        <w:lastRenderedPageBreak/>
        <w:t>Arī 2021</w:t>
      </w:r>
      <w:r>
        <w:rPr>
          <w:rFonts w:eastAsia="Calibri"/>
          <w:szCs w:val="22"/>
        </w:rPr>
        <w:t>. gad</w:t>
      </w:r>
      <w:r w:rsidRPr="00F0045E">
        <w:rPr>
          <w:rFonts w:eastAsia="Calibri"/>
          <w:szCs w:val="22"/>
        </w:rPr>
        <w:t xml:space="preserve">a pirmajā pusē Centrālās statistikas pārvaldes darbaspēka </w:t>
      </w:r>
      <w:proofErr w:type="spellStart"/>
      <w:r w:rsidRPr="00F0045E">
        <w:rPr>
          <w:rFonts w:eastAsia="Calibri"/>
          <w:szCs w:val="22"/>
        </w:rPr>
        <w:t>apsekojuma</w:t>
      </w:r>
      <w:proofErr w:type="spellEnd"/>
      <w:r w:rsidRPr="00F0045E">
        <w:rPr>
          <w:rFonts w:eastAsia="Calibri"/>
          <w:szCs w:val="22"/>
        </w:rPr>
        <w:t xml:space="preserve"> dati parādīja nodarbināto skaita samazināšanos – par 4,4% salīdzinājumā ar 2020</w:t>
      </w:r>
      <w:r>
        <w:rPr>
          <w:rFonts w:eastAsia="Calibri"/>
          <w:szCs w:val="22"/>
        </w:rPr>
        <w:t>. gad</w:t>
      </w:r>
      <w:r w:rsidRPr="00F0045E">
        <w:rPr>
          <w:rFonts w:eastAsia="Calibri"/>
          <w:szCs w:val="22"/>
        </w:rPr>
        <w:t xml:space="preserve">a pirmo pusi, lielai daļai </w:t>
      </w:r>
      <w:r>
        <w:rPr>
          <w:rFonts w:eastAsia="Calibri"/>
          <w:szCs w:val="22"/>
        </w:rPr>
        <w:t>Covid</w:t>
      </w:r>
      <w:r>
        <w:rPr>
          <w:rFonts w:eastAsia="Calibri"/>
          <w:szCs w:val="22"/>
        </w:rPr>
        <w:noBreakHyphen/>
        <w:t>19</w:t>
      </w:r>
      <w:r w:rsidRPr="00F0045E">
        <w:rPr>
          <w:rFonts w:eastAsia="Calibri"/>
          <w:szCs w:val="22"/>
        </w:rPr>
        <w:t xml:space="preserve"> ierobežojumu skarto nozaru darbinieku saņemot dīkstāves pabalstus un kļūstot ekonomiski neaktīviem. Taču jau no jūlija mazinoties </w:t>
      </w:r>
      <w:r>
        <w:rPr>
          <w:rFonts w:eastAsia="Calibri"/>
          <w:szCs w:val="22"/>
        </w:rPr>
        <w:t>Covid</w:t>
      </w:r>
      <w:r>
        <w:rPr>
          <w:rFonts w:eastAsia="Calibri"/>
          <w:szCs w:val="22"/>
        </w:rPr>
        <w:noBreakHyphen/>
        <w:t>19</w:t>
      </w:r>
      <w:r w:rsidRPr="00F0045E">
        <w:rPr>
          <w:rFonts w:eastAsia="Calibri"/>
          <w:szCs w:val="22"/>
        </w:rPr>
        <w:t xml:space="preserve"> ierobežojumiem un beidzoties dīkstāves atbalstam, lielākā daļa uz laiku par ekonomiski neaktīvajiem kļuvušie cilvēki jau kā nodarbinātie </w:t>
      </w:r>
      <w:r>
        <w:rPr>
          <w:rFonts w:eastAsia="Calibri"/>
          <w:szCs w:val="22"/>
        </w:rPr>
        <w:t xml:space="preserve">pakāpeniski </w:t>
      </w:r>
      <w:r w:rsidRPr="00F0045E">
        <w:rPr>
          <w:rFonts w:eastAsia="Calibri"/>
          <w:szCs w:val="22"/>
        </w:rPr>
        <w:t xml:space="preserve">atgriezīsies darba tirgū.    </w:t>
      </w:r>
    </w:p>
    <w:p w14:paraId="6F692EA3" w14:textId="77777777" w:rsidR="00D16D1B" w:rsidRDefault="00D16D1B" w:rsidP="00D16D1B">
      <w:pPr>
        <w:ind w:firstLine="720"/>
        <w:rPr>
          <w:rFonts w:eastAsia="Calibri"/>
          <w:szCs w:val="22"/>
        </w:rPr>
      </w:pPr>
      <w:r w:rsidRPr="00F0045E">
        <w:rPr>
          <w:rFonts w:eastAsia="Calibri"/>
          <w:szCs w:val="22"/>
        </w:rPr>
        <w:t>Kā liecina Valsts ieņēmumu dienesta dati par darba ņēmēju skaitu Latvijā, jūlijā darba ņēmēju skaits, kuri maksā valsts sociālās apdrošināšanas obligātās iemaksas, jau bijis par 2,2% lielāks nekā pirms gada, un ar 826,6 tūkstošiem praktiski jau ir atgriezies 2018</w:t>
      </w:r>
      <w:r>
        <w:rPr>
          <w:rFonts w:eastAsia="Calibri"/>
          <w:szCs w:val="22"/>
        </w:rPr>
        <w:t>. gad</w:t>
      </w:r>
      <w:r w:rsidRPr="00F0045E">
        <w:rPr>
          <w:rFonts w:eastAsia="Calibri"/>
          <w:szCs w:val="22"/>
        </w:rPr>
        <w:t>a līmenī un tikai par 1,2% atpaliek no 2019</w:t>
      </w:r>
      <w:r>
        <w:rPr>
          <w:rFonts w:eastAsia="Calibri"/>
          <w:szCs w:val="22"/>
        </w:rPr>
        <w:t>. gada līmeņa (1.27</w:t>
      </w:r>
      <w:r w:rsidRPr="00F0045E">
        <w:rPr>
          <w:rFonts w:eastAsia="Calibri"/>
          <w:szCs w:val="22"/>
        </w:rPr>
        <w:t>.</w:t>
      </w:r>
      <w:r>
        <w:rPr>
          <w:rFonts w:eastAsia="Calibri"/>
          <w:szCs w:val="22"/>
        </w:rPr>
        <w:t xml:space="preserve"> attēls</w:t>
      </w:r>
      <w:r w:rsidRPr="00F0045E">
        <w:rPr>
          <w:rFonts w:eastAsia="Calibri"/>
          <w:szCs w:val="22"/>
        </w:rPr>
        <w:t>).</w:t>
      </w:r>
    </w:p>
    <w:p w14:paraId="312F140F" w14:textId="77777777" w:rsidR="00D16D1B" w:rsidRDefault="00D16D1B" w:rsidP="00D16D1B">
      <w:pPr>
        <w:keepNext/>
        <w:spacing w:after="0"/>
        <w:ind w:firstLine="0"/>
        <w:jc w:val="center"/>
        <w:rPr>
          <w:b/>
          <w:i/>
        </w:rPr>
      </w:pPr>
      <w:r w:rsidRPr="009F37FF">
        <w:rPr>
          <w:b/>
          <w:i/>
        </w:rPr>
        <w:t xml:space="preserve">1.27. attēls </w:t>
      </w:r>
      <w:r w:rsidRPr="009F37FF">
        <w:rPr>
          <w:b/>
        </w:rPr>
        <w:t>Darba</w:t>
      </w:r>
      <w:r w:rsidRPr="00075619">
        <w:rPr>
          <w:b/>
        </w:rPr>
        <w:t xml:space="preserve"> ņēmēji, kas maksā valsts sociālās apdrošināšanas obligātās iemaksas, VID dati</w:t>
      </w:r>
    </w:p>
    <w:p w14:paraId="76214C34" w14:textId="77777777" w:rsidR="00D16D1B" w:rsidRDefault="00D16D1B" w:rsidP="00D16D1B">
      <w:pPr>
        <w:pStyle w:val="Default"/>
        <w:ind w:left="0" w:firstLine="0"/>
        <w:jc w:val="center"/>
        <w:rPr>
          <w:sz w:val="28"/>
          <w:szCs w:val="28"/>
        </w:rPr>
      </w:pPr>
      <w:r>
        <w:rPr>
          <w:noProof/>
        </w:rPr>
        <w:drawing>
          <wp:inline distT="0" distB="0" distL="0" distR="0" wp14:anchorId="12EE0532" wp14:editId="7CA3B65B">
            <wp:extent cx="5728970" cy="3166043"/>
            <wp:effectExtent l="0" t="0" r="5080" b="0"/>
            <wp:docPr id="42" name="Chart 42"/>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14:paraId="76754F0A" w14:textId="77777777" w:rsidR="00D16D1B" w:rsidRPr="00F0045E" w:rsidRDefault="00D16D1B" w:rsidP="00D16D1B">
      <w:pPr>
        <w:spacing w:before="120"/>
        <w:ind w:firstLine="720"/>
        <w:rPr>
          <w:rFonts w:eastAsia="Calibri"/>
          <w:szCs w:val="22"/>
        </w:rPr>
      </w:pPr>
      <w:r w:rsidRPr="00F0045E">
        <w:rPr>
          <w:rFonts w:eastAsia="Calibri"/>
          <w:szCs w:val="22"/>
        </w:rPr>
        <w:t>Dati par aizņemtajām darba vietām rāda, ka lielākais darba vietu skaita pieaugums šā gada otrā ceturkšņa beigās, salīdzinot ar to pašu laiku pirms gada, bijis profesionālo pakalpojumu, citu pakalpojumu, apstrādes rūpniecības, ēdināšanas, kā arī veselības un sociālās aprūpes nozarē. Savukārt izmitināšanas, transporta un uzglabāšanas, kā arī finanšu pakalpojumu nozarēs aizņemto darba vietu skaits bijis mazāks nekā pirms gada.</w:t>
      </w:r>
    </w:p>
    <w:p w14:paraId="0D661F0F" w14:textId="77777777" w:rsidR="00D16D1B" w:rsidRDefault="00D16D1B" w:rsidP="00D16D1B">
      <w:pPr>
        <w:ind w:firstLine="720"/>
        <w:rPr>
          <w:rFonts w:eastAsia="Calibri"/>
          <w:szCs w:val="22"/>
        </w:rPr>
      </w:pPr>
      <w:r w:rsidRPr="00F0045E">
        <w:rPr>
          <w:rFonts w:eastAsia="Calibri"/>
          <w:szCs w:val="22"/>
        </w:rPr>
        <w:t xml:space="preserve">Kopumā situācija darba tirgū visās Baltijas valstīs </w:t>
      </w:r>
      <w:r>
        <w:rPr>
          <w:rFonts w:eastAsia="Calibri"/>
          <w:szCs w:val="22"/>
        </w:rPr>
        <w:t>Covid</w:t>
      </w:r>
      <w:r>
        <w:rPr>
          <w:rFonts w:eastAsia="Calibri"/>
          <w:szCs w:val="22"/>
        </w:rPr>
        <w:noBreakHyphen/>
        <w:t>19</w:t>
      </w:r>
      <w:r w:rsidRPr="00F0045E">
        <w:rPr>
          <w:rFonts w:eastAsia="Calibri"/>
          <w:szCs w:val="22"/>
        </w:rPr>
        <w:t xml:space="preserve"> krīzes laikā attīstījusies diezgan līdzīgi un pandēmija nav ienesusi būtiskas izmaiņas bezdarba līmeņos (</w:t>
      </w:r>
      <w:r>
        <w:rPr>
          <w:rFonts w:eastAsia="Calibri"/>
          <w:szCs w:val="22"/>
        </w:rPr>
        <w:t>1.28</w:t>
      </w:r>
      <w:r w:rsidRPr="00F0045E">
        <w:rPr>
          <w:rFonts w:eastAsia="Calibri"/>
          <w:szCs w:val="22"/>
        </w:rPr>
        <w:t>.</w:t>
      </w:r>
      <w:r>
        <w:rPr>
          <w:rFonts w:eastAsia="Calibri"/>
          <w:szCs w:val="22"/>
        </w:rPr>
        <w:t xml:space="preserve"> attēls</w:t>
      </w:r>
      <w:r w:rsidRPr="00F0045E">
        <w:rPr>
          <w:rFonts w:eastAsia="Calibri"/>
          <w:szCs w:val="22"/>
        </w:rPr>
        <w:t>). Visās Baltijas valstīs bezdarbs šā gada otrajā ceturksnī jau ir zemāks nekā pirms gada, taču vēl nav atgriezies 2019</w:t>
      </w:r>
      <w:r>
        <w:rPr>
          <w:rFonts w:eastAsia="Calibri"/>
          <w:szCs w:val="22"/>
        </w:rPr>
        <w:t>. gad</w:t>
      </w:r>
      <w:r w:rsidRPr="00F0045E">
        <w:rPr>
          <w:rFonts w:eastAsia="Calibri"/>
          <w:szCs w:val="22"/>
        </w:rPr>
        <w:t>a otrā ceturkšņa līmenī, Igaunijā to pārsniedzot par 1,8 procentpunktiem, Latvijā par 1,5 procentpunktiem un Lietuvā par 1,2 procentpunktiem. Tāpat ir saglabājusies situācija, kad Igaunijā bezdarba līmenis vēsturiski ir zemāks nekā kaimiņvalstīs, un Lietuvā nedaudz zemāks nekā Latvijā. Ja 2020</w:t>
      </w:r>
      <w:r>
        <w:rPr>
          <w:rFonts w:eastAsia="Calibri"/>
          <w:szCs w:val="22"/>
        </w:rPr>
        <w:t>. gad</w:t>
      </w:r>
      <w:r w:rsidRPr="00F0045E">
        <w:rPr>
          <w:rFonts w:eastAsia="Calibri"/>
          <w:szCs w:val="22"/>
        </w:rPr>
        <w:t>a laikā bezdarbs Lietuvā bija sasniedzis augstāku līmeni nekā Latvijā, to noteica lielāks valsts atbalsts iedzīvotājiem bezdarba pabalstu veidā, kamēr Latvija krīzes skarto nozaru darbiniekiem maksāja dīkstāves pabalstus, saglabājot darba vietas. Attiecīgi 2021</w:t>
      </w:r>
      <w:r>
        <w:rPr>
          <w:rFonts w:eastAsia="Calibri"/>
          <w:szCs w:val="22"/>
        </w:rPr>
        <w:t>. gad</w:t>
      </w:r>
      <w:r w:rsidRPr="00F0045E">
        <w:rPr>
          <w:rFonts w:eastAsia="Calibri"/>
          <w:szCs w:val="22"/>
        </w:rPr>
        <w:t>ā bezdarba samazinājums Lietuvā bija straujāks, atkal noslīdot zem Latvijas līmeņa.</w:t>
      </w:r>
    </w:p>
    <w:p w14:paraId="21C22FA2" w14:textId="77777777" w:rsidR="00D16D1B" w:rsidRPr="0041048E" w:rsidRDefault="00D16D1B" w:rsidP="00D16D1B">
      <w:pPr>
        <w:keepNext/>
        <w:spacing w:before="120"/>
        <w:ind w:firstLine="0"/>
        <w:jc w:val="center"/>
        <w:rPr>
          <w:b/>
          <w:i/>
        </w:rPr>
      </w:pPr>
      <w:r>
        <w:rPr>
          <w:b/>
          <w:i/>
        </w:rPr>
        <w:lastRenderedPageBreak/>
        <w:t>1.28</w:t>
      </w:r>
      <w:r w:rsidRPr="00316E58">
        <w:rPr>
          <w:b/>
          <w:i/>
        </w:rPr>
        <w:t xml:space="preserve">. </w:t>
      </w:r>
      <w:r>
        <w:rPr>
          <w:b/>
          <w:i/>
        </w:rPr>
        <w:t>attēls</w:t>
      </w:r>
      <w:r w:rsidRPr="00316E58">
        <w:rPr>
          <w:b/>
          <w:i/>
        </w:rPr>
        <w:t xml:space="preserve"> </w:t>
      </w:r>
      <w:r w:rsidRPr="00075619">
        <w:rPr>
          <w:b/>
        </w:rPr>
        <w:t>Bezdarba līmenis Baltijas valstīs un ES vidēji, pa ceturkšņiem, % no ekonomiski aktīvajiem iedzīvotājiem</w:t>
      </w:r>
    </w:p>
    <w:p w14:paraId="31AA21A2" w14:textId="77777777" w:rsidR="00D16D1B" w:rsidRPr="00316E58" w:rsidRDefault="00D16D1B" w:rsidP="00D16D1B">
      <w:pPr>
        <w:spacing w:after="0"/>
        <w:ind w:firstLine="0"/>
        <w:jc w:val="center"/>
        <w:rPr>
          <w:b/>
          <w:i/>
        </w:rPr>
      </w:pPr>
      <w:r w:rsidRPr="00316E58">
        <w:rPr>
          <w:b/>
          <w:i/>
          <w:noProof/>
          <w:sz w:val="18"/>
          <w:szCs w:val="18"/>
          <w:lang w:eastAsia="lv-LV"/>
        </w:rPr>
        <w:drawing>
          <wp:inline distT="0" distB="0" distL="0" distR="0" wp14:anchorId="40ECCF6A" wp14:editId="0AE10D11">
            <wp:extent cx="5300980" cy="2246358"/>
            <wp:effectExtent l="0" t="0" r="0" b="1905"/>
            <wp:docPr id="43" name="Chart 43"/>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14:paraId="0F17C102" w14:textId="33F39C56" w:rsidR="00EF1D74" w:rsidRDefault="00EF1D74" w:rsidP="006F769D">
      <w:pPr>
        <w:keepNext/>
        <w:keepLines/>
        <w:spacing w:before="240" w:after="240" w:line="259" w:lineRule="auto"/>
        <w:ind w:firstLine="0"/>
        <w:jc w:val="center"/>
        <w:outlineLvl w:val="2"/>
        <w:rPr>
          <w:b/>
          <w:bCs/>
          <w:sz w:val="32"/>
          <w:szCs w:val="32"/>
        </w:rPr>
      </w:pPr>
      <w:r w:rsidRPr="00EF1D74">
        <w:rPr>
          <w:b/>
          <w:bCs/>
          <w:sz w:val="32"/>
          <w:szCs w:val="32"/>
        </w:rPr>
        <w:t>1.2.5. Iedzīvotāju ienākumi</w:t>
      </w:r>
    </w:p>
    <w:p w14:paraId="35ACF355" w14:textId="77777777" w:rsidR="00D16D1B" w:rsidRPr="002B6EF4" w:rsidRDefault="00D16D1B" w:rsidP="00D16D1B">
      <w:pPr>
        <w:ind w:firstLine="720"/>
        <w:rPr>
          <w:rFonts w:eastAsia="Calibri"/>
          <w:szCs w:val="22"/>
        </w:rPr>
      </w:pPr>
      <w:r w:rsidRPr="002B6EF4">
        <w:rPr>
          <w:rFonts w:eastAsia="Calibri"/>
          <w:szCs w:val="22"/>
        </w:rPr>
        <w:t xml:space="preserve">Neskatoties uz </w:t>
      </w:r>
      <w:r>
        <w:rPr>
          <w:rFonts w:eastAsia="Calibri"/>
          <w:szCs w:val="22"/>
        </w:rPr>
        <w:t>Covid</w:t>
      </w:r>
      <w:r>
        <w:rPr>
          <w:rFonts w:eastAsia="Calibri"/>
          <w:szCs w:val="22"/>
        </w:rPr>
        <w:noBreakHyphen/>
        <w:t>19</w:t>
      </w:r>
      <w:r w:rsidRPr="002B6EF4">
        <w:rPr>
          <w:rFonts w:eastAsia="Calibri"/>
          <w:szCs w:val="22"/>
        </w:rPr>
        <w:t xml:space="preserve"> krīzi, iedzīvotāju ienākumi, tajā skaitā darba samaksa un sociālā atbalsta apmērs 2020</w:t>
      </w:r>
      <w:r>
        <w:rPr>
          <w:rFonts w:eastAsia="Calibri"/>
          <w:szCs w:val="22"/>
        </w:rPr>
        <w:t>. gad</w:t>
      </w:r>
      <w:r w:rsidRPr="002B6EF4">
        <w:rPr>
          <w:rFonts w:eastAsia="Calibri"/>
          <w:szCs w:val="22"/>
        </w:rPr>
        <w:t>ā un 2021</w:t>
      </w:r>
      <w:r>
        <w:rPr>
          <w:rFonts w:eastAsia="Calibri"/>
          <w:szCs w:val="22"/>
        </w:rPr>
        <w:t>. gad</w:t>
      </w:r>
      <w:r w:rsidRPr="002B6EF4">
        <w:rPr>
          <w:rFonts w:eastAsia="Calibri"/>
          <w:szCs w:val="22"/>
        </w:rPr>
        <w:t xml:space="preserve">a pirmajā pusē uzrādīja visai spēcīgu pieaugumu, veicinot strauju mājsaimniecību noguldījumu pieaugumu komercbankās, kā arī spēcīgu privātā patēriņa atgūšanos uzreiz pēc </w:t>
      </w:r>
      <w:r>
        <w:rPr>
          <w:rFonts w:eastAsia="Calibri"/>
          <w:szCs w:val="22"/>
        </w:rPr>
        <w:t>Covid</w:t>
      </w:r>
      <w:r>
        <w:rPr>
          <w:rFonts w:eastAsia="Calibri"/>
          <w:szCs w:val="22"/>
        </w:rPr>
        <w:noBreakHyphen/>
        <w:t>19</w:t>
      </w:r>
      <w:r w:rsidRPr="002B6EF4">
        <w:rPr>
          <w:rFonts w:eastAsia="Calibri"/>
          <w:szCs w:val="22"/>
        </w:rPr>
        <w:t xml:space="preserve"> ierobežojumu atcelšanas. Vienlaikus šis ienākumu pieaugums bija daudz </w:t>
      </w:r>
      <w:proofErr w:type="spellStart"/>
      <w:r w:rsidRPr="002B6EF4">
        <w:rPr>
          <w:rFonts w:eastAsia="Calibri"/>
          <w:szCs w:val="22"/>
        </w:rPr>
        <w:t>nevienmērīgāk</w:t>
      </w:r>
      <w:proofErr w:type="spellEnd"/>
      <w:r w:rsidRPr="002B6EF4">
        <w:rPr>
          <w:rFonts w:eastAsia="Calibri"/>
          <w:szCs w:val="22"/>
        </w:rPr>
        <w:t xml:space="preserve"> sadalīts nekā iepriekš, veicinot nevienlīdzības pieaugumu darbspējas vecuma iedzīvotāju grupās.</w:t>
      </w:r>
    </w:p>
    <w:p w14:paraId="46FFDCD2" w14:textId="1161EFB7" w:rsidR="00D16D1B" w:rsidRPr="002B6EF4" w:rsidRDefault="00D16D1B" w:rsidP="00D16D1B">
      <w:pPr>
        <w:ind w:firstLine="720"/>
        <w:rPr>
          <w:rFonts w:eastAsia="Calibri"/>
          <w:szCs w:val="22"/>
        </w:rPr>
      </w:pPr>
      <w:r w:rsidRPr="002B6EF4">
        <w:rPr>
          <w:rFonts w:eastAsia="Calibri"/>
          <w:szCs w:val="22"/>
        </w:rPr>
        <w:t>Mēneša vidējā bruto darba samaksa 2020</w:t>
      </w:r>
      <w:r>
        <w:rPr>
          <w:rFonts w:eastAsia="Calibri"/>
          <w:szCs w:val="22"/>
        </w:rPr>
        <w:t>. gad</w:t>
      </w:r>
      <w:r w:rsidRPr="002B6EF4">
        <w:rPr>
          <w:rFonts w:eastAsia="Calibri"/>
          <w:szCs w:val="22"/>
        </w:rPr>
        <w:t xml:space="preserve">ā turpināja salīdzinoši strauji pieaugt, salīdzinājumā ar iepriekšējo gadu palielinoties par 6,2% un sasniedzot 1143 </w:t>
      </w:r>
      <w:proofErr w:type="spellStart"/>
      <w:r w:rsidRPr="001F12A1">
        <w:rPr>
          <w:rFonts w:eastAsia="Calibri"/>
          <w:i/>
          <w:szCs w:val="22"/>
        </w:rPr>
        <w:t>euro</w:t>
      </w:r>
      <w:proofErr w:type="spellEnd"/>
      <w:r w:rsidRPr="002B6EF4">
        <w:rPr>
          <w:rFonts w:eastAsia="Calibri"/>
          <w:szCs w:val="22"/>
        </w:rPr>
        <w:t>. Šis pieaugums bija tikpat straujš kā kopumā laikā kopš globālās finanšu krīzes, kad 2011.-2019</w:t>
      </w:r>
      <w:r>
        <w:rPr>
          <w:rFonts w:eastAsia="Calibri"/>
          <w:szCs w:val="22"/>
        </w:rPr>
        <w:t>. gad</w:t>
      </w:r>
      <w:r w:rsidRPr="002B6EF4">
        <w:rPr>
          <w:rFonts w:eastAsia="Calibri"/>
          <w:szCs w:val="22"/>
        </w:rPr>
        <w:t>ā mēneša vidējā bruto darba samaksa bija augusi vidēji par 6,1% gadā. 2021</w:t>
      </w:r>
      <w:r>
        <w:rPr>
          <w:rFonts w:eastAsia="Calibri"/>
          <w:szCs w:val="22"/>
        </w:rPr>
        <w:t>. gad</w:t>
      </w:r>
      <w:r w:rsidRPr="002B6EF4">
        <w:rPr>
          <w:rFonts w:eastAsia="Calibri"/>
          <w:szCs w:val="22"/>
        </w:rPr>
        <w:t>a pirmajā pusē vidējās algas pieaugums ir kļuvis vēl straujāks, pirmajā ceturksnī, salīdzinot ar 2020</w:t>
      </w:r>
      <w:r>
        <w:rPr>
          <w:rFonts w:eastAsia="Calibri"/>
          <w:szCs w:val="22"/>
        </w:rPr>
        <w:t>. gad</w:t>
      </w:r>
      <w:r w:rsidRPr="002B6EF4">
        <w:rPr>
          <w:rFonts w:eastAsia="Calibri"/>
          <w:szCs w:val="22"/>
        </w:rPr>
        <w:t xml:space="preserve">a attiecīgo ceturksni, palielinoties par 9,5% un otrajā ceturksnī – par 10,2%, sasniedzot 1237 </w:t>
      </w:r>
      <w:proofErr w:type="spellStart"/>
      <w:r w:rsidRPr="001F12A1">
        <w:rPr>
          <w:rFonts w:eastAsia="Calibri"/>
          <w:i/>
          <w:szCs w:val="22"/>
        </w:rPr>
        <w:t>euro</w:t>
      </w:r>
      <w:proofErr w:type="spellEnd"/>
      <w:r w:rsidRPr="002B6EF4">
        <w:rPr>
          <w:rFonts w:eastAsia="Calibri"/>
          <w:szCs w:val="22"/>
        </w:rPr>
        <w:t>.</w:t>
      </w:r>
    </w:p>
    <w:p w14:paraId="60C72F11" w14:textId="77777777" w:rsidR="00D16D1B" w:rsidRPr="002B6EF4" w:rsidRDefault="00D16D1B" w:rsidP="00D16D1B">
      <w:pPr>
        <w:ind w:firstLine="720"/>
        <w:rPr>
          <w:rFonts w:eastAsia="Calibri"/>
          <w:szCs w:val="22"/>
        </w:rPr>
      </w:pPr>
      <w:r w:rsidRPr="002B6EF4">
        <w:rPr>
          <w:rFonts w:eastAsia="Calibri"/>
          <w:szCs w:val="22"/>
        </w:rPr>
        <w:t>Vidējās darba samaksas pārmaiņas gan 2020</w:t>
      </w:r>
      <w:r>
        <w:rPr>
          <w:rFonts w:eastAsia="Calibri"/>
          <w:szCs w:val="22"/>
        </w:rPr>
        <w:t>. gad</w:t>
      </w:r>
      <w:r w:rsidRPr="002B6EF4">
        <w:rPr>
          <w:rFonts w:eastAsia="Calibri"/>
          <w:szCs w:val="22"/>
        </w:rPr>
        <w:t xml:space="preserve">ā, gan šogad būtiski ietekmēja ne tikai darbinieku algu izmaiņas, bet arī darba tirgus strukturālās pārmaiņas – darbību uzsākušie un pārtraukušie uzņēmumi un darbinieku skaita un slodžu izmaiņas. </w:t>
      </w:r>
      <w:r>
        <w:rPr>
          <w:rFonts w:eastAsia="Calibri"/>
          <w:szCs w:val="22"/>
        </w:rPr>
        <w:t>Covid</w:t>
      </w:r>
      <w:r>
        <w:rPr>
          <w:rFonts w:eastAsia="Calibri"/>
          <w:szCs w:val="22"/>
        </w:rPr>
        <w:noBreakHyphen/>
        <w:t>19</w:t>
      </w:r>
      <w:r w:rsidRPr="002B6EF4">
        <w:rPr>
          <w:rFonts w:eastAsia="Calibri"/>
          <w:szCs w:val="22"/>
        </w:rPr>
        <w:t xml:space="preserve"> ierobežojumu dēļ darbu apturēja nozares, kurās vidējās darba samaksas līmenis bija zemāks par vidējo valstī, tādējādi paaugstinot vidējās algas līmeni</w:t>
      </w:r>
      <w:r>
        <w:rPr>
          <w:rFonts w:eastAsia="Calibri"/>
          <w:szCs w:val="22"/>
        </w:rPr>
        <w:t xml:space="preserve"> tautsaimniecībā</w:t>
      </w:r>
      <w:r w:rsidRPr="002B6EF4">
        <w:rPr>
          <w:rFonts w:eastAsia="Calibri"/>
          <w:szCs w:val="22"/>
        </w:rPr>
        <w:t>, kā arī mainījās darbinieku nostrādāto stundu skaits, ietekmējot mēneša vidēj</w:t>
      </w:r>
      <w:r>
        <w:rPr>
          <w:rFonts w:eastAsia="Calibri"/>
          <w:szCs w:val="22"/>
        </w:rPr>
        <w:t>o</w:t>
      </w:r>
      <w:r w:rsidRPr="002B6EF4">
        <w:rPr>
          <w:rFonts w:eastAsia="Calibri"/>
          <w:szCs w:val="22"/>
        </w:rPr>
        <w:t xml:space="preserve"> bruto darba samaksu, kas tiek aprēķināta par pilnu slodzi. Attiecīgi bruto samaksa par vienu nostrādāto darba stundu šā gada otrajā ceturksnī palielinājās </w:t>
      </w:r>
      <w:r>
        <w:rPr>
          <w:rFonts w:eastAsia="Calibri"/>
          <w:szCs w:val="22"/>
        </w:rPr>
        <w:t xml:space="preserve">par 4,6%, kas ir būtiski </w:t>
      </w:r>
      <w:r w:rsidRPr="002B6EF4">
        <w:rPr>
          <w:rFonts w:eastAsia="Calibri"/>
          <w:szCs w:val="22"/>
        </w:rPr>
        <w:t>lēnāk nekā mēneša vidējā</w:t>
      </w:r>
      <w:r>
        <w:rPr>
          <w:rFonts w:eastAsia="Calibri"/>
          <w:szCs w:val="22"/>
        </w:rPr>
        <w:t>s</w:t>
      </w:r>
      <w:r w:rsidRPr="002B6EF4">
        <w:rPr>
          <w:rFonts w:eastAsia="Calibri"/>
          <w:szCs w:val="22"/>
        </w:rPr>
        <w:t xml:space="preserve"> darba samaksa</w:t>
      </w:r>
      <w:r>
        <w:rPr>
          <w:rFonts w:eastAsia="Calibri"/>
          <w:szCs w:val="22"/>
        </w:rPr>
        <w:t>s pieaugums (10,2%)</w:t>
      </w:r>
      <w:r w:rsidRPr="002B6EF4">
        <w:rPr>
          <w:rFonts w:eastAsia="Calibri"/>
          <w:szCs w:val="22"/>
        </w:rPr>
        <w:t>. Mēneša vidējās bruto darba samaksas pieaugumu 2021</w:t>
      </w:r>
      <w:r>
        <w:rPr>
          <w:rFonts w:eastAsia="Calibri"/>
          <w:szCs w:val="22"/>
        </w:rPr>
        <w:t>. gad</w:t>
      </w:r>
      <w:r w:rsidRPr="002B6EF4">
        <w:rPr>
          <w:rFonts w:eastAsia="Calibri"/>
          <w:szCs w:val="22"/>
        </w:rPr>
        <w:t xml:space="preserve">ā ietekmēja arī minimālās algas paaugstinājums no 430 </w:t>
      </w:r>
      <w:proofErr w:type="spellStart"/>
      <w:r w:rsidRPr="001F12A1">
        <w:rPr>
          <w:rFonts w:eastAsia="Calibri"/>
          <w:i/>
          <w:szCs w:val="22"/>
        </w:rPr>
        <w:t>euro</w:t>
      </w:r>
      <w:proofErr w:type="spellEnd"/>
      <w:r w:rsidRPr="002B6EF4">
        <w:rPr>
          <w:rFonts w:eastAsia="Calibri"/>
          <w:szCs w:val="22"/>
        </w:rPr>
        <w:t xml:space="preserve"> uz 500 </w:t>
      </w:r>
      <w:proofErr w:type="spellStart"/>
      <w:r w:rsidRPr="001F12A1">
        <w:rPr>
          <w:rFonts w:eastAsia="Calibri"/>
          <w:i/>
          <w:szCs w:val="22"/>
        </w:rPr>
        <w:t>euro</w:t>
      </w:r>
      <w:proofErr w:type="spellEnd"/>
      <w:r w:rsidRPr="002B6EF4">
        <w:rPr>
          <w:rFonts w:eastAsia="Calibri"/>
          <w:szCs w:val="22"/>
        </w:rPr>
        <w:t>, sākot no 2021</w:t>
      </w:r>
      <w:r>
        <w:rPr>
          <w:rFonts w:eastAsia="Calibri"/>
          <w:szCs w:val="22"/>
        </w:rPr>
        <w:t>. gad</w:t>
      </w:r>
      <w:r w:rsidRPr="002B6EF4">
        <w:rPr>
          <w:rFonts w:eastAsia="Calibri"/>
          <w:szCs w:val="22"/>
        </w:rPr>
        <w:t>a 1.janvāra.</w:t>
      </w:r>
    </w:p>
    <w:p w14:paraId="546583A7" w14:textId="77777777" w:rsidR="00D16D1B" w:rsidRPr="002B6EF4" w:rsidRDefault="00D16D1B" w:rsidP="00D16D1B">
      <w:pPr>
        <w:ind w:firstLine="720"/>
        <w:rPr>
          <w:rFonts w:eastAsia="Calibri"/>
          <w:szCs w:val="22"/>
        </w:rPr>
      </w:pPr>
      <w:r w:rsidRPr="002B6EF4">
        <w:rPr>
          <w:rFonts w:eastAsia="Calibri"/>
          <w:szCs w:val="22"/>
        </w:rPr>
        <w:t>Straujākais darba samaksas pieaugums 2021</w:t>
      </w:r>
      <w:r>
        <w:rPr>
          <w:rFonts w:eastAsia="Calibri"/>
          <w:szCs w:val="22"/>
        </w:rPr>
        <w:t>. gad</w:t>
      </w:r>
      <w:r w:rsidRPr="002B6EF4">
        <w:rPr>
          <w:rFonts w:eastAsia="Calibri"/>
          <w:szCs w:val="22"/>
        </w:rPr>
        <w:t xml:space="preserve">ā bija sabiedriskajā sektorā, kur mēneša vidējā bruto darba samaksa otrajā ceturksnī palielinājās par 13,4% līdz 1291 </w:t>
      </w:r>
      <w:proofErr w:type="spellStart"/>
      <w:r w:rsidRPr="001F12A1">
        <w:rPr>
          <w:rFonts w:eastAsia="Calibri"/>
          <w:i/>
          <w:szCs w:val="22"/>
        </w:rPr>
        <w:t>euro</w:t>
      </w:r>
      <w:proofErr w:type="spellEnd"/>
      <w:r w:rsidRPr="002B6EF4">
        <w:rPr>
          <w:rFonts w:eastAsia="Calibri"/>
          <w:szCs w:val="22"/>
        </w:rPr>
        <w:t xml:space="preserve">, bet arī privātajā sektorā fiksēts visai straujš vidējās darba samaksas pieaugums </w:t>
      </w:r>
      <w:r>
        <w:rPr>
          <w:rFonts w:eastAsia="Calibri"/>
          <w:szCs w:val="22"/>
        </w:rPr>
        <w:t>–</w:t>
      </w:r>
      <w:r w:rsidRPr="002B6EF4">
        <w:rPr>
          <w:rFonts w:eastAsia="Calibri"/>
          <w:szCs w:val="22"/>
        </w:rPr>
        <w:t xml:space="preserve"> par 9,0% līdz 1215 </w:t>
      </w:r>
      <w:proofErr w:type="spellStart"/>
      <w:r w:rsidRPr="001F12A1">
        <w:rPr>
          <w:rFonts w:eastAsia="Calibri"/>
          <w:i/>
          <w:szCs w:val="22"/>
        </w:rPr>
        <w:t>euro</w:t>
      </w:r>
      <w:proofErr w:type="spellEnd"/>
      <w:r w:rsidRPr="002B6EF4">
        <w:rPr>
          <w:rFonts w:eastAsia="Calibri"/>
          <w:szCs w:val="22"/>
        </w:rPr>
        <w:t xml:space="preserve">. Darba samaksas pieaugumu sabiedriskajā sektorā noteicis galvenokārt finansējuma palielinājums medicīnas darbinieku atalgojumam </w:t>
      </w:r>
      <w:r>
        <w:rPr>
          <w:rFonts w:eastAsia="Calibri"/>
          <w:szCs w:val="22"/>
        </w:rPr>
        <w:t>Covid</w:t>
      </w:r>
      <w:r>
        <w:rPr>
          <w:rFonts w:eastAsia="Calibri"/>
          <w:szCs w:val="22"/>
        </w:rPr>
        <w:noBreakHyphen/>
        <w:t>19</w:t>
      </w:r>
      <w:r w:rsidRPr="002B6EF4">
        <w:rPr>
          <w:rFonts w:eastAsia="Calibri"/>
          <w:szCs w:val="22"/>
        </w:rPr>
        <w:t xml:space="preserve"> krīzes apstākļos, kā arī ar pieaugušais izglītības nozares finansējums. Attiecīgi veselības un sociālās aprūpes nozarē mēneša vidējā darba samaksa 2021</w:t>
      </w:r>
      <w:r>
        <w:rPr>
          <w:rFonts w:eastAsia="Calibri"/>
          <w:szCs w:val="22"/>
        </w:rPr>
        <w:t>. gad</w:t>
      </w:r>
      <w:r w:rsidRPr="002B6EF4">
        <w:rPr>
          <w:rFonts w:eastAsia="Calibri"/>
          <w:szCs w:val="22"/>
        </w:rPr>
        <w:t>a otrajā ceturksnī bija par 35,1% augstāka nekā pirms gada un izglītības nozarē – par 12,4% augstāka nekā pirms gada. Straujš darba samaksas pieaugums bijis arī tirdzniecības nozarē – par 11,7% salīdzinot ar 2020</w:t>
      </w:r>
      <w:r>
        <w:rPr>
          <w:rFonts w:eastAsia="Calibri"/>
          <w:szCs w:val="22"/>
        </w:rPr>
        <w:t>. gad</w:t>
      </w:r>
      <w:r w:rsidRPr="002B6EF4">
        <w:rPr>
          <w:rFonts w:eastAsia="Calibri"/>
          <w:szCs w:val="22"/>
        </w:rPr>
        <w:t>a otro ceturksni.</w:t>
      </w:r>
    </w:p>
    <w:p w14:paraId="55788DC2" w14:textId="77777777" w:rsidR="00D16D1B" w:rsidRDefault="00D16D1B" w:rsidP="00D16D1B">
      <w:pPr>
        <w:ind w:firstLine="720"/>
        <w:rPr>
          <w:rFonts w:eastAsia="Calibri"/>
          <w:szCs w:val="22"/>
        </w:rPr>
      </w:pPr>
      <w:r w:rsidRPr="002B6EF4">
        <w:rPr>
          <w:rFonts w:eastAsia="Calibri"/>
          <w:szCs w:val="22"/>
        </w:rPr>
        <w:lastRenderedPageBreak/>
        <w:t>Augstākā darba samaksa joprojām saglabājās finanšu pakalpojumu un informācijas un komunikācijas pakalpojumu nozarēs, kur vidējā alga 2021</w:t>
      </w:r>
      <w:r>
        <w:rPr>
          <w:rFonts w:eastAsia="Calibri"/>
          <w:szCs w:val="22"/>
        </w:rPr>
        <w:t>. gad</w:t>
      </w:r>
      <w:r w:rsidRPr="002B6EF4">
        <w:rPr>
          <w:rFonts w:eastAsia="Calibri"/>
          <w:szCs w:val="22"/>
        </w:rPr>
        <w:t xml:space="preserve">a otrajā ceturksnī bija attiecīgi 2558 </w:t>
      </w:r>
      <w:proofErr w:type="spellStart"/>
      <w:r w:rsidRPr="001F12A1">
        <w:rPr>
          <w:rFonts w:eastAsia="Calibri"/>
          <w:i/>
          <w:szCs w:val="22"/>
        </w:rPr>
        <w:t>euro</w:t>
      </w:r>
      <w:proofErr w:type="spellEnd"/>
      <w:r w:rsidRPr="002B6EF4">
        <w:rPr>
          <w:rFonts w:eastAsia="Calibri"/>
          <w:szCs w:val="22"/>
        </w:rPr>
        <w:t xml:space="preserve"> un 1955 </w:t>
      </w:r>
      <w:proofErr w:type="spellStart"/>
      <w:r w:rsidRPr="001F12A1">
        <w:rPr>
          <w:rFonts w:eastAsia="Calibri"/>
          <w:i/>
          <w:szCs w:val="22"/>
        </w:rPr>
        <w:t>euro</w:t>
      </w:r>
      <w:proofErr w:type="spellEnd"/>
      <w:r w:rsidRPr="002B6EF4">
        <w:rPr>
          <w:rFonts w:eastAsia="Calibri"/>
          <w:szCs w:val="22"/>
        </w:rPr>
        <w:t xml:space="preserve">, bet zemākā darba samaksa bija izmitināšanas un ēdināšanas nozarē – 738 </w:t>
      </w:r>
      <w:proofErr w:type="spellStart"/>
      <w:r w:rsidRPr="001F12A1">
        <w:rPr>
          <w:rFonts w:eastAsia="Calibri"/>
          <w:i/>
          <w:szCs w:val="22"/>
        </w:rPr>
        <w:t>euro</w:t>
      </w:r>
      <w:proofErr w:type="spellEnd"/>
      <w:r>
        <w:rPr>
          <w:rFonts w:eastAsia="Calibri"/>
          <w:szCs w:val="22"/>
        </w:rPr>
        <w:t>.  (1.29</w:t>
      </w:r>
      <w:r w:rsidRPr="002B6EF4">
        <w:rPr>
          <w:rFonts w:eastAsia="Calibri"/>
          <w:szCs w:val="22"/>
        </w:rPr>
        <w:t>.</w:t>
      </w:r>
      <w:r>
        <w:rPr>
          <w:rFonts w:eastAsia="Calibri"/>
          <w:szCs w:val="22"/>
        </w:rPr>
        <w:t xml:space="preserve"> attēls</w:t>
      </w:r>
      <w:r w:rsidRPr="002B6EF4">
        <w:rPr>
          <w:rFonts w:eastAsia="Calibri"/>
          <w:szCs w:val="22"/>
        </w:rPr>
        <w:t>).</w:t>
      </w:r>
    </w:p>
    <w:p w14:paraId="0CE3417E" w14:textId="77777777" w:rsidR="00D16D1B" w:rsidRPr="009B1DBF" w:rsidRDefault="00D16D1B" w:rsidP="00F82F07">
      <w:pPr>
        <w:keepNext/>
        <w:spacing w:before="120"/>
        <w:ind w:firstLine="0"/>
        <w:jc w:val="center"/>
        <w:rPr>
          <w:b/>
          <w:i/>
        </w:rPr>
      </w:pPr>
      <w:r w:rsidRPr="00316E58">
        <w:rPr>
          <w:b/>
          <w:i/>
        </w:rPr>
        <w:t>1.</w:t>
      </w:r>
      <w:r>
        <w:rPr>
          <w:b/>
          <w:i/>
        </w:rPr>
        <w:t>29</w:t>
      </w:r>
      <w:r w:rsidRPr="00316E58">
        <w:rPr>
          <w:b/>
          <w:i/>
        </w:rPr>
        <w:t xml:space="preserve">. </w:t>
      </w:r>
      <w:r>
        <w:rPr>
          <w:b/>
          <w:i/>
        </w:rPr>
        <w:t>attēls</w:t>
      </w:r>
      <w:r w:rsidRPr="009B1DBF">
        <w:rPr>
          <w:b/>
          <w:i/>
        </w:rPr>
        <w:t xml:space="preserve"> </w:t>
      </w:r>
      <w:r w:rsidRPr="00075619">
        <w:rPr>
          <w:b/>
        </w:rPr>
        <w:t>Strādājošo mēneša vidējā bruto darba samaksa valstī, pa nozarēm</w:t>
      </w:r>
      <w:r>
        <w:rPr>
          <w:b/>
        </w:rPr>
        <w:t xml:space="preserve"> (</w:t>
      </w:r>
      <w:proofErr w:type="spellStart"/>
      <w:r w:rsidRPr="009B1DBF">
        <w:rPr>
          <w:b/>
          <w:i/>
        </w:rPr>
        <w:t>euro</w:t>
      </w:r>
      <w:proofErr w:type="spellEnd"/>
      <w:r>
        <w:rPr>
          <w:b/>
          <w:i/>
        </w:rPr>
        <w:t>)</w:t>
      </w:r>
    </w:p>
    <w:p w14:paraId="0554357A" w14:textId="77777777" w:rsidR="00D16D1B" w:rsidRPr="0074217A" w:rsidRDefault="00D16D1B" w:rsidP="00D16D1B">
      <w:pPr>
        <w:spacing w:after="0"/>
        <w:ind w:firstLine="0"/>
        <w:jc w:val="center"/>
        <w:rPr>
          <w:color w:val="215868" w:themeColor="accent5" w:themeShade="80"/>
          <w:sz w:val="28"/>
          <w:szCs w:val="28"/>
        </w:rPr>
      </w:pPr>
      <w:r w:rsidRPr="00316E58">
        <w:rPr>
          <w:rFonts w:asciiTheme="minorHAnsi" w:eastAsiaTheme="minorEastAsia" w:hAnsiTheme="minorHAnsi" w:cstheme="minorBidi"/>
          <w:noProof/>
          <w:sz w:val="22"/>
          <w:szCs w:val="22"/>
          <w:lang w:eastAsia="lv-LV"/>
        </w:rPr>
        <w:drawing>
          <wp:inline distT="0" distB="0" distL="0" distR="0" wp14:anchorId="7472B695" wp14:editId="161839A9">
            <wp:extent cx="5676265" cy="2965193"/>
            <wp:effectExtent l="0" t="0" r="635" b="6985"/>
            <wp:docPr id="44" name="Chart 44"/>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14:paraId="0A942D5D" w14:textId="77777777" w:rsidR="00D16D1B" w:rsidRPr="002B6EF4" w:rsidRDefault="00D16D1B" w:rsidP="00D16D1B">
      <w:pPr>
        <w:spacing w:before="240"/>
        <w:ind w:firstLine="720"/>
        <w:rPr>
          <w:rFonts w:eastAsia="Calibri"/>
          <w:szCs w:val="22"/>
        </w:rPr>
      </w:pPr>
      <w:r w:rsidRPr="002B6EF4">
        <w:rPr>
          <w:rFonts w:eastAsia="Calibri"/>
          <w:szCs w:val="22"/>
        </w:rPr>
        <w:t xml:space="preserve">Neskatoties uz to, ka </w:t>
      </w:r>
      <w:r>
        <w:rPr>
          <w:rFonts w:eastAsia="Calibri"/>
          <w:szCs w:val="22"/>
        </w:rPr>
        <w:t>Covid</w:t>
      </w:r>
      <w:r>
        <w:rPr>
          <w:rFonts w:eastAsia="Calibri"/>
          <w:szCs w:val="22"/>
        </w:rPr>
        <w:noBreakHyphen/>
        <w:t>19</w:t>
      </w:r>
      <w:r w:rsidRPr="002B6EF4">
        <w:rPr>
          <w:rFonts w:eastAsia="Calibri"/>
          <w:szCs w:val="22"/>
        </w:rPr>
        <w:t xml:space="preserve"> krīzei vairāk skāra Rīgā strādājošos uzņēmumus, joprojām saglabājušās arī būtiskas darba samaksas atšķirības starp Rīgas reģionu un pārējo Latviju, tomēr ārpus Rīgas darba samaksas palielinājums šogad bijis nedaudz straujāks. Rīgas reģionā mēneša vidējā bruto darba samaksa šā gada otrajā ceturksnī bija 1339 </w:t>
      </w:r>
      <w:proofErr w:type="spellStart"/>
      <w:r w:rsidRPr="001F12A1">
        <w:rPr>
          <w:rFonts w:eastAsia="Calibri"/>
          <w:i/>
          <w:szCs w:val="22"/>
        </w:rPr>
        <w:t>euro</w:t>
      </w:r>
      <w:proofErr w:type="spellEnd"/>
      <w:r w:rsidRPr="002B6EF4">
        <w:rPr>
          <w:rFonts w:eastAsia="Calibri"/>
          <w:szCs w:val="22"/>
        </w:rPr>
        <w:t xml:space="preserve"> – par 9,8% lielāka nekā pirms gada. Latgales reģionā mēneša vidējā bruto darba samaksa otrajā ceturksnī bija 887 </w:t>
      </w:r>
      <w:proofErr w:type="spellStart"/>
      <w:r w:rsidRPr="001F12A1">
        <w:rPr>
          <w:rFonts w:eastAsia="Calibri"/>
          <w:i/>
          <w:szCs w:val="22"/>
        </w:rPr>
        <w:t>euro</w:t>
      </w:r>
      <w:proofErr w:type="spellEnd"/>
      <w:r w:rsidRPr="002B6EF4">
        <w:rPr>
          <w:rFonts w:eastAsia="Calibri"/>
          <w:szCs w:val="22"/>
        </w:rPr>
        <w:t xml:space="preserve"> (+12,8%), Vidzemes reģionā – 992 </w:t>
      </w:r>
      <w:proofErr w:type="spellStart"/>
      <w:r w:rsidRPr="001F12A1">
        <w:rPr>
          <w:rFonts w:eastAsia="Calibri"/>
          <w:i/>
          <w:szCs w:val="22"/>
        </w:rPr>
        <w:t>euro</w:t>
      </w:r>
      <w:proofErr w:type="spellEnd"/>
      <w:r w:rsidRPr="002B6EF4">
        <w:rPr>
          <w:rFonts w:eastAsia="Calibri"/>
          <w:szCs w:val="22"/>
        </w:rPr>
        <w:t xml:space="preserve"> (+11,0%), Kurzemes reģionā – 1061 </w:t>
      </w:r>
      <w:proofErr w:type="spellStart"/>
      <w:r w:rsidRPr="001F12A1">
        <w:rPr>
          <w:rFonts w:eastAsia="Calibri"/>
          <w:i/>
          <w:szCs w:val="22"/>
        </w:rPr>
        <w:t>euro</w:t>
      </w:r>
      <w:proofErr w:type="spellEnd"/>
      <w:r w:rsidRPr="002B6EF4">
        <w:rPr>
          <w:rFonts w:eastAsia="Calibri"/>
          <w:szCs w:val="22"/>
        </w:rPr>
        <w:t xml:space="preserve"> (+11,9%) un Zemgales reģionā 1059 </w:t>
      </w:r>
      <w:proofErr w:type="spellStart"/>
      <w:r w:rsidRPr="001F12A1">
        <w:rPr>
          <w:rFonts w:eastAsia="Calibri"/>
          <w:i/>
          <w:szCs w:val="22"/>
        </w:rPr>
        <w:t>euro</w:t>
      </w:r>
      <w:proofErr w:type="spellEnd"/>
      <w:r w:rsidRPr="002B6EF4">
        <w:rPr>
          <w:rFonts w:eastAsia="Calibri"/>
          <w:szCs w:val="22"/>
        </w:rPr>
        <w:t xml:space="preserve"> (+11,5%).</w:t>
      </w:r>
    </w:p>
    <w:p w14:paraId="719D0A6B" w14:textId="77777777" w:rsidR="00D16D1B" w:rsidRPr="002B6EF4" w:rsidRDefault="00D16D1B" w:rsidP="00D16D1B">
      <w:pPr>
        <w:ind w:firstLine="720"/>
        <w:rPr>
          <w:rFonts w:eastAsia="Calibri"/>
          <w:szCs w:val="22"/>
        </w:rPr>
      </w:pPr>
      <w:r w:rsidRPr="002B6EF4">
        <w:rPr>
          <w:rFonts w:eastAsia="Calibri"/>
          <w:szCs w:val="22"/>
        </w:rPr>
        <w:t>Strādājošo reālā neto darba samaksa, kas ietver patēriņa cenu un nodokļu izmaiņas un precīzāk raksturo strādājošo pirktspējas izmaiņas, pagājušajā gadā augusi par 6,1%, atspoguļojot zemo patēriņa cenu pieaugumu. Šogad strādājošo iedzīvotāju reālo ienākumu pieaugums bijis vēl straujāks, reālajai neto darba samaksai pieaugot attiecīgi par 9,7% un 7,9% šā gada pirmajā un otrajā ceturksnī.</w:t>
      </w:r>
    </w:p>
    <w:p w14:paraId="30A5AF92" w14:textId="77777777" w:rsidR="00D16D1B" w:rsidRPr="002B6EF4" w:rsidRDefault="00D16D1B" w:rsidP="00D16D1B">
      <w:pPr>
        <w:ind w:firstLine="720"/>
        <w:rPr>
          <w:rFonts w:eastAsia="Calibri"/>
          <w:szCs w:val="22"/>
        </w:rPr>
      </w:pPr>
      <w:r>
        <w:rPr>
          <w:rFonts w:eastAsia="Calibri"/>
          <w:szCs w:val="22"/>
        </w:rPr>
        <w:t>Covid</w:t>
      </w:r>
      <w:r>
        <w:rPr>
          <w:rFonts w:eastAsia="Calibri"/>
          <w:szCs w:val="22"/>
        </w:rPr>
        <w:noBreakHyphen/>
        <w:t>19</w:t>
      </w:r>
      <w:r w:rsidRPr="002B6EF4">
        <w:rPr>
          <w:rFonts w:eastAsia="Calibri"/>
          <w:szCs w:val="22"/>
        </w:rPr>
        <w:t xml:space="preserve"> krīzes laikā nesalīdzināmi lielāka loma nekā iepriekš bijusi valsts sociālajam atbalstam nestrādājošajiem un </w:t>
      </w:r>
      <w:r>
        <w:rPr>
          <w:rFonts w:eastAsia="Calibri"/>
          <w:szCs w:val="22"/>
        </w:rPr>
        <w:t>Covid</w:t>
      </w:r>
      <w:r>
        <w:rPr>
          <w:rFonts w:eastAsia="Calibri"/>
          <w:szCs w:val="22"/>
        </w:rPr>
        <w:noBreakHyphen/>
        <w:t>19</w:t>
      </w:r>
      <w:r w:rsidRPr="002B6EF4">
        <w:rPr>
          <w:rFonts w:eastAsia="Calibri"/>
          <w:szCs w:val="22"/>
        </w:rPr>
        <w:t xml:space="preserve"> ierobežojumu skartajiem iedzīvotājiem. Turpinoties vecuma pensiju indeksācijai, mēneša vidējā vecuma pensija šā gada otrajā ceturksnī sasniegusi 389 </w:t>
      </w:r>
      <w:proofErr w:type="spellStart"/>
      <w:r w:rsidRPr="001F12A1">
        <w:rPr>
          <w:rFonts w:eastAsia="Calibri"/>
          <w:i/>
          <w:szCs w:val="22"/>
        </w:rPr>
        <w:t>euro</w:t>
      </w:r>
      <w:proofErr w:type="spellEnd"/>
      <w:r w:rsidRPr="002B6EF4">
        <w:rPr>
          <w:rFonts w:eastAsia="Calibri"/>
          <w:szCs w:val="22"/>
        </w:rPr>
        <w:t>, salīdzinājumā ar pagājušā gada attiecīgo ceturksni palielinoties par 6,9%. Vecuma pensijas 2021</w:t>
      </w:r>
      <w:r>
        <w:rPr>
          <w:rFonts w:eastAsia="Calibri"/>
          <w:szCs w:val="22"/>
        </w:rPr>
        <w:t>. gad</w:t>
      </w:r>
      <w:r w:rsidRPr="002B6EF4">
        <w:rPr>
          <w:rFonts w:eastAsia="Calibri"/>
          <w:szCs w:val="22"/>
        </w:rPr>
        <w:t>a otrajā ceturksnī saņēma pavisam 541,5 tūkstoši cilvēku jeb 28,6% no visiem Latvijas iedzīvotājiem, kamēr tautsaimniecībā nodarbināto iedzīvotāju skaits šajā laikā veidoja 861 tūkstoti jeb 45% no visiem iedzīvotājiem.</w:t>
      </w:r>
    </w:p>
    <w:p w14:paraId="5F4D41E3" w14:textId="77777777" w:rsidR="00D16D1B" w:rsidRPr="002B6EF4" w:rsidRDefault="00D16D1B" w:rsidP="00D16D1B">
      <w:pPr>
        <w:ind w:firstLine="720"/>
        <w:rPr>
          <w:rFonts w:eastAsia="Calibri"/>
          <w:szCs w:val="22"/>
        </w:rPr>
      </w:pPr>
      <w:r>
        <w:rPr>
          <w:rFonts w:eastAsia="Calibri"/>
          <w:szCs w:val="22"/>
        </w:rPr>
        <w:t>Covid</w:t>
      </w:r>
      <w:r>
        <w:rPr>
          <w:rFonts w:eastAsia="Calibri"/>
          <w:szCs w:val="22"/>
        </w:rPr>
        <w:noBreakHyphen/>
        <w:t>19</w:t>
      </w:r>
      <w:r w:rsidRPr="002B6EF4">
        <w:rPr>
          <w:rFonts w:eastAsia="Calibri"/>
          <w:szCs w:val="22"/>
        </w:rPr>
        <w:t xml:space="preserve"> pirmā viļņa laikā no 2020</w:t>
      </w:r>
      <w:r>
        <w:rPr>
          <w:rFonts w:eastAsia="Calibri"/>
          <w:szCs w:val="22"/>
        </w:rPr>
        <w:t>. gad</w:t>
      </w:r>
      <w:r w:rsidRPr="002B6EF4">
        <w:rPr>
          <w:rFonts w:eastAsia="Calibri"/>
          <w:szCs w:val="22"/>
        </w:rPr>
        <w:t>a marta līdz jūnijam mēnesī vidēji 31,7 tūkstoši cilvēku saņēma dīkstāves pabalstus, bet slimības otrā uzliesmojuma laikā 2021</w:t>
      </w:r>
      <w:r>
        <w:rPr>
          <w:rFonts w:eastAsia="Calibri"/>
          <w:szCs w:val="22"/>
        </w:rPr>
        <w:t>. gad</w:t>
      </w:r>
      <w:r w:rsidRPr="002B6EF4">
        <w:rPr>
          <w:rFonts w:eastAsia="Calibri"/>
          <w:szCs w:val="22"/>
        </w:rPr>
        <w:t>a pirmajā pusē kopējais dīkstāves atbalsta un algu subsīdiju saņēmēju skaits sasniedza jau 76,7 tūkstošus. Līdz 2021</w:t>
      </w:r>
      <w:r>
        <w:rPr>
          <w:rFonts w:eastAsia="Calibri"/>
          <w:szCs w:val="22"/>
        </w:rPr>
        <w:t>. gad</w:t>
      </w:r>
      <w:r w:rsidRPr="002B6EF4">
        <w:rPr>
          <w:rFonts w:eastAsia="Calibri"/>
          <w:szCs w:val="22"/>
        </w:rPr>
        <w:t>a 29.</w:t>
      </w:r>
      <w:r>
        <w:rPr>
          <w:rFonts w:eastAsia="Calibri"/>
          <w:szCs w:val="22"/>
        </w:rPr>
        <w:t> </w:t>
      </w:r>
      <w:r w:rsidRPr="002B6EF4">
        <w:rPr>
          <w:rFonts w:eastAsia="Calibri"/>
          <w:szCs w:val="22"/>
        </w:rPr>
        <w:t xml:space="preserve">augustam kopējais </w:t>
      </w:r>
      <w:r>
        <w:rPr>
          <w:rFonts w:eastAsia="Calibri"/>
          <w:szCs w:val="22"/>
        </w:rPr>
        <w:t>Covid</w:t>
      </w:r>
      <w:r>
        <w:rPr>
          <w:rFonts w:eastAsia="Calibri"/>
          <w:szCs w:val="22"/>
        </w:rPr>
        <w:noBreakHyphen/>
        <w:t>19</w:t>
      </w:r>
      <w:r w:rsidRPr="002B6EF4">
        <w:rPr>
          <w:rFonts w:eastAsia="Calibri"/>
          <w:szCs w:val="22"/>
        </w:rPr>
        <w:t xml:space="preserve"> otrajā vilnī izmaksātais dīkstāves atbalstu un subsīdiju atbalsts darba ņēmējiem sasniedza 137,8 miljonus </w:t>
      </w:r>
      <w:proofErr w:type="spellStart"/>
      <w:r w:rsidRPr="001F12A1">
        <w:rPr>
          <w:rFonts w:eastAsia="Calibri"/>
          <w:i/>
          <w:szCs w:val="22"/>
        </w:rPr>
        <w:t>euro</w:t>
      </w:r>
      <w:proofErr w:type="spellEnd"/>
      <w:r w:rsidRPr="002B6EF4">
        <w:rPr>
          <w:rFonts w:eastAsia="Calibri"/>
          <w:szCs w:val="22"/>
        </w:rPr>
        <w:t xml:space="preserve"> un </w:t>
      </w:r>
      <w:proofErr w:type="spellStart"/>
      <w:r w:rsidRPr="002B6EF4">
        <w:rPr>
          <w:rFonts w:eastAsia="Calibri"/>
          <w:szCs w:val="22"/>
        </w:rPr>
        <w:t>pašnodarbinātajiem</w:t>
      </w:r>
      <w:proofErr w:type="spellEnd"/>
      <w:r w:rsidRPr="002B6EF4">
        <w:rPr>
          <w:rFonts w:eastAsia="Calibri"/>
          <w:szCs w:val="22"/>
        </w:rPr>
        <w:t xml:space="preserve"> – 16,4 miljonus </w:t>
      </w:r>
      <w:proofErr w:type="spellStart"/>
      <w:r w:rsidRPr="00EA423D">
        <w:rPr>
          <w:rFonts w:eastAsia="Calibri"/>
          <w:i/>
          <w:szCs w:val="22"/>
        </w:rPr>
        <w:t>euro</w:t>
      </w:r>
      <w:proofErr w:type="spellEnd"/>
      <w:r w:rsidRPr="002B6EF4">
        <w:rPr>
          <w:rFonts w:eastAsia="Calibri"/>
          <w:szCs w:val="22"/>
        </w:rPr>
        <w:t xml:space="preserve">, bet vidējais dīkstāves pabalsta apmērs bija 451 </w:t>
      </w:r>
      <w:proofErr w:type="spellStart"/>
      <w:r w:rsidRPr="001F12A1">
        <w:rPr>
          <w:rFonts w:eastAsia="Calibri"/>
          <w:i/>
          <w:szCs w:val="22"/>
        </w:rPr>
        <w:t>euro</w:t>
      </w:r>
      <w:proofErr w:type="spellEnd"/>
      <w:r w:rsidRPr="002B6EF4">
        <w:rPr>
          <w:rFonts w:eastAsia="Calibri"/>
          <w:szCs w:val="22"/>
        </w:rPr>
        <w:t xml:space="preserve"> mēnesī darba ņēmējiem un 420 </w:t>
      </w:r>
      <w:proofErr w:type="spellStart"/>
      <w:r w:rsidRPr="00EA423D">
        <w:rPr>
          <w:rFonts w:eastAsia="Calibri"/>
          <w:i/>
          <w:szCs w:val="22"/>
        </w:rPr>
        <w:t>euro</w:t>
      </w:r>
      <w:proofErr w:type="spellEnd"/>
      <w:r w:rsidRPr="002B6EF4">
        <w:rPr>
          <w:rFonts w:eastAsia="Calibri"/>
          <w:szCs w:val="22"/>
        </w:rPr>
        <w:t xml:space="preserve"> </w:t>
      </w:r>
      <w:proofErr w:type="spellStart"/>
      <w:r w:rsidRPr="002B6EF4">
        <w:rPr>
          <w:rFonts w:eastAsia="Calibri"/>
          <w:szCs w:val="22"/>
        </w:rPr>
        <w:t>pašnodarbinātajiem</w:t>
      </w:r>
      <w:proofErr w:type="spellEnd"/>
      <w:r w:rsidRPr="002B6EF4">
        <w:rPr>
          <w:rFonts w:eastAsia="Calibri"/>
          <w:szCs w:val="22"/>
        </w:rPr>
        <w:t>.</w:t>
      </w:r>
    </w:p>
    <w:p w14:paraId="31E5971A" w14:textId="77777777" w:rsidR="00D16D1B" w:rsidRDefault="00D16D1B" w:rsidP="00D16D1B">
      <w:pPr>
        <w:ind w:firstLine="720"/>
        <w:rPr>
          <w:rFonts w:eastAsia="Calibri"/>
          <w:szCs w:val="22"/>
        </w:rPr>
      </w:pPr>
      <w:r w:rsidRPr="002B6EF4">
        <w:rPr>
          <w:rFonts w:eastAsia="Calibri"/>
          <w:szCs w:val="22"/>
        </w:rPr>
        <w:lastRenderedPageBreak/>
        <w:t xml:space="preserve">Kopumā no budžeta izmaksātā sociālā atbalsta apmērs iedzīvotājiem, tajā skaitā pensijas un citi pabalsti, šā gada pirmajā pusē sasniedza 2,7 miljardus </w:t>
      </w:r>
      <w:proofErr w:type="spellStart"/>
      <w:r w:rsidRPr="00EA423D">
        <w:rPr>
          <w:rFonts w:eastAsia="Calibri"/>
          <w:i/>
          <w:szCs w:val="22"/>
        </w:rPr>
        <w:t>euro</w:t>
      </w:r>
      <w:proofErr w:type="spellEnd"/>
      <w:r w:rsidRPr="002B6EF4">
        <w:rPr>
          <w:rFonts w:eastAsia="Calibri"/>
          <w:szCs w:val="22"/>
        </w:rPr>
        <w:t xml:space="preserve"> un bija par 53,5% lielāks nekā 2020</w:t>
      </w:r>
      <w:r>
        <w:rPr>
          <w:rFonts w:eastAsia="Calibri"/>
          <w:szCs w:val="22"/>
        </w:rPr>
        <w:t>. gad</w:t>
      </w:r>
      <w:r w:rsidRPr="002B6EF4">
        <w:rPr>
          <w:rFonts w:eastAsia="Calibri"/>
          <w:szCs w:val="22"/>
        </w:rPr>
        <w:t xml:space="preserve">a pirmajā pusē. Papildus sociālais atbalsts, kas līdzās dīkstāves atbalstam un subsidētajam nodarbinātības atbalstam ietvēra arī vienreizēju pabalstu ģimenēm par katru bērnu 500 </w:t>
      </w:r>
      <w:proofErr w:type="spellStart"/>
      <w:r w:rsidRPr="001F12A1">
        <w:rPr>
          <w:rFonts w:eastAsia="Calibri"/>
          <w:i/>
          <w:szCs w:val="22"/>
        </w:rPr>
        <w:t>euro</w:t>
      </w:r>
      <w:proofErr w:type="spellEnd"/>
      <w:r w:rsidRPr="002B6EF4">
        <w:rPr>
          <w:rFonts w:eastAsia="Calibri"/>
          <w:szCs w:val="22"/>
        </w:rPr>
        <w:t xml:space="preserve"> apmērā un katram pensionāram 200 </w:t>
      </w:r>
      <w:proofErr w:type="spellStart"/>
      <w:r w:rsidRPr="001F12A1">
        <w:rPr>
          <w:rFonts w:eastAsia="Calibri"/>
          <w:i/>
          <w:szCs w:val="22"/>
        </w:rPr>
        <w:t>euro</w:t>
      </w:r>
      <w:proofErr w:type="spellEnd"/>
      <w:r w:rsidRPr="002B6EF4">
        <w:rPr>
          <w:rFonts w:eastAsia="Calibri"/>
          <w:szCs w:val="22"/>
        </w:rPr>
        <w:t xml:space="preserve"> apmērā, nodrošināja iedzīvotāju patēriņa saglabāšanos </w:t>
      </w:r>
      <w:r>
        <w:rPr>
          <w:rFonts w:eastAsia="Calibri"/>
          <w:szCs w:val="22"/>
        </w:rPr>
        <w:t>Covid</w:t>
      </w:r>
      <w:r>
        <w:rPr>
          <w:rFonts w:eastAsia="Calibri"/>
          <w:szCs w:val="22"/>
        </w:rPr>
        <w:noBreakHyphen/>
        <w:t>19</w:t>
      </w:r>
      <w:r w:rsidRPr="002B6EF4">
        <w:rPr>
          <w:rFonts w:eastAsia="Calibri"/>
          <w:szCs w:val="22"/>
        </w:rPr>
        <w:t xml:space="preserve"> ierobežojumu laikā un sekmēja spēcīgu patēriņa pieaugumu uzreiz pēc ierobežojumu mīkstināšanas un atcelšanas. Kopējais darba samaksas fonds – kopējā strādājošajiem iedzīvotājiem izmaksātā bruto darba alga – šā gada pirmajā pusē palielinājās par 7,1% (1.3</w:t>
      </w:r>
      <w:r>
        <w:rPr>
          <w:rFonts w:eastAsia="Calibri"/>
          <w:szCs w:val="22"/>
        </w:rPr>
        <w:t>0</w:t>
      </w:r>
      <w:r w:rsidRPr="002B6EF4">
        <w:rPr>
          <w:rFonts w:eastAsia="Calibri"/>
          <w:szCs w:val="22"/>
        </w:rPr>
        <w:t>.</w:t>
      </w:r>
      <w:r>
        <w:rPr>
          <w:rFonts w:eastAsia="Calibri"/>
          <w:szCs w:val="22"/>
        </w:rPr>
        <w:t xml:space="preserve"> attēls</w:t>
      </w:r>
      <w:r w:rsidRPr="002B6EF4">
        <w:rPr>
          <w:rFonts w:eastAsia="Calibri"/>
          <w:szCs w:val="22"/>
        </w:rPr>
        <w:t>).</w:t>
      </w:r>
    </w:p>
    <w:p w14:paraId="4FE2A107" w14:textId="77777777" w:rsidR="00D16D1B" w:rsidRPr="009B1DBF" w:rsidRDefault="00D16D1B" w:rsidP="00D16D1B">
      <w:pPr>
        <w:keepNext/>
        <w:spacing w:after="0"/>
        <w:ind w:firstLine="0"/>
        <w:jc w:val="center"/>
        <w:rPr>
          <w:b/>
          <w:i/>
        </w:rPr>
      </w:pPr>
      <w:r w:rsidRPr="00316E58">
        <w:rPr>
          <w:b/>
          <w:i/>
        </w:rPr>
        <w:t>1.3</w:t>
      </w:r>
      <w:r>
        <w:rPr>
          <w:b/>
          <w:i/>
        </w:rPr>
        <w:t>0</w:t>
      </w:r>
      <w:r w:rsidRPr="00316E58">
        <w:rPr>
          <w:b/>
          <w:i/>
        </w:rPr>
        <w:t xml:space="preserve">. </w:t>
      </w:r>
      <w:r>
        <w:rPr>
          <w:b/>
          <w:i/>
        </w:rPr>
        <w:t xml:space="preserve">attēls </w:t>
      </w:r>
      <w:r w:rsidRPr="00453332">
        <w:rPr>
          <w:b/>
        </w:rPr>
        <w:t>Kopējie iedzīvotāju ienākumi no darba samaksas un sociālā atbalsta gada pirmajā pusē</w:t>
      </w:r>
      <w:r>
        <w:rPr>
          <w:b/>
        </w:rPr>
        <w:t xml:space="preserve"> (</w:t>
      </w:r>
      <w:r w:rsidRPr="00453332">
        <w:rPr>
          <w:b/>
        </w:rPr>
        <w:t xml:space="preserve">milj. </w:t>
      </w:r>
      <w:proofErr w:type="spellStart"/>
      <w:r w:rsidRPr="00453332">
        <w:rPr>
          <w:b/>
          <w:i/>
        </w:rPr>
        <w:t>euro</w:t>
      </w:r>
      <w:proofErr w:type="spellEnd"/>
      <w:r>
        <w:rPr>
          <w:b/>
        </w:rPr>
        <w:t>)</w:t>
      </w:r>
    </w:p>
    <w:p w14:paraId="4448688D" w14:textId="77777777" w:rsidR="00D16D1B" w:rsidRDefault="00D16D1B" w:rsidP="00D16D1B">
      <w:pPr>
        <w:spacing w:after="0"/>
        <w:ind w:firstLine="0"/>
        <w:jc w:val="center"/>
        <w:rPr>
          <w:sz w:val="28"/>
          <w:szCs w:val="28"/>
        </w:rPr>
      </w:pPr>
      <w:r w:rsidRPr="00C65FA6">
        <w:rPr>
          <w:noProof/>
          <w:sz w:val="18"/>
          <w:szCs w:val="18"/>
          <w:lang w:eastAsia="lv-LV"/>
        </w:rPr>
        <w:drawing>
          <wp:inline distT="0" distB="0" distL="0" distR="0" wp14:anchorId="1DB659FA" wp14:editId="4DEE9BD4">
            <wp:extent cx="5666105" cy="2124791"/>
            <wp:effectExtent l="0" t="0" r="0" b="8890"/>
            <wp:docPr id="45" name="Chart 45"/>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14:paraId="28DFCF5A" w14:textId="77777777" w:rsidR="00D16D1B" w:rsidRDefault="00D16D1B" w:rsidP="00D16D1B">
      <w:pPr>
        <w:spacing w:before="120"/>
        <w:ind w:firstLine="720"/>
        <w:rPr>
          <w:rFonts w:eastAsia="Calibri"/>
          <w:szCs w:val="22"/>
        </w:rPr>
      </w:pPr>
      <w:r w:rsidRPr="002B6EF4">
        <w:rPr>
          <w:rFonts w:eastAsia="Calibri"/>
          <w:szCs w:val="22"/>
        </w:rPr>
        <w:t xml:space="preserve">Kopējam iedzīvotāju ienākumu apjomam </w:t>
      </w:r>
      <w:r>
        <w:rPr>
          <w:rFonts w:eastAsia="Calibri"/>
          <w:szCs w:val="22"/>
        </w:rPr>
        <w:t>Covid</w:t>
      </w:r>
      <w:r>
        <w:rPr>
          <w:rFonts w:eastAsia="Calibri"/>
          <w:szCs w:val="22"/>
        </w:rPr>
        <w:noBreakHyphen/>
        <w:t>19</w:t>
      </w:r>
      <w:r w:rsidRPr="002B6EF4">
        <w:rPr>
          <w:rFonts w:eastAsia="Calibri"/>
          <w:szCs w:val="22"/>
        </w:rPr>
        <w:t xml:space="preserve"> laikā turpinot pieaugt un vienlaikus pastāvot ierobežojumiem dažādu preču iegādei un pakalpojumu saņemšanai, jau kopš 2020</w:t>
      </w:r>
      <w:r>
        <w:rPr>
          <w:rFonts w:eastAsia="Calibri"/>
          <w:szCs w:val="22"/>
        </w:rPr>
        <w:t>. gad</w:t>
      </w:r>
      <w:r w:rsidRPr="002B6EF4">
        <w:rPr>
          <w:rFonts w:eastAsia="Calibri"/>
          <w:szCs w:val="22"/>
        </w:rPr>
        <w:t xml:space="preserve">a sākuma visai būtiski ir palielinājies kopējais mājsaimniecību noguldījumu apjoms komercbankās. Ja laikā kopš Latvijas pievienošanās </w:t>
      </w:r>
      <w:proofErr w:type="spellStart"/>
      <w:r w:rsidRPr="002B6EF4">
        <w:rPr>
          <w:rFonts w:eastAsia="Calibri"/>
          <w:szCs w:val="22"/>
        </w:rPr>
        <w:t>eirozonai</w:t>
      </w:r>
      <w:proofErr w:type="spellEnd"/>
      <w:r w:rsidRPr="002B6EF4">
        <w:rPr>
          <w:rFonts w:eastAsia="Calibri"/>
          <w:szCs w:val="22"/>
        </w:rPr>
        <w:t xml:space="preserve"> mājsaimniecību noguldījumi bankās auga vidēji par 8% gadā, kopš 2020</w:t>
      </w:r>
      <w:r>
        <w:rPr>
          <w:rFonts w:eastAsia="Calibri"/>
          <w:szCs w:val="22"/>
        </w:rPr>
        <w:t>. gad</w:t>
      </w:r>
      <w:r w:rsidRPr="002B6EF4">
        <w:rPr>
          <w:rFonts w:eastAsia="Calibri"/>
          <w:szCs w:val="22"/>
        </w:rPr>
        <w:t>a pieauguma temps ir pārsniedzis 10% un 2021</w:t>
      </w:r>
      <w:r>
        <w:rPr>
          <w:rFonts w:eastAsia="Calibri"/>
          <w:szCs w:val="22"/>
        </w:rPr>
        <w:t>. gad</w:t>
      </w:r>
      <w:r w:rsidRPr="002B6EF4">
        <w:rPr>
          <w:rFonts w:eastAsia="Calibri"/>
          <w:szCs w:val="22"/>
        </w:rPr>
        <w:t xml:space="preserve">a jūlija beigās rezidentu mājsaimniecību kopējais noguldījumu apjoms ir sasniedzis 9,2 miljardus </w:t>
      </w:r>
      <w:proofErr w:type="spellStart"/>
      <w:r w:rsidRPr="00EA423D">
        <w:rPr>
          <w:rFonts w:eastAsia="Calibri"/>
          <w:i/>
          <w:szCs w:val="22"/>
        </w:rPr>
        <w:t>euro</w:t>
      </w:r>
      <w:proofErr w:type="spellEnd"/>
      <w:r w:rsidRPr="002B6EF4">
        <w:rPr>
          <w:rFonts w:eastAsia="Calibri"/>
          <w:szCs w:val="22"/>
        </w:rPr>
        <w:t>, salīdzinājumā ar 2020</w:t>
      </w:r>
      <w:r>
        <w:rPr>
          <w:rFonts w:eastAsia="Calibri"/>
          <w:szCs w:val="22"/>
        </w:rPr>
        <w:t>. gad</w:t>
      </w:r>
      <w:r w:rsidRPr="002B6EF4">
        <w:rPr>
          <w:rFonts w:eastAsia="Calibri"/>
          <w:szCs w:val="22"/>
        </w:rPr>
        <w:t xml:space="preserve">a jūlija beigām palielinoties par 17,7% jeb 1,4 miljardiem </w:t>
      </w:r>
      <w:proofErr w:type="spellStart"/>
      <w:r w:rsidRPr="00EA423D">
        <w:rPr>
          <w:rFonts w:eastAsia="Calibri"/>
          <w:i/>
          <w:szCs w:val="22"/>
        </w:rPr>
        <w:t>euro</w:t>
      </w:r>
      <w:proofErr w:type="spellEnd"/>
      <w:r>
        <w:rPr>
          <w:rFonts w:eastAsia="Calibri"/>
          <w:szCs w:val="22"/>
        </w:rPr>
        <w:t xml:space="preserve"> (1.31</w:t>
      </w:r>
      <w:r w:rsidRPr="002B6EF4">
        <w:rPr>
          <w:rFonts w:eastAsia="Calibri"/>
          <w:szCs w:val="22"/>
        </w:rPr>
        <w:t>.</w:t>
      </w:r>
      <w:r>
        <w:rPr>
          <w:rFonts w:eastAsia="Calibri"/>
          <w:szCs w:val="22"/>
        </w:rPr>
        <w:t xml:space="preserve"> attēls</w:t>
      </w:r>
      <w:r w:rsidRPr="002B6EF4">
        <w:rPr>
          <w:rFonts w:eastAsia="Calibri"/>
          <w:szCs w:val="22"/>
        </w:rPr>
        <w:t>).</w:t>
      </w:r>
    </w:p>
    <w:p w14:paraId="2D227947" w14:textId="77777777" w:rsidR="00D16D1B" w:rsidRPr="009B1DBF" w:rsidRDefault="00D16D1B" w:rsidP="00F82F07">
      <w:pPr>
        <w:keepNext/>
        <w:ind w:firstLine="0"/>
        <w:jc w:val="center"/>
        <w:rPr>
          <w:b/>
          <w:i/>
        </w:rPr>
      </w:pPr>
      <w:r w:rsidRPr="00316E58">
        <w:rPr>
          <w:b/>
          <w:i/>
        </w:rPr>
        <w:t>1.3</w:t>
      </w:r>
      <w:r>
        <w:rPr>
          <w:b/>
          <w:i/>
        </w:rPr>
        <w:t>1</w:t>
      </w:r>
      <w:r w:rsidRPr="00316E58">
        <w:rPr>
          <w:b/>
          <w:i/>
        </w:rPr>
        <w:t xml:space="preserve">. </w:t>
      </w:r>
      <w:r>
        <w:rPr>
          <w:b/>
          <w:i/>
        </w:rPr>
        <w:t xml:space="preserve">attēls </w:t>
      </w:r>
      <w:r w:rsidRPr="00453332">
        <w:rPr>
          <w:b/>
        </w:rPr>
        <w:t>Rezidentu mājsaimniecību kopējie no</w:t>
      </w:r>
      <w:r>
        <w:rPr>
          <w:b/>
        </w:rPr>
        <w:t>guldījumi Latvijas komercbankās (</w:t>
      </w:r>
      <w:r w:rsidRPr="00453332">
        <w:rPr>
          <w:b/>
        </w:rPr>
        <w:t xml:space="preserve">milj. </w:t>
      </w:r>
      <w:proofErr w:type="spellStart"/>
      <w:r w:rsidRPr="005032AB">
        <w:rPr>
          <w:b/>
          <w:i/>
        </w:rPr>
        <w:t>euro</w:t>
      </w:r>
      <w:proofErr w:type="spellEnd"/>
      <w:r w:rsidRPr="00453332">
        <w:rPr>
          <w:b/>
        </w:rPr>
        <w:t xml:space="preserve"> un izmaiņas %</w:t>
      </w:r>
      <w:r>
        <w:rPr>
          <w:b/>
        </w:rPr>
        <w:t>)</w:t>
      </w:r>
    </w:p>
    <w:p w14:paraId="1E935A82" w14:textId="77777777" w:rsidR="00D16D1B" w:rsidRDefault="00D16D1B" w:rsidP="00D16D1B">
      <w:pPr>
        <w:spacing w:after="0"/>
        <w:ind w:firstLine="0"/>
        <w:jc w:val="center"/>
        <w:rPr>
          <w:sz w:val="28"/>
          <w:szCs w:val="28"/>
        </w:rPr>
      </w:pPr>
      <w:r w:rsidRPr="006F0077">
        <w:rPr>
          <w:noProof/>
          <w:sz w:val="28"/>
          <w:szCs w:val="28"/>
          <w:lang w:eastAsia="lv-LV"/>
        </w:rPr>
        <w:drawing>
          <wp:inline distT="0" distB="0" distL="0" distR="0" wp14:anchorId="4A6B4CE6" wp14:editId="56C7D05E">
            <wp:extent cx="5734685" cy="2087792"/>
            <wp:effectExtent l="0" t="0" r="0" b="8255"/>
            <wp:docPr id="2" name="Chart 2"/>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14:paraId="1603EC2B" w14:textId="77777777" w:rsidR="00D16D1B" w:rsidRPr="002B6EF4" w:rsidRDefault="00D16D1B" w:rsidP="00D16D1B">
      <w:pPr>
        <w:spacing w:before="120"/>
        <w:ind w:firstLine="720"/>
        <w:rPr>
          <w:rFonts w:eastAsia="Calibri"/>
          <w:szCs w:val="22"/>
        </w:rPr>
      </w:pPr>
      <w:r w:rsidRPr="002B6EF4">
        <w:rPr>
          <w:rFonts w:eastAsia="Calibri"/>
          <w:szCs w:val="22"/>
        </w:rPr>
        <w:t xml:space="preserve">Vienlaikus šis ienākumu un uzkrājumu pieaugums ir visai nevienmērīgs un norāda uz potenciālu nevienlīdzības pieaugumu darbspējas vecuma iedzīvotāju vidū, </w:t>
      </w:r>
      <w:r>
        <w:rPr>
          <w:rFonts w:eastAsia="Calibri"/>
          <w:szCs w:val="22"/>
        </w:rPr>
        <w:t>Covid</w:t>
      </w:r>
      <w:r>
        <w:rPr>
          <w:rFonts w:eastAsia="Calibri"/>
          <w:szCs w:val="22"/>
        </w:rPr>
        <w:noBreakHyphen/>
        <w:t>19</w:t>
      </w:r>
      <w:r w:rsidRPr="002B6EF4">
        <w:rPr>
          <w:rFonts w:eastAsia="Calibri"/>
          <w:szCs w:val="22"/>
        </w:rPr>
        <w:t xml:space="preserve"> krīzei smagāk skarot zemāk atalgotos, izmitināšanas un ēdināšanas un citu pakalpojumu nozarēs nodarbinātos cilvēkus. Materiālo nevienlīdzību raksturojošie rādītāji par </w:t>
      </w:r>
      <w:r>
        <w:rPr>
          <w:rFonts w:eastAsia="Calibri"/>
          <w:szCs w:val="22"/>
        </w:rPr>
        <w:t>Covid</w:t>
      </w:r>
      <w:r>
        <w:rPr>
          <w:rFonts w:eastAsia="Calibri"/>
          <w:szCs w:val="22"/>
        </w:rPr>
        <w:noBreakHyphen/>
        <w:t>19</w:t>
      </w:r>
      <w:r w:rsidRPr="002B6EF4">
        <w:rPr>
          <w:rFonts w:eastAsia="Calibri"/>
          <w:szCs w:val="22"/>
        </w:rPr>
        <w:t xml:space="preserve"> krīzes laiku </w:t>
      </w:r>
      <w:r w:rsidRPr="002B6EF4">
        <w:rPr>
          <w:rFonts w:eastAsia="Calibri"/>
          <w:szCs w:val="22"/>
        </w:rPr>
        <w:lastRenderedPageBreak/>
        <w:t>vēl nav pieejami, bet iepriekšējo gadu dati rāda, ka būtiskas izmaiņas nevienlīdzības līmenī Latvijā laikā kopš pagājušās 2008.-2009</w:t>
      </w:r>
      <w:r>
        <w:rPr>
          <w:rFonts w:eastAsia="Calibri"/>
          <w:szCs w:val="22"/>
        </w:rPr>
        <w:t>. gad</w:t>
      </w:r>
      <w:r w:rsidRPr="002B6EF4">
        <w:rPr>
          <w:rFonts w:eastAsia="Calibri"/>
          <w:szCs w:val="22"/>
        </w:rPr>
        <w:t>a finanšu krīzes nav notikušas, un pēc 2019</w:t>
      </w:r>
      <w:r>
        <w:rPr>
          <w:rFonts w:eastAsia="Calibri"/>
          <w:szCs w:val="22"/>
        </w:rPr>
        <w:t>. gad</w:t>
      </w:r>
      <w:r w:rsidRPr="002B6EF4">
        <w:rPr>
          <w:rFonts w:eastAsia="Calibri"/>
          <w:szCs w:val="22"/>
        </w:rPr>
        <w:t>a datiem Latvija joprojām ir trešā nevienlīdzīgākā valsts Eiropas Savienībā aiz Bulgārijas un Lietuvas. Latvijas Džini koeficients 2019</w:t>
      </w:r>
      <w:r>
        <w:rPr>
          <w:rFonts w:eastAsia="Calibri"/>
          <w:szCs w:val="22"/>
        </w:rPr>
        <w:t>. gad</w:t>
      </w:r>
      <w:r w:rsidRPr="002B6EF4">
        <w:rPr>
          <w:rFonts w:eastAsia="Calibri"/>
          <w:szCs w:val="22"/>
        </w:rPr>
        <w:t>ā ir uzrādījis nelielu nevienlīdzības samazinājumu, pazeminoties līdz 34,5 no 35,2 iepriekšējā gadā un atgriežoties 2016</w:t>
      </w:r>
      <w:r>
        <w:rPr>
          <w:rFonts w:eastAsia="Calibri"/>
          <w:szCs w:val="22"/>
        </w:rPr>
        <w:t>. gad</w:t>
      </w:r>
      <w:r w:rsidRPr="002B6EF4">
        <w:rPr>
          <w:rFonts w:eastAsia="Calibri"/>
          <w:szCs w:val="22"/>
        </w:rPr>
        <w:t>a līmenī.</w:t>
      </w:r>
    </w:p>
    <w:p w14:paraId="2F87F747" w14:textId="77777777" w:rsidR="00D16D1B" w:rsidRDefault="00D16D1B" w:rsidP="00D16D1B">
      <w:pPr>
        <w:ind w:firstLine="720"/>
        <w:rPr>
          <w:rFonts w:eastAsia="Calibri"/>
          <w:szCs w:val="22"/>
        </w:rPr>
      </w:pPr>
      <w:r w:rsidRPr="002B6EF4">
        <w:rPr>
          <w:rFonts w:eastAsia="Calibri"/>
          <w:szCs w:val="22"/>
        </w:rPr>
        <w:t>Augsto nevienlīdzības līmeni Latvijā galvenokārt nosaka augstais nabadzības riskam pakļauto iedzīvotāju īpatsvars pensionāru grupā, kur tas ir būtiski augstāks nekā ES vidēji. Skatoties pēc nodarbošanās statusa, Latvijā nabadzības riskam ir pakļauti 55,6% pensionāru, kamēr ES vidēji – tikai 19,2%. Arī bezdarbniekiem nabadzības risks Latvijā ir nedaudz augstāks nekā vidēji ES, kamēr strādājošajiem iedzīvotājiem tas praktiski neatšķiras no ES vidējiem rādītājiem (1.3</w:t>
      </w:r>
      <w:r>
        <w:rPr>
          <w:rFonts w:eastAsia="Calibri"/>
          <w:szCs w:val="22"/>
        </w:rPr>
        <w:t>2</w:t>
      </w:r>
      <w:r w:rsidRPr="002B6EF4">
        <w:rPr>
          <w:rFonts w:eastAsia="Calibri"/>
          <w:szCs w:val="22"/>
        </w:rPr>
        <w:t>.</w:t>
      </w:r>
      <w:r>
        <w:rPr>
          <w:rFonts w:eastAsia="Calibri"/>
          <w:szCs w:val="22"/>
        </w:rPr>
        <w:t xml:space="preserve"> </w:t>
      </w:r>
      <w:r w:rsidRPr="002B6EF4">
        <w:rPr>
          <w:rFonts w:eastAsia="Calibri"/>
          <w:szCs w:val="22"/>
        </w:rPr>
        <w:t>att</w:t>
      </w:r>
      <w:r>
        <w:rPr>
          <w:rFonts w:eastAsia="Calibri"/>
          <w:szCs w:val="22"/>
        </w:rPr>
        <w:t>ēls</w:t>
      </w:r>
      <w:r w:rsidRPr="002B6EF4">
        <w:rPr>
          <w:rFonts w:eastAsia="Calibri"/>
          <w:szCs w:val="22"/>
        </w:rPr>
        <w:t>).</w:t>
      </w:r>
    </w:p>
    <w:p w14:paraId="68C52E23" w14:textId="418544F0" w:rsidR="00D16D1B" w:rsidRPr="00453332" w:rsidRDefault="00D16D1B" w:rsidP="00F82F07">
      <w:pPr>
        <w:keepNext/>
        <w:spacing w:before="120"/>
        <w:ind w:firstLine="0"/>
        <w:jc w:val="center"/>
        <w:rPr>
          <w:b/>
        </w:rPr>
      </w:pPr>
      <w:r w:rsidRPr="00316E58">
        <w:rPr>
          <w:b/>
          <w:i/>
        </w:rPr>
        <w:t>1.3</w:t>
      </w:r>
      <w:r>
        <w:rPr>
          <w:b/>
          <w:i/>
        </w:rPr>
        <w:t>2</w:t>
      </w:r>
      <w:r w:rsidRPr="00316E58">
        <w:rPr>
          <w:b/>
          <w:i/>
        </w:rPr>
        <w:t xml:space="preserve">. </w:t>
      </w:r>
      <w:r>
        <w:rPr>
          <w:b/>
          <w:i/>
        </w:rPr>
        <w:t>attēls</w:t>
      </w:r>
      <w:r w:rsidRPr="009B1DBF">
        <w:rPr>
          <w:b/>
          <w:i/>
        </w:rPr>
        <w:t xml:space="preserve"> </w:t>
      </w:r>
      <w:r w:rsidRPr="00453332">
        <w:rPr>
          <w:b/>
        </w:rPr>
        <w:t>Nabadzības riskam pakļautie iedzīvotāji, pēc statusa, 2019</w:t>
      </w:r>
      <w:r>
        <w:rPr>
          <w:b/>
        </w:rPr>
        <w:t>. gad</w:t>
      </w:r>
      <w:r w:rsidRPr="00453332">
        <w:rPr>
          <w:b/>
        </w:rPr>
        <w:t>a dati</w:t>
      </w:r>
      <w:r>
        <w:rPr>
          <w:b/>
        </w:rPr>
        <w:t xml:space="preserve"> (</w:t>
      </w:r>
      <w:r w:rsidRPr="00453332">
        <w:rPr>
          <w:b/>
        </w:rPr>
        <w:t>%</w:t>
      </w:r>
      <w:r>
        <w:rPr>
          <w:b/>
        </w:rPr>
        <w:t>)</w:t>
      </w:r>
    </w:p>
    <w:p w14:paraId="6F87E51B" w14:textId="77777777" w:rsidR="00D16D1B" w:rsidRPr="00316E58" w:rsidRDefault="00D16D1B" w:rsidP="00F82F07">
      <w:pPr>
        <w:spacing w:after="0"/>
        <w:ind w:firstLine="0"/>
        <w:jc w:val="center"/>
        <w:rPr>
          <w:sz w:val="28"/>
          <w:szCs w:val="28"/>
        </w:rPr>
      </w:pPr>
      <w:r w:rsidRPr="00167DC6">
        <w:rPr>
          <w:noProof/>
          <w:lang w:eastAsia="lv-LV"/>
        </w:rPr>
        <w:drawing>
          <wp:inline distT="0" distB="0" distL="0" distR="0" wp14:anchorId="5DC669AB" wp14:editId="1D2208C7">
            <wp:extent cx="5728970" cy="2288643"/>
            <wp:effectExtent l="0" t="0" r="5080" b="0"/>
            <wp:docPr id="58" name="Chart 58"/>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14:paraId="4B6D2855" w14:textId="77777777" w:rsidR="00D16D1B" w:rsidRDefault="00D16D1B" w:rsidP="00F82F07">
      <w:pPr>
        <w:spacing w:before="240"/>
        <w:ind w:firstLine="720"/>
        <w:rPr>
          <w:rFonts w:eastAsia="Calibri"/>
          <w:szCs w:val="22"/>
        </w:rPr>
      </w:pPr>
      <w:r w:rsidRPr="002B6EF4">
        <w:rPr>
          <w:rFonts w:eastAsia="Calibri"/>
          <w:szCs w:val="22"/>
        </w:rPr>
        <w:t>Līdz ar ekonomikas izaugsmi laikā kopš 2010</w:t>
      </w:r>
      <w:r>
        <w:rPr>
          <w:rFonts w:eastAsia="Calibri"/>
          <w:szCs w:val="22"/>
        </w:rPr>
        <w:t>. gad</w:t>
      </w:r>
      <w:r w:rsidRPr="002B6EF4">
        <w:rPr>
          <w:rFonts w:eastAsia="Calibri"/>
          <w:szCs w:val="22"/>
        </w:rPr>
        <w:t>a Latvijas iedzīvotāju ienākumi arvien ir tuvinājušies ES vidējam līmenim, bet joprojām no tā būtiski atpaliek. Laikā no 2008. līdz 2019</w:t>
      </w:r>
      <w:r>
        <w:rPr>
          <w:rFonts w:eastAsia="Calibri"/>
          <w:szCs w:val="22"/>
        </w:rPr>
        <w:t>. gad</w:t>
      </w:r>
      <w:r w:rsidRPr="002B6EF4">
        <w:rPr>
          <w:rFonts w:eastAsia="Calibri"/>
          <w:szCs w:val="22"/>
        </w:rPr>
        <w:t>am mājsaimniecību vidējie rīcībā esošie ienākumi uz vienu iedzīvotāju pēc pirktspējas paritātes standarta ir palielinājušies no 59,7% no ES vidējā līdz 65,8% no ES vidējā, tomēr joprojām ir trešie zemākie ES, apsteidzot tik</w:t>
      </w:r>
      <w:r>
        <w:rPr>
          <w:rFonts w:eastAsia="Calibri"/>
          <w:szCs w:val="22"/>
        </w:rPr>
        <w:t>ai Bulgāriju, un Horvātiju (1.33</w:t>
      </w:r>
      <w:r w:rsidRPr="002B6EF4">
        <w:rPr>
          <w:rFonts w:eastAsia="Calibri"/>
          <w:szCs w:val="22"/>
        </w:rPr>
        <w:t>.</w:t>
      </w:r>
      <w:r>
        <w:rPr>
          <w:rFonts w:eastAsia="Calibri"/>
          <w:szCs w:val="22"/>
        </w:rPr>
        <w:t xml:space="preserve"> attēls</w:t>
      </w:r>
      <w:r w:rsidRPr="002B6EF4">
        <w:rPr>
          <w:rFonts w:eastAsia="Calibri"/>
          <w:szCs w:val="22"/>
        </w:rPr>
        <w:t>).</w:t>
      </w:r>
    </w:p>
    <w:p w14:paraId="35B11188" w14:textId="683B12A2" w:rsidR="00D16D1B" w:rsidRPr="00E02C12" w:rsidRDefault="00D16D1B" w:rsidP="00526596">
      <w:pPr>
        <w:keepNext/>
        <w:ind w:firstLine="0"/>
        <w:jc w:val="center"/>
        <w:rPr>
          <w:b/>
        </w:rPr>
      </w:pPr>
      <w:r>
        <w:rPr>
          <w:b/>
          <w:i/>
        </w:rPr>
        <w:t>1.33</w:t>
      </w:r>
      <w:r w:rsidRPr="00316E58">
        <w:rPr>
          <w:b/>
          <w:i/>
        </w:rPr>
        <w:t>. </w:t>
      </w:r>
      <w:r>
        <w:rPr>
          <w:b/>
          <w:i/>
        </w:rPr>
        <w:t>attēls</w:t>
      </w:r>
      <w:r w:rsidRPr="00316E58">
        <w:rPr>
          <w:b/>
          <w:i/>
        </w:rPr>
        <w:t xml:space="preserve"> </w:t>
      </w:r>
      <w:r w:rsidRPr="00E02C12">
        <w:rPr>
          <w:b/>
        </w:rPr>
        <w:t>Mājsaimniecību rīcībā esošie ienākumi uz vienu iedzīvotāju pēc pirktspējas</w:t>
      </w:r>
      <w:r w:rsidR="00F82F07">
        <w:rPr>
          <w:b/>
        </w:rPr>
        <w:t xml:space="preserve"> </w:t>
      </w:r>
      <w:r w:rsidRPr="00E02C12">
        <w:rPr>
          <w:b/>
        </w:rPr>
        <w:t>paritātes standarta ES valstīs, 2019</w:t>
      </w:r>
      <w:r>
        <w:rPr>
          <w:b/>
        </w:rPr>
        <w:t>. gad</w:t>
      </w:r>
      <w:r w:rsidRPr="00E02C12">
        <w:rPr>
          <w:b/>
        </w:rPr>
        <w:t>ā, % no ES vidējā</w:t>
      </w:r>
    </w:p>
    <w:p w14:paraId="64FA6146" w14:textId="77777777" w:rsidR="00D16D1B" w:rsidRPr="00316E58" w:rsidRDefault="00D16D1B" w:rsidP="00F82F07">
      <w:pPr>
        <w:spacing w:after="0"/>
        <w:ind w:firstLine="0"/>
        <w:jc w:val="center"/>
        <w:rPr>
          <w:sz w:val="28"/>
          <w:szCs w:val="28"/>
        </w:rPr>
      </w:pPr>
      <w:r w:rsidRPr="00316E58">
        <w:rPr>
          <w:rFonts w:asciiTheme="minorHAnsi" w:eastAsiaTheme="minorEastAsia" w:hAnsiTheme="minorHAnsi" w:cstheme="minorBidi"/>
          <w:noProof/>
          <w:sz w:val="22"/>
          <w:szCs w:val="22"/>
          <w:lang w:eastAsia="lv-LV"/>
        </w:rPr>
        <w:drawing>
          <wp:inline distT="0" distB="0" distL="0" distR="0" wp14:anchorId="23633E8A" wp14:editId="362E2CE4">
            <wp:extent cx="5718810" cy="2727343"/>
            <wp:effectExtent l="0" t="0" r="0" b="0"/>
            <wp:docPr id="63" name="Chart 63"/>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14:paraId="3E2E9A8B" w14:textId="501E15B4" w:rsidR="00EF1D74" w:rsidRDefault="00EF1D74" w:rsidP="006F769D">
      <w:pPr>
        <w:keepNext/>
        <w:keepLines/>
        <w:spacing w:before="240" w:after="240"/>
        <w:ind w:firstLine="0"/>
        <w:jc w:val="center"/>
        <w:outlineLvl w:val="2"/>
        <w:rPr>
          <w:b/>
          <w:bCs/>
          <w:sz w:val="32"/>
          <w:szCs w:val="32"/>
        </w:rPr>
      </w:pPr>
      <w:r w:rsidRPr="00EF1D74">
        <w:rPr>
          <w:b/>
          <w:bCs/>
          <w:sz w:val="32"/>
          <w:szCs w:val="32"/>
        </w:rPr>
        <w:lastRenderedPageBreak/>
        <w:t>1.2.6. Ārējā tirdzniecība un maksājumu bilance</w:t>
      </w:r>
    </w:p>
    <w:p w14:paraId="5D15F274" w14:textId="77777777" w:rsidR="00C32B3C" w:rsidRPr="00BD0181" w:rsidRDefault="00C32B3C" w:rsidP="00C32B3C">
      <w:pPr>
        <w:spacing w:before="120"/>
        <w:ind w:firstLine="720"/>
        <w:rPr>
          <w:rFonts w:eastAsia="Calibri"/>
          <w:szCs w:val="22"/>
        </w:rPr>
      </w:pPr>
      <w:r w:rsidRPr="00BD0181">
        <w:rPr>
          <w:rFonts w:eastAsia="Calibri"/>
          <w:szCs w:val="22"/>
        </w:rPr>
        <w:t>Latvijas preču un pakalpojumu ārējās tirdzniecības apgrozījums salīdzināmajās cenās 2020</w:t>
      </w:r>
      <w:r>
        <w:rPr>
          <w:rFonts w:eastAsia="Calibri"/>
          <w:szCs w:val="22"/>
        </w:rPr>
        <w:t>. gad</w:t>
      </w:r>
      <w:r w:rsidRPr="00BD0181">
        <w:rPr>
          <w:rFonts w:eastAsia="Calibri"/>
          <w:szCs w:val="22"/>
        </w:rPr>
        <w:t>ā samazinājās par 3,0%, uzrādot sliktāko sniegumu kopš 2010</w:t>
      </w:r>
      <w:r>
        <w:rPr>
          <w:rFonts w:eastAsia="Calibri"/>
          <w:szCs w:val="22"/>
        </w:rPr>
        <w:t>. gad</w:t>
      </w:r>
      <w:r w:rsidRPr="00BD0181">
        <w:rPr>
          <w:rFonts w:eastAsia="Calibri"/>
          <w:szCs w:val="22"/>
        </w:rPr>
        <w:t>a. Covid-19 krīze vairāk ietekmēja preču un pakalpojumu importu, tam samazinoties par 3,3% salīdzinājumā ar 2019</w:t>
      </w:r>
      <w:r>
        <w:rPr>
          <w:rFonts w:eastAsia="Calibri"/>
          <w:szCs w:val="22"/>
        </w:rPr>
        <w:t>. gad</w:t>
      </w:r>
      <w:r w:rsidRPr="00BD0181">
        <w:rPr>
          <w:rFonts w:eastAsia="Calibri"/>
          <w:szCs w:val="22"/>
        </w:rPr>
        <w:t>u. Savukārt eksports samazinājās par 2,7%, ko pamatā noteica strauj</w:t>
      </w:r>
      <w:r>
        <w:rPr>
          <w:rFonts w:eastAsia="Calibri"/>
          <w:szCs w:val="22"/>
        </w:rPr>
        <w:t>ais</w:t>
      </w:r>
      <w:r w:rsidRPr="00BD0181">
        <w:rPr>
          <w:rFonts w:eastAsia="Calibri"/>
          <w:szCs w:val="22"/>
        </w:rPr>
        <w:t xml:space="preserve"> pakalpojumu eksporta kritums.</w:t>
      </w:r>
    </w:p>
    <w:p w14:paraId="2E033198" w14:textId="059C4834" w:rsidR="00C32B3C" w:rsidRPr="00BD0181" w:rsidRDefault="00C32B3C" w:rsidP="00C32B3C">
      <w:pPr>
        <w:spacing w:before="120"/>
        <w:ind w:firstLine="720"/>
        <w:rPr>
          <w:rFonts w:eastAsia="Calibri"/>
          <w:szCs w:val="22"/>
        </w:rPr>
      </w:pPr>
      <w:r w:rsidRPr="00BD0181">
        <w:rPr>
          <w:rFonts w:eastAsia="Calibri"/>
          <w:szCs w:val="22"/>
        </w:rPr>
        <w:t xml:space="preserve">Latvijas </w:t>
      </w:r>
      <w:r w:rsidRPr="00BD0181">
        <w:rPr>
          <w:rFonts w:eastAsia="Calibri"/>
          <w:b/>
          <w:szCs w:val="22"/>
        </w:rPr>
        <w:t>preču un pakalpojumu eksports</w:t>
      </w:r>
      <w:r w:rsidRPr="00BD0181">
        <w:rPr>
          <w:rFonts w:eastAsia="Calibri"/>
          <w:szCs w:val="22"/>
        </w:rPr>
        <w:t xml:space="preserve"> 2020</w:t>
      </w:r>
      <w:r>
        <w:rPr>
          <w:rFonts w:eastAsia="Calibri"/>
          <w:szCs w:val="22"/>
        </w:rPr>
        <w:t>. gad</w:t>
      </w:r>
      <w:r w:rsidRPr="00BD0181">
        <w:rPr>
          <w:rFonts w:eastAsia="Calibri"/>
          <w:szCs w:val="22"/>
        </w:rPr>
        <w:t xml:space="preserve">ā ir samazinājies pirmo reizi 11 gadu laikā, tomēr eksporta kritums bija viens no mazākajiem starp </w:t>
      </w:r>
      <w:r>
        <w:rPr>
          <w:rFonts w:eastAsia="Calibri"/>
          <w:szCs w:val="22"/>
        </w:rPr>
        <w:t>ES</w:t>
      </w:r>
      <w:r w:rsidRPr="00BD0181">
        <w:rPr>
          <w:rFonts w:eastAsia="Calibri"/>
          <w:szCs w:val="22"/>
        </w:rPr>
        <w:t xml:space="preserve"> valstīm un būtiski zemāks nekā vidēji ES (</w:t>
      </w:r>
      <w:r w:rsidRPr="00BD0181">
        <w:rPr>
          <w:rFonts w:eastAsia="Calibri"/>
          <w:szCs w:val="22"/>
        </w:rPr>
        <w:noBreakHyphen/>
        <w:t>8,4%). Mazāks eksporta kritums nekā vidēji ES ir saistīts ar vairākiem faktoriem. Pirmkārt, 2020</w:t>
      </w:r>
      <w:r>
        <w:rPr>
          <w:rFonts w:eastAsia="Calibri"/>
          <w:szCs w:val="22"/>
        </w:rPr>
        <w:t>. gad</w:t>
      </w:r>
      <w:r w:rsidRPr="00BD0181">
        <w:rPr>
          <w:rFonts w:eastAsia="Calibri"/>
          <w:szCs w:val="22"/>
        </w:rPr>
        <w:t xml:space="preserve">ā kopumā epidemioloģiskā situācija Latvijā bija labāka nekā lielākajā daļā </w:t>
      </w:r>
      <w:r>
        <w:rPr>
          <w:rFonts w:eastAsia="Calibri"/>
          <w:szCs w:val="22"/>
        </w:rPr>
        <w:t>ES</w:t>
      </w:r>
      <w:r w:rsidRPr="00BD0181">
        <w:rPr>
          <w:rFonts w:eastAsia="Calibri"/>
          <w:szCs w:val="22"/>
        </w:rPr>
        <w:t xml:space="preserve"> valstu un nebija ieviesti ļoti stingri ierobežojumi</w:t>
      </w:r>
      <w:r>
        <w:rPr>
          <w:rFonts w:eastAsia="Calibri"/>
          <w:szCs w:val="22"/>
        </w:rPr>
        <w:t>, t</w:t>
      </w:r>
      <w:r w:rsidRPr="00BD0181">
        <w:rPr>
          <w:rFonts w:eastAsia="Calibri"/>
          <w:szCs w:val="22"/>
        </w:rPr>
        <w:t>ādējādi</w:t>
      </w:r>
      <w:r>
        <w:rPr>
          <w:rFonts w:eastAsia="Calibri"/>
          <w:szCs w:val="22"/>
        </w:rPr>
        <w:t xml:space="preserve"> </w:t>
      </w:r>
      <w:r w:rsidRPr="00BD0181">
        <w:rPr>
          <w:rFonts w:eastAsia="Calibri"/>
          <w:szCs w:val="22"/>
        </w:rPr>
        <w:t xml:space="preserve">ļaujot ražojošajiem uzņēmumiem turpināt darbu. Otrkārt, Latvijā ir mazāks ar tūrisma nozari saistīto pakalpojumu īpatsvars pakalpojumu eksportā, it īpaši salīdzinājumā ar Dienvideiropas valstīm. </w:t>
      </w:r>
      <w:r>
        <w:rPr>
          <w:rFonts w:eastAsia="Calibri"/>
          <w:szCs w:val="22"/>
        </w:rPr>
        <w:t>L</w:t>
      </w:r>
      <w:r w:rsidRPr="00BD0181">
        <w:rPr>
          <w:rFonts w:eastAsia="Calibri"/>
          <w:szCs w:val="22"/>
        </w:rPr>
        <w:t>ielākie eksporta kritumi ir fiksēti tādās valstīs kā Horvātija, Grieķija, Spānijā, Portugālē</w:t>
      </w:r>
      <w:r>
        <w:rPr>
          <w:rFonts w:eastAsia="Calibri"/>
          <w:szCs w:val="22"/>
        </w:rPr>
        <w:t xml:space="preserve"> (1.34.</w:t>
      </w:r>
      <w:r w:rsidRPr="00BD0181">
        <w:rPr>
          <w:rFonts w:eastAsia="Calibri"/>
          <w:szCs w:val="22"/>
        </w:rPr>
        <w:t xml:space="preserve"> attēl</w:t>
      </w:r>
      <w:r>
        <w:rPr>
          <w:rFonts w:eastAsia="Calibri"/>
          <w:szCs w:val="22"/>
        </w:rPr>
        <w:t>s)</w:t>
      </w:r>
      <w:r w:rsidRPr="00BD0181">
        <w:rPr>
          <w:rFonts w:eastAsia="Calibri"/>
          <w:szCs w:val="22"/>
        </w:rPr>
        <w:t>. Šo valstu kopējo eksporta vērtību negatīvi ietekmēja būtisks pakalpojumu eksporta samazinājums, kas bija tuvu vai pat lielāks nekā 40%, un noteicošā loma bija tieši ar tūrisma nozari saistīto pakalpojum</w:t>
      </w:r>
      <w:r>
        <w:rPr>
          <w:rFonts w:eastAsia="Calibri"/>
          <w:szCs w:val="22"/>
        </w:rPr>
        <w:t>u eksporta kritumam. T</w:t>
      </w:r>
      <w:r w:rsidRPr="00BD0181">
        <w:rPr>
          <w:rFonts w:eastAsia="Calibri"/>
          <w:szCs w:val="22"/>
        </w:rPr>
        <w:t>rešais faktors, kas minimizēja pandēmijas negatīvo ietekmi Latvijas eksportā</w:t>
      </w:r>
      <w:r>
        <w:rPr>
          <w:rFonts w:eastAsia="Calibri"/>
          <w:szCs w:val="22"/>
        </w:rPr>
        <w:t>,</w:t>
      </w:r>
      <w:r w:rsidRPr="00BD0181">
        <w:rPr>
          <w:rFonts w:eastAsia="Calibri"/>
          <w:szCs w:val="22"/>
        </w:rPr>
        <w:t xml:space="preserve"> ir </w:t>
      </w:r>
      <w:proofErr w:type="spellStart"/>
      <w:r w:rsidRPr="00BD0181">
        <w:rPr>
          <w:rFonts w:eastAsia="Calibri"/>
          <w:szCs w:val="22"/>
        </w:rPr>
        <w:t>rekordaugstā</w:t>
      </w:r>
      <w:proofErr w:type="spellEnd"/>
      <w:r w:rsidRPr="00BD0181">
        <w:rPr>
          <w:rFonts w:eastAsia="Calibri"/>
          <w:szCs w:val="22"/>
        </w:rPr>
        <w:t xml:space="preserve"> graudaugu raža Latvijā. Tādējādi pērn izdevās sasniegt arī </w:t>
      </w:r>
      <w:proofErr w:type="spellStart"/>
      <w:r w:rsidRPr="00BD0181">
        <w:rPr>
          <w:rFonts w:eastAsia="Calibri"/>
          <w:szCs w:val="22"/>
        </w:rPr>
        <w:t>rekordaugstus</w:t>
      </w:r>
      <w:proofErr w:type="spellEnd"/>
      <w:r w:rsidRPr="00BD0181">
        <w:rPr>
          <w:rFonts w:eastAsia="Calibri"/>
          <w:szCs w:val="22"/>
        </w:rPr>
        <w:t xml:space="preserve"> graudaugu eksporta apjomus, nodrošinot būtisku devumu preču eksporta pieaugumā. Kopumā jāsecina, ka 2020</w:t>
      </w:r>
      <w:r>
        <w:rPr>
          <w:rFonts w:eastAsia="Calibri"/>
          <w:szCs w:val="22"/>
        </w:rPr>
        <w:t>. gad</w:t>
      </w:r>
      <w:r w:rsidRPr="00BD0181">
        <w:rPr>
          <w:rFonts w:eastAsia="Calibri"/>
          <w:szCs w:val="22"/>
        </w:rPr>
        <w:t>ā Latvijas preču eksport</w:t>
      </w:r>
      <w:r>
        <w:rPr>
          <w:rFonts w:eastAsia="Calibri"/>
          <w:szCs w:val="22"/>
        </w:rPr>
        <w:t>s</w:t>
      </w:r>
      <w:r w:rsidRPr="00BD0181">
        <w:rPr>
          <w:rFonts w:eastAsia="Calibri"/>
          <w:szCs w:val="22"/>
        </w:rPr>
        <w:t xml:space="preserve"> salīdzināmajās cenās </w:t>
      </w:r>
      <w:r>
        <w:rPr>
          <w:rFonts w:eastAsia="Calibri"/>
          <w:szCs w:val="22"/>
        </w:rPr>
        <w:t>ir palielinājies</w:t>
      </w:r>
      <w:r w:rsidRPr="00BD0181">
        <w:rPr>
          <w:rFonts w:eastAsia="Calibri"/>
          <w:szCs w:val="22"/>
        </w:rPr>
        <w:t xml:space="preserve"> par 5,5%, bet pakalpojumu eksports samazinājies par 21,4%. Ņemot vērā, ka Latvijas reālā </w:t>
      </w:r>
      <w:r>
        <w:rPr>
          <w:rFonts w:eastAsia="Calibri"/>
          <w:szCs w:val="22"/>
        </w:rPr>
        <w:t>IKP</w:t>
      </w:r>
      <w:r w:rsidRPr="00BD0181">
        <w:rPr>
          <w:rFonts w:eastAsia="Calibri"/>
          <w:szCs w:val="22"/>
        </w:rPr>
        <w:t xml:space="preserve"> kritums bija straujāks nekā eksporta samazinājums, eksporta īpatsvars </w:t>
      </w:r>
      <w:r>
        <w:rPr>
          <w:rFonts w:eastAsia="Calibri"/>
          <w:szCs w:val="22"/>
        </w:rPr>
        <w:t>IKP</w:t>
      </w:r>
      <w:r w:rsidRPr="00BD0181">
        <w:rPr>
          <w:rFonts w:eastAsia="Calibri"/>
          <w:szCs w:val="22"/>
        </w:rPr>
        <w:t xml:space="preserve"> 2020</w:t>
      </w:r>
      <w:r>
        <w:rPr>
          <w:rFonts w:eastAsia="Calibri"/>
          <w:szCs w:val="22"/>
        </w:rPr>
        <w:t>. gad</w:t>
      </w:r>
      <w:r w:rsidRPr="00BD0181">
        <w:rPr>
          <w:rFonts w:eastAsia="Calibri"/>
          <w:szCs w:val="22"/>
        </w:rPr>
        <w:t xml:space="preserve">ā palielinājās līdz 63,9%, sasniedzot vēsturiski augstāko līmeni. </w:t>
      </w:r>
    </w:p>
    <w:p w14:paraId="4B926BCF" w14:textId="139A04F6" w:rsidR="00C32B3C" w:rsidRPr="00E02C12" w:rsidRDefault="00C32B3C" w:rsidP="00C32B3C">
      <w:pPr>
        <w:keepNext/>
        <w:spacing w:before="120"/>
        <w:ind w:firstLine="0"/>
        <w:jc w:val="center"/>
        <w:rPr>
          <w:b/>
          <w:szCs w:val="28"/>
        </w:rPr>
      </w:pPr>
      <w:r w:rsidRPr="00E02C12">
        <w:rPr>
          <w:b/>
          <w:i/>
          <w:szCs w:val="28"/>
        </w:rPr>
        <w:t xml:space="preserve">1.34. attēls </w:t>
      </w:r>
      <w:r w:rsidRPr="00E02C12">
        <w:rPr>
          <w:b/>
          <w:color w:val="000000" w:themeColor="text1"/>
          <w:szCs w:val="28"/>
        </w:rPr>
        <w:t xml:space="preserve">Preču </w:t>
      </w:r>
      <w:r w:rsidRPr="00E02C12">
        <w:rPr>
          <w:b/>
          <w:szCs w:val="28"/>
        </w:rPr>
        <w:t xml:space="preserve">un pakalpojumu </w:t>
      </w:r>
      <w:r>
        <w:rPr>
          <w:b/>
          <w:szCs w:val="28"/>
        </w:rPr>
        <w:t>eksporta izmaiņas ES dalībvalstī</w:t>
      </w:r>
      <w:r w:rsidRPr="00E02C12">
        <w:rPr>
          <w:b/>
          <w:szCs w:val="28"/>
        </w:rPr>
        <w:t>s</w:t>
      </w:r>
      <w:r>
        <w:rPr>
          <w:b/>
          <w:szCs w:val="28"/>
        </w:rPr>
        <w:t xml:space="preserve"> </w:t>
      </w:r>
      <w:r w:rsidRPr="00E02C12">
        <w:rPr>
          <w:b/>
          <w:szCs w:val="28"/>
        </w:rPr>
        <w:t>2020</w:t>
      </w:r>
      <w:r>
        <w:rPr>
          <w:b/>
          <w:szCs w:val="28"/>
        </w:rPr>
        <w:t>. gad</w:t>
      </w:r>
      <w:r w:rsidRPr="00E02C12">
        <w:rPr>
          <w:b/>
          <w:szCs w:val="28"/>
        </w:rPr>
        <w:t>ā salīdzinājumā ar 2019</w:t>
      </w:r>
      <w:r>
        <w:rPr>
          <w:b/>
          <w:szCs w:val="28"/>
        </w:rPr>
        <w:t>. gad</w:t>
      </w:r>
      <w:r w:rsidRPr="00E02C12">
        <w:rPr>
          <w:b/>
          <w:szCs w:val="28"/>
        </w:rPr>
        <w:t>u (salīdzināmajās cenās, %)</w:t>
      </w:r>
    </w:p>
    <w:p w14:paraId="4B3ECB00" w14:textId="77777777" w:rsidR="00C32B3C" w:rsidRDefault="00C32B3C" w:rsidP="00C32B3C">
      <w:pPr>
        <w:ind w:firstLine="0"/>
        <w:jc w:val="center"/>
      </w:pPr>
      <w:r>
        <w:rPr>
          <w:noProof/>
          <w:lang w:eastAsia="lv-LV"/>
        </w:rPr>
        <w:drawing>
          <wp:inline distT="0" distB="0" distL="0" distR="0" wp14:anchorId="139EE369" wp14:editId="21190CF7">
            <wp:extent cx="5787676" cy="3223260"/>
            <wp:effectExtent l="0" t="0" r="3810" b="0"/>
            <wp:docPr id="8" name="Chart 8"/>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14:paraId="42FEA0EE" w14:textId="77777777" w:rsidR="00C32B3C" w:rsidRPr="007B7159" w:rsidRDefault="00C32B3C" w:rsidP="00C32B3C">
      <w:pPr>
        <w:spacing w:before="120"/>
        <w:ind w:firstLine="720"/>
        <w:rPr>
          <w:rFonts w:eastAsia="Calibri"/>
          <w:szCs w:val="22"/>
        </w:rPr>
      </w:pPr>
      <w:r w:rsidRPr="007B7159">
        <w:rPr>
          <w:rFonts w:eastAsia="Calibri"/>
          <w:szCs w:val="22"/>
        </w:rPr>
        <w:t>Covid-19 krīze radīja būtiskus šķēršļus tirdzniecībai starp valstīm. Tomēr par spīti ekonomiskās aktivitātes kritumam Latvijas galvenajos noieta tirgos, robežu slēgšanai, izejvielu un starppatēriņa preču piegādes ķēžu traucējumiem</w:t>
      </w:r>
      <w:r>
        <w:rPr>
          <w:rFonts w:eastAsia="Calibri"/>
          <w:szCs w:val="22"/>
        </w:rPr>
        <w:t>,</w:t>
      </w:r>
      <w:r w:rsidRPr="007B7159">
        <w:rPr>
          <w:rFonts w:eastAsia="Calibri"/>
          <w:szCs w:val="22"/>
        </w:rPr>
        <w:t xml:space="preserve"> Latvijas </w:t>
      </w:r>
      <w:r w:rsidRPr="007B7159">
        <w:rPr>
          <w:rFonts w:eastAsia="Calibri"/>
          <w:b/>
          <w:szCs w:val="22"/>
        </w:rPr>
        <w:t>preču eksports</w:t>
      </w:r>
      <w:r w:rsidRPr="007B7159">
        <w:rPr>
          <w:rFonts w:eastAsia="Calibri"/>
          <w:szCs w:val="22"/>
        </w:rPr>
        <w:t xml:space="preserve"> 2020</w:t>
      </w:r>
      <w:r>
        <w:rPr>
          <w:rFonts w:eastAsia="Calibri"/>
          <w:szCs w:val="22"/>
        </w:rPr>
        <w:t>. gad</w:t>
      </w:r>
      <w:r w:rsidRPr="007B7159">
        <w:rPr>
          <w:rFonts w:eastAsia="Calibri"/>
          <w:szCs w:val="22"/>
        </w:rPr>
        <w:t xml:space="preserve">ā palielinājās par 5,5%. Tas, pēc Īrijas, bija otrais lielākais pieaugums ES, kamēr ES vidēji preču </w:t>
      </w:r>
      <w:r w:rsidRPr="007B7159">
        <w:rPr>
          <w:rFonts w:eastAsia="Calibri"/>
          <w:szCs w:val="22"/>
        </w:rPr>
        <w:lastRenderedPageBreak/>
        <w:t xml:space="preserve">eksporta vērtība samazinājās par 5,6%. Tādējādi preču eksporta izaugsme minimizēja pakalpojumu eksporta krituma negatīvo ietekmi. Preču eksportu pērn veicināja graudaugu eksporta kāpums par 21,5%, kā arī mehānisko ierīču un elektroiekārtu reeksporta pieaugums par 17,3%. </w:t>
      </w:r>
    </w:p>
    <w:p w14:paraId="3D70B3D0" w14:textId="77777777" w:rsidR="00C32B3C" w:rsidRPr="007B7159" w:rsidRDefault="00C32B3C" w:rsidP="00C32B3C">
      <w:pPr>
        <w:spacing w:before="120"/>
        <w:ind w:firstLine="720"/>
        <w:rPr>
          <w:rFonts w:eastAsia="Calibri"/>
          <w:szCs w:val="22"/>
        </w:rPr>
      </w:pPr>
      <w:r w:rsidRPr="007B7159">
        <w:rPr>
          <w:rFonts w:eastAsia="Calibri"/>
          <w:szCs w:val="22"/>
        </w:rPr>
        <w:t xml:space="preserve">Savukārt, Latvijas </w:t>
      </w:r>
      <w:r w:rsidRPr="007B7159">
        <w:rPr>
          <w:rFonts w:eastAsia="Calibri"/>
          <w:b/>
          <w:szCs w:val="22"/>
        </w:rPr>
        <w:t>pakalpojumu eksporta vērtība</w:t>
      </w:r>
      <w:r w:rsidRPr="007B7159">
        <w:rPr>
          <w:rFonts w:eastAsia="Calibri"/>
          <w:szCs w:val="22"/>
        </w:rPr>
        <w:t xml:space="preserve"> 2020</w:t>
      </w:r>
      <w:r>
        <w:rPr>
          <w:rFonts w:eastAsia="Calibri"/>
          <w:szCs w:val="22"/>
        </w:rPr>
        <w:t>. gad</w:t>
      </w:r>
      <w:r w:rsidRPr="007B7159">
        <w:rPr>
          <w:rFonts w:eastAsia="Calibri"/>
          <w:szCs w:val="22"/>
        </w:rPr>
        <w:t>ā salīdzināmajās cenās samazinājās par 21,4%, kamēr ES vidēji kritums veidoja 15,4%. Lielāks pakalpojumu eksporta kritums Latvijā ir saistīts ar to, ka transporta pakalpojumu eksportu Latvijā būtiski ietekmēja spēcīgs kritums jūras un dzelzceļa transporta pakalpojumos saistībā ar ogļu un naftas produktu kravu plūsmas samazināšanos no Krievijas. Savukārt pandēmijas un ārkārtējā stāvokļa dēļ gan Latvijā, gan citās pasaules valstīs būtiski samazinājās arī gaisa transporta pakalpojumu eksports un ārvalstu tūristu izdevumi Latvijā.</w:t>
      </w:r>
    </w:p>
    <w:p w14:paraId="27AEF4E0" w14:textId="77777777" w:rsidR="00C32B3C" w:rsidRPr="007B7159" w:rsidRDefault="00C32B3C" w:rsidP="00C32B3C">
      <w:pPr>
        <w:spacing w:before="120"/>
        <w:ind w:firstLine="720"/>
        <w:rPr>
          <w:rFonts w:eastAsia="Calibri"/>
          <w:szCs w:val="22"/>
        </w:rPr>
      </w:pPr>
      <w:r w:rsidRPr="007B7159">
        <w:rPr>
          <w:rFonts w:eastAsia="Calibri"/>
          <w:szCs w:val="22"/>
        </w:rPr>
        <w:t>2021</w:t>
      </w:r>
      <w:r>
        <w:rPr>
          <w:rFonts w:eastAsia="Calibri"/>
          <w:szCs w:val="22"/>
        </w:rPr>
        <w:t>. gada</w:t>
      </w:r>
      <w:r w:rsidRPr="007B7159">
        <w:rPr>
          <w:rFonts w:eastAsia="Calibri"/>
          <w:szCs w:val="22"/>
        </w:rPr>
        <w:t xml:space="preserve"> pirmajā ceturksnī </w:t>
      </w:r>
      <w:r>
        <w:rPr>
          <w:rFonts w:eastAsia="Calibri"/>
          <w:szCs w:val="22"/>
        </w:rPr>
        <w:t xml:space="preserve">preču un pakalpojumu </w:t>
      </w:r>
      <w:r w:rsidRPr="007B7159">
        <w:rPr>
          <w:rFonts w:eastAsia="Calibri"/>
          <w:szCs w:val="22"/>
        </w:rPr>
        <w:t>eksports uzrādīja nelielu samazinājumu, ko noteica krītoš</w:t>
      </w:r>
      <w:r>
        <w:rPr>
          <w:rFonts w:eastAsia="Calibri"/>
          <w:szCs w:val="22"/>
        </w:rPr>
        <w:t>ai</w:t>
      </w:r>
      <w:r w:rsidRPr="007B7159">
        <w:rPr>
          <w:rFonts w:eastAsia="Calibri"/>
          <w:szCs w:val="22"/>
        </w:rPr>
        <w:t xml:space="preserve">s pakalpojumu eksports. Tomēr </w:t>
      </w:r>
      <w:r w:rsidRPr="00F54954">
        <w:rPr>
          <w:rFonts w:eastAsia="Calibri"/>
          <w:szCs w:val="22"/>
        </w:rPr>
        <w:t>šā gada</w:t>
      </w:r>
      <w:r>
        <w:rPr>
          <w:rFonts w:eastAsia="Calibri"/>
          <w:szCs w:val="22"/>
        </w:rPr>
        <w:t xml:space="preserve"> </w:t>
      </w:r>
      <w:r w:rsidRPr="007B7159">
        <w:rPr>
          <w:rFonts w:eastAsia="Calibri"/>
          <w:szCs w:val="22"/>
        </w:rPr>
        <w:t>otrajā ceturksnī būtiski palielinājās gan preču, gan</w:t>
      </w:r>
      <w:r>
        <w:rPr>
          <w:rFonts w:eastAsia="Calibri"/>
          <w:szCs w:val="22"/>
        </w:rPr>
        <w:t xml:space="preserve"> pakalpojumu eksports. Tādējādi</w:t>
      </w:r>
      <w:r w:rsidRPr="007B7159">
        <w:rPr>
          <w:rFonts w:eastAsia="Calibri"/>
          <w:szCs w:val="22"/>
        </w:rPr>
        <w:t xml:space="preserve"> pirmajā pusgadā kopējā eksporta vērtība salīdzināmajās cenās bija par 7,0% augstāka nekā 2020</w:t>
      </w:r>
      <w:r>
        <w:rPr>
          <w:rFonts w:eastAsia="Calibri"/>
          <w:szCs w:val="22"/>
        </w:rPr>
        <w:t>. gad</w:t>
      </w:r>
      <w:r w:rsidRPr="007B7159">
        <w:rPr>
          <w:rFonts w:eastAsia="Calibri"/>
          <w:szCs w:val="22"/>
        </w:rPr>
        <w:t xml:space="preserve">a pirmajā pusē. Vienlaicīgi jāatzīmē, ka kopējo eksportu veicināja tieši preču eksporta būtiska izaugsme (+10,6%), kamēr pakalpojumu eksports </w:t>
      </w:r>
      <w:r>
        <w:rPr>
          <w:rFonts w:eastAsia="Calibri"/>
          <w:szCs w:val="22"/>
        </w:rPr>
        <w:t>šā gada</w:t>
      </w:r>
      <w:r w:rsidRPr="007B7159">
        <w:rPr>
          <w:rFonts w:eastAsia="Calibri"/>
          <w:szCs w:val="22"/>
        </w:rPr>
        <w:t xml:space="preserve"> pirmajā pusgadā bija par 3,2% mazāks</w:t>
      </w:r>
      <w:r>
        <w:rPr>
          <w:rFonts w:eastAsia="Calibri"/>
          <w:szCs w:val="22"/>
        </w:rPr>
        <w:t xml:space="preserve"> nekā pirms gada.</w:t>
      </w:r>
      <w:r w:rsidRPr="007B7159">
        <w:rPr>
          <w:rFonts w:eastAsia="Calibri"/>
          <w:szCs w:val="22"/>
        </w:rPr>
        <w:t xml:space="preserve"> Pateicoties straujai preču eksporta izaugsmei, kopējais eksports pārsniedza pirms Covid-19 krīzes vērtību un salīdzinājumā ar 2019</w:t>
      </w:r>
      <w:r>
        <w:rPr>
          <w:rFonts w:eastAsia="Calibri"/>
          <w:szCs w:val="22"/>
        </w:rPr>
        <w:t xml:space="preserve">. gada pirmo pusgadu ir </w:t>
      </w:r>
      <w:r w:rsidRPr="007B7159">
        <w:rPr>
          <w:rFonts w:eastAsia="Calibri"/>
          <w:szCs w:val="22"/>
        </w:rPr>
        <w:t xml:space="preserve">palielinājies par 1,3%. </w:t>
      </w:r>
    </w:p>
    <w:p w14:paraId="7DF505B2" w14:textId="77777777" w:rsidR="00C32B3C" w:rsidRPr="007B7159" w:rsidRDefault="00C32B3C" w:rsidP="00C32B3C">
      <w:pPr>
        <w:spacing w:before="120"/>
        <w:ind w:firstLine="720"/>
        <w:rPr>
          <w:rFonts w:eastAsia="Calibri"/>
          <w:szCs w:val="22"/>
        </w:rPr>
      </w:pPr>
      <w:r w:rsidRPr="007B7159">
        <w:rPr>
          <w:rFonts w:eastAsia="Calibri"/>
          <w:szCs w:val="22"/>
        </w:rPr>
        <w:t>No mēneš</w:t>
      </w:r>
      <w:r>
        <w:rPr>
          <w:rFonts w:eastAsia="Calibri"/>
          <w:szCs w:val="22"/>
        </w:rPr>
        <w:t>u</w:t>
      </w:r>
      <w:r w:rsidRPr="007B7159">
        <w:rPr>
          <w:rFonts w:eastAsia="Calibri"/>
          <w:szCs w:val="22"/>
        </w:rPr>
        <w:t xml:space="preserve"> datiem var secināt, ka pandēmijas negatīvā ietekme uz preču ārējo tirdzniecību līdz </w:t>
      </w:r>
      <w:r>
        <w:rPr>
          <w:rFonts w:eastAsia="Calibri"/>
          <w:szCs w:val="22"/>
        </w:rPr>
        <w:t>šā gada</w:t>
      </w:r>
      <w:r w:rsidRPr="007B7159">
        <w:rPr>
          <w:rFonts w:eastAsia="Calibri"/>
          <w:szCs w:val="22"/>
        </w:rPr>
        <w:t xml:space="preserve"> vidum būtiski </w:t>
      </w:r>
      <w:r>
        <w:rPr>
          <w:rFonts w:eastAsia="Calibri"/>
          <w:szCs w:val="22"/>
        </w:rPr>
        <w:t xml:space="preserve">ir </w:t>
      </w:r>
      <w:r w:rsidRPr="007B7159">
        <w:rPr>
          <w:rFonts w:eastAsia="Calibri"/>
          <w:szCs w:val="22"/>
        </w:rPr>
        <w:t>samazināj</w:t>
      </w:r>
      <w:r>
        <w:rPr>
          <w:rFonts w:eastAsia="Calibri"/>
          <w:szCs w:val="22"/>
        </w:rPr>
        <w:t>usie</w:t>
      </w:r>
      <w:r w:rsidRPr="007B7159">
        <w:rPr>
          <w:rFonts w:eastAsia="Calibri"/>
          <w:szCs w:val="22"/>
        </w:rPr>
        <w:t>s un vairs nerada šķēršļus preču eksporta attīstībai. Pasaules valstu ekonomikām atgūstoties no pandēmijas ierobežojumiem un augot izejvielu preču cenām pasaules tirgos, Latvijas preču eksporta vērtība 2021</w:t>
      </w:r>
      <w:r>
        <w:rPr>
          <w:rFonts w:eastAsia="Calibri"/>
          <w:szCs w:val="22"/>
        </w:rPr>
        <w:t>. gada</w:t>
      </w:r>
      <w:r w:rsidRPr="007B7159">
        <w:rPr>
          <w:rFonts w:eastAsia="Calibri"/>
          <w:szCs w:val="22"/>
        </w:rPr>
        <w:t xml:space="preserve"> pirmajos 7 mēnešos palielinājās par 21,2%. Vēl </w:t>
      </w:r>
      <w:r>
        <w:rPr>
          <w:rFonts w:eastAsia="Calibri"/>
          <w:szCs w:val="22"/>
        </w:rPr>
        <w:t>šā gada</w:t>
      </w:r>
      <w:r w:rsidRPr="007B7159">
        <w:rPr>
          <w:rFonts w:eastAsia="Calibri"/>
          <w:szCs w:val="22"/>
        </w:rPr>
        <w:t xml:space="preserve"> janvārī preču eksports uzrādīja nelielu samazinājumu, kas galvenokārt bija saistīts ar augu valsts produktu eksporta samazinājumu un satiksmes līdzekļu reeksporta kritumu. Savukārt turpmākajos mēnešos preču eksporta vērtība </w:t>
      </w:r>
      <w:r>
        <w:rPr>
          <w:rFonts w:eastAsia="Calibri"/>
          <w:szCs w:val="22"/>
        </w:rPr>
        <w:t xml:space="preserve">tikai </w:t>
      </w:r>
      <w:r w:rsidRPr="007B7159">
        <w:rPr>
          <w:rFonts w:eastAsia="Calibri"/>
          <w:szCs w:val="22"/>
        </w:rPr>
        <w:t>auga, atsevišķos mēnešos pieaugums pārsniedza pat 35%. Varētu apgalvot, ka spēcīgu preču eksporta pieaugumu noteica zemā bāze pērnajā gadā, kad pandēmijas dēļ saruka globālie tirdzniecības apjomi. Tomēr, ja preču eksporta vērtību salīdzina ar 2019</w:t>
      </w:r>
      <w:r>
        <w:rPr>
          <w:rFonts w:eastAsia="Calibri"/>
          <w:szCs w:val="22"/>
        </w:rPr>
        <w:t>. gada</w:t>
      </w:r>
      <w:r w:rsidRPr="007B7159">
        <w:rPr>
          <w:rFonts w:eastAsia="Calibri"/>
          <w:szCs w:val="22"/>
        </w:rPr>
        <w:t xml:space="preserve"> pirmajiem 7</w:t>
      </w:r>
      <w:r>
        <w:rPr>
          <w:rFonts w:eastAsia="Calibri"/>
          <w:szCs w:val="22"/>
        </w:rPr>
        <w:t> </w:t>
      </w:r>
      <w:r w:rsidRPr="007B7159">
        <w:rPr>
          <w:rFonts w:eastAsia="Calibri"/>
          <w:szCs w:val="22"/>
        </w:rPr>
        <w:t>mēnešiem, tad arī šajā gadījumā būs fiksēts straujš 18,5% kāpums. Tas nozīm</w:t>
      </w:r>
      <w:r>
        <w:rPr>
          <w:rFonts w:eastAsia="Calibri"/>
          <w:szCs w:val="22"/>
        </w:rPr>
        <w:t>ē</w:t>
      </w:r>
      <w:r w:rsidRPr="007B7159">
        <w:rPr>
          <w:rFonts w:eastAsia="Calibri"/>
          <w:szCs w:val="22"/>
        </w:rPr>
        <w:t>, ka Covid-19 pandēmija neradīja strukturālas problēmas preču eksportējošajās nozarēs un, atjaunojoties pasaules pieprasījumam, Latvijas eksportētāji spēja ātri un veiksmīgi iekļauties pasaules tirdzniecības plūsmās.</w:t>
      </w:r>
    </w:p>
    <w:p w14:paraId="3BE87314" w14:textId="77777777" w:rsidR="00C32B3C" w:rsidRDefault="00C32B3C" w:rsidP="00290582">
      <w:pPr>
        <w:spacing w:before="120"/>
        <w:ind w:firstLine="720"/>
        <w:rPr>
          <w:rFonts w:eastAsia="Calibri"/>
          <w:szCs w:val="22"/>
        </w:rPr>
      </w:pPr>
      <w:r w:rsidRPr="007B7159">
        <w:rPr>
          <w:rFonts w:eastAsia="Calibri"/>
          <w:szCs w:val="22"/>
        </w:rPr>
        <w:t>Jāatzīmē, ka visās ES dalībvalstīs, izņemot Kipru un Luksemburgu, pašreiz vērojam</w:t>
      </w:r>
      <w:r>
        <w:rPr>
          <w:rFonts w:eastAsia="Calibri"/>
          <w:szCs w:val="22"/>
        </w:rPr>
        <w:t>s</w:t>
      </w:r>
      <w:r w:rsidRPr="007B7159">
        <w:rPr>
          <w:rFonts w:eastAsia="Calibri"/>
          <w:szCs w:val="22"/>
        </w:rPr>
        <w:t xml:space="preserve"> straujš preču eksporta pieaugums. Vienlaicīgi jānorāda, ka Latvija 2020</w:t>
      </w:r>
      <w:r>
        <w:rPr>
          <w:rFonts w:eastAsia="Calibri"/>
          <w:szCs w:val="22"/>
        </w:rPr>
        <w:t>. gad</w:t>
      </w:r>
      <w:r w:rsidRPr="007B7159">
        <w:rPr>
          <w:rFonts w:eastAsia="Calibri"/>
          <w:szCs w:val="22"/>
        </w:rPr>
        <w:t>ā bija vie</w:t>
      </w:r>
      <w:r>
        <w:rPr>
          <w:rFonts w:eastAsia="Calibri"/>
          <w:szCs w:val="22"/>
        </w:rPr>
        <w:t>na no tām dažām ES valstīm, kura</w:t>
      </w:r>
      <w:r w:rsidRPr="007B7159">
        <w:rPr>
          <w:rFonts w:eastAsia="Calibri"/>
          <w:szCs w:val="22"/>
        </w:rPr>
        <w:t>s pat pandēmijas ierobežojumu apstākļos spēja nedaudz kāpināt eksporta vērtību. Tas apliecina Latvijas eksportētāju konkurētspēju – spēju attīstīties sarežģītajos pandēmijas apstākļos un izmantot iespējas pasaules tirdzniecības atjaunošanās laikā. Situācija ārējos tirgos saglabājas Latvijas preču eksportam labvēlīga</w:t>
      </w:r>
      <w:r>
        <w:rPr>
          <w:rFonts w:eastAsia="Calibri"/>
          <w:szCs w:val="22"/>
        </w:rPr>
        <w:t>,</w:t>
      </w:r>
      <w:r w:rsidRPr="007B7159">
        <w:rPr>
          <w:rFonts w:eastAsia="Calibri"/>
          <w:szCs w:val="22"/>
        </w:rPr>
        <w:t xml:space="preserve"> </w:t>
      </w:r>
      <w:r>
        <w:rPr>
          <w:rFonts w:eastAsia="Calibri"/>
          <w:szCs w:val="22"/>
        </w:rPr>
        <w:t xml:space="preserve">atjaunojoties </w:t>
      </w:r>
      <w:r w:rsidRPr="007B7159">
        <w:rPr>
          <w:rFonts w:eastAsia="Calibri"/>
          <w:szCs w:val="22"/>
        </w:rPr>
        <w:t>izaugsme</w:t>
      </w:r>
      <w:r>
        <w:rPr>
          <w:rFonts w:eastAsia="Calibri"/>
          <w:szCs w:val="22"/>
        </w:rPr>
        <w:t>i</w:t>
      </w:r>
      <w:r w:rsidRPr="007B7159">
        <w:rPr>
          <w:rFonts w:eastAsia="Calibri"/>
          <w:szCs w:val="22"/>
        </w:rPr>
        <w:t xml:space="preserve"> </w:t>
      </w:r>
      <w:r>
        <w:rPr>
          <w:rFonts w:eastAsia="Calibri"/>
          <w:szCs w:val="22"/>
        </w:rPr>
        <w:t xml:space="preserve">gan </w:t>
      </w:r>
      <w:r w:rsidRPr="007B7159">
        <w:rPr>
          <w:rFonts w:eastAsia="Calibri"/>
          <w:szCs w:val="22"/>
        </w:rPr>
        <w:t>pasaules</w:t>
      </w:r>
      <w:r>
        <w:rPr>
          <w:rFonts w:eastAsia="Calibri"/>
          <w:szCs w:val="22"/>
        </w:rPr>
        <w:t xml:space="preserve">, gan </w:t>
      </w:r>
      <w:r w:rsidRPr="007B7159">
        <w:rPr>
          <w:rFonts w:eastAsia="Calibri"/>
          <w:szCs w:val="22"/>
        </w:rPr>
        <w:t xml:space="preserve">Eiropas valstu ekonomikās, </w:t>
      </w:r>
      <w:r>
        <w:rPr>
          <w:rFonts w:eastAsia="Calibri"/>
          <w:szCs w:val="22"/>
        </w:rPr>
        <w:t xml:space="preserve">kas </w:t>
      </w:r>
      <w:r w:rsidRPr="007B7159">
        <w:rPr>
          <w:rFonts w:eastAsia="Calibri"/>
          <w:szCs w:val="22"/>
        </w:rPr>
        <w:t>notiek pat straujākos tempos nekā sākotnēji gaidīts</w:t>
      </w:r>
      <w:r>
        <w:rPr>
          <w:rFonts w:eastAsia="Calibri"/>
          <w:szCs w:val="22"/>
        </w:rPr>
        <w:t xml:space="preserve">, </w:t>
      </w:r>
      <w:r w:rsidRPr="007B7159">
        <w:rPr>
          <w:rFonts w:eastAsia="Calibri"/>
          <w:szCs w:val="22"/>
        </w:rPr>
        <w:t>mazinoties Covid ierobežojumiem</w:t>
      </w:r>
      <w:r>
        <w:rPr>
          <w:rFonts w:eastAsia="Calibri"/>
          <w:szCs w:val="22"/>
        </w:rPr>
        <w:t xml:space="preserve"> (1.35.</w:t>
      </w:r>
      <w:r w:rsidRPr="007B7159">
        <w:rPr>
          <w:rFonts w:eastAsia="Calibri"/>
          <w:szCs w:val="22"/>
        </w:rPr>
        <w:t xml:space="preserve"> un </w:t>
      </w:r>
      <w:r>
        <w:rPr>
          <w:rFonts w:eastAsia="Calibri"/>
          <w:szCs w:val="22"/>
        </w:rPr>
        <w:t>1.36. attēls)</w:t>
      </w:r>
      <w:r w:rsidRPr="007B7159">
        <w:rPr>
          <w:rFonts w:eastAsia="Calibri"/>
          <w:szCs w:val="22"/>
        </w:rPr>
        <w:t xml:space="preserve">. Tāpēc pasaules attīstīto valstu ekonomiskās izaugsmes prognozes šā gada laikā tiek pastāvīgi paaugstinātas. Vienlaikus uzņēmēju un patērētāju konfidences rādītāji Eiropā ir sasnieguši </w:t>
      </w:r>
      <w:proofErr w:type="spellStart"/>
      <w:r w:rsidRPr="007B7159">
        <w:rPr>
          <w:rFonts w:eastAsia="Calibri"/>
          <w:szCs w:val="22"/>
        </w:rPr>
        <w:t>rekordaugstus</w:t>
      </w:r>
      <w:proofErr w:type="spellEnd"/>
      <w:r w:rsidRPr="007B7159">
        <w:rPr>
          <w:rFonts w:eastAsia="Calibri"/>
          <w:szCs w:val="22"/>
        </w:rPr>
        <w:t xml:space="preserve"> līmeņus, signalizējot par spēcīgu ekonomikas izaugsmi un augstu pieprasījumu nākamajos mēnešos. Sagaidāms, ka arī turpmākajos mēnešos gaidāmi augsti Latvijas preču eksporta pieauguma tempi, kas tomēr pakāpeniski kļūs zemāki, ar katru mēnesi mazinoties pagājušā gada Covid krīzes bāzes efektiem un cenu pieauguma ietekmei</w:t>
      </w:r>
      <w:r>
        <w:rPr>
          <w:rFonts w:eastAsia="Calibri"/>
          <w:szCs w:val="22"/>
        </w:rPr>
        <w:t>.</w:t>
      </w:r>
    </w:p>
    <w:tbl>
      <w:tblPr>
        <w:tblStyle w:val="TableGrid"/>
        <w:tblW w:w="5003" w:type="pct"/>
        <w:tblInd w:w="-5" w:type="dxa"/>
        <w:tblLayout w:type="fixed"/>
        <w:tblCellMar>
          <w:left w:w="0" w:type="dxa"/>
          <w:right w:w="0" w:type="dxa"/>
        </w:tblCellMar>
        <w:tblLook w:val="04A0" w:firstRow="1" w:lastRow="0" w:firstColumn="1" w:lastColumn="0" w:noHBand="0" w:noVBand="1"/>
      </w:tblPr>
      <w:tblGrid>
        <w:gridCol w:w="4537"/>
        <w:gridCol w:w="4539"/>
      </w:tblGrid>
      <w:tr w:rsidR="00C32B3C" w14:paraId="5D606DA0" w14:textId="77777777" w:rsidTr="007F5E20">
        <w:tc>
          <w:tcPr>
            <w:tcW w:w="4155" w:type="dxa"/>
            <w:tcBorders>
              <w:top w:val="nil"/>
              <w:left w:val="nil"/>
              <w:bottom w:val="nil"/>
              <w:right w:val="nil"/>
            </w:tcBorders>
          </w:tcPr>
          <w:p w14:paraId="5F939204" w14:textId="77777777" w:rsidR="00C32B3C" w:rsidRPr="00E36206" w:rsidRDefault="00C32B3C" w:rsidP="00290582">
            <w:pPr>
              <w:keepNext/>
              <w:ind w:firstLine="8"/>
              <w:jc w:val="center"/>
              <w:rPr>
                <w:b/>
                <w:i/>
              </w:rPr>
            </w:pPr>
            <w:r w:rsidRPr="00E02C12">
              <w:rPr>
                <w:b/>
                <w:i/>
              </w:rPr>
              <w:lastRenderedPageBreak/>
              <w:t xml:space="preserve">1.35. attēls </w:t>
            </w:r>
            <w:r w:rsidRPr="00E02C12">
              <w:rPr>
                <w:b/>
              </w:rPr>
              <w:t>Preču eksporta gada pieaugums (%)</w:t>
            </w:r>
          </w:p>
        </w:tc>
        <w:tc>
          <w:tcPr>
            <w:tcW w:w="4156" w:type="dxa"/>
            <w:tcBorders>
              <w:top w:val="nil"/>
              <w:left w:val="nil"/>
              <w:bottom w:val="nil"/>
              <w:right w:val="nil"/>
            </w:tcBorders>
          </w:tcPr>
          <w:p w14:paraId="3B5595CB" w14:textId="77777777" w:rsidR="00C32B3C" w:rsidRDefault="00C32B3C" w:rsidP="00290582">
            <w:pPr>
              <w:keepNext/>
              <w:ind w:firstLine="8"/>
              <w:jc w:val="center"/>
            </w:pPr>
            <w:r w:rsidRPr="00897BC0">
              <w:rPr>
                <w:b/>
                <w:i/>
              </w:rPr>
              <w:t xml:space="preserve">1.36. </w:t>
            </w:r>
            <w:r>
              <w:rPr>
                <w:b/>
                <w:i/>
              </w:rPr>
              <w:t xml:space="preserve">attēls </w:t>
            </w:r>
            <w:r w:rsidRPr="00E02C12">
              <w:rPr>
                <w:b/>
              </w:rPr>
              <w:t>Preču eksporta</w:t>
            </w:r>
            <w:r>
              <w:rPr>
                <w:b/>
              </w:rPr>
              <w:t xml:space="preserve"> vērtība</w:t>
            </w:r>
            <w:r>
              <w:rPr>
                <w:b/>
              </w:rPr>
              <w:br/>
              <w:t xml:space="preserve">(milj. </w:t>
            </w:r>
            <w:proofErr w:type="spellStart"/>
            <w:r w:rsidRPr="00E02C12">
              <w:rPr>
                <w:b/>
                <w:i/>
              </w:rPr>
              <w:t>euro</w:t>
            </w:r>
            <w:proofErr w:type="spellEnd"/>
            <w:r w:rsidRPr="00E02C12">
              <w:rPr>
                <w:b/>
              </w:rPr>
              <w:t>)</w:t>
            </w:r>
          </w:p>
        </w:tc>
      </w:tr>
      <w:tr w:rsidR="00C32B3C" w14:paraId="44DBDF97" w14:textId="77777777" w:rsidTr="007F5E2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4155" w:type="dxa"/>
          </w:tcPr>
          <w:p w14:paraId="575A8E02" w14:textId="77777777" w:rsidR="00C32B3C" w:rsidRDefault="00C32B3C" w:rsidP="00290582">
            <w:pPr>
              <w:keepNext/>
              <w:ind w:firstLine="8"/>
              <w:jc w:val="center"/>
            </w:pPr>
            <w:r>
              <w:rPr>
                <w:noProof/>
                <w:lang w:eastAsia="lv-LV"/>
              </w:rPr>
              <w:drawing>
                <wp:inline distT="0" distB="0" distL="0" distR="0" wp14:anchorId="3DE2E39A" wp14:editId="44424E61">
                  <wp:extent cx="2562045" cy="2743200"/>
                  <wp:effectExtent l="0" t="0" r="0" b="0"/>
                  <wp:docPr id="9" name="Chart 9"/>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tc>
        <w:tc>
          <w:tcPr>
            <w:tcW w:w="4156" w:type="dxa"/>
          </w:tcPr>
          <w:p w14:paraId="4806B85F" w14:textId="77777777" w:rsidR="00C32B3C" w:rsidRDefault="00C32B3C" w:rsidP="00290582">
            <w:pPr>
              <w:keepNext/>
              <w:ind w:firstLine="8"/>
              <w:jc w:val="center"/>
            </w:pPr>
            <w:r>
              <w:rPr>
                <w:noProof/>
                <w:lang w:eastAsia="lv-LV"/>
              </w:rPr>
              <w:drawing>
                <wp:inline distT="0" distB="0" distL="0" distR="0" wp14:anchorId="3EC5CB5C" wp14:editId="45176662">
                  <wp:extent cx="2529840" cy="2743200"/>
                  <wp:effectExtent l="0" t="0" r="3810" b="0"/>
                  <wp:docPr id="10" name="Chart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tc>
      </w:tr>
    </w:tbl>
    <w:p w14:paraId="421D7DD8" w14:textId="77777777" w:rsidR="00C32B3C" w:rsidRPr="00072563" w:rsidRDefault="00C32B3C" w:rsidP="00C32B3C">
      <w:pPr>
        <w:spacing w:before="120"/>
        <w:ind w:firstLine="720"/>
        <w:rPr>
          <w:rFonts w:eastAsia="Calibri"/>
          <w:szCs w:val="22"/>
        </w:rPr>
      </w:pPr>
      <w:r w:rsidRPr="00072563">
        <w:rPr>
          <w:rFonts w:eastAsia="Calibri"/>
          <w:szCs w:val="22"/>
        </w:rPr>
        <w:t xml:space="preserve">Preču eksporta kāpums </w:t>
      </w:r>
      <w:r>
        <w:rPr>
          <w:rFonts w:eastAsia="Calibri"/>
          <w:szCs w:val="22"/>
        </w:rPr>
        <w:t>šā gada</w:t>
      </w:r>
      <w:r w:rsidRPr="00072563">
        <w:rPr>
          <w:rFonts w:eastAsia="Calibri"/>
          <w:szCs w:val="22"/>
        </w:rPr>
        <w:t xml:space="preserve"> 7 mēnešos kopumā bija fiksēts visās preču grupās. Lielāko devumu preču eksporta izaugsmē nodrošināja koksnes un koka izstrādājumu eksporta pieaugums par 40,2% salīdzinājumā ar attiecīgo periodu 2020</w:t>
      </w:r>
      <w:r>
        <w:rPr>
          <w:rFonts w:eastAsia="Calibri"/>
          <w:szCs w:val="22"/>
        </w:rPr>
        <w:t>. gad</w:t>
      </w:r>
      <w:r w:rsidRPr="00072563">
        <w:rPr>
          <w:rFonts w:eastAsia="Calibri"/>
          <w:szCs w:val="22"/>
        </w:rPr>
        <w:t xml:space="preserve">ā, izskaidrojot trešdaļu no kopējā preču eksporta pieauguma. Koksnes un koka izstrādājumu eksporta pieaugums bija fiksēts uz Vāciju, Lietuvu, Nīderlandi un ASV. Tomēr noteicošā loma bija eksporta pieaugumam uz Apvienoto Karalisti, būtiski palielinoties garumā sazāģētu kokmateriālu un koksnes granulu eksportam, kas nodrošināja divas trešdaļas no kopējās koka un koksnes eksporta izaugsmes uz šo valsti. </w:t>
      </w:r>
    </w:p>
    <w:p w14:paraId="0071A715" w14:textId="77777777" w:rsidR="00C32B3C" w:rsidRPr="00072563" w:rsidRDefault="00C32B3C" w:rsidP="00C32B3C">
      <w:pPr>
        <w:spacing w:before="120"/>
        <w:ind w:firstLine="720"/>
        <w:rPr>
          <w:rFonts w:eastAsia="Calibri"/>
          <w:szCs w:val="22"/>
        </w:rPr>
      </w:pPr>
      <w:r w:rsidRPr="00072563">
        <w:rPr>
          <w:rFonts w:eastAsia="Calibri"/>
          <w:szCs w:val="22"/>
        </w:rPr>
        <w:t xml:space="preserve">Straujš pieaugums bija fiksēts arī </w:t>
      </w:r>
      <w:proofErr w:type="spellStart"/>
      <w:r w:rsidRPr="00072563">
        <w:rPr>
          <w:rFonts w:eastAsia="Calibri"/>
          <w:szCs w:val="22"/>
        </w:rPr>
        <w:t>minerālproduktu</w:t>
      </w:r>
      <w:proofErr w:type="spellEnd"/>
      <w:r w:rsidRPr="00072563">
        <w:rPr>
          <w:rFonts w:eastAsia="Calibri"/>
          <w:szCs w:val="22"/>
        </w:rPr>
        <w:t xml:space="preserve">, kā arī metālu un to izstrādājumu eksportam. </w:t>
      </w:r>
      <w:proofErr w:type="spellStart"/>
      <w:r w:rsidRPr="00072563">
        <w:rPr>
          <w:rFonts w:eastAsia="Calibri"/>
          <w:szCs w:val="22"/>
        </w:rPr>
        <w:t>Minerālproduktu</w:t>
      </w:r>
      <w:proofErr w:type="spellEnd"/>
      <w:r w:rsidRPr="00072563">
        <w:rPr>
          <w:rFonts w:eastAsia="Calibri"/>
          <w:szCs w:val="22"/>
        </w:rPr>
        <w:t xml:space="preserve"> eksporta vērtība pieauga par 49,1%, galvenokārt pateicoties lielākam naftas eļļu, dabasgāzes un elektroenerģijas eksportam uz Lietuvu un Igauniju, ko noteica gan cenu kāpums, gan arī lielāks eksporta apjoms. Savukārt metālu un to izstrādājumu eksports pieauga par 34,2% salīdzinājumā ar pērnā gada septiņiem mēnešiem. Zīmīgi, ka arī šajā preču grupā eksporta kāpums bija diversificēts un fiksēts dzelzs atkritumiem, plakanajiem dzelzs velmējumiem, tērauda izstrādājumiem, kā arī varam un tā izstrādājumiem.  </w:t>
      </w:r>
    </w:p>
    <w:p w14:paraId="23237B6A" w14:textId="77777777" w:rsidR="00C32B3C" w:rsidRPr="00072563" w:rsidRDefault="00C32B3C" w:rsidP="00C32B3C">
      <w:pPr>
        <w:spacing w:before="120"/>
        <w:ind w:firstLine="720"/>
        <w:rPr>
          <w:rFonts w:eastAsia="Calibri"/>
          <w:szCs w:val="22"/>
        </w:rPr>
      </w:pPr>
      <w:r w:rsidRPr="00072563">
        <w:rPr>
          <w:rFonts w:eastAsia="Calibri"/>
          <w:szCs w:val="22"/>
        </w:rPr>
        <w:t xml:space="preserve">Jāatzīmē, ka preču eksporta kāpumu veicina arī izejvielu cenu pieaugums. To nosaka pasaules ekonomikas atkopšanās, kā arī ieviestie ierobežojumi </w:t>
      </w:r>
      <w:proofErr w:type="spellStart"/>
      <w:r w:rsidRPr="00072563">
        <w:rPr>
          <w:rFonts w:eastAsia="Calibri"/>
          <w:szCs w:val="22"/>
        </w:rPr>
        <w:t>koronovīrusa</w:t>
      </w:r>
      <w:proofErr w:type="spellEnd"/>
      <w:r w:rsidRPr="00072563">
        <w:rPr>
          <w:rFonts w:eastAsia="Calibri"/>
          <w:szCs w:val="22"/>
        </w:rPr>
        <w:t xml:space="preserve"> izplatības mazināšanai, kas negatīvi ietekmēja ražošanas jaudas un piegādes ātrumu. Tādējādi piedāvājums at</w:t>
      </w:r>
      <w:r>
        <w:rPr>
          <w:rFonts w:eastAsia="Calibri"/>
          <w:szCs w:val="22"/>
        </w:rPr>
        <w:t>jaunojas</w:t>
      </w:r>
      <w:r w:rsidRPr="00072563">
        <w:rPr>
          <w:rFonts w:eastAsia="Calibri"/>
          <w:szCs w:val="22"/>
        </w:rPr>
        <w:t xml:space="preserve"> lēnāk nekā pieprasījums, radot cenu spiedienu atsevišķās nozarēs. Kopš gada sākuma pasaules biržās strauji pieauga koksnes, naftas, metālu un citu izejvielu cenas. Tas ir atspoguļojies arī Latvijas ražotāju un eksporta vienības cenās. Š</w:t>
      </w:r>
      <w:r>
        <w:rPr>
          <w:rFonts w:eastAsia="Calibri"/>
          <w:szCs w:val="22"/>
        </w:rPr>
        <w:t>ā gada</w:t>
      </w:r>
      <w:r w:rsidRPr="00072563">
        <w:rPr>
          <w:rFonts w:eastAsia="Calibri"/>
          <w:szCs w:val="22"/>
        </w:rPr>
        <w:t xml:space="preserve"> septiņos mēnešos eksporta vienības cena koksnei un naftas produktiem ir palielinājusies par 28%, bet metāliem par 31%.</w:t>
      </w:r>
    </w:p>
    <w:p w14:paraId="2342607C" w14:textId="77777777" w:rsidR="00C32B3C" w:rsidRPr="00072563" w:rsidRDefault="00C32B3C" w:rsidP="00C32B3C">
      <w:pPr>
        <w:spacing w:before="120"/>
        <w:ind w:firstLine="720"/>
        <w:rPr>
          <w:rFonts w:eastAsia="Calibri"/>
          <w:szCs w:val="22"/>
        </w:rPr>
      </w:pPr>
      <w:r w:rsidRPr="00072563">
        <w:rPr>
          <w:rFonts w:eastAsia="Calibri"/>
          <w:szCs w:val="22"/>
        </w:rPr>
        <w:t xml:space="preserve">Nozīmīgu ieguldījumu preču eksporta attīstībā nodrošināja </w:t>
      </w:r>
      <w:r>
        <w:rPr>
          <w:rFonts w:eastAsia="Calibri"/>
          <w:szCs w:val="22"/>
        </w:rPr>
        <w:t>arī pārē</w:t>
      </w:r>
      <w:r w:rsidRPr="00072563">
        <w:rPr>
          <w:rFonts w:eastAsia="Calibri"/>
          <w:szCs w:val="22"/>
        </w:rPr>
        <w:t>jās preču eksporta grupas, tostarp mehānism</w:t>
      </w:r>
      <w:r>
        <w:rPr>
          <w:rFonts w:eastAsia="Calibri"/>
          <w:szCs w:val="22"/>
        </w:rPr>
        <w:t>u</w:t>
      </w:r>
      <w:r w:rsidRPr="00072563">
        <w:rPr>
          <w:rFonts w:eastAsia="Calibri"/>
          <w:szCs w:val="22"/>
        </w:rPr>
        <w:t xml:space="preserve"> un elektroierī</w:t>
      </w:r>
      <w:r>
        <w:rPr>
          <w:rFonts w:eastAsia="Calibri"/>
          <w:szCs w:val="22"/>
        </w:rPr>
        <w:t>ču</w:t>
      </w:r>
      <w:r w:rsidRPr="00072563">
        <w:rPr>
          <w:rFonts w:eastAsia="Calibri"/>
          <w:szCs w:val="22"/>
        </w:rPr>
        <w:t xml:space="preserve"> eksportam pieaugot par 10,8%, ķīmiskās rūpniecības ražojum</w:t>
      </w:r>
      <w:r>
        <w:rPr>
          <w:rFonts w:eastAsia="Calibri"/>
          <w:szCs w:val="22"/>
        </w:rPr>
        <w:t>u eksportam</w:t>
      </w:r>
      <w:r w:rsidRPr="00072563">
        <w:rPr>
          <w:rFonts w:eastAsia="Calibri"/>
          <w:szCs w:val="22"/>
        </w:rPr>
        <w:t xml:space="preserve"> par 23,1% un pār</w:t>
      </w:r>
      <w:r>
        <w:rPr>
          <w:rFonts w:eastAsia="Calibri"/>
          <w:szCs w:val="22"/>
        </w:rPr>
        <w:t>tikas un lauksaimniecības preču eksportam</w:t>
      </w:r>
      <w:r w:rsidRPr="00072563">
        <w:rPr>
          <w:rFonts w:eastAsia="Calibri"/>
          <w:szCs w:val="22"/>
        </w:rPr>
        <w:t xml:space="preserve"> par 5,8% </w:t>
      </w:r>
      <w:r>
        <w:rPr>
          <w:rFonts w:eastAsia="Calibri"/>
          <w:szCs w:val="22"/>
        </w:rPr>
        <w:t>(</w:t>
      </w:r>
      <w:r w:rsidRPr="00072563">
        <w:rPr>
          <w:rFonts w:eastAsia="Calibri"/>
          <w:szCs w:val="22"/>
        </w:rPr>
        <w:t>1.</w:t>
      </w:r>
      <w:r>
        <w:rPr>
          <w:rFonts w:eastAsia="Calibri"/>
          <w:szCs w:val="22"/>
        </w:rPr>
        <w:t>3</w:t>
      </w:r>
      <w:r w:rsidRPr="00072563">
        <w:rPr>
          <w:rFonts w:eastAsia="Calibri"/>
          <w:szCs w:val="22"/>
        </w:rPr>
        <w:t>. tab</w:t>
      </w:r>
      <w:r>
        <w:rPr>
          <w:rFonts w:eastAsia="Calibri"/>
          <w:szCs w:val="22"/>
        </w:rPr>
        <w:t>ula</w:t>
      </w:r>
      <w:r w:rsidRPr="00072563">
        <w:rPr>
          <w:rFonts w:eastAsia="Calibri"/>
          <w:szCs w:val="22"/>
        </w:rPr>
        <w:t xml:space="preserve">). Kopumā jāsecina, ka </w:t>
      </w:r>
      <w:r w:rsidRPr="00110945">
        <w:rPr>
          <w:rFonts w:eastAsia="Calibri"/>
          <w:szCs w:val="22"/>
        </w:rPr>
        <w:t xml:space="preserve">preču eksporta pieaugums </w:t>
      </w:r>
      <w:r>
        <w:rPr>
          <w:rFonts w:eastAsia="Calibri"/>
          <w:szCs w:val="22"/>
        </w:rPr>
        <w:t>turpināsies</w:t>
      </w:r>
      <w:r w:rsidRPr="00072563">
        <w:rPr>
          <w:rFonts w:eastAsia="Calibri"/>
          <w:szCs w:val="22"/>
        </w:rPr>
        <w:t xml:space="preserve"> arī turpmākajos šā gada mēnešos, kā arī nā</w:t>
      </w:r>
      <w:r>
        <w:rPr>
          <w:rFonts w:eastAsia="Calibri"/>
          <w:szCs w:val="22"/>
        </w:rPr>
        <w:t>kamā gada sākumā. Tomēr vidējā ter</w:t>
      </w:r>
      <w:r w:rsidRPr="00072563">
        <w:rPr>
          <w:rFonts w:eastAsia="Calibri"/>
          <w:szCs w:val="22"/>
        </w:rPr>
        <w:t xml:space="preserve">miņā eksporta </w:t>
      </w:r>
      <w:r>
        <w:rPr>
          <w:rFonts w:eastAsia="Calibri"/>
          <w:szCs w:val="22"/>
        </w:rPr>
        <w:t>izaugsme varētu bremzēties nepietiekamo investīciju</w:t>
      </w:r>
      <w:r w:rsidRPr="00072563">
        <w:rPr>
          <w:rFonts w:eastAsia="Calibri"/>
          <w:szCs w:val="22"/>
        </w:rPr>
        <w:t xml:space="preserve"> un darbaspēka trūkuma dēļ.  </w:t>
      </w:r>
    </w:p>
    <w:p w14:paraId="447C4542" w14:textId="77777777" w:rsidR="00C32B3C" w:rsidRPr="00DD0873" w:rsidRDefault="00C32B3C" w:rsidP="00290582">
      <w:pPr>
        <w:keepNext/>
        <w:ind w:firstLine="0"/>
        <w:jc w:val="center"/>
        <w:rPr>
          <w:rFonts w:eastAsia="Calibri"/>
        </w:rPr>
      </w:pPr>
      <w:r>
        <w:rPr>
          <w:rFonts w:eastAsia="Calibri"/>
          <w:b/>
          <w:i/>
        </w:rPr>
        <w:lastRenderedPageBreak/>
        <w:t xml:space="preserve">1.3. </w:t>
      </w:r>
      <w:r w:rsidRPr="00DD0873">
        <w:rPr>
          <w:rFonts w:eastAsia="Calibri"/>
          <w:b/>
          <w:i/>
        </w:rPr>
        <w:t xml:space="preserve">tabula </w:t>
      </w:r>
      <w:r w:rsidRPr="000947F7">
        <w:rPr>
          <w:rFonts w:eastAsia="Calibri"/>
          <w:b/>
        </w:rPr>
        <w:t>Preču eksporta vērtība 2020</w:t>
      </w:r>
      <w:r>
        <w:rPr>
          <w:rFonts w:eastAsia="Calibri"/>
          <w:b/>
        </w:rPr>
        <w:t>. gad</w:t>
      </w:r>
      <w:r w:rsidRPr="000947F7">
        <w:rPr>
          <w:rFonts w:eastAsia="Calibri"/>
          <w:b/>
        </w:rPr>
        <w:t>a un 2021</w:t>
      </w:r>
      <w:r>
        <w:rPr>
          <w:rFonts w:eastAsia="Calibri"/>
          <w:b/>
        </w:rPr>
        <w:t>. gad</w:t>
      </w:r>
      <w:r w:rsidRPr="000947F7">
        <w:rPr>
          <w:rFonts w:eastAsia="Calibri"/>
          <w:b/>
        </w:rPr>
        <w:t>a pirmajos septiņos mēnešos (izmaiņas un preču grupu īpatsvars 2021</w:t>
      </w:r>
      <w:r>
        <w:rPr>
          <w:rFonts w:eastAsia="Calibri"/>
          <w:b/>
        </w:rPr>
        <w:t>. gad</w:t>
      </w:r>
      <w:r w:rsidRPr="000947F7">
        <w:rPr>
          <w:rFonts w:eastAsia="Calibri"/>
          <w:b/>
        </w:rPr>
        <w:t>a septiņos mēnešos</w:t>
      </w:r>
      <w:r>
        <w:rPr>
          <w:rFonts w:eastAsia="Calibri"/>
          <w:b/>
          <w:i/>
        </w:rPr>
        <w:t>)</w:t>
      </w:r>
    </w:p>
    <w:tbl>
      <w:tblPr>
        <w:tblW w:w="8648" w:type="dxa"/>
        <w:jc w:val="center"/>
        <w:tblLayout w:type="fixed"/>
        <w:tblLook w:val="04A0" w:firstRow="1" w:lastRow="0" w:firstColumn="1" w:lastColumn="0" w:noHBand="0" w:noVBand="1"/>
      </w:tblPr>
      <w:tblGrid>
        <w:gridCol w:w="2358"/>
        <w:gridCol w:w="1329"/>
        <w:gridCol w:w="1329"/>
        <w:gridCol w:w="1181"/>
        <w:gridCol w:w="1181"/>
        <w:gridCol w:w="1270"/>
      </w:tblGrid>
      <w:tr w:rsidR="00C32B3C" w:rsidRPr="00902214" w14:paraId="0F6944F5" w14:textId="77777777" w:rsidTr="00290582">
        <w:trPr>
          <w:trHeight w:val="421"/>
          <w:jc w:val="center"/>
        </w:trPr>
        <w:tc>
          <w:tcPr>
            <w:tcW w:w="2358" w:type="dxa"/>
            <w:tcBorders>
              <w:top w:val="single" w:sz="4" w:space="0" w:color="auto"/>
              <w:left w:val="single" w:sz="4" w:space="0" w:color="auto"/>
              <w:bottom w:val="single" w:sz="4" w:space="0" w:color="auto"/>
              <w:right w:val="single" w:sz="4" w:space="0" w:color="auto"/>
            </w:tcBorders>
            <w:shd w:val="clear" w:color="auto" w:fill="B8CCE4" w:themeFill="accent1" w:themeFillTint="66"/>
            <w:vAlign w:val="center"/>
            <w:hideMark/>
          </w:tcPr>
          <w:p w14:paraId="6E79CCC1" w14:textId="77777777" w:rsidR="00C32B3C" w:rsidRPr="00902214" w:rsidRDefault="00C32B3C" w:rsidP="00290582">
            <w:pPr>
              <w:spacing w:after="0"/>
              <w:ind w:firstLine="0"/>
              <w:jc w:val="center"/>
              <w:rPr>
                <w:b/>
                <w:color w:val="000000"/>
                <w:sz w:val="18"/>
                <w:szCs w:val="18"/>
                <w:lang w:eastAsia="lv-LV"/>
              </w:rPr>
            </w:pPr>
            <w:r w:rsidRPr="00902214">
              <w:rPr>
                <w:b/>
                <w:color w:val="000000"/>
                <w:sz w:val="18"/>
                <w:szCs w:val="18"/>
                <w:lang w:eastAsia="lv-LV"/>
              </w:rPr>
              <w:t>Preču grupa</w:t>
            </w:r>
          </w:p>
        </w:tc>
        <w:tc>
          <w:tcPr>
            <w:tcW w:w="1329" w:type="dxa"/>
            <w:tcBorders>
              <w:top w:val="single" w:sz="4" w:space="0" w:color="auto"/>
              <w:left w:val="nil"/>
              <w:bottom w:val="single" w:sz="4" w:space="0" w:color="auto"/>
              <w:right w:val="single" w:sz="4" w:space="0" w:color="auto"/>
            </w:tcBorders>
            <w:shd w:val="clear" w:color="auto" w:fill="B8CCE4" w:themeFill="accent1" w:themeFillTint="66"/>
            <w:vAlign w:val="center"/>
            <w:hideMark/>
          </w:tcPr>
          <w:p w14:paraId="51B0ED1E" w14:textId="77777777" w:rsidR="00C32B3C" w:rsidRPr="00902214" w:rsidRDefault="00C32B3C" w:rsidP="00290582">
            <w:pPr>
              <w:spacing w:after="0"/>
              <w:ind w:firstLine="0"/>
              <w:jc w:val="center"/>
              <w:rPr>
                <w:b/>
                <w:color w:val="000000"/>
                <w:sz w:val="18"/>
                <w:szCs w:val="18"/>
                <w:lang w:eastAsia="lv-LV"/>
              </w:rPr>
            </w:pPr>
            <w:r w:rsidRPr="00902214">
              <w:rPr>
                <w:b/>
                <w:color w:val="000000"/>
                <w:sz w:val="18"/>
                <w:szCs w:val="18"/>
                <w:lang w:eastAsia="lv-LV"/>
              </w:rPr>
              <w:t xml:space="preserve">I-VII 2020 milj. </w:t>
            </w:r>
            <w:proofErr w:type="spellStart"/>
            <w:r w:rsidRPr="000E4AA4">
              <w:rPr>
                <w:b/>
                <w:i/>
                <w:color w:val="000000"/>
                <w:sz w:val="18"/>
                <w:szCs w:val="18"/>
                <w:lang w:eastAsia="lv-LV"/>
              </w:rPr>
              <w:t>euro</w:t>
            </w:r>
            <w:proofErr w:type="spellEnd"/>
          </w:p>
        </w:tc>
        <w:tc>
          <w:tcPr>
            <w:tcW w:w="1329" w:type="dxa"/>
            <w:tcBorders>
              <w:top w:val="single" w:sz="4" w:space="0" w:color="auto"/>
              <w:left w:val="nil"/>
              <w:bottom w:val="single" w:sz="4" w:space="0" w:color="auto"/>
              <w:right w:val="single" w:sz="4" w:space="0" w:color="auto"/>
            </w:tcBorders>
            <w:shd w:val="clear" w:color="auto" w:fill="B8CCE4" w:themeFill="accent1" w:themeFillTint="66"/>
            <w:vAlign w:val="center"/>
            <w:hideMark/>
          </w:tcPr>
          <w:p w14:paraId="0B856C0C" w14:textId="77777777" w:rsidR="00C32B3C" w:rsidRPr="00902214" w:rsidRDefault="00C32B3C" w:rsidP="00290582">
            <w:pPr>
              <w:spacing w:after="0"/>
              <w:ind w:firstLine="0"/>
              <w:jc w:val="center"/>
              <w:rPr>
                <w:b/>
                <w:color w:val="000000"/>
                <w:sz w:val="18"/>
                <w:szCs w:val="18"/>
                <w:lang w:eastAsia="lv-LV"/>
              </w:rPr>
            </w:pPr>
            <w:r w:rsidRPr="00902214">
              <w:rPr>
                <w:b/>
                <w:color w:val="000000"/>
                <w:sz w:val="18"/>
                <w:szCs w:val="18"/>
                <w:lang w:eastAsia="lv-LV"/>
              </w:rPr>
              <w:t xml:space="preserve">I-VII 2021 milj. </w:t>
            </w:r>
            <w:proofErr w:type="spellStart"/>
            <w:r w:rsidRPr="000E4AA4">
              <w:rPr>
                <w:b/>
                <w:i/>
                <w:color w:val="000000"/>
                <w:sz w:val="18"/>
                <w:szCs w:val="18"/>
                <w:lang w:eastAsia="lv-LV"/>
              </w:rPr>
              <w:t>euro</w:t>
            </w:r>
            <w:proofErr w:type="spellEnd"/>
          </w:p>
        </w:tc>
        <w:tc>
          <w:tcPr>
            <w:tcW w:w="1181" w:type="dxa"/>
            <w:tcBorders>
              <w:top w:val="single" w:sz="4" w:space="0" w:color="auto"/>
              <w:left w:val="nil"/>
              <w:bottom w:val="single" w:sz="4" w:space="0" w:color="auto"/>
              <w:right w:val="single" w:sz="4" w:space="0" w:color="auto"/>
            </w:tcBorders>
            <w:shd w:val="clear" w:color="auto" w:fill="B8CCE4" w:themeFill="accent1" w:themeFillTint="66"/>
            <w:vAlign w:val="center"/>
            <w:hideMark/>
          </w:tcPr>
          <w:p w14:paraId="188EBB2A" w14:textId="77777777" w:rsidR="00C32B3C" w:rsidRPr="00902214" w:rsidRDefault="00C32B3C" w:rsidP="00290582">
            <w:pPr>
              <w:spacing w:after="0"/>
              <w:ind w:firstLine="0"/>
              <w:jc w:val="center"/>
              <w:rPr>
                <w:b/>
                <w:color w:val="000000"/>
                <w:sz w:val="18"/>
                <w:szCs w:val="18"/>
                <w:lang w:eastAsia="lv-LV"/>
              </w:rPr>
            </w:pPr>
            <w:r w:rsidRPr="00902214">
              <w:rPr>
                <w:b/>
                <w:color w:val="000000"/>
                <w:sz w:val="18"/>
                <w:szCs w:val="18"/>
                <w:lang w:eastAsia="lv-LV"/>
              </w:rPr>
              <w:t xml:space="preserve">Izmaiņas, milj. </w:t>
            </w:r>
            <w:proofErr w:type="spellStart"/>
            <w:r w:rsidRPr="000E4AA4">
              <w:rPr>
                <w:b/>
                <w:i/>
                <w:color w:val="000000"/>
                <w:sz w:val="18"/>
                <w:szCs w:val="18"/>
                <w:lang w:eastAsia="lv-LV"/>
              </w:rPr>
              <w:t>euro</w:t>
            </w:r>
            <w:proofErr w:type="spellEnd"/>
          </w:p>
        </w:tc>
        <w:tc>
          <w:tcPr>
            <w:tcW w:w="1181" w:type="dxa"/>
            <w:tcBorders>
              <w:top w:val="single" w:sz="4" w:space="0" w:color="auto"/>
              <w:left w:val="nil"/>
              <w:bottom w:val="single" w:sz="4" w:space="0" w:color="auto"/>
              <w:right w:val="single" w:sz="4" w:space="0" w:color="auto"/>
            </w:tcBorders>
            <w:shd w:val="clear" w:color="auto" w:fill="B8CCE4" w:themeFill="accent1" w:themeFillTint="66"/>
            <w:vAlign w:val="center"/>
            <w:hideMark/>
          </w:tcPr>
          <w:p w14:paraId="36AEF394" w14:textId="77777777" w:rsidR="00C32B3C" w:rsidRPr="00902214" w:rsidRDefault="00C32B3C" w:rsidP="00290582">
            <w:pPr>
              <w:spacing w:after="0"/>
              <w:ind w:firstLine="0"/>
              <w:jc w:val="center"/>
              <w:rPr>
                <w:b/>
                <w:color w:val="000000"/>
                <w:sz w:val="18"/>
                <w:szCs w:val="18"/>
                <w:lang w:eastAsia="lv-LV"/>
              </w:rPr>
            </w:pPr>
            <w:r>
              <w:rPr>
                <w:b/>
                <w:color w:val="000000"/>
                <w:sz w:val="18"/>
                <w:szCs w:val="18"/>
                <w:lang w:eastAsia="lv-LV"/>
              </w:rPr>
              <w:t>Izmaiņas</w:t>
            </w:r>
          </w:p>
        </w:tc>
        <w:tc>
          <w:tcPr>
            <w:tcW w:w="1270" w:type="dxa"/>
            <w:tcBorders>
              <w:top w:val="single" w:sz="4" w:space="0" w:color="auto"/>
              <w:left w:val="nil"/>
              <w:bottom w:val="single" w:sz="4" w:space="0" w:color="auto"/>
              <w:right w:val="single" w:sz="4" w:space="0" w:color="auto"/>
            </w:tcBorders>
            <w:shd w:val="clear" w:color="auto" w:fill="B8CCE4" w:themeFill="accent1" w:themeFillTint="66"/>
            <w:vAlign w:val="center"/>
            <w:hideMark/>
          </w:tcPr>
          <w:p w14:paraId="70C34CE1" w14:textId="77777777" w:rsidR="00C32B3C" w:rsidRPr="00902214" w:rsidRDefault="00C32B3C" w:rsidP="00290582">
            <w:pPr>
              <w:spacing w:after="0"/>
              <w:ind w:firstLine="0"/>
              <w:jc w:val="center"/>
              <w:rPr>
                <w:b/>
                <w:color w:val="000000"/>
                <w:sz w:val="18"/>
                <w:szCs w:val="18"/>
                <w:lang w:eastAsia="lv-LV"/>
              </w:rPr>
            </w:pPr>
            <w:r>
              <w:rPr>
                <w:b/>
                <w:color w:val="000000"/>
                <w:sz w:val="18"/>
                <w:szCs w:val="18"/>
                <w:lang w:eastAsia="lv-LV"/>
              </w:rPr>
              <w:t>Preču grupu īpatsvars</w:t>
            </w:r>
          </w:p>
        </w:tc>
      </w:tr>
      <w:tr w:rsidR="00C32B3C" w:rsidRPr="00902214" w14:paraId="06D3F695" w14:textId="77777777" w:rsidTr="00290582">
        <w:trPr>
          <w:trHeight w:val="289"/>
          <w:jc w:val="center"/>
        </w:trPr>
        <w:tc>
          <w:tcPr>
            <w:tcW w:w="2358" w:type="dxa"/>
            <w:tcBorders>
              <w:top w:val="nil"/>
              <w:left w:val="single" w:sz="4" w:space="0" w:color="auto"/>
              <w:bottom w:val="single" w:sz="4" w:space="0" w:color="auto"/>
              <w:right w:val="single" w:sz="4" w:space="0" w:color="auto"/>
            </w:tcBorders>
            <w:shd w:val="clear" w:color="auto" w:fill="auto"/>
            <w:noWrap/>
            <w:vAlign w:val="center"/>
            <w:hideMark/>
          </w:tcPr>
          <w:p w14:paraId="54873029" w14:textId="77777777" w:rsidR="00C32B3C" w:rsidRPr="00902214" w:rsidRDefault="00C32B3C" w:rsidP="00290582">
            <w:pPr>
              <w:spacing w:after="0"/>
              <w:ind w:firstLine="0"/>
              <w:rPr>
                <w:color w:val="000000"/>
                <w:sz w:val="18"/>
                <w:szCs w:val="18"/>
                <w:lang w:eastAsia="lv-LV"/>
              </w:rPr>
            </w:pPr>
            <w:r w:rsidRPr="00902214">
              <w:rPr>
                <w:color w:val="000000"/>
                <w:sz w:val="18"/>
                <w:szCs w:val="18"/>
                <w:lang w:eastAsia="lv-LV"/>
              </w:rPr>
              <w:t>Koks un koka izstrādājumi</w:t>
            </w:r>
          </w:p>
        </w:tc>
        <w:tc>
          <w:tcPr>
            <w:tcW w:w="1329" w:type="dxa"/>
            <w:tcBorders>
              <w:top w:val="nil"/>
              <w:left w:val="nil"/>
              <w:bottom w:val="single" w:sz="4" w:space="0" w:color="auto"/>
              <w:right w:val="single" w:sz="4" w:space="0" w:color="auto"/>
            </w:tcBorders>
            <w:shd w:val="clear" w:color="auto" w:fill="auto"/>
            <w:noWrap/>
            <w:vAlign w:val="center"/>
            <w:hideMark/>
          </w:tcPr>
          <w:p w14:paraId="614F87D5" w14:textId="77777777" w:rsidR="00C32B3C" w:rsidRPr="00902214" w:rsidRDefault="00C32B3C" w:rsidP="00290582">
            <w:pPr>
              <w:spacing w:after="0"/>
              <w:ind w:firstLine="0"/>
              <w:jc w:val="center"/>
              <w:rPr>
                <w:color w:val="000000"/>
                <w:sz w:val="18"/>
                <w:szCs w:val="18"/>
                <w:lang w:eastAsia="lv-LV"/>
              </w:rPr>
            </w:pPr>
            <w:r w:rsidRPr="00902214">
              <w:rPr>
                <w:color w:val="000000"/>
                <w:sz w:val="18"/>
                <w:szCs w:val="18"/>
                <w:lang w:eastAsia="lv-LV"/>
              </w:rPr>
              <w:t>1256</w:t>
            </w:r>
          </w:p>
        </w:tc>
        <w:tc>
          <w:tcPr>
            <w:tcW w:w="1329" w:type="dxa"/>
            <w:tcBorders>
              <w:top w:val="nil"/>
              <w:left w:val="nil"/>
              <w:bottom w:val="single" w:sz="4" w:space="0" w:color="auto"/>
              <w:right w:val="single" w:sz="4" w:space="0" w:color="auto"/>
            </w:tcBorders>
            <w:shd w:val="clear" w:color="auto" w:fill="auto"/>
            <w:noWrap/>
            <w:vAlign w:val="center"/>
            <w:hideMark/>
          </w:tcPr>
          <w:p w14:paraId="431AE8A5" w14:textId="77777777" w:rsidR="00C32B3C" w:rsidRPr="00902214" w:rsidRDefault="00C32B3C" w:rsidP="00290582">
            <w:pPr>
              <w:spacing w:after="0"/>
              <w:ind w:firstLine="0"/>
              <w:jc w:val="center"/>
              <w:rPr>
                <w:color w:val="000000"/>
                <w:sz w:val="18"/>
                <w:szCs w:val="18"/>
                <w:lang w:eastAsia="lv-LV"/>
              </w:rPr>
            </w:pPr>
            <w:r w:rsidRPr="00902214">
              <w:rPr>
                <w:color w:val="000000"/>
                <w:sz w:val="18"/>
                <w:szCs w:val="18"/>
                <w:lang w:eastAsia="lv-LV"/>
              </w:rPr>
              <w:t>1761</w:t>
            </w:r>
          </w:p>
        </w:tc>
        <w:tc>
          <w:tcPr>
            <w:tcW w:w="1181" w:type="dxa"/>
            <w:tcBorders>
              <w:top w:val="nil"/>
              <w:left w:val="nil"/>
              <w:bottom w:val="single" w:sz="4" w:space="0" w:color="auto"/>
              <w:right w:val="single" w:sz="4" w:space="0" w:color="auto"/>
            </w:tcBorders>
            <w:shd w:val="clear" w:color="auto" w:fill="auto"/>
            <w:noWrap/>
            <w:vAlign w:val="center"/>
            <w:hideMark/>
          </w:tcPr>
          <w:p w14:paraId="7A5BDBDA" w14:textId="77777777" w:rsidR="00C32B3C" w:rsidRPr="00902214" w:rsidRDefault="00C32B3C" w:rsidP="00290582">
            <w:pPr>
              <w:spacing w:after="0"/>
              <w:ind w:firstLine="0"/>
              <w:jc w:val="center"/>
              <w:rPr>
                <w:color w:val="000000"/>
                <w:sz w:val="18"/>
                <w:szCs w:val="18"/>
                <w:lang w:eastAsia="lv-LV"/>
              </w:rPr>
            </w:pPr>
            <w:r w:rsidRPr="00902214">
              <w:rPr>
                <w:color w:val="000000"/>
                <w:sz w:val="18"/>
                <w:szCs w:val="18"/>
                <w:lang w:eastAsia="lv-LV"/>
              </w:rPr>
              <w:t>505</w:t>
            </w:r>
          </w:p>
        </w:tc>
        <w:tc>
          <w:tcPr>
            <w:tcW w:w="1181" w:type="dxa"/>
            <w:tcBorders>
              <w:top w:val="nil"/>
              <w:left w:val="nil"/>
              <w:bottom w:val="single" w:sz="4" w:space="0" w:color="auto"/>
              <w:right w:val="single" w:sz="4" w:space="0" w:color="auto"/>
            </w:tcBorders>
            <w:shd w:val="clear" w:color="auto" w:fill="auto"/>
            <w:noWrap/>
            <w:vAlign w:val="center"/>
            <w:hideMark/>
          </w:tcPr>
          <w:p w14:paraId="310E3933" w14:textId="77777777" w:rsidR="00C32B3C" w:rsidRPr="00902214" w:rsidRDefault="00C32B3C" w:rsidP="00290582">
            <w:pPr>
              <w:spacing w:after="0"/>
              <w:ind w:firstLine="0"/>
              <w:jc w:val="center"/>
              <w:rPr>
                <w:color w:val="000000"/>
                <w:sz w:val="18"/>
                <w:szCs w:val="18"/>
                <w:lang w:eastAsia="lv-LV"/>
              </w:rPr>
            </w:pPr>
            <w:r w:rsidRPr="00902214">
              <w:rPr>
                <w:color w:val="000000"/>
                <w:sz w:val="18"/>
                <w:szCs w:val="18"/>
                <w:lang w:eastAsia="lv-LV"/>
              </w:rPr>
              <w:t>40%</w:t>
            </w:r>
          </w:p>
        </w:tc>
        <w:tc>
          <w:tcPr>
            <w:tcW w:w="1270" w:type="dxa"/>
            <w:tcBorders>
              <w:top w:val="nil"/>
              <w:left w:val="nil"/>
              <w:bottom w:val="single" w:sz="4" w:space="0" w:color="auto"/>
              <w:right w:val="single" w:sz="4" w:space="0" w:color="auto"/>
            </w:tcBorders>
            <w:shd w:val="clear" w:color="auto" w:fill="auto"/>
            <w:noWrap/>
            <w:vAlign w:val="center"/>
            <w:hideMark/>
          </w:tcPr>
          <w:p w14:paraId="09B52EE0" w14:textId="77777777" w:rsidR="00C32B3C" w:rsidRPr="00902214" w:rsidRDefault="00C32B3C" w:rsidP="00290582">
            <w:pPr>
              <w:spacing w:after="0"/>
              <w:ind w:firstLine="0"/>
              <w:jc w:val="center"/>
              <w:rPr>
                <w:color w:val="000000"/>
                <w:sz w:val="18"/>
                <w:szCs w:val="18"/>
                <w:lang w:eastAsia="lv-LV"/>
              </w:rPr>
            </w:pPr>
            <w:r w:rsidRPr="00902214">
              <w:rPr>
                <w:color w:val="000000"/>
                <w:sz w:val="18"/>
                <w:szCs w:val="18"/>
                <w:lang w:eastAsia="lv-LV"/>
              </w:rPr>
              <w:t>20%</w:t>
            </w:r>
          </w:p>
        </w:tc>
      </w:tr>
      <w:tr w:rsidR="00C32B3C" w:rsidRPr="00902214" w14:paraId="743F86AB" w14:textId="77777777" w:rsidTr="00290582">
        <w:trPr>
          <w:trHeight w:val="289"/>
          <w:jc w:val="center"/>
        </w:trPr>
        <w:tc>
          <w:tcPr>
            <w:tcW w:w="2358" w:type="dxa"/>
            <w:tcBorders>
              <w:top w:val="nil"/>
              <w:left w:val="single" w:sz="4" w:space="0" w:color="auto"/>
              <w:bottom w:val="single" w:sz="4" w:space="0" w:color="auto"/>
              <w:right w:val="single" w:sz="4" w:space="0" w:color="auto"/>
            </w:tcBorders>
            <w:shd w:val="clear" w:color="auto" w:fill="auto"/>
            <w:noWrap/>
            <w:vAlign w:val="center"/>
            <w:hideMark/>
          </w:tcPr>
          <w:p w14:paraId="0CA7763E" w14:textId="77777777" w:rsidR="00C32B3C" w:rsidRPr="00902214" w:rsidRDefault="00C32B3C" w:rsidP="00290582">
            <w:pPr>
              <w:spacing w:after="0"/>
              <w:ind w:firstLine="0"/>
              <w:rPr>
                <w:color w:val="000000"/>
                <w:sz w:val="18"/>
                <w:szCs w:val="18"/>
                <w:lang w:eastAsia="lv-LV"/>
              </w:rPr>
            </w:pPr>
            <w:r w:rsidRPr="00902214">
              <w:rPr>
                <w:color w:val="000000"/>
                <w:sz w:val="18"/>
                <w:szCs w:val="18"/>
                <w:lang w:eastAsia="lv-LV"/>
              </w:rPr>
              <w:t>Mehānismi un ierīces, t.sk. elektroierīces</w:t>
            </w:r>
          </w:p>
        </w:tc>
        <w:tc>
          <w:tcPr>
            <w:tcW w:w="1329" w:type="dxa"/>
            <w:tcBorders>
              <w:top w:val="nil"/>
              <w:left w:val="nil"/>
              <w:bottom w:val="single" w:sz="4" w:space="0" w:color="auto"/>
              <w:right w:val="single" w:sz="4" w:space="0" w:color="auto"/>
            </w:tcBorders>
            <w:shd w:val="clear" w:color="auto" w:fill="auto"/>
            <w:noWrap/>
            <w:vAlign w:val="center"/>
            <w:hideMark/>
          </w:tcPr>
          <w:p w14:paraId="0F6FE046" w14:textId="77777777" w:rsidR="00C32B3C" w:rsidRPr="00902214" w:rsidRDefault="00C32B3C" w:rsidP="00290582">
            <w:pPr>
              <w:spacing w:after="0"/>
              <w:ind w:firstLine="0"/>
              <w:jc w:val="center"/>
              <w:rPr>
                <w:color w:val="000000"/>
                <w:sz w:val="18"/>
                <w:szCs w:val="18"/>
                <w:lang w:eastAsia="lv-LV"/>
              </w:rPr>
            </w:pPr>
            <w:r w:rsidRPr="00902214">
              <w:rPr>
                <w:color w:val="000000"/>
                <w:sz w:val="18"/>
                <w:szCs w:val="18"/>
                <w:lang w:eastAsia="lv-LV"/>
              </w:rPr>
              <w:t>1335</w:t>
            </w:r>
          </w:p>
        </w:tc>
        <w:tc>
          <w:tcPr>
            <w:tcW w:w="1329" w:type="dxa"/>
            <w:tcBorders>
              <w:top w:val="nil"/>
              <w:left w:val="nil"/>
              <w:bottom w:val="single" w:sz="4" w:space="0" w:color="auto"/>
              <w:right w:val="single" w:sz="4" w:space="0" w:color="auto"/>
            </w:tcBorders>
            <w:shd w:val="clear" w:color="auto" w:fill="auto"/>
            <w:noWrap/>
            <w:vAlign w:val="center"/>
            <w:hideMark/>
          </w:tcPr>
          <w:p w14:paraId="51FB964D" w14:textId="77777777" w:rsidR="00C32B3C" w:rsidRPr="00902214" w:rsidRDefault="00C32B3C" w:rsidP="00290582">
            <w:pPr>
              <w:spacing w:after="0"/>
              <w:ind w:firstLine="0"/>
              <w:jc w:val="center"/>
              <w:rPr>
                <w:color w:val="000000"/>
                <w:sz w:val="18"/>
                <w:szCs w:val="18"/>
                <w:lang w:eastAsia="lv-LV"/>
              </w:rPr>
            </w:pPr>
            <w:r w:rsidRPr="00902214">
              <w:rPr>
                <w:color w:val="000000"/>
                <w:sz w:val="18"/>
                <w:szCs w:val="18"/>
                <w:lang w:eastAsia="lv-LV"/>
              </w:rPr>
              <w:t>1480</w:t>
            </w:r>
          </w:p>
        </w:tc>
        <w:tc>
          <w:tcPr>
            <w:tcW w:w="1181" w:type="dxa"/>
            <w:tcBorders>
              <w:top w:val="nil"/>
              <w:left w:val="nil"/>
              <w:bottom w:val="single" w:sz="4" w:space="0" w:color="auto"/>
              <w:right w:val="single" w:sz="4" w:space="0" w:color="auto"/>
            </w:tcBorders>
            <w:shd w:val="clear" w:color="auto" w:fill="auto"/>
            <w:noWrap/>
            <w:vAlign w:val="center"/>
            <w:hideMark/>
          </w:tcPr>
          <w:p w14:paraId="3BC1DCA4" w14:textId="77777777" w:rsidR="00C32B3C" w:rsidRPr="00902214" w:rsidRDefault="00C32B3C" w:rsidP="00290582">
            <w:pPr>
              <w:spacing w:after="0"/>
              <w:ind w:firstLine="0"/>
              <w:jc w:val="center"/>
              <w:rPr>
                <w:color w:val="000000"/>
                <w:sz w:val="18"/>
                <w:szCs w:val="18"/>
                <w:lang w:eastAsia="lv-LV"/>
              </w:rPr>
            </w:pPr>
            <w:r w:rsidRPr="00902214">
              <w:rPr>
                <w:color w:val="000000"/>
                <w:sz w:val="18"/>
                <w:szCs w:val="18"/>
                <w:lang w:eastAsia="lv-LV"/>
              </w:rPr>
              <w:t>145</w:t>
            </w:r>
          </w:p>
        </w:tc>
        <w:tc>
          <w:tcPr>
            <w:tcW w:w="1181" w:type="dxa"/>
            <w:tcBorders>
              <w:top w:val="nil"/>
              <w:left w:val="nil"/>
              <w:bottom w:val="single" w:sz="4" w:space="0" w:color="auto"/>
              <w:right w:val="single" w:sz="4" w:space="0" w:color="auto"/>
            </w:tcBorders>
            <w:shd w:val="clear" w:color="auto" w:fill="auto"/>
            <w:noWrap/>
            <w:vAlign w:val="center"/>
            <w:hideMark/>
          </w:tcPr>
          <w:p w14:paraId="173A6329" w14:textId="77777777" w:rsidR="00C32B3C" w:rsidRPr="00902214" w:rsidRDefault="00C32B3C" w:rsidP="00290582">
            <w:pPr>
              <w:spacing w:after="0"/>
              <w:ind w:firstLine="0"/>
              <w:jc w:val="center"/>
              <w:rPr>
                <w:color w:val="000000"/>
                <w:sz w:val="18"/>
                <w:szCs w:val="18"/>
                <w:lang w:eastAsia="lv-LV"/>
              </w:rPr>
            </w:pPr>
            <w:r w:rsidRPr="00902214">
              <w:rPr>
                <w:color w:val="000000"/>
                <w:sz w:val="18"/>
                <w:szCs w:val="18"/>
                <w:lang w:eastAsia="lv-LV"/>
              </w:rPr>
              <w:t>11%</w:t>
            </w:r>
          </w:p>
        </w:tc>
        <w:tc>
          <w:tcPr>
            <w:tcW w:w="1270" w:type="dxa"/>
            <w:tcBorders>
              <w:top w:val="nil"/>
              <w:left w:val="nil"/>
              <w:bottom w:val="single" w:sz="4" w:space="0" w:color="auto"/>
              <w:right w:val="single" w:sz="4" w:space="0" w:color="auto"/>
            </w:tcBorders>
            <w:shd w:val="clear" w:color="auto" w:fill="auto"/>
            <w:noWrap/>
            <w:vAlign w:val="center"/>
            <w:hideMark/>
          </w:tcPr>
          <w:p w14:paraId="35FADEBB" w14:textId="77777777" w:rsidR="00C32B3C" w:rsidRPr="00902214" w:rsidRDefault="00C32B3C" w:rsidP="00290582">
            <w:pPr>
              <w:spacing w:after="0"/>
              <w:ind w:firstLine="0"/>
              <w:jc w:val="center"/>
              <w:rPr>
                <w:color w:val="000000"/>
                <w:sz w:val="18"/>
                <w:szCs w:val="18"/>
                <w:lang w:eastAsia="lv-LV"/>
              </w:rPr>
            </w:pPr>
            <w:r w:rsidRPr="00902214">
              <w:rPr>
                <w:color w:val="000000"/>
                <w:sz w:val="18"/>
                <w:szCs w:val="18"/>
                <w:lang w:eastAsia="lv-LV"/>
              </w:rPr>
              <w:t>17%</w:t>
            </w:r>
          </w:p>
        </w:tc>
      </w:tr>
      <w:tr w:rsidR="00C32B3C" w:rsidRPr="00902214" w14:paraId="1A402B4D" w14:textId="77777777" w:rsidTr="00290582">
        <w:trPr>
          <w:trHeight w:val="289"/>
          <w:jc w:val="center"/>
        </w:trPr>
        <w:tc>
          <w:tcPr>
            <w:tcW w:w="2358" w:type="dxa"/>
            <w:tcBorders>
              <w:top w:val="nil"/>
              <w:left w:val="single" w:sz="4" w:space="0" w:color="auto"/>
              <w:bottom w:val="single" w:sz="4" w:space="0" w:color="auto"/>
              <w:right w:val="single" w:sz="4" w:space="0" w:color="auto"/>
            </w:tcBorders>
            <w:shd w:val="clear" w:color="auto" w:fill="auto"/>
            <w:noWrap/>
            <w:vAlign w:val="center"/>
            <w:hideMark/>
          </w:tcPr>
          <w:p w14:paraId="441E4D0D" w14:textId="77777777" w:rsidR="00C32B3C" w:rsidRPr="00902214" w:rsidRDefault="00C32B3C" w:rsidP="00290582">
            <w:pPr>
              <w:spacing w:after="0"/>
              <w:ind w:firstLine="0"/>
              <w:rPr>
                <w:color w:val="000000"/>
                <w:sz w:val="18"/>
                <w:szCs w:val="18"/>
                <w:lang w:eastAsia="lv-LV"/>
              </w:rPr>
            </w:pPr>
            <w:r w:rsidRPr="00902214">
              <w:rPr>
                <w:color w:val="000000"/>
                <w:sz w:val="18"/>
                <w:szCs w:val="18"/>
                <w:lang w:eastAsia="lv-LV"/>
              </w:rPr>
              <w:t>Lauksaimniecības preces un pārtika</w:t>
            </w:r>
          </w:p>
        </w:tc>
        <w:tc>
          <w:tcPr>
            <w:tcW w:w="1329" w:type="dxa"/>
            <w:tcBorders>
              <w:top w:val="nil"/>
              <w:left w:val="nil"/>
              <w:bottom w:val="single" w:sz="4" w:space="0" w:color="auto"/>
              <w:right w:val="single" w:sz="4" w:space="0" w:color="auto"/>
            </w:tcBorders>
            <w:shd w:val="clear" w:color="auto" w:fill="auto"/>
            <w:noWrap/>
            <w:vAlign w:val="center"/>
            <w:hideMark/>
          </w:tcPr>
          <w:p w14:paraId="597EBA2C" w14:textId="77777777" w:rsidR="00C32B3C" w:rsidRPr="00902214" w:rsidRDefault="00C32B3C" w:rsidP="00290582">
            <w:pPr>
              <w:spacing w:after="0"/>
              <w:ind w:firstLine="0"/>
              <w:jc w:val="center"/>
              <w:rPr>
                <w:color w:val="000000"/>
                <w:sz w:val="18"/>
                <w:szCs w:val="18"/>
                <w:lang w:eastAsia="lv-LV"/>
              </w:rPr>
            </w:pPr>
            <w:r w:rsidRPr="00902214">
              <w:rPr>
                <w:color w:val="000000"/>
                <w:sz w:val="18"/>
                <w:szCs w:val="18"/>
                <w:lang w:eastAsia="lv-LV"/>
              </w:rPr>
              <w:t>1378</w:t>
            </w:r>
          </w:p>
        </w:tc>
        <w:tc>
          <w:tcPr>
            <w:tcW w:w="1329" w:type="dxa"/>
            <w:tcBorders>
              <w:top w:val="nil"/>
              <w:left w:val="nil"/>
              <w:bottom w:val="single" w:sz="4" w:space="0" w:color="auto"/>
              <w:right w:val="single" w:sz="4" w:space="0" w:color="auto"/>
            </w:tcBorders>
            <w:shd w:val="clear" w:color="auto" w:fill="auto"/>
            <w:noWrap/>
            <w:vAlign w:val="center"/>
            <w:hideMark/>
          </w:tcPr>
          <w:p w14:paraId="6DB90AA4" w14:textId="77777777" w:rsidR="00C32B3C" w:rsidRPr="00902214" w:rsidRDefault="00C32B3C" w:rsidP="00290582">
            <w:pPr>
              <w:spacing w:after="0"/>
              <w:ind w:firstLine="0"/>
              <w:jc w:val="center"/>
              <w:rPr>
                <w:color w:val="000000"/>
                <w:sz w:val="18"/>
                <w:szCs w:val="18"/>
                <w:lang w:eastAsia="lv-LV"/>
              </w:rPr>
            </w:pPr>
            <w:r w:rsidRPr="00902214">
              <w:rPr>
                <w:color w:val="000000"/>
                <w:sz w:val="18"/>
                <w:szCs w:val="18"/>
                <w:lang w:eastAsia="lv-LV"/>
              </w:rPr>
              <w:t>1458</w:t>
            </w:r>
          </w:p>
        </w:tc>
        <w:tc>
          <w:tcPr>
            <w:tcW w:w="1181" w:type="dxa"/>
            <w:tcBorders>
              <w:top w:val="nil"/>
              <w:left w:val="nil"/>
              <w:bottom w:val="single" w:sz="4" w:space="0" w:color="auto"/>
              <w:right w:val="single" w:sz="4" w:space="0" w:color="auto"/>
            </w:tcBorders>
            <w:shd w:val="clear" w:color="auto" w:fill="auto"/>
            <w:noWrap/>
            <w:vAlign w:val="center"/>
            <w:hideMark/>
          </w:tcPr>
          <w:p w14:paraId="6EDA1B8E" w14:textId="77777777" w:rsidR="00C32B3C" w:rsidRPr="00902214" w:rsidRDefault="00C32B3C" w:rsidP="00290582">
            <w:pPr>
              <w:spacing w:after="0"/>
              <w:ind w:firstLine="0"/>
              <w:jc w:val="center"/>
              <w:rPr>
                <w:color w:val="000000"/>
                <w:sz w:val="18"/>
                <w:szCs w:val="18"/>
                <w:lang w:eastAsia="lv-LV"/>
              </w:rPr>
            </w:pPr>
            <w:r w:rsidRPr="00902214">
              <w:rPr>
                <w:color w:val="000000"/>
                <w:sz w:val="18"/>
                <w:szCs w:val="18"/>
                <w:lang w:eastAsia="lv-LV"/>
              </w:rPr>
              <w:t>80</w:t>
            </w:r>
          </w:p>
        </w:tc>
        <w:tc>
          <w:tcPr>
            <w:tcW w:w="1181" w:type="dxa"/>
            <w:tcBorders>
              <w:top w:val="nil"/>
              <w:left w:val="nil"/>
              <w:bottom w:val="single" w:sz="4" w:space="0" w:color="auto"/>
              <w:right w:val="single" w:sz="4" w:space="0" w:color="auto"/>
            </w:tcBorders>
            <w:shd w:val="clear" w:color="auto" w:fill="auto"/>
            <w:noWrap/>
            <w:vAlign w:val="center"/>
            <w:hideMark/>
          </w:tcPr>
          <w:p w14:paraId="405FF8AB" w14:textId="77777777" w:rsidR="00C32B3C" w:rsidRPr="00902214" w:rsidRDefault="00C32B3C" w:rsidP="00290582">
            <w:pPr>
              <w:spacing w:after="0"/>
              <w:ind w:firstLine="0"/>
              <w:jc w:val="center"/>
              <w:rPr>
                <w:color w:val="000000"/>
                <w:sz w:val="18"/>
                <w:szCs w:val="18"/>
                <w:lang w:eastAsia="lv-LV"/>
              </w:rPr>
            </w:pPr>
            <w:r w:rsidRPr="00902214">
              <w:rPr>
                <w:color w:val="000000"/>
                <w:sz w:val="18"/>
                <w:szCs w:val="18"/>
                <w:lang w:eastAsia="lv-LV"/>
              </w:rPr>
              <w:t>6%</w:t>
            </w:r>
          </w:p>
        </w:tc>
        <w:tc>
          <w:tcPr>
            <w:tcW w:w="1270" w:type="dxa"/>
            <w:tcBorders>
              <w:top w:val="nil"/>
              <w:left w:val="nil"/>
              <w:bottom w:val="single" w:sz="4" w:space="0" w:color="auto"/>
              <w:right w:val="single" w:sz="4" w:space="0" w:color="auto"/>
            </w:tcBorders>
            <w:shd w:val="clear" w:color="auto" w:fill="auto"/>
            <w:noWrap/>
            <w:vAlign w:val="center"/>
            <w:hideMark/>
          </w:tcPr>
          <w:p w14:paraId="3CD3891E" w14:textId="77777777" w:rsidR="00C32B3C" w:rsidRPr="00902214" w:rsidRDefault="00C32B3C" w:rsidP="00290582">
            <w:pPr>
              <w:spacing w:after="0"/>
              <w:ind w:firstLine="0"/>
              <w:jc w:val="center"/>
              <w:rPr>
                <w:color w:val="000000"/>
                <w:sz w:val="18"/>
                <w:szCs w:val="18"/>
                <w:lang w:eastAsia="lv-LV"/>
              </w:rPr>
            </w:pPr>
            <w:r w:rsidRPr="00902214">
              <w:rPr>
                <w:color w:val="000000"/>
                <w:sz w:val="18"/>
                <w:szCs w:val="18"/>
                <w:lang w:eastAsia="lv-LV"/>
              </w:rPr>
              <w:t>17%</w:t>
            </w:r>
          </w:p>
        </w:tc>
      </w:tr>
      <w:tr w:rsidR="00C32B3C" w:rsidRPr="00902214" w14:paraId="7FF533FD" w14:textId="77777777" w:rsidTr="00290582">
        <w:trPr>
          <w:trHeight w:val="289"/>
          <w:jc w:val="center"/>
        </w:trPr>
        <w:tc>
          <w:tcPr>
            <w:tcW w:w="2358" w:type="dxa"/>
            <w:tcBorders>
              <w:top w:val="nil"/>
              <w:left w:val="single" w:sz="4" w:space="0" w:color="auto"/>
              <w:bottom w:val="single" w:sz="4" w:space="0" w:color="auto"/>
              <w:right w:val="single" w:sz="4" w:space="0" w:color="auto"/>
            </w:tcBorders>
            <w:shd w:val="clear" w:color="auto" w:fill="auto"/>
            <w:noWrap/>
            <w:vAlign w:val="center"/>
            <w:hideMark/>
          </w:tcPr>
          <w:p w14:paraId="2AC9F5ED" w14:textId="77777777" w:rsidR="00C32B3C" w:rsidRPr="00902214" w:rsidRDefault="00C32B3C" w:rsidP="00290582">
            <w:pPr>
              <w:spacing w:after="0"/>
              <w:ind w:firstLine="0"/>
              <w:rPr>
                <w:color w:val="000000"/>
                <w:sz w:val="18"/>
                <w:szCs w:val="18"/>
                <w:lang w:eastAsia="lv-LV"/>
              </w:rPr>
            </w:pPr>
            <w:r w:rsidRPr="00902214">
              <w:rPr>
                <w:color w:val="000000"/>
                <w:sz w:val="18"/>
                <w:szCs w:val="18"/>
                <w:lang w:eastAsia="lv-LV"/>
              </w:rPr>
              <w:t>Metāli un to izstrādājumi</w:t>
            </w:r>
          </w:p>
        </w:tc>
        <w:tc>
          <w:tcPr>
            <w:tcW w:w="1329" w:type="dxa"/>
            <w:tcBorders>
              <w:top w:val="nil"/>
              <w:left w:val="nil"/>
              <w:bottom w:val="single" w:sz="4" w:space="0" w:color="auto"/>
              <w:right w:val="single" w:sz="4" w:space="0" w:color="auto"/>
            </w:tcBorders>
            <w:shd w:val="clear" w:color="auto" w:fill="auto"/>
            <w:noWrap/>
            <w:vAlign w:val="center"/>
            <w:hideMark/>
          </w:tcPr>
          <w:p w14:paraId="20EC4D7B" w14:textId="77777777" w:rsidR="00C32B3C" w:rsidRPr="00902214" w:rsidRDefault="00C32B3C" w:rsidP="00290582">
            <w:pPr>
              <w:spacing w:after="0"/>
              <w:ind w:firstLine="0"/>
              <w:jc w:val="center"/>
              <w:rPr>
                <w:color w:val="000000"/>
                <w:sz w:val="18"/>
                <w:szCs w:val="18"/>
                <w:lang w:eastAsia="lv-LV"/>
              </w:rPr>
            </w:pPr>
            <w:r w:rsidRPr="00902214">
              <w:rPr>
                <w:color w:val="000000"/>
                <w:sz w:val="18"/>
                <w:szCs w:val="18"/>
                <w:lang w:eastAsia="lv-LV"/>
              </w:rPr>
              <w:t>644</w:t>
            </w:r>
          </w:p>
        </w:tc>
        <w:tc>
          <w:tcPr>
            <w:tcW w:w="1329" w:type="dxa"/>
            <w:tcBorders>
              <w:top w:val="nil"/>
              <w:left w:val="nil"/>
              <w:bottom w:val="single" w:sz="4" w:space="0" w:color="auto"/>
              <w:right w:val="single" w:sz="4" w:space="0" w:color="auto"/>
            </w:tcBorders>
            <w:shd w:val="clear" w:color="auto" w:fill="auto"/>
            <w:noWrap/>
            <w:vAlign w:val="center"/>
            <w:hideMark/>
          </w:tcPr>
          <w:p w14:paraId="24652CFF" w14:textId="77777777" w:rsidR="00C32B3C" w:rsidRPr="00902214" w:rsidRDefault="00C32B3C" w:rsidP="00290582">
            <w:pPr>
              <w:spacing w:after="0"/>
              <w:ind w:firstLine="0"/>
              <w:jc w:val="center"/>
              <w:rPr>
                <w:color w:val="000000"/>
                <w:sz w:val="18"/>
                <w:szCs w:val="18"/>
                <w:lang w:eastAsia="lv-LV"/>
              </w:rPr>
            </w:pPr>
            <w:r w:rsidRPr="00902214">
              <w:rPr>
                <w:color w:val="000000"/>
                <w:sz w:val="18"/>
                <w:szCs w:val="18"/>
                <w:lang w:eastAsia="lv-LV"/>
              </w:rPr>
              <w:t>865</w:t>
            </w:r>
          </w:p>
        </w:tc>
        <w:tc>
          <w:tcPr>
            <w:tcW w:w="1181" w:type="dxa"/>
            <w:tcBorders>
              <w:top w:val="nil"/>
              <w:left w:val="nil"/>
              <w:bottom w:val="single" w:sz="4" w:space="0" w:color="auto"/>
              <w:right w:val="single" w:sz="4" w:space="0" w:color="auto"/>
            </w:tcBorders>
            <w:shd w:val="clear" w:color="auto" w:fill="auto"/>
            <w:noWrap/>
            <w:vAlign w:val="center"/>
            <w:hideMark/>
          </w:tcPr>
          <w:p w14:paraId="587BE6C9" w14:textId="77777777" w:rsidR="00C32B3C" w:rsidRPr="00902214" w:rsidRDefault="00C32B3C" w:rsidP="00290582">
            <w:pPr>
              <w:spacing w:after="0"/>
              <w:ind w:firstLine="0"/>
              <w:jc w:val="center"/>
              <w:rPr>
                <w:color w:val="000000"/>
                <w:sz w:val="18"/>
                <w:szCs w:val="18"/>
                <w:lang w:eastAsia="lv-LV"/>
              </w:rPr>
            </w:pPr>
            <w:r w:rsidRPr="00902214">
              <w:rPr>
                <w:color w:val="000000"/>
                <w:sz w:val="18"/>
                <w:szCs w:val="18"/>
                <w:lang w:eastAsia="lv-LV"/>
              </w:rPr>
              <w:t>221</w:t>
            </w:r>
          </w:p>
        </w:tc>
        <w:tc>
          <w:tcPr>
            <w:tcW w:w="1181" w:type="dxa"/>
            <w:tcBorders>
              <w:top w:val="nil"/>
              <w:left w:val="nil"/>
              <w:bottom w:val="single" w:sz="4" w:space="0" w:color="auto"/>
              <w:right w:val="single" w:sz="4" w:space="0" w:color="auto"/>
            </w:tcBorders>
            <w:shd w:val="clear" w:color="auto" w:fill="auto"/>
            <w:noWrap/>
            <w:vAlign w:val="center"/>
            <w:hideMark/>
          </w:tcPr>
          <w:p w14:paraId="2451970C" w14:textId="77777777" w:rsidR="00C32B3C" w:rsidRPr="00902214" w:rsidRDefault="00C32B3C" w:rsidP="00290582">
            <w:pPr>
              <w:spacing w:after="0"/>
              <w:ind w:firstLine="0"/>
              <w:jc w:val="center"/>
              <w:rPr>
                <w:color w:val="000000"/>
                <w:sz w:val="18"/>
                <w:szCs w:val="18"/>
                <w:lang w:eastAsia="lv-LV"/>
              </w:rPr>
            </w:pPr>
            <w:r w:rsidRPr="00902214">
              <w:rPr>
                <w:color w:val="000000"/>
                <w:sz w:val="18"/>
                <w:szCs w:val="18"/>
                <w:lang w:eastAsia="lv-LV"/>
              </w:rPr>
              <w:t>34%</w:t>
            </w:r>
          </w:p>
        </w:tc>
        <w:tc>
          <w:tcPr>
            <w:tcW w:w="1270" w:type="dxa"/>
            <w:tcBorders>
              <w:top w:val="nil"/>
              <w:left w:val="nil"/>
              <w:bottom w:val="single" w:sz="4" w:space="0" w:color="auto"/>
              <w:right w:val="single" w:sz="4" w:space="0" w:color="auto"/>
            </w:tcBorders>
            <w:shd w:val="clear" w:color="auto" w:fill="auto"/>
            <w:noWrap/>
            <w:vAlign w:val="center"/>
            <w:hideMark/>
          </w:tcPr>
          <w:p w14:paraId="691C5BA8" w14:textId="77777777" w:rsidR="00C32B3C" w:rsidRPr="00902214" w:rsidRDefault="00C32B3C" w:rsidP="00290582">
            <w:pPr>
              <w:spacing w:after="0"/>
              <w:ind w:firstLine="0"/>
              <w:jc w:val="center"/>
              <w:rPr>
                <w:color w:val="000000"/>
                <w:sz w:val="18"/>
                <w:szCs w:val="18"/>
                <w:lang w:eastAsia="lv-LV"/>
              </w:rPr>
            </w:pPr>
            <w:r w:rsidRPr="00902214">
              <w:rPr>
                <w:color w:val="000000"/>
                <w:sz w:val="18"/>
                <w:szCs w:val="18"/>
                <w:lang w:eastAsia="lv-LV"/>
              </w:rPr>
              <w:t>10%</w:t>
            </w:r>
          </w:p>
        </w:tc>
      </w:tr>
      <w:tr w:rsidR="00C32B3C" w:rsidRPr="00902214" w14:paraId="6315FFEF" w14:textId="77777777" w:rsidTr="00290582">
        <w:trPr>
          <w:trHeight w:val="289"/>
          <w:jc w:val="center"/>
        </w:trPr>
        <w:tc>
          <w:tcPr>
            <w:tcW w:w="2358" w:type="dxa"/>
            <w:tcBorders>
              <w:top w:val="nil"/>
              <w:left w:val="single" w:sz="4" w:space="0" w:color="auto"/>
              <w:bottom w:val="single" w:sz="4" w:space="0" w:color="auto"/>
              <w:right w:val="single" w:sz="4" w:space="0" w:color="auto"/>
            </w:tcBorders>
            <w:shd w:val="clear" w:color="auto" w:fill="auto"/>
            <w:noWrap/>
            <w:vAlign w:val="center"/>
            <w:hideMark/>
          </w:tcPr>
          <w:p w14:paraId="7CD869B1" w14:textId="77777777" w:rsidR="00C32B3C" w:rsidRPr="00902214" w:rsidRDefault="00C32B3C" w:rsidP="00290582">
            <w:pPr>
              <w:spacing w:after="0"/>
              <w:ind w:firstLine="0"/>
              <w:rPr>
                <w:color w:val="000000"/>
                <w:sz w:val="18"/>
                <w:szCs w:val="18"/>
                <w:lang w:eastAsia="lv-LV"/>
              </w:rPr>
            </w:pPr>
            <w:r w:rsidRPr="00902214">
              <w:rPr>
                <w:color w:val="000000"/>
                <w:sz w:val="18"/>
                <w:szCs w:val="18"/>
                <w:lang w:eastAsia="lv-LV"/>
              </w:rPr>
              <w:t>Ķīmiskās rūpniecības ražojumi</w:t>
            </w:r>
          </w:p>
        </w:tc>
        <w:tc>
          <w:tcPr>
            <w:tcW w:w="1329" w:type="dxa"/>
            <w:tcBorders>
              <w:top w:val="nil"/>
              <w:left w:val="nil"/>
              <w:bottom w:val="single" w:sz="4" w:space="0" w:color="auto"/>
              <w:right w:val="single" w:sz="4" w:space="0" w:color="auto"/>
            </w:tcBorders>
            <w:shd w:val="clear" w:color="auto" w:fill="auto"/>
            <w:noWrap/>
            <w:vAlign w:val="center"/>
            <w:hideMark/>
          </w:tcPr>
          <w:p w14:paraId="155BA403" w14:textId="77777777" w:rsidR="00C32B3C" w:rsidRPr="00902214" w:rsidRDefault="00C32B3C" w:rsidP="00290582">
            <w:pPr>
              <w:spacing w:after="0"/>
              <w:ind w:firstLine="0"/>
              <w:jc w:val="center"/>
              <w:rPr>
                <w:color w:val="000000"/>
                <w:sz w:val="18"/>
                <w:szCs w:val="18"/>
                <w:lang w:eastAsia="lv-LV"/>
              </w:rPr>
            </w:pPr>
            <w:r w:rsidRPr="00902214">
              <w:rPr>
                <w:color w:val="000000"/>
                <w:sz w:val="18"/>
                <w:szCs w:val="18"/>
                <w:lang w:eastAsia="lv-LV"/>
              </w:rPr>
              <w:t>585</w:t>
            </w:r>
          </w:p>
        </w:tc>
        <w:tc>
          <w:tcPr>
            <w:tcW w:w="1329" w:type="dxa"/>
            <w:tcBorders>
              <w:top w:val="nil"/>
              <w:left w:val="nil"/>
              <w:bottom w:val="single" w:sz="4" w:space="0" w:color="auto"/>
              <w:right w:val="single" w:sz="4" w:space="0" w:color="auto"/>
            </w:tcBorders>
            <w:shd w:val="clear" w:color="auto" w:fill="auto"/>
            <w:noWrap/>
            <w:vAlign w:val="center"/>
            <w:hideMark/>
          </w:tcPr>
          <w:p w14:paraId="77AFD28A" w14:textId="77777777" w:rsidR="00C32B3C" w:rsidRPr="00902214" w:rsidRDefault="00C32B3C" w:rsidP="00290582">
            <w:pPr>
              <w:spacing w:after="0"/>
              <w:ind w:firstLine="0"/>
              <w:jc w:val="center"/>
              <w:rPr>
                <w:color w:val="000000"/>
                <w:sz w:val="18"/>
                <w:szCs w:val="18"/>
                <w:lang w:eastAsia="lv-LV"/>
              </w:rPr>
            </w:pPr>
            <w:r w:rsidRPr="00902214">
              <w:rPr>
                <w:color w:val="000000"/>
                <w:sz w:val="18"/>
                <w:szCs w:val="18"/>
                <w:lang w:eastAsia="lv-LV"/>
              </w:rPr>
              <w:t>719</w:t>
            </w:r>
          </w:p>
        </w:tc>
        <w:tc>
          <w:tcPr>
            <w:tcW w:w="1181" w:type="dxa"/>
            <w:tcBorders>
              <w:top w:val="nil"/>
              <w:left w:val="nil"/>
              <w:bottom w:val="single" w:sz="4" w:space="0" w:color="auto"/>
              <w:right w:val="single" w:sz="4" w:space="0" w:color="auto"/>
            </w:tcBorders>
            <w:shd w:val="clear" w:color="auto" w:fill="auto"/>
            <w:noWrap/>
            <w:vAlign w:val="center"/>
            <w:hideMark/>
          </w:tcPr>
          <w:p w14:paraId="2F2CF4F7" w14:textId="77777777" w:rsidR="00C32B3C" w:rsidRPr="00902214" w:rsidRDefault="00C32B3C" w:rsidP="00290582">
            <w:pPr>
              <w:spacing w:after="0"/>
              <w:ind w:firstLine="0"/>
              <w:jc w:val="center"/>
              <w:rPr>
                <w:color w:val="000000"/>
                <w:sz w:val="18"/>
                <w:szCs w:val="18"/>
                <w:lang w:eastAsia="lv-LV"/>
              </w:rPr>
            </w:pPr>
            <w:r w:rsidRPr="00902214">
              <w:rPr>
                <w:color w:val="000000"/>
                <w:sz w:val="18"/>
                <w:szCs w:val="18"/>
                <w:lang w:eastAsia="lv-LV"/>
              </w:rPr>
              <w:t>135</w:t>
            </w:r>
          </w:p>
        </w:tc>
        <w:tc>
          <w:tcPr>
            <w:tcW w:w="1181" w:type="dxa"/>
            <w:tcBorders>
              <w:top w:val="nil"/>
              <w:left w:val="nil"/>
              <w:bottom w:val="single" w:sz="4" w:space="0" w:color="auto"/>
              <w:right w:val="single" w:sz="4" w:space="0" w:color="auto"/>
            </w:tcBorders>
            <w:shd w:val="clear" w:color="auto" w:fill="auto"/>
            <w:noWrap/>
            <w:vAlign w:val="center"/>
            <w:hideMark/>
          </w:tcPr>
          <w:p w14:paraId="6ABE72E2" w14:textId="77777777" w:rsidR="00C32B3C" w:rsidRPr="00902214" w:rsidRDefault="00C32B3C" w:rsidP="00290582">
            <w:pPr>
              <w:spacing w:after="0"/>
              <w:ind w:firstLine="0"/>
              <w:jc w:val="center"/>
              <w:rPr>
                <w:color w:val="000000"/>
                <w:sz w:val="18"/>
                <w:szCs w:val="18"/>
                <w:lang w:eastAsia="lv-LV"/>
              </w:rPr>
            </w:pPr>
            <w:r w:rsidRPr="00902214">
              <w:rPr>
                <w:color w:val="000000"/>
                <w:sz w:val="18"/>
                <w:szCs w:val="18"/>
                <w:lang w:eastAsia="lv-LV"/>
              </w:rPr>
              <w:t>23%</w:t>
            </w:r>
          </w:p>
        </w:tc>
        <w:tc>
          <w:tcPr>
            <w:tcW w:w="1270" w:type="dxa"/>
            <w:tcBorders>
              <w:top w:val="nil"/>
              <w:left w:val="nil"/>
              <w:bottom w:val="single" w:sz="4" w:space="0" w:color="auto"/>
              <w:right w:val="single" w:sz="4" w:space="0" w:color="auto"/>
            </w:tcBorders>
            <w:shd w:val="clear" w:color="auto" w:fill="auto"/>
            <w:noWrap/>
            <w:vAlign w:val="center"/>
            <w:hideMark/>
          </w:tcPr>
          <w:p w14:paraId="274A2910" w14:textId="77777777" w:rsidR="00C32B3C" w:rsidRPr="00902214" w:rsidRDefault="00C32B3C" w:rsidP="00290582">
            <w:pPr>
              <w:spacing w:after="0"/>
              <w:ind w:firstLine="0"/>
              <w:jc w:val="center"/>
              <w:rPr>
                <w:color w:val="000000"/>
                <w:sz w:val="18"/>
                <w:szCs w:val="18"/>
                <w:lang w:eastAsia="lv-LV"/>
              </w:rPr>
            </w:pPr>
            <w:r w:rsidRPr="00902214">
              <w:rPr>
                <w:color w:val="000000"/>
                <w:sz w:val="18"/>
                <w:szCs w:val="18"/>
                <w:lang w:eastAsia="lv-LV"/>
              </w:rPr>
              <w:t>8%</w:t>
            </w:r>
          </w:p>
        </w:tc>
      </w:tr>
      <w:tr w:rsidR="00C32B3C" w:rsidRPr="00902214" w14:paraId="368FBBC9" w14:textId="77777777" w:rsidTr="00290582">
        <w:trPr>
          <w:trHeight w:val="289"/>
          <w:jc w:val="center"/>
        </w:trPr>
        <w:tc>
          <w:tcPr>
            <w:tcW w:w="2358" w:type="dxa"/>
            <w:tcBorders>
              <w:top w:val="nil"/>
              <w:left w:val="single" w:sz="4" w:space="0" w:color="auto"/>
              <w:bottom w:val="single" w:sz="4" w:space="0" w:color="auto"/>
              <w:right w:val="single" w:sz="4" w:space="0" w:color="auto"/>
            </w:tcBorders>
            <w:shd w:val="clear" w:color="auto" w:fill="auto"/>
            <w:noWrap/>
            <w:vAlign w:val="center"/>
            <w:hideMark/>
          </w:tcPr>
          <w:p w14:paraId="5E086BB5" w14:textId="77777777" w:rsidR="00C32B3C" w:rsidRPr="00902214" w:rsidRDefault="00C32B3C" w:rsidP="00290582">
            <w:pPr>
              <w:spacing w:after="0"/>
              <w:ind w:firstLine="0"/>
              <w:rPr>
                <w:color w:val="000000"/>
                <w:sz w:val="18"/>
                <w:szCs w:val="18"/>
                <w:lang w:eastAsia="lv-LV"/>
              </w:rPr>
            </w:pPr>
            <w:r w:rsidRPr="00902214">
              <w:rPr>
                <w:color w:val="000000"/>
                <w:sz w:val="18"/>
                <w:szCs w:val="18"/>
                <w:lang w:eastAsia="lv-LV"/>
              </w:rPr>
              <w:t>Pārējās preces</w:t>
            </w:r>
          </w:p>
        </w:tc>
        <w:tc>
          <w:tcPr>
            <w:tcW w:w="1329" w:type="dxa"/>
            <w:tcBorders>
              <w:top w:val="nil"/>
              <w:left w:val="nil"/>
              <w:bottom w:val="single" w:sz="4" w:space="0" w:color="auto"/>
              <w:right w:val="single" w:sz="4" w:space="0" w:color="auto"/>
            </w:tcBorders>
            <w:shd w:val="clear" w:color="auto" w:fill="auto"/>
            <w:noWrap/>
            <w:vAlign w:val="center"/>
            <w:hideMark/>
          </w:tcPr>
          <w:p w14:paraId="0418F093" w14:textId="77777777" w:rsidR="00C32B3C" w:rsidRPr="00902214" w:rsidRDefault="00C32B3C" w:rsidP="00290582">
            <w:pPr>
              <w:spacing w:after="0"/>
              <w:ind w:firstLine="0"/>
              <w:jc w:val="center"/>
              <w:rPr>
                <w:color w:val="000000"/>
                <w:sz w:val="18"/>
                <w:szCs w:val="18"/>
                <w:lang w:eastAsia="lv-LV"/>
              </w:rPr>
            </w:pPr>
            <w:r w:rsidRPr="00902214">
              <w:rPr>
                <w:color w:val="000000"/>
                <w:sz w:val="18"/>
                <w:szCs w:val="18"/>
                <w:lang w:eastAsia="lv-LV"/>
              </w:rPr>
              <w:t>476</w:t>
            </w:r>
          </w:p>
        </w:tc>
        <w:tc>
          <w:tcPr>
            <w:tcW w:w="1329" w:type="dxa"/>
            <w:tcBorders>
              <w:top w:val="nil"/>
              <w:left w:val="nil"/>
              <w:bottom w:val="single" w:sz="4" w:space="0" w:color="auto"/>
              <w:right w:val="single" w:sz="4" w:space="0" w:color="auto"/>
            </w:tcBorders>
            <w:shd w:val="clear" w:color="auto" w:fill="auto"/>
            <w:noWrap/>
            <w:vAlign w:val="center"/>
            <w:hideMark/>
          </w:tcPr>
          <w:p w14:paraId="4BD1E782" w14:textId="77777777" w:rsidR="00C32B3C" w:rsidRPr="00902214" w:rsidRDefault="00C32B3C" w:rsidP="00290582">
            <w:pPr>
              <w:spacing w:after="0"/>
              <w:ind w:firstLine="0"/>
              <w:jc w:val="center"/>
              <w:rPr>
                <w:color w:val="000000"/>
                <w:sz w:val="18"/>
                <w:szCs w:val="18"/>
                <w:lang w:eastAsia="lv-LV"/>
              </w:rPr>
            </w:pPr>
            <w:r w:rsidRPr="00902214">
              <w:rPr>
                <w:color w:val="000000"/>
                <w:sz w:val="18"/>
                <w:szCs w:val="18"/>
                <w:lang w:eastAsia="lv-LV"/>
              </w:rPr>
              <w:t>551</w:t>
            </w:r>
          </w:p>
        </w:tc>
        <w:tc>
          <w:tcPr>
            <w:tcW w:w="1181" w:type="dxa"/>
            <w:tcBorders>
              <w:top w:val="nil"/>
              <w:left w:val="nil"/>
              <w:bottom w:val="single" w:sz="4" w:space="0" w:color="auto"/>
              <w:right w:val="single" w:sz="4" w:space="0" w:color="auto"/>
            </w:tcBorders>
            <w:shd w:val="clear" w:color="auto" w:fill="auto"/>
            <w:noWrap/>
            <w:vAlign w:val="center"/>
            <w:hideMark/>
          </w:tcPr>
          <w:p w14:paraId="4EAB313B" w14:textId="77777777" w:rsidR="00C32B3C" w:rsidRPr="00902214" w:rsidRDefault="00C32B3C" w:rsidP="00290582">
            <w:pPr>
              <w:spacing w:after="0"/>
              <w:ind w:firstLine="0"/>
              <w:jc w:val="center"/>
              <w:rPr>
                <w:color w:val="000000"/>
                <w:sz w:val="18"/>
                <w:szCs w:val="18"/>
                <w:lang w:eastAsia="lv-LV"/>
              </w:rPr>
            </w:pPr>
            <w:r w:rsidRPr="00902214">
              <w:rPr>
                <w:color w:val="000000"/>
                <w:sz w:val="18"/>
                <w:szCs w:val="18"/>
                <w:lang w:eastAsia="lv-LV"/>
              </w:rPr>
              <w:t>76</w:t>
            </w:r>
          </w:p>
        </w:tc>
        <w:tc>
          <w:tcPr>
            <w:tcW w:w="1181" w:type="dxa"/>
            <w:tcBorders>
              <w:top w:val="nil"/>
              <w:left w:val="nil"/>
              <w:bottom w:val="single" w:sz="4" w:space="0" w:color="auto"/>
              <w:right w:val="single" w:sz="4" w:space="0" w:color="auto"/>
            </w:tcBorders>
            <w:shd w:val="clear" w:color="auto" w:fill="auto"/>
            <w:noWrap/>
            <w:vAlign w:val="center"/>
            <w:hideMark/>
          </w:tcPr>
          <w:p w14:paraId="188C7775" w14:textId="77777777" w:rsidR="00C32B3C" w:rsidRPr="00902214" w:rsidRDefault="00C32B3C" w:rsidP="00290582">
            <w:pPr>
              <w:spacing w:after="0"/>
              <w:ind w:firstLine="0"/>
              <w:jc w:val="center"/>
              <w:rPr>
                <w:color w:val="000000"/>
                <w:sz w:val="18"/>
                <w:szCs w:val="18"/>
                <w:lang w:eastAsia="lv-LV"/>
              </w:rPr>
            </w:pPr>
            <w:r w:rsidRPr="00902214">
              <w:rPr>
                <w:color w:val="000000"/>
                <w:sz w:val="18"/>
                <w:szCs w:val="18"/>
                <w:lang w:eastAsia="lv-LV"/>
              </w:rPr>
              <w:t>16%</w:t>
            </w:r>
          </w:p>
        </w:tc>
        <w:tc>
          <w:tcPr>
            <w:tcW w:w="1270" w:type="dxa"/>
            <w:tcBorders>
              <w:top w:val="nil"/>
              <w:left w:val="nil"/>
              <w:bottom w:val="single" w:sz="4" w:space="0" w:color="auto"/>
              <w:right w:val="single" w:sz="4" w:space="0" w:color="auto"/>
            </w:tcBorders>
            <w:shd w:val="clear" w:color="auto" w:fill="auto"/>
            <w:noWrap/>
            <w:vAlign w:val="center"/>
            <w:hideMark/>
          </w:tcPr>
          <w:p w14:paraId="5FCF80DE" w14:textId="77777777" w:rsidR="00C32B3C" w:rsidRPr="00902214" w:rsidRDefault="00C32B3C" w:rsidP="00290582">
            <w:pPr>
              <w:spacing w:after="0"/>
              <w:ind w:firstLine="0"/>
              <w:jc w:val="center"/>
              <w:rPr>
                <w:color w:val="000000"/>
                <w:sz w:val="18"/>
                <w:szCs w:val="18"/>
                <w:lang w:eastAsia="lv-LV"/>
              </w:rPr>
            </w:pPr>
            <w:r w:rsidRPr="00902214">
              <w:rPr>
                <w:color w:val="000000"/>
                <w:sz w:val="18"/>
                <w:szCs w:val="18"/>
                <w:lang w:eastAsia="lv-LV"/>
              </w:rPr>
              <w:t>6%</w:t>
            </w:r>
          </w:p>
        </w:tc>
      </w:tr>
      <w:tr w:rsidR="00C32B3C" w:rsidRPr="00902214" w14:paraId="0E11DD99" w14:textId="77777777" w:rsidTr="00290582">
        <w:trPr>
          <w:trHeight w:val="289"/>
          <w:jc w:val="center"/>
        </w:trPr>
        <w:tc>
          <w:tcPr>
            <w:tcW w:w="2358" w:type="dxa"/>
            <w:tcBorders>
              <w:top w:val="nil"/>
              <w:left w:val="single" w:sz="4" w:space="0" w:color="auto"/>
              <w:bottom w:val="single" w:sz="4" w:space="0" w:color="auto"/>
              <w:right w:val="single" w:sz="4" w:space="0" w:color="auto"/>
            </w:tcBorders>
            <w:shd w:val="clear" w:color="auto" w:fill="auto"/>
            <w:noWrap/>
            <w:vAlign w:val="center"/>
            <w:hideMark/>
          </w:tcPr>
          <w:p w14:paraId="4323E084" w14:textId="77777777" w:rsidR="00C32B3C" w:rsidRPr="00902214" w:rsidRDefault="00C32B3C" w:rsidP="00290582">
            <w:pPr>
              <w:spacing w:after="0"/>
              <w:ind w:firstLine="0"/>
              <w:rPr>
                <w:color w:val="000000"/>
                <w:sz w:val="18"/>
                <w:szCs w:val="18"/>
                <w:lang w:eastAsia="lv-LV"/>
              </w:rPr>
            </w:pPr>
            <w:proofErr w:type="spellStart"/>
            <w:r w:rsidRPr="00902214">
              <w:rPr>
                <w:color w:val="000000"/>
                <w:sz w:val="18"/>
                <w:szCs w:val="18"/>
                <w:lang w:eastAsia="lv-LV"/>
              </w:rPr>
              <w:t>Minerālprodukti</w:t>
            </w:r>
            <w:proofErr w:type="spellEnd"/>
          </w:p>
        </w:tc>
        <w:tc>
          <w:tcPr>
            <w:tcW w:w="1329" w:type="dxa"/>
            <w:tcBorders>
              <w:top w:val="nil"/>
              <w:left w:val="nil"/>
              <w:bottom w:val="single" w:sz="4" w:space="0" w:color="auto"/>
              <w:right w:val="single" w:sz="4" w:space="0" w:color="auto"/>
            </w:tcBorders>
            <w:shd w:val="clear" w:color="auto" w:fill="auto"/>
            <w:noWrap/>
            <w:vAlign w:val="center"/>
            <w:hideMark/>
          </w:tcPr>
          <w:p w14:paraId="52690144" w14:textId="77777777" w:rsidR="00C32B3C" w:rsidRPr="00902214" w:rsidRDefault="00C32B3C" w:rsidP="00290582">
            <w:pPr>
              <w:spacing w:after="0"/>
              <w:ind w:firstLine="0"/>
              <w:jc w:val="center"/>
              <w:rPr>
                <w:color w:val="000000"/>
                <w:sz w:val="18"/>
                <w:szCs w:val="18"/>
                <w:lang w:eastAsia="lv-LV"/>
              </w:rPr>
            </w:pPr>
            <w:r w:rsidRPr="00902214">
              <w:rPr>
                <w:color w:val="000000"/>
                <w:sz w:val="18"/>
                <w:szCs w:val="18"/>
                <w:lang w:eastAsia="lv-LV"/>
              </w:rPr>
              <w:t>312</w:t>
            </w:r>
          </w:p>
        </w:tc>
        <w:tc>
          <w:tcPr>
            <w:tcW w:w="1329" w:type="dxa"/>
            <w:tcBorders>
              <w:top w:val="nil"/>
              <w:left w:val="nil"/>
              <w:bottom w:val="single" w:sz="4" w:space="0" w:color="auto"/>
              <w:right w:val="single" w:sz="4" w:space="0" w:color="auto"/>
            </w:tcBorders>
            <w:shd w:val="clear" w:color="auto" w:fill="auto"/>
            <w:noWrap/>
            <w:vAlign w:val="center"/>
            <w:hideMark/>
          </w:tcPr>
          <w:p w14:paraId="21627B53" w14:textId="77777777" w:rsidR="00C32B3C" w:rsidRPr="00902214" w:rsidRDefault="00C32B3C" w:rsidP="00290582">
            <w:pPr>
              <w:spacing w:after="0"/>
              <w:ind w:firstLine="0"/>
              <w:jc w:val="center"/>
              <w:rPr>
                <w:color w:val="000000"/>
                <w:sz w:val="18"/>
                <w:szCs w:val="18"/>
                <w:lang w:eastAsia="lv-LV"/>
              </w:rPr>
            </w:pPr>
            <w:r w:rsidRPr="00902214">
              <w:rPr>
                <w:color w:val="000000"/>
                <w:sz w:val="18"/>
                <w:szCs w:val="18"/>
                <w:lang w:eastAsia="lv-LV"/>
              </w:rPr>
              <w:t>466</w:t>
            </w:r>
          </w:p>
        </w:tc>
        <w:tc>
          <w:tcPr>
            <w:tcW w:w="1181" w:type="dxa"/>
            <w:tcBorders>
              <w:top w:val="nil"/>
              <w:left w:val="nil"/>
              <w:bottom w:val="single" w:sz="4" w:space="0" w:color="auto"/>
              <w:right w:val="single" w:sz="4" w:space="0" w:color="auto"/>
            </w:tcBorders>
            <w:shd w:val="clear" w:color="auto" w:fill="auto"/>
            <w:noWrap/>
            <w:vAlign w:val="center"/>
            <w:hideMark/>
          </w:tcPr>
          <w:p w14:paraId="5A21EF06" w14:textId="77777777" w:rsidR="00C32B3C" w:rsidRPr="00902214" w:rsidRDefault="00C32B3C" w:rsidP="00290582">
            <w:pPr>
              <w:spacing w:after="0"/>
              <w:ind w:firstLine="0"/>
              <w:jc w:val="center"/>
              <w:rPr>
                <w:color w:val="000000"/>
                <w:sz w:val="18"/>
                <w:szCs w:val="18"/>
                <w:lang w:eastAsia="lv-LV"/>
              </w:rPr>
            </w:pPr>
            <w:r w:rsidRPr="00902214">
              <w:rPr>
                <w:color w:val="000000"/>
                <w:sz w:val="18"/>
                <w:szCs w:val="18"/>
                <w:lang w:eastAsia="lv-LV"/>
              </w:rPr>
              <w:t>153</w:t>
            </w:r>
          </w:p>
        </w:tc>
        <w:tc>
          <w:tcPr>
            <w:tcW w:w="1181" w:type="dxa"/>
            <w:tcBorders>
              <w:top w:val="nil"/>
              <w:left w:val="nil"/>
              <w:bottom w:val="single" w:sz="4" w:space="0" w:color="auto"/>
              <w:right w:val="single" w:sz="4" w:space="0" w:color="auto"/>
            </w:tcBorders>
            <w:shd w:val="clear" w:color="auto" w:fill="auto"/>
            <w:noWrap/>
            <w:vAlign w:val="center"/>
            <w:hideMark/>
          </w:tcPr>
          <w:p w14:paraId="62DBAB25" w14:textId="77777777" w:rsidR="00C32B3C" w:rsidRPr="00902214" w:rsidRDefault="00C32B3C" w:rsidP="00290582">
            <w:pPr>
              <w:spacing w:after="0"/>
              <w:ind w:firstLine="0"/>
              <w:jc w:val="center"/>
              <w:rPr>
                <w:color w:val="000000"/>
                <w:sz w:val="18"/>
                <w:szCs w:val="18"/>
                <w:lang w:eastAsia="lv-LV"/>
              </w:rPr>
            </w:pPr>
            <w:r w:rsidRPr="00902214">
              <w:rPr>
                <w:color w:val="000000"/>
                <w:sz w:val="18"/>
                <w:szCs w:val="18"/>
                <w:lang w:eastAsia="lv-LV"/>
              </w:rPr>
              <w:t>49%</w:t>
            </w:r>
          </w:p>
        </w:tc>
        <w:tc>
          <w:tcPr>
            <w:tcW w:w="1270" w:type="dxa"/>
            <w:tcBorders>
              <w:top w:val="nil"/>
              <w:left w:val="nil"/>
              <w:bottom w:val="single" w:sz="4" w:space="0" w:color="auto"/>
              <w:right w:val="single" w:sz="4" w:space="0" w:color="auto"/>
            </w:tcBorders>
            <w:shd w:val="clear" w:color="auto" w:fill="auto"/>
            <w:noWrap/>
            <w:vAlign w:val="center"/>
            <w:hideMark/>
          </w:tcPr>
          <w:p w14:paraId="20418ED9" w14:textId="77777777" w:rsidR="00C32B3C" w:rsidRPr="00902214" w:rsidRDefault="00C32B3C" w:rsidP="00290582">
            <w:pPr>
              <w:spacing w:after="0"/>
              <w:ind w:firstLine="0"/>
              <w:jc w:val="center"/>
              <w:rPr>
                <w:color w:val="000000"/>
                <w:sz w:val="18"/>
                <w:szCs w:val="18"/>
                <w:lang w:eastAsia="lv-LV"/>
              </w:rPr>
            </w:pPr>
            <w:r w:rsidRPr="00902214">
              <w:rPr>
                <w:color w:val="000000"/>
                <w:sz w:val="18"/>
                <w:szCs w:val="18"/>
                <w:lang w:eastAsia="lv-LV"/>
              </w:rPr>
              <w:t>5%</w:t>
            </w:r>
          </w:p>
        </w:tc>
      </w:tr>
      <w:tr w:rsidR="00C32B3C" w:rsidRPr="00902214" w14:paraId="1F0E4747" w14:textId="77777777" w:rsidTr="00290582">
        <w:trPr>
          <w:trHeight w:val="289"/>
          <w:jc w:val="center"/>
        </w:trPr>
        <w:tc>
          <w:tcPr>
            <w:tcW w:w="2358" w:type="dxa"/>
            <w:tcBorders>
              <w:top w:val="nil"/>
              <w:left w:val="single" w:sz="4" w:space="0" w:color="auto"/>
              <w:bottom w:val="single" w:sz="4" w:space="0" w:color="auto"/>
              <w:right w:val="single" w:sz="4" w:space="0" w:color="auto"/>
            </w:tcBorders>
            <w:shd w:val="clear" w:color="auto" w:fill="auto"/>
            <w:noWrap/>
            <w:vAlign w:val="center"/>
            <w:hideMark/>
          </w:tcPr>
          <w:p w14:paraId="5E6EE3FD" w14:textId="77777777" w:rsidR="00C32B3C" w:rsidRPr="00902214" w:rsidRDefault="00C32B3C" w:rsidP="00290582">
            <w:pPr>
              <w:spacing w:after="0"/>
              <w:ind w:firstLine="0"/>
              <w:rPr>
                <w:color w:val="000000"/>
                <w:sz w:val="18"/>
                <w:szCs w:val="18"/>
                <w:lang w:eastAsia="lv-LV"/>
              </w:rPr>
            </w:pPr>
            <w:r w:rsidRPr="00902214">
              <w:rPr>
                <w:color w:val="000000"/>
                <w:sz w:val="18"/>
                <w:szCs w:val="18"/>
                <w:lang w:eastAsia="lv-LV"/>
              </w:rPr>
              <w:t>Satiksmes līdzekļi</w:t>
            </w:r>
          </w:p>
        </w:tc>
        <w:tc>
          <w:tcPr>
            <w:tcW w:w="1329" w:type="dxa"/>
            <w:tcBorders>
              <w:top w:val="nil"/>
              <w:left w:val="nil"/>
              <w:bottom w:val="single" w:sz="4" w:space="0" w:color="auto"/>
              <w:right w:val="single" w:sz="4" w:space="0" w:color="auto"/>
            </w:tcBorders>
            <w:shd w:val="clear" w:color="auto" w:fill="auto"/>
            <w:noWrap/>
            <w:vAlign w:val="center"/>
            <w:hideMark/>
          </w:tcPr>
          <w:p w14:paraId="5F2D3D98" w14:textId="77777777" w:rsidR="00C32B3C" w:rsidRPr="00902214" w:rsidRDefault="00C32B3C" w:rsidP="00290582">
            <w:pPr>
              <w:spacing w:after="0"/>
              <w:ind w:firstLine="0"/>
              <w:jc w:val="center"/>
              <w:rPr>
                <w:color w:val="000000"/>
                <w:sz w:val="18"/>
                <w:szCs w:val="18"/>
                <w:lang w:eastAsia="lv-LV"/>
              </w:rPr>
            </w:pPr>
            <w:r w:rsidRPr="00902214">
              <w:rPr>
                <w:color w:val="000000"/>
                <w:sz w:val="18"/>
                <w:szCs w:val="18"/>
                <w:lang w:eastAsia="lv-LV"/>
              </w:rPr>
              <w:t>373</w:t>
            </w:r>
          </w:p>
        </w:tc>
        <w:tc>
          <w:tcPr>
            <w:tcW w:w="1329" w:type="dxa"/>
            <w:tcBorders>
              <w:top w:val="nil"/>
              <w:left w:val="nil"/>
              <w:bottom w:val="single" w:sz="4" w:space="0" w:color="auto"/>
              <w:right w:val="single" w:sz="4" w:space="0" w:color="auto"/>
            </w:tcBorders>
            <w:shd w:val="clear" w:color="auto" w:fill="auto"/>
            <w:noWrap/>
            <w:vAlign w:val="center"/>
            <w:hideMark/>
          </w:tcPr>
          <w:p w14:paraId="65A0E481" w14:textId="77777777" w:rsidR="00C32B3C" w:rsidRPr="00902214" w:rsidRDefault="00C32B3C" w:rsidP="00290582">
            <w:pPr>
              <w:spacing w:after="0"/>
              <w:ind w:firstLine="0"/>
              <w:jc w:val="center"/>
              <w:rPr>
                <w:color w:val="000000"/>
                <w:sz w:val="18"/>
                <w:szCs w:val="18"/>
                <w:lang w:eastAsia="lv-LV"/>
              </w:rPr>
            </w:pPr>
            <w:r w:rsidRPr="00902214">
              <w:rPr>
                <w:color w:val="000000"/>
                <w:sz w:val="18"/>
                <w:szCs w:val="18"/>
                <w:lang w:eastAsia="lv-LV"/>
              </w:rPr>
              <w:t>439</w:t>
            </w:r>
          </w:p>
        </w:tc>
        <w:tc>
          <w:tcPr>
            <w:tcW w:w="1181" w:type="dxa"/>
            <w:tcBorders>
              <w:top w:val="nil"/>
              <w:left w:val="nil"/>
              <w:bottom w:val="single" w:sz="4" w:space="0" w:color="auto"/>
              <w:right w:val="single" w:sz="4" w:space="0" w:color="auto"/>
            </w:tcBorders>
            <w:shd w:val="clear" w:color="auto" w:fill="auto"/>
            <w:noWrap/>
            <w:vAlign w:val="center"/>
            <w:hideMark/>
          </w:tcPr>
          <w:p w14:paraId="686B2578" w14:textId="77777777" w:rsidR="00C32B3C" w:rsidRPr="00902214" w:rsidRDefault="00C32B3C" w:rsidP="00290582">
            <w:pPr>
              <w:spacing w:after="0"/>
              <w:ind w:firstLine="0"/>
              <w:jc w:val="center"/>
              <w:rPr>
                <w:color w:val="000000"/>
                <w:sz w:val="18"/>
                <w:szCs w:val="18"/>
                <w:lang w:eastAsia="lv-LV"/>
              </w:rPr>
            </w:pPr>
            <w:r w:rsidRPr="00902214">
              <w:rPr>
                <w:color w:val="000000"/>
                <w:sz w:val="18"/>
                <w:szCs w:val="18"/>
                <w:lang w:eastAsia="lv-LV"/>
              </w:rPr>
              <w:t>66</w:t>
            </w:r>
          </w:p>
        </w:tc>
        <w:tc>
          <w:tcPr>
            <w:tcW w:w="1181" w:type="dxa"/>
            <w:tcBorders>
              <w:top w:val="nil"/>
              <w:left w:val="nil"/>
              <w:bottom w:val="single" w:sz="4" w:space="0" w:color="auto"/>
              <w:right w:val="single" w:sz="4" w:space="0" w:color="auto"/>
            </w:tcBorders>
            <w:shd w:val="clear" w:color="auto" w:fill="auto"/>
            <w:noWrap/>
            <w:vAlign w:val="center"/>
            <w:hideMark/>
          </w:tcPr>
          <w:p w14:paraId="7189490D" w14:textId="77777777" w:rsidR="00C32B3C" w:rsidRPr="00902214" w:rsidRDefault="00C32B3C" w:rsidP="00290582">
            <w:pPr>
              <w:spacing w:after="0"/>
              <w:ind w:firstLine="0"/>
              <w:jc w:val="center"/>
              <w:rPr>
                <w:color w:val="000000"/>
                <w:sz w:val="18"/>
                <w:szCs w:val="18"/>
                <w:lang w:eastAsia="lv-LV"/>
              </w:rPr>
            </w:pPr>
            <w:r w:rsidRPr="00902214">
              <w:rPr>
                <w:color w:val="000000"/>
                <w:sz w:val="18"/>
                <w:szCs w:val="18"/>
                <w:lang w:eastAsia="lv-LV"/>
              </w:rPr>
              <w:t>18%</w:t>
            </w:r>
          </w:p>
        </w:tc>
        <w:tc>
          <w:tcPr>
            <w:tcW w:w="1270" w:type="dxa"/>
            <w:tcBorders>
              <w:top w:val="nil"/>
              <w:left w:val="nil"/>
              <w:bottom w:val="single" w:sz="4" w:space="0" w:color="auto"/>
              <w:right w:val="single" w:sz="4" w:space="0" w:color="auto"/>
            </w:tcBorders>
            <w:shd w:val="clear" w:color="auto" w:fill="auto"/>
            <w:noWrap/>
            <w:vAlign w:val="center"/>
            <w:hideMark/>
          </w:tcPr>
          <w:p w14:paraId="3AC47D78" w14:textId="77777777" w:rsidR="00C32B3C" w:rsidRPr="00902214" w:rsidRDefault="00C32B3C" w:rsidP="00290582">
            <w:pPr>
              <w:spacing w:after="0"/>
              <w:ind w:firstLine="0"/>
              <w:jc w:val="center"/>
              <w:rPr>
                <w:color w:val="000000"/>
                <w:sz w:val="18"/>
                <w:szCs w:val="18"/>
                <w:lang w:eastAsia="lv-LV"/>
              </w:rPr>
            </w:pPr>
            <w:r w:rsidRPr="00902214">
              <w:rPr>
                <w:color w:val="000000"/>
                <w:sz w:val="18"/>
                <w:szCs w:val="18"/>
                <w:lang w:eastAsia="lv-LV"/>
              </w:rPr>
              <w:t>5%</w:t>
            </w:r>
          </w:p>
        </w:tc>
      </w:tr>
      <w:tr w:rsidR="00C32B3C" w:rsidRPr="00902214" w14:paraId="579D70B0" w14:textId="77777777" w:rsidTr="00290582">
        <w:trPr>
          <w:trHeight w:val="289"/>
          <w:jc w:val="center"/>
        </w:trPr>
        <w:tc>
          <w:tcPr>
            <w:tcW w:w="2358" w:type="dxa"/>
            <w:tcBorders>
              <w:top w:val="nil"/>
              <w:left w:val="single" w:sz="4" w:space="0" w:color="auto"/>
              <w:bottom w:val="single" w:sz="4" w:space="0" w:color="auto"/>
              <w:right w:val="single" w:sz="4" w:space="0" w:color="auto"/>
            </w:tcBorders>
            <w:shd w:val="clear" w:color="auto" w:fill="auto"/>
            <w:noWrap/>
            <w:vAlign w:val="center"/>
            <w:hideMark/>
          </w:tcPr>
          <w:p w14:paraId="01D12ABD" w14:textId="77777777" w:rsidR="00C32B3C" w:rsidRPr="00902214" w:rsidRDefault="00C32B3C" w:rsidP="00290582">
            <w:pPr>
              <w:spacing w:after="0"/>
              <w:ind w:firstLine="0"/>
              <w:rPr>
                <w:color w:val="000000"/>
                <w:sz w:val="18"/>
                <w:szCs w:val="18"/>
                <w:lang w:eastAsia="lv-LV"/>
              </w:rPr>
            </w:pPr>
            <w:r w:rsidRPr="00902214">
              <w:rPr>
                <w:color w:val="000000"/>
                <w:sz w:val="18"/>
                <w:szCs w:val="18"/>
                <w:lang w:eastAsia="lv-LV"/>
              </w:rPr>
              <w:t>Plastmasas, kaučuks un to izstrādājumi</w:t>
            </w:r>
          </w:p>
        </w:tc>
        <w:tc>
          <w:tcPr>
            <w:tcW w:w="1329" w:type="dxa"/>
            <w:tcBorders>
              <w:top w:val="nil"/>
              <w:left w:val="nil"/>
              <w:bottom w:val="single" w:sz="4" w:space="0" w:color="auto"/>
              <w:right w:val="single" w:sz="4" w:space="0" w:color="auto"/>
            </w:tcBorders>
            <w:shd w:val="clear" w:color="auto" w:fill="auto"/>
            <w:noWrap/>
            <w:vAlign w:val="center"/>
            <w:hideMark/>
          </w:tcPr>
          <w:p w14:paraId="50615420" w14:textId="77777777" w:rsidR="00C32B3C" w:rsidRPr="00902214" w:rsidRDefault="00C32B3C" w:rsidP="00290582">
            <w:pPr>
              <w:spacing w:after="0"/>
              <w:ind w:firstLine="0"/>
              <w:jc w:val="center"/>
              <w:rPr>
                <w:color w:val="000000"/>
                <w:sz w:val="18"/>
                <w:szCs w:val="18"/>
                <w:lang w:eastAsia="lv-LV"/>
              </w:rPr>
            </w:pPr>
            <w:r w:rsidRPr="00902214">
              <w:rPr>
                <w:color w:val="000000"/>
                <w:sz w:val="18"/>
                <w:szCs w:val="18"/>
                <w:lang w:eastAsia="lv-LV"/>
              </w:rPr>
              <w:t>261</w:t>
            </w:r>
          </w:p>
        </w:tc>
        <w:tc>
          <w:tcPr>
            <w:tcW w:w="1329" w:type="dxa"/>
            <w:tcBorders>
              <w:top w:val="nil"/>
              <w:left w:val="nil"/>
              <w:bottom w:val="single" w:sz="4" w:space="0" w:color="auto"/>
              <w:right w:val="single" w:sz="4" w:space="0" w:color="auto"/>
            </w:tcBorders>
            <w:shd w:val="clear" w:color="auto" w:fill="auto"/>
            <w:noWrap/>
            <w:vAlign w:val="center"/>
            <w:hideMark/>
          </w:tcPr>
          <w:p w14:paraId="40E523B2" w14:textId="77777777" w:rsidR="00C32B3C" w:rsidRPr="00902214" w:rsidRDefault="00C32B3C" w:rsidP="00290582">
            <w:pPr>
              <w:spacing w:after="0"/>
              <w:ind w:firstLine="0"/>
              <w:jc w:val="center"/>
              <w:rPr>
                <w:color w:val="000000"/>
                <w:sz w:val="18"/>
                <w:szCs w:val="18"/>
                <w:lang w:eastAsia="lv-LV"/>
              </w:rPr>
            </w:pPr>
            <w:r w:rsidRPr="00902214">
              <w:rPr>
                <w:color w:val="000000"/>
                <w:sz w:val="18"/>
                <w:szCs w:val="18"/>
                <w:lang w:eastAsia="lv-LV"/>
              </w:rPr>
              <w:t>317</w:t>
            </w:r>
          </w:p>
        </w:tc>
        <w:tc>
          <w:tcPr>
            <w:tcW w:w="1181" w:type="dxa"/>
            <w:tcBorders>
              <w:top w:val="nil"/>
              <w:left w:val="nil"/>
              <w:bottom w:val="single" w:sz="4" w:space="0" w:color="auto"/>
              <w:right w:val="single" w:sz="4" w:space="0" w:color="auto"/>
            </w:tcBorders>
            <w:shd w:val="clear" w:color="auto" w:fill="auto"/>
            <w:noWrap/>
            <w:vAlign w:val="center"/>
            <w:hideMark/>
          </w:tcPr>
          <w:p w14:paraId="31974CDD" w14:textId="77777777" w:rsidR="00C32B3C" w:rsidRPr="00902214" w:rsidRDefault="00C32B3C" w:rsidP="00290582">
            <w:pPr>
              <w:spacing w:after="0"/>
              <w:ind w:firstLine="0"/>
              <w:jc w:val="center"/>
              <w:rPr>
                <w:color w:val="000000"/>
                <w:sz w:val="18"/>
                <w:szCs w:val="18"/>
                <w:lang w:eastAsia="lv-LV"/>
              </w:rPr>
            </w:pPr>
            <w:r w:rsidRPr="00902214">
              <w:rPr>
                <w:color w:val="000000"/>
                <w:sz w:val="18"/>
                <w:szCs w:val="18"/>
                <w:lang w:eastAsia="lv-LV"/>
              </w:rPr>
              <w:t>56</w:t>
            </w:r>
          </w:p>
        </w:tc>
        <w:tc>
          <w:tcPr>
            <w:tcW w:w="1181" w:type="dxa"/>
            <w:tcBorders>
              <w:top w:val="nil"/>
              <w:left w:val="nil"/>
              <w:bottom w:val="single" w:sz="4" w:space="0" w:color="auto"/>
              <w:right w:val="single" w:sz="4" w:space="0" w:color="auto"/>
            </w:tcBorders>
            <w:shd w:val="clear" w:color="auto" w:fill="auto"/>
            <w:noWrap/>
            <w:vAlign w:val="center"/>
            <w:hideMark/>
          </w:tcPr>
          <w:p w14:paraId="146C9507" w14:textId="77777777" w:rsidR="00C32B3C" w:rsidRPr="00902214" w:rsidRDefault="00C32B3C" w:rsidP="00290582">
            <w:pPr>
              <w:spacing w:after="0"/>
              <w:ind w:firstLine="0"/>
              <w:jc w:val="center"/>
              <w:rPr>
                <w:color w:val="000000"/>
                <w:sz w:val="18"/>
                <w:szCs w:val="18"/>
                <w:lang w:eastAsia="lv-LV"/>
              </w:rPr>
            </w:pPr>
            <w:r w:rsidRPr="00902214">
              <w:rPr>
                <w:color w:val="000000"/>
                <w:sz w:val="18"/>
                <w:szCs w:val="18"/>
                <w:lang w:eastAsia="lv-LV"/>
              </w:rPr>
              <w:t>22%</w:t>
            </w:r>
          </w:p>
        </w:tc>
        <w:tc>
          <w:tcPr>
            <w:tcW w:w="1270" w:type="dxa"/>
            <w:tcBorders>
              <w:top w:val="nil"/>
              <w:left w:val="nil"/>
              <w:bottom w:val="single" w:sz="4" w:space="0" w:color="auto"/>
              <w:right w:val="single" w:sz="4" w:space="0" w:color="auto"/>
            </w:tcBorders>
            <w:shd w:val="clear" w:color="auto" w:fill="auto"/>
            <w:noWrap/>
            <w:vAlign w:val="center"/>
            <w:hideMark/>
          </w:tcPr>
          <w:p w14:paraId="249DDFBF" w14:textId="77777777" w:rsidR="00C32B3C" w:rsidRPr="00902214" w:rsidRDefault="00C32B3C" w:rsidP="00290582">
            <w:pPr>
              <w:spacing w:after="0"/>
              <w:ind w:firstLine="0"/>
              <w:jc w:val="center"/>
              <w:rPr>
                <w:color w:val="000000"/>
                <w:sz w:val="18"/>
                <w:szCs w:val="18"/>
                <w:lang w:eastAsia="lv-LV"/>
              </w:rPr>
            </w:pPr>
            <w:r w:rsidRPr="00902214">
              <w:rPr>
                <w:color w:val="000000"/>
                <w:sz w:val="18"/>
                <w:szCs w:val="18"/>
                <w:lang w:eastAsia="lv-LV"/>
              </w:rPr>
              <w:t>4%</w:t>
            </w:r>
          </w:p>
        </w:tc>
      </w:tr>
      <w:tr w:rsidR="00C32B3C" w:rsidRPr="00902214" w14:paraId="62C33E01" w14:textId="77777777" w:rsidTr="00290582">
        <w:trPr>
          <w:trHeight w:val="289"/>
          <w:jc w:val="center"/>
        </w:trPr>
        <w:tc>
          <w:tcPr>
            <w:tcW w:w="2358" w:type="dxa"/>
            <w:tcBorders>
              <w:top w:val="nil"/>
              <w:left w:val="single" w:sz="4" w:space="0" w:color="auto"/>
              <w:bottom w:val="single" w:sz="4" w:space="0" w:color="auto"/>
              <w:right w:val="single" w:sz="4" w:space="0" w:color="auto"/>
            </w:tcBorders>
            <w:shd w:val="clear" w:color="auto" w:fill="auto"/>
            <w:noWrap/>
            <w:vAlign w:val="center"/>
            <w:hideMark/>
          </w:tcPr>
          <w:p w14:paraId="4DF8E2A8" w14:textId="77777777" w:rsidR="00C32B3C" w:rsidRPr="00902214" w:rsidRDefault="00C32B3C" w:rsidP="00290582">
            <w:pPr>
              <w:spacing w:after="0"/>
              <w:ind w:firstLine="0"/>
              <w:rPr>
                <w:color w:val="000000"/>
                <w:sz w:val="18"/>
                <w:szCs w:val="18"/>
                <w:lang w:eastAsia="lv-LV"/>
              </w:rPr>
            </w:pPr>
            <w:r w:rsidRPr="00902214">
              <w:rPr>
                <w:color w:val="000000"/>
                <w:sz w:val="18"/>
                <w:szCs w:val="18"/>
                <w:lang w:eastAsia="lv-LV"/>
              </w:rPr>
              <w:t>Tekstilmateriāli un tekstilizstrādājumi</w:t>
            </w:r>
          </w:p>
        </w:tc>
        <w:tc>
          <w:tcPr>
            <w:tcW w:w="1329" w:type="dxa"/>
            <w:tcBorders>
              <w:top w:val="nil"/>
              <w:left w:val="nil"/>
              <w:bottom w:val="single" w:sz="4" w:space="0" w:color="auto"/>
              <w:right w:val="single" w:sz="4" w:space="0" w:color="auto"/>
            </w:tcBorders>
            <w:shd w:val="clear" w:color="auto" w:fill="auto"/>
            <w:noWrap/>
            <w:vAlign w:val="center"/>
            <w:hideMark/>
          </w:tcPr>
          <w:p w14:paraId="601C3540" w14:textId="77777777" w:rsidR="00C32B3C" w:rsidRPr="00902214" w:rsidRDefault="00C32B3C" w:rsidP="00290582">
            <w:pPr>
              <w:spacing w:after="0"/>
              <w:ind w:firstLine="0"/>
              <w:jc w:val="center"/>
              <w:rPr>
                <w:color w:val="000000"/>
                <w:sz w:val="18"/>
                <w:szCs w:val="18"/>
                <w:lang w:eastAsia="lv-LV"/>
              </w:rPr>
            </w:pPr>
            <w:r w:rsidRPr="00902214">
              <w:rPr>
                <w:color w:val="000000"/>
                <w:sz w:val="18"/>
                <w:szCs w:val="18"/>
                <w:lang w:eastAsia="lv-LV"/>
              </w:rPr>
              <w:t>216</w:t>
            </w:r>
          </w:p>
        </w:tc>
        <w:tc>
          <w:tcPr>
            <w:tcW w:w="1329" w:type="dxa"/>
            <w:tcBorders>
              <w:top w:val="nil"/>
              <w:left w:val="nil"/>
              <w:bottom w:val="single" w:sz="4" w:space="0" w:color="auto"/>
              <w:right w:val="single" w:sz="4" w:space="0" w:color="auto"/>
            </w:tcBorders>
            <w:shd w:val="clear" w:color="auto" w:fill="auto"/>
            <w:noWrap/>
            <w:vAlign w:val="center"/>
            <w:hideMark/>
          </w:tcPr>
          <w:p w14:paraId="3533B982" w14:textId="77777777" w:rsidR="00C32B3C" w:rsidRPr="00902214" w:rsidRDefault="00C32B3C" w:rsidP="00290582">
            <w:pPr>
              <w:spacing w:after="0"/>
              <w:ind w:firstLine="0"/>
              <w:jc w:val="center"/>
              <w:rPr>
                <w:color w:val="000000"/>
                <w:sz w:val="18"/>
                <w:szCs w:val="18"/>
                <w:lang w:eastAsia="lv-LV"/>
              </w:rPr>
            </w:pPr>
            <w:r w:rsidRPr="00902214">
              <w:rPr>
                <w:color w:val="000000"/>
                <w:sz w:val="18"/>
                <w:szCs w:val="18"/>
                <w:lang w:eastAsia="lv-LV"/>
              </w:rPr>
              <w:t>243</w:t>
            </w:r>
          </w:p>
        </w:tc>
        <w:tc>
          <w:tcPr>
            <w:tcW w:w="1181" w:type="dxa"/>
            <w:tcBorders>
              <w:top w:val="nil"/>
              <w:left w:val="nil"/>
              <w:bottom w:val="single" w:sz="4" w:space="0" w:color="auto"/>
              <w:right w:val="single" w:sz="4" w:space="0" w:color="auto"/>
            </w:tcBorders>
            <w:shd w:val="clear" w:color="auto" w:fill="auto"/>
            <w:noWrap/>
            <w:vAlign w:val="center"/>
            <w:hideMark/>
          </w:tcPr>
          <w:p w14:paraId="1C60813A" w14:textId="77777777" w:rsidR="00C32B3C" w:rsidRPr="00902214" w:rsidRDefault="00C32B3C" w:rsidP="00290582">
            <w:pPr>
              <w:spacing w:after="0"/>
              <w:ind w:firstLine="0"/>
              <w:jc w:val="center"/>
              <w:rPr>
                <w:color w:val="000000"/>
                <w:sz w:val="18"/>
                <w:szCs w:val="18"/>
                <w:lang w:eastAsia="lv-LV"/>
              </w:rPr>
            </w:pPr>
            <w:r w:rsidRPr="00902214">
              <w:rPr>
                <w:color w:val="000000"/>
                <w:sz w:val="18"/>
                <w:szCs w:val="18"/>
                <w:lang w:eastAsia="lv-LV"/>
              </w:rPr>
              <w:t>27</w:t>
            </w:r>
          </w:p>
        </w:tc>
        <w:tc>
          <w:tcPr>
            <w:tcW w:w="1181" w:type="dxa"/>
            <w:tcBorders>
              <w:top w:val="nil"/>
              <w:left w:val="nil"/>
              <w:bottom w:val="single" w:sz="4" w:space="0" w:color="auto"/>
              <w:right w:val="single" w:sz="4" w:space="0" w:color="auto"/>
            </w:tcBorders>
            <w:shd w:val="clear" w:color="auto" w:fill="auto"/>
            <w:noWrap/>
            <w:vAlign w:val="center"/>
            <w:hideMark/>
          </w:tcPr>
          <w:p w14:paraId="3D4A4F1C" w14:textId="77777777" w:rsidR="00C32B3C" w:rsidRPr="00902214" w:rsidRDefault="00C32B3C" w:rsidP="00290582">
            <w:pPr>
              <w:spacing w:after="0"/>
              <w:ind w:firstLine="0"/>
              <w:jc w:val="center"/>
              <w:rPr>
                <w:color w:val="000000"/>
                <w:sz w:val="18"/>
                <w:szCs w:val="18"/>
                <w:lang w:eastAsia="lv-LV"/>
              </w:rPr>
            </w:pPr>
            <w:r w:rsidRPr="00902214">
              <w:rPr>
                <w:color w:val="000000"/>
                <w:sz w:val="18"/>
                <w:szCs w:val="18"/>
                <w:lang w:eastAsia="lv-LV"/>
              </w:rPr>
              <w:t>12%</w:t>
            </w:r>
          </w:p>
        </w:tc>
        <w:tc>
          <w:tcPr>
            <w:tcW w:w="1270" w:type="dxa"/>
            <w:tcBorders>
              <w:top w:val="nil"/>
              <w:left w:val="nil"/>
              <w:bottom w:val="single" w:sz="4" w:space="0" w:color="auto"/>
              <w:right w:val="single" w:sz="4" w:space="0" w:color="auto"/>
            </w:tcBorders>
            <w:shd w:val="clear" w:color="auto" w:fill="auto"/>
            <w:noWrap/>
            <w:vAlign w:val="center"/>
            <w:hideMark/>
          </w:tcPr>
          <w:p w14:paraId="66C9B21F" w14:textId="77777777" w:rsidR="00C32B3C" w:rsidRPr="00902214" w:rsidRDefault="00C32B3C" w:rsidP="00290582">
            <w:pPr>
              <w:spacing w:after="0"/>
              <w:ind w:firstLine="0"/>
              <w:jc w:val="center"/>
              <w:rPr>
                <w:color w:val="000000"/>
                <w:sz w:val="18"/>
                <w:szCs w:val="18"/>
                <w:lang w:eastAsia="lv-LV"/>
              </w:rPr>
            </w:pPr>
            <w:r w:rsidRPr="00902214">
              <w:rPr>
                <w:color w:val="000000"/>
                <w:sz w:val="18"/>
                <w:szCs w:val="18"/>
                <w:lang w:eastAsia="lv-LV"/>
              </w:rPr>
              <w:t>3%</w:t>
            </w:r>
          </w:p>
        </w:tc>
      </w:tr>
      <w:tr w:rsidR="00C32B3C" w:rsidRPr="00902214" w14:paraId="0F43DBDE" w14:textId="77777777" w:rsidTr="00290582">
        <w:trPr>
          <w:trHeight w:val="289"/>
          <w:jc w:val="center"/>
        </w:trPr>
        <w:tc>
          <w:tcPr>
            <w:tcW w:w="2358" w:type="dxa"/>
            <w:tcBorders>
              <w:top w:val="nil"/>
              <w:left w:val="single" w:sz="4" w:space="0" w:color="auto"/>
              <w:bottom w:val="single" w:sz="4" w:space="0" w:color="auto"/>
              <w:right w:val="single" w:sz="4" w:space="0" w:color="auto"/>
            </w:tcBorders>
            <w:shd w:val="clear" w:color="auto" w:fill="auto"/>
            <w:noWrap/>
            <w:vAlign w:val="center"/>
            <w:hideMark/>
          </w:tcPr>
          <w:p w14:paraId="772E9808" w14:textId="77777777" w:rsidR="00C32B3C" w:rsidRPr="00902214" w:rsidRDefault="00C32B3C" w:rsidP="00290582">
            <w:pPr>
              <w:spacing w:after="0"/>
              <w:ind w:firstLine="0"/>
              <w:rPr>
                <w:color w:val="000000"/>
                <w:sz w:val="18"/>
                <w:szCs w:val="18"/>
                <w:lang w:eastAsia="lv-LV"/>
              </w:rPr>
            </w:pPr>
            <w:r w:rsidRPr="00902214">
              <w:rPr>
                <w:color w:val="000000"/>
                <w:sz w:val="18"/>
                <w:szCs w:val="18"/>
                <w:lang w:eastAsia="lv-LV"/>
              </w:rPr>
              <w:t>Būvniecības izstrādājumi</w:t>
            </w:r>
          </w:p>
        </w:tc>
        <w:tc>
          <w:tcPr>
            <w:tcW w:w="1329" w:type="dxa"/>
            <w:tcBorders>
              <w:top w:val="nil"/>
              <w:left w:val="nil"/>
              <w:bottom w:val="single" w:sz="4" w:space="0" w:color="auto"/>
              <w:right w:val="single" w:sz="4" w:space="0" w:color="auto"/>
            </w:tcBorders>
            <w:shd w:val="clear" w:color="auto" w:fill="auto"/>
            <w:noWrap/>
            <w:vAlign w:val="center"/>
            <w:hideMark/>
          </w:tcPr>
          <w:p w14:paraId="518B6BC8" w14:textId="77777777" w:rsidR="00C32B3C" w:rsidRPr="00902214" w:rsidRDefault="00C32B3C" w:rsidP="00290582">
            <w:pPr>
              <w:spacing w:after="0"/>
              <w:ind w:firstLine="0"/>
              <w:jc w:val="center"/>
              <w:rPr>
                <w:color w:val="000000"/>
                <w:sz w:val="18"/>
                <w:szCs w:val="18"/>
                <w:lang w:eastAsia="lv-LV"/>
              </w:rPr>
            </w:pPr>
            <w:r w:rsidRPr="00902214">
              <w:rPr>
                <w:color w:val="000000"/>
                <w:sz w:val="18"/>
                <w:szCs w:val="18"/>
                <w:lang w:eastAsia="lv-LV"/>
              </w:rPr>
              <w:t>183</w:t>
            </w:r>
          </w:p>
        </w:tc>
        <w:tc>
          <w:tcPr>
            <w:tcW w:w="1329" w:type="dxa"/>
            <w:tcBorders>
              <w:top w:val="nil"/>
              <w:left w:val="nil"/>
              <w:bottom w:val="single" w:sz="4" w:space="0" w:color="auto"/>
              <w:right w:val="single" w:sz="4" w:space="0" w:color="auto"/>
            </w:tcBorders>
            <w:shd w:val="clear" w:color="auto" w:fill="auto"/>
            <w:noWrap/>
            <w:vAlign w:val="center"/>
            <w:hideMark/>
          </w:tcPr>
          <w:p w14:paraId="6CB2C1AD" w14:textId="77777777" w:rsidR="00C32B3C" w:rsidRPr="00902214" w:rsidRDefault="00C32B3C" w:rsidP="00290582">
            <w:pPr>
              <w:spacing w:after="0"/>
              <w:ind w:firstLine="0"/>
              <w:jc w:val="center"/>
              <w:rPr>
                <w:color w:val="000000"/>
                <w:sz w:val="18"/>
                <w:szCs w:val="18"/>
                <w:lang w:eastAsia="lv-LV"/>
              </w:rPr>
            </w:pPr>
            <w:r w:rsidRPr="00902214">
              <w:rPr>
                <w:color w:val="000000"/>
                <w:sz w:val="18"/>
                <w:szCs w:val="18"/>
                <w:lang w:eastAsia="lv-LV"/>
              </w:rPr>
              <w:t>208</w:t>
            </w:r>
          </w:p>
        </w:tc>
        <w:tc>
          <w:tcPr>
            <w:tcW w:w="1181" w:type="dxa"/>
            <w:tcBorders>
              <w:top w:val="nil"/>
              <w:left w:val="nil"/>
              <w:bottom w:val="single" w:sz="4" w:space="0" w:color="auto"/>
              <w:right w:val="single" w:sz="4" w:space="0" w:color="auto"/>
            </w:tcBorders>
            <w:shd w:val="clear" w:color="auto" w:fill="auto"/>
            <w:noWrap/>
            <w:vAlign w:val="center"/>
            <w:hideMark/>
          </w:tcPr>
          <w:p w14:paraId="20BD0AE0" w14:textId="77777777" w:rsidR="00C32B3C" w:rsidRPr="00902214" w:rsidRDefault="00C32B3C" w:rsidP="00290582">
            <w:pPr>
              <w:spacing w:after="0"/>
              <w:ind w:firstLine="0"/>
              <w:jc w:val="center"/>
              <w:rPr>
                <w:color w:val="000000"/>
                <w:sz w:val="18"/>
                <w:szCs w:val="18"/>
                <w:lang w:eastAsia="lv-LV"/>
              </w:rPr>
            </w:pPr>
            <w:r w:rsidRPr="00902214">
              <w:rPr>
                <w:color w:val="000000"/>
                <w:sz w:val="18"/>
                <w:szCs w:val="18"/>
                <w:lang w:eastAsia="lv-LV"/>
              </w:rPr>
              <w:t>25</w:t>
            </w:r>
          </w:p>
        </w:tc>
        <w:tc>
          <w:tcPr>
            <w:tcW w:w="1181" w:type="dxa"/>
            <w:tcBorders>
              <w:top w:val="nil"/>
              <w:left w:val="nil"/>
              <w:bottom w:val="single" w:sz="4" w:space="0" w:color="auto"/>
              <w:right w:val="single" w:sz="4" w:space="0" w:color="auto"/>
            </w:tcBorders>
            <w:shd w:val="clear" w:color="auto" w:fill="auto"/>
            <w:noWrap/>
            <w:vAlign w:val="center"/>
            <w:hideMark/>
          </w:tcPr>
          <w:p w14:paraId="0F570520" w14:textId="77777777" w:rsidR="00C32B3C" w:rsidRPr="00902214" w:rsidRDefault="00C32B3C" w:rsidP="00290582">
            <w:pPr>
              <w:spacing w:after="0"/>
              <w:ind w:firstLine="0"/>
              <w:jc w:val="center"/>
              <w:rPr>
                <w:color w:val="000000"/>
                <w:sz w:val="18"/>
                <w:szCs w:val="18"/>
                <w:lang w:eastAsia="lv-LV"/>
              </w:rPr>
            </w:pPr>
            <w:r w:rsidRPr="00902214">
              <w:rPr>
                <w:color w:val="000000"/>
                <w:sz w:val="18"/>
                <w:szCs w:val="18"/>
                <w:lang w:eastAsia="lv-LV"/>
              </w:rPr>
              <w:t>14%</w:t>
            </w:r>
          </w:p>
        </w:tc>
        <w:tc>
          <w:tcPr>
            <w:tcW w:w="1270" w:type="dxa"/>
            <w:tcBorders>
              <w:top w:val="nil"/>
              <w:left w:val="nil"/>
              <w:bottom w:val="single" w:sz="4" w:space="0" w:color="auto"/>
              <w:right w:val="single" w:sz="4" w:space="0" w:color="auto"/>
            </w:tcBorders>
            <w:shd w:val="clear" w:color="auto" w:fill="auto"/>
            <w:noWrap/>
            <w:vAlign w:val="center"/>
            <w:hideMark/>
          </w:tcPr>
          <w:p w14:paraId="186C569F" w14:textId="77777777" w:rsidR="00C32B3C" w:rsidRPr="00902214" w:rsidRDefault="00C32B3C" w:rsidP="00290582">
            <w:pPr>
              <w:spacing w:after="0"/>
              <w:ind w:firstLine="0"/>
              <w:jc w:val="center"/>
              <w:rPr>
                <w:color w:val="000000"/>
                <w:sz w:val="18"/>
                <w:szCs w:val="18"/>
                <w:lang w:eastAsia="lv-LV"/>
              </w:rPr>
            </w:pPr>
            <w:r w:rsidRPr="00902214">
              <w:rPr>
                <w:color w:val="000000"/>
                <w:sz w:val="18"/>
                <w:szCs w:val="18"/>
                <w:lang w:eastAsia="lv-LV"/>
              </w:rPr>
              <w:t>2%</w:t>
            </w:r>
          </w:p>
        </w:tc>
      </w:tr>
      <w:tr w:rsidR="00C32B3C" w:rsidRPr="00902214" w14:paraId="745B2D2F" w14:textId="77777777" w:rsidTr="00290582">
        <w:trPr>
          <w:trHeight w:val="289"/>
          <w:jc w:val="center"/>
        </w:trPr>
        <w:tc>
          <w:tcPr>
            <w:tcW w:w="2358" w:type="dxa"/>
            <w:tcBorders>
              <w:top w:val="nil"/>
              <w:left w:val="single" w:sz="4" w:space="0" w:color="auto"/>
              <w:bottom w:val="single" w:sz="4" w:space="0" w:color="auto"/>
              <w:right w:val="single" w:sz="4" w:space="0" w:color="auto"/>
            </w:tcBorders>
            <w:shd w:val="clear" w:color="auto" w:fill="auto"/>
            <w:noWrap/>
            <w:vAlign w:val="center"/>
            <w:hideMark/>
          </w:tcPr>
          <w:p w14:paraId="39569FC7" w14:textId="77777777" w:rsidR="00C32B3C" w:rsidRPr="00902214" w:rsidRDefault="00C32B3C" w:rsidP="00290582">
            <w:pPr>
              <w:spacing w:after="0"/>
              <w:ind w:firstLine="0"/>
              <w:rPr>
                <w:color w:val="000000"/>
                <w:sz w:val="18"/>
                <w:szCs w:val="18"/>
                <w:lang w:eastAsia="lv-LV"/>
              </w:rPr>
            </w:pPr>
            <w:r w:rsidRPr="00902214">
              <w:rPr>
                <w:color w:val="000000"/>
                <w:sz w:val="18"/>
                <w:szCs w:val="18"/>
                <w:lang w:eastAsia="lv-LV"/>
              </w:rPr>
              <w:t>Papīrs, kartons un poligrāfijas izstrādājumi</w:t>
            </w:r>
          </w:p>
        </w:tc>
        <w:tc>
          <w:tcPr>
            <w:tcW w:w="1329" w:type="dxa"/>
            <w:tcBorders>
              <w:top w:val="nil"/>
              <w:left w:val="nil"/>
              <w:bottom w:val="single" w:sz="4" w:space="0" w:color="auto"/>
              <w:right w:val="single" w:sz="4" w:space="0" w:color="auto"/>
            </w:tcBorders>
            <w:shd w:val="clear" w:color="auto" w:fill="auto"/>
            <w:noWrap/>
            <w:vAlign w:val="center"/>
            <w:hideMark/>
          </w:tcPr>
          <w:p w14:paraId="4B3C5DC0" w14:textId="77777777" w:rsidR="00C32B3C" w:rsidRPr="00902214" w:rsidRDefault="00C32B3C" w:rsidP="00290582">
            <w:pPr>
              <w:spacing w:after="0"/>
              <w:ind w:firstLine="0"/>
              <w:jc w:val="center"/>
              <w:rPr>
                <w:color w:val="000000"/>
                <w:sz w:val="18"/>
                <w:szCs w:val="18"/>
                <w:lang w:eastAsia="lv-LV"/>
              </w:rPr>
            </w:pPr>
            <w:r w:rsidRPr="00902214">
              <w:rPr>
                <w:color w:val="000000"/>
                <w:sz w:val="18"/>
                <w:szCs w:val="18"/>
                <w:lang w:eastAsia="lv-LV"/>
              </w:rPr>
              <w:t>149</w:t>
            </w:r>
          </w:p>
        </w:tc>
        <w:tc>
          <w:tcPr>
            <w:tcW w:w="1329" w:type="dxa"/>
            <w:tcBorders>
              <w:top w:val="nil"/>
              <w:left w:val="nil"/>
              <w:bottom w:val="single" w:sz="4" w:space="0" w:color="auto"/>
              <w:right w:val="single" w:sz="4" w:space="0" w:color="auto"/>
            </w:tcBorders>
            <w:shd w:val="clear" w:color="auto" w:fill="auto"/>
            <w:noWrap/>
            <w:vAlign w:val="center"/>
            <w:hideMark/>
          </w:tcPr>
          <w:p w14:paraId="65E55B06" w14:textId="77777777" w:rsidR="00C32B3C" w:rsidRPr="00902214" w:rsidRDefault="00C32B3C" w:rsidP="00290582">
            <w:pPr>
              <w:spacing w:after="0"/>
              <w:ind w:firstLine="0"/>
              <w:jc w:val="center"/>
              <w:rPr>
                <w:color w:val="000000"/>
                <w:sz w:val="18"/>
                <w:szCs w:val="18"/>
                <w:lang w:eastAsia="lv-LV"/>
              </w:rPr>
            </w:pPr>
            <w:r w:rsidRPr="00902214">
              <w:rPr>
                <w:color w:val="000000"/>
                <w:sz w:val="18"/>
                <w:szCs w:val="18"/>
                <w:lang w:eastAsia="lv-LV"/>
              </w:rPr>
              <w:t>182</w:t>
            </w:r>
          </w:p>
        </w:tc>
        <w:tc>
          <w:tcPr>
            <w:tcW w:w="1181" w:type="dxa"/>
            <w:tcBorders>
              <w:top w:val="nil"/>
              <w:left w:val="nil"/>
              <w:bottom w:val="single" w:sz="4" w:space="0" w:color="auto"/>
              <w:right w:val="single" w:sz="4" w:space="0" w:color="auto"/>
            </w:tcBorders>
            <w:shd w:val="clear" w:color="auto" w:fill="auto"/>
            <w:noWrap/>
            <w:vAlign w:val="center"/>
            <w:hideMark/>
          </w:tcPr>
          <w:p w14:paraId="2AE1F1F0" w14:textId="77777777" w:rsidR="00C32B3C" w:rsidRPr="00902214" w:rsidRDefault="00C32B3C" w:rsidP="00290582">
            <w:pPr>
              <w:spacing w:after="0"/>
              <w:ind w:firstLine="0"/>
              <w:jc w:val="center"/>
              <w:rPr>
                <w:color w:val="000000"/>
                <w:sz w:val="18"/>
                <w:szCs w:val="18"/>
                <w:lang w:eastAsia="lv-LV"/>
              </w:rPr>
            </w:pPr>
            <w:r w:rsidRPr="00902214">
              <w:rPr>
                <w:color w:val="000000"/>
                <w:sz w:val="18"/>
                <w:szCs w:val="18"/>
                <w:lang w:eastAsia="lv-LV"/>
              </w:rPr>
              <w:t>33</w:t>
            </w:r>
          </w:p>
        </w:tc>
        <w:tc>
          <w:tcPr>
            <w:tcW w:w="1181" w:type="dxa"/>
            <w:tcBorders>
              <w:top w:val="nil"/>
              <w:left w:val="nil"/>
              <w:bottom w:val="single" w:sz="4" w:space="0" w:color="auto"/>
              <w:right w:val="single" w:sz="4" w:space="0" w:color="auto"/>
            </w:tcBorders>
            <w:shd w:val="clear" w:color="auto" w:fill="auto"/>
            <w:noWrap/>
            <w:vAlign w:val="center"/>
            <w:hideMark/>
          </w:tcPr>
          <w:p w14:paraId="390B4839" w14:textId="77777777" w:rsidR="00C32B3C" w:rsidRPr="00902214" w:rsidRDefault="00C32B3C" w:rsidP="00290582">
            <w:pPr>
              <w:spacing w:after="0"/>
              <w:ind w:firstLine="0"/>
              <w:jc w:val="center"/>
              <w:rPr>
                <w:color w:val="000000"/>
                <w:sz w:val="18"/>
                <w:szCs w:val="18"/>
                <w:lang w:eastAsia="lv-LV"/>
              </w:rPr>
            </w:pPr>
            <w:r w:rsidRPr="00902214">
              <w:rPr>
                <w:color w:val="000000"/>
                <w:sz w:val="18"/>
                <w:szCs w:val="18"/>
                <w:lang w:eastAsia="lv-LV"/>
              </w:rPr>
              <w:t>22%</w:t>
            </w:r>
          </w:p>
        </w:tc>
        <w:tc>
          <w:tcPr>
            <w:tcW w:w="1270" w:type="dxa"/>
            <w:tcBorders>
              <w:top w:val="nil"/>
              <w:left w:val="nil"/>
              <w:bottom w:val="single" w:sz="4" w:space="0" w:color="auto"/>
              <w:right w:val="single" w:sz="4" w:space="0" w:color="auto"/>
            </w:tcBorders>
            <w:shd w:val="clear" w:color="auto" w:fill="auto"/>
            <w:noWrap/>
            <w:vAlign w:val="center"/>
            <w:hideMark/>
          </w:tcPr>
          <w:p w14:paraId="00DE89DA" w14:textId="77777777" w:rsidR="00C32B3C" w:rsidRPr="00902214" w:rsidRDefault="00C32B3C" w:rsidP="00290582">
            <w:pPr>
              <w:spacing w:after="0"/>
              <w:ind w:firstLine="0"/>
              <w:jc w:val="center"/>
              <w:rPr>
                <w:color w:val="000000"/>
                <w:sz w:val="18"/>
                <w:szCs w:val="18"/>
                <w:lang w:eastAsia="lv-LV"/>
              </w:rPr>
            </w:pPr>
            <w:r w:rsidRPr="00902214">
              <w:rPr>
                <w:color w:val="000000"/>
                <w:sz w:val="18"/>
                <w:szCs w:val="18"/>
                <w:lang w:eastAsia="lv-LV"/>
              </w:rPr>
              <w:t>2%</w:t>
            </w:r>
          </w:p>
        </w:tc>
      </w:tr>
      <w:tr w:rsidR="00C32B3C" w:rsidRPr="00902214" w14:paraId="6863E423" w14:textId="77777777" w:rsidTr="00290582">
        <w:trPr>
          <w:trHeight w:val="289"/>
          <w:jc w:val="center"/>
        </w:trPr>
        <w:tc>
          <w:tcPr>
            <w:tcW w:w="2358" w:type="dxa"/>
            <w:tcBorders>
              <w:top w:val="nil"/>
              <w:left w:val="single" w:sz="4" w:space="0" w:color="auto"/>
              <w:bottom w:val="single" w:sz="4" w:space="0" w:color="auto"/>
              <w:right w:val="single" w:sz="4" w:space="0" w:color="auto"/>
            </w:tcBorders>
            <w:shd w:val="clear" w:color="auto" w:fill="auto"/>
            <w:noWrap/>
            <w:vAlign w:val="center"/>
            <w:hideMark/>
          </w:tcPr>
          <w:p w14:paraId="68E15EBB" w14:textId="77777777" w:rsidR="00C32B3C" w:rsidRPr="00902214" w:rsidRDefault="00C32B3C" w:rsidP="00290582">
            <w:pPr>
              <w:spacing w:after="0"/>
              <w:ind w:firstLine="26"/>
              <w:jc w:val="right"/>
              <w:rPr>
                <w:b/>
                <w:color w:val="000000"/>
                <w:sz w:val="18"/>
                <w:szCs w:val="18"/>
                <w:lang w:eastAsia="lv-LV"/>
              </w:rPr>
            </w:pPr>
            <w:r w:rsidRPr="00902214">
              <w:rPr>
                <w:b/>
                <w:color w:val="000000"/>
                <w:sz w:val="18"/>
                <w:szCs w:val="18"/>
                <w:lang w:eastAsia="lv-LV"/>
              </w:rPr>
              <w:t>Pavisam</w:t>
            </w:r>
          </w:p>
        </w:tc>
        <w:tc>
          <w:tcPr>
            <w:tcW w:w="1329" w:type="dxa"/>
            <w:tcBorders>
              <w:top w:val="nil"/>
              <w:left w:val="nil"/>
              <w:bottom w:val="single" w:sz="4" w:space="0" w:color="auto"/>
              <w:right w:val="single" w:sz="4" w:space="0" w:color="auto"/>
            </w:tcBorders>
            <w:shd w:val="clear" w:color="auto" w:fill="auto"/>
            <w:noWrap/>
            <w:vAlign w:val="center"/>
            <w:hideMark/>
          </w:tcPr>
          <w:p w14:paraId="28FC1EA7" w14:textId="77777777" w:rsidR="00C32B3C" w:rsidRPr="00902214" w:rsidRDefault="00C32B3C" w:rsidP="00290582">
            <w:pPr>
              <w:spacing w:after="0"/>
              <w:ind w:firstLine="0"/>
              <w:jc w:val="center"/>
              <w:rPr>
                <w:b/>
                <w:color w:val="000000"/>
                <w:sz w:val="18"/>
                <w:szCs w:val="18"/>
                <w:lang w:eastAsia="lv-LV"/>
              </w:rPr>
            </w:pPr>
            <w:r w:rsidRPr="00902214">
              <w:rPr>
                <w:b/>
                <w:color w:val="000000"/>
                <w:sz w:val="18"/>
                <w:szCs w:val="18"/>
                <w:lang w:eastAsia="lv-LV"/>
              </w:rPr>
              <w:t>7168</w:t>
            </w:r>
          </w:p>
        </w:tc>
        <w:tc>
          <w:tcPr>
            <w:tcW w:w="1329" w:type="dxa"/>
            <w:tcBorders>
              <w:top w:val="nil"/>
              <w:left w:val="nil"/>
              <w:bottom w:val="single" w:sz="4" w:space="0" w:color="auto"/>
              <w:right w:val="single" w:sz="4" w:space="0" w:color="auto"/>
            </w:tcBorders>
            <w:shd w:val="clear" w:color="auto" w:fill="auto"/>
            <w:noWrap/>
            <w:vAlign w:val="center"/>
            <w:hideMark/>
          </w:tcPr>
          <w:p w14:paraId="6B30A3AA" w14:textId="77777777" w:rsidR="00C32B3C" w:rsidRPr="00902214" w:rsidRDefault="00C32B3C" w:rsidP="00290582">
            <w:pPr>
              <w:spacing w:after="0"/>
              <w:ind w:firstLine="0"/>
              <w:jc w:val="center"/>
              <w:rPr>
                <w:b/>
                <w:color w:val="000000"/>
                <w:sz w:val="18"/>
                <w:szCs w:val="18"/>
                <w:lang w:eastAsia="lv-LV"/>
              </w:rPr>
            </w:pPr>
            <w:r w:rsidRPr="00902214">
              <w:rPr>
                <w:b/>
                <w:color w:val="000000"/>
                <w:sz w:val="18"/>
                <w:szCs w:val="18"/>
                <w:lang w:eastAsia="lv-LV"/>
              </w:rPr>
              <w:t>8689</w:t>
            </w:r>
          </w:p>
        </w:tc>
        <w:tc>
          <w:tcPr>
            <w:tcW w:w="1181" w:type="dxa"/>
            <w:tcBorders>
              <w:top w:val="nil"/>
              <w:left w:val="nil"/>
              <w:bottom w:val="single" w:sz="4" w:space="0" w:color="auto"/>
              <w:right w:val="single" w:sz="4" w:space="0" w:color="auto"/>
            </w:tcBorders>
            <w:shd w:val="clear" w:color="auto" w:fill="auto"/>
            <w:noWrap/>
            <w:vAlign w:val="center"/>
            <w:hideMark/>
          </w:tcPr>
          <w:p w14:paraId="44039709" w14:textId="77777777" w:rsidR="00C32B3C" w:rsidRPr="00902214" w:rsidRDefault="00C32B3C" w:rsidP="00290582">
            <w:pPr>
              <w:spacing w:after="0"/>
              <w:ind w:firstLine="0"/>
              <w:jc w:val="center"/>
              <w:rPr>
                <w:b/>
                <w:color w:val="000000"/>
                <w:sz w:val="18"/>
                <w:szCs w:val="18"/>
                <w:lang w:eastAsia="lv-LV"/>
              </w:rPr>
            </w:pPr>
            <w:r w:rsidRPr="00902214">
              <w:rPr>
                <w:b/>
                <w:color w:val="000000"/>
                <w:sz w:val="18"/>
                <w:szCs w:val="18"/>
                <w:lang w:eastAsia="lv-LV"/>
              </w:rPr>
              <w:t>1521</w:t>
            </w:r>
          </w:p>
        </w:tc>
        <w:tc>
          <w:tcPr>
            <w:tcW w:w="1181" w:type="dxa"/>
            <w:tcBorders>
              <w:top w:val="nil"/>
              <w:left w:val="nil"/>
              <w:bottom w:val="single" w:sz="4" w:space="0" w:color="auto"/>
              <w:right w:val="single" w:sz="4" w:space="0" w:color="auto"/>
            </w:tcBorders>
            <w:shd w:val="clear" w:color="auto" w:fill="auto"/>
            <w:noWrap/>
            <w:vAlign w:val="center"/>
            <w:hideMark/>
          </w:tcPr>
          <w:p w14:paraId="58C60BDC" w14:textId="77777777" w:rsidR="00C32B3C" w:rsidRPr="00902214" w:rsidRDefault="00C32B3C" w:rsidP="00290582">
            <w:pPr>
              <w:spacing w:after="0"/>
              <w:ind w:firstLine="0"/>
              <w:jc w:val="center"/>
              <w:rPr>
                <w:b/>
                <w:color w:val="000000"/>
                <w:sz w:val="18"/>
                <w:szCs w:val="18"/>
                <w:lang w:eastAsia="lv-LV"/>
              </w:rPr>
            </w:pPr>
            <w:r w:rsidRPr="00902214">
              <w:rPr>
                <w:b/>
                <w:color w:val="000000"/>
                <w:sz w:val="18"/>
                <w:szCs w:val="18"/>
                <w:lang w:eastAsia="lv-LV"/>
              </w:rPr>
              <w:t>21%</w:t>
            </w:r>
          </w:p>
        </w:tc>
        <w:tc>
          <w:tcPr>
            <w:tcW w:w="1270" w:type="dxa"/>
            <w:tcBorders>
              <w:top w:val="nil"/>
              <w:left w:val="nil"/>
              <w:bottom w:val="single" w:sz="4" w:space="0" w:color="auto"/>
              <w:right w:val="single" w:sz="4" w:space="0" w:color="auto"/>
            </w:tcBorders>
            <w:shd w:val="clear" w:color="auto" w:fill="auto"/>
            <w:noWrap/>
            <w:vAlign w:val="center"/>
            <w:hideMark/>
          </w:tcPr>
          <w:p w14:paraId="40C1DDB9" w14:textId="77777777" w:rsidR="00C32B3C" w:rsidRPr="00902214" w:rsidRDefault="00C32B3C" w:rsidP="00290582">
            <w:pPr>
              <w:spacing w:after="0"/>
              <w:ind w:firstLine="0"/>
              <w:jc w:val="center"/>
              <w:rPr>
                <w:b/>
                <w:color w:val="000000"/>
                <w:sz w:val="18"/>
                <w:szCs w:val="18"/>
                <w:lang w:eastAsia="lv-LV"/>
              </w:rPr>
            </w:pPr>
            <w:r w:rsidRPr="00902214">
              <w:rPr>
                <w:b/>
                <w:color w:val="000000"/>
                <w:sz w:val="18"/>
                <w:szCs w:val="18"/>
                <w:lang w:eastAsia="lv-LV"/>
              </w:rPr>
              <w:t>100%</w:t>
            </w:r>
          </w:p>
        </w:tc>
      </w:tr>
    </w:tbl>
    <w:p w14:paraId="5B33FC10" w14:textId="77777777" w:rsidR="00C32B3C" w:rsidRPr="00A74117" w:rsidRDefault="00C32B3C" w:rsidP="00C32B3C">
      <w:pPr>
        <w:spacing w:before="120"/>
        <w:ind w:firstLine="720"/>
        <w:rPr>
          <w:rFonts w:eastAsia="Calibri"/>
          <w:szCs w:val="22"/>
        </w:rPr>
      </w:pPr>
      <w:r w:rsidRPr="00A74117">
        <w:rPr>
          <w:rFonts w:eastAsia="Calibri"/>
          <w:szCs w:val="22"/>
        </w:rPr>
        <w:t>Atšķirībā no preču eksporta</w:t>
      </w:r>
      <w:r>
        <w:rPr>
          <w:rFonts w:eastAsia="Calibri"/>
          <w:szCs w:val="22"/>
        </w:rPr>
        <w:t>,</w:t>
      </w:r>
      <w:r w:rsidRPr="00A74117">
        <w:rPr>
          <w:rFonts w:eastAsia="Calibri"/>
          <w:szCs w:val="22"/>
        </w:rPr>
        <w:t xml:space="preserve"> pandēmijas negatīvā ietekme uz pakalpojumu</w:t>
      </w:r>
      <w:r>
        <w:rPr>
          <w:rFonts w:eastAsia="Calibri"/>
          <w:szCs w:val="22"/>
        </w:rPr>
        <w:t xml:space="preserve"> eksportu joprojām ir jūtama. Šā</w:t>
      </w:r>
      <w:r w:rsidRPr="00A74117">
        <w:rPr>
          <w:rFonts w:eastAsia="Calibri"/>
          <w:szCs w:val="22"/>
        </w:rPr>
        <w:t xml:space="preserve"> gada pirmajos 7 mēnešos kopējais pakalpojumu eksports faktiskajās cenās palielinājās par 2,0% salīdzinājumā ar attiecīgo periodu pērn. Pozitīva pakalpojumu eksporta dinamika fiksēta sākot no </w:t>
      </w:r>
      <w:r>
        <w:rPr>
          <w:rFonts w:eastAsia="Calibri"/>
          <w:szCs w:val="22"/>
        </w:rPr>
        <w:t>šā gada</w:t>
      </w:r>
      <w:r w:rsidRPr="00A74117">
        <w:rPr>
          <w:rFonts w:eastAsia="Calibri"/>
          <w:szCs w:val="22"/>
        </w:rPr>
        <w:t xml:space="preserve">. aprīļa un galvenokārt tā ir saistīta ar zemo bāzi pērn, kad pakalpojumu eksporta kritums bija ap 30%. Lai arī pēdējos mēnešos pakalpojumu eksports pieaug, tā vērtība </w:t>
      </w:r>
      <w:r>
        <w:rPr>
          <w:rFonts w:eastAsia="Calibri"/>
          <w:szCs w:val="22"/>
        </w:rPr>
        <w:t>saglabājas</w:t>
      </w:r>
      <w:r w:rsidRPr="00A74117">
        <w:rPr>
          <w:rFonts w:eastAsia="Calibri"/>
          <w:szCs w:val="22"/>
        </w:rPr>
        <w:t xml:space="preserve"> zema un aptuveni par 20% atpaliek no pirms Covid-19 līmeņa. Situācija tūrisma un aviopārvadājumu nozarēs saglabājas sarežģīta</w:t>
      </w:r>
      <w:r>
        <w:rPr>
          <w:rFonts w:eastAsia="Calibri"/>
          <w:szCs w:val="22"/>
        </w:rPr>
        <w:t>, ko ietekmē epidemioloģiskā situācija un ierobežojumi</w:t>
      </w:r>
      <w:r w:rsidRPr="00A74117">
        <w:rPr>
          <w:rFonts w:eastAsia="Calibri"/>
          <w:szCs w:val="22"/>
        </w:rPr>
        <w:t xml:space="preserve">, </w:t>
      </w:r>
      <w:r>
        <w:rPr>
          <w:rFonts w:eastAsia="Calibri"/>
          <w:szCs w:val="22"/>
        </w:rPr>
        <w:t xml:space="preserve">kavējot </w:t>
      </w:r>
      <w:r w:rsidRPr="00A74117">
        <w:rPr>
          <w:rFonts w:eastAsia="Calibri"/>
          <w:szCs w:val="22"/>
        </w:rPr>
        <w:t>attīstī</w:t>
      </w:r>
      <w:r>
        <w:rPr>
          <w:rFonts w:eastAsia="Calibri"/>
          <w:szCs w:val="22"/>
        </w:rPr>
        <w:t>bu</w:t>
      </w:r>
      <w:r w:rsidRPr="00A74117">
        <w:rPr>
          <w:rFonts w:eastAsia="Calibri"/>
          <w:szCs w:val="22"/>
        </w:rPr>
        <w:t xml:space="preserve">. </w:t>
      </w:r>
    </w:p>
    <w:p w14:paraId="7459DA7C" w14:textId="77777777" w:rsidR="00C32B3C" w:rsidRPr="00A74117" w:rsidRDefault="00C32B3C" w:rsidP="00C32B3C">
      <w:pPr>
        <w:spacing w:before="120"/>
        <w:ind w:firstLine="720"/>
        <w:rPr>
          <w:rFonts w:eastAsia="Calibri"/>
          <w:szCs w:val="22"/>
        </w:rPr>
      </w:pPr>
      <w:r w:rsidRPr="00A74117">
        <w:rPr>
          <w:rFonts w:eastAsia="Calibri"/>
          <w:szCs w:val="22"/>
        </w:rPr>
        <w:t xml:space="preserve">Neskatoties uz to, ka līdz vasaras nogalei ES vidēji bija sasniegs nozīmīgs </w:t>
      </w:r>
      <w:proofErr w:type="spellStart"/>
      <w:r w:rsidRPr="00A74117">
        <w:rPr>
          <w:rFonts w:eastAsia="Calibri"/>
          <w:szCs w:val="22"/>
        </w:rPr>
        <w:t>mēr</w:t>
      </w:r>
      <w:r>
        <w:rPr>
          <w:rFonts w:eastAsia="Calibri"/>
          <w:szCs w:val="22"/>
        </w:rPr>
        <w:t>ķ</w:t>
      </w:r>
      <w:r w:rsidRPr="00A74117">
        <w:rPr>
          <w:rFonts w:eastAsia="Calibri"/>
          <w:szCs w:val="22"/>
        </w:rPr>
        <w:t>rādītājs</w:t>
      </w:r>
      <w:proofErr w:type="spellEnd"/>
      <w:r w:rsidRPr="00A74117">
        <w:rPr>
          <w:rFonts w:eastAsia="Calibri"/>
          <w:szCs w:val="22"/>
        </w:rPr>
        <w:t xml:space="preserve"> cīņā pret pandēmiju – 70% pieaugušo iedzīvotāju bija pilnība vakcinēti, ES dalībvalstīs </w:t>
      </w:r>
      <w:r>
        <w:rPr>
          <w:rFonts w:eastAsia="Calibri"/>
          <w:szCs w:val="22"/>
        </w:rPr>
        <w:t xml:space="preserve">joprojām </w:t>
      </w:r>
      <w:r w:rsidRPr="00A74117">
        <w:rPr>
          <w:rFonts w:eastAsia="Calibri"/>
          <w:szCs w:val="22"/>
        </w:rPr>
        <w:t>pastā</w:t>
      </w:r>
      <w:r>
        <w:rPr>
          <w:rFonts w:eastAsia="Calibri"/>
          <w:szCs w:val="22"/>
        </w:rPr>
        <w:t>v</w:t>
      </w:r>
      <w:r w:rsidRPr="00A74117">
        <w:rPr>
          <w:rFonts w:eastAsia="Calibri"/>
          <w:szCs w:val="22"/>
        </w:rPr>
        <w:t xml:space="preserve"> cilvēku pulcēšanās ierobežojumi. Savukārt nevakcinētiem cilvēkiem ārvalstu ceļošanu </w:t>
      </w:r>
      <w:proofErr w:type="spellStart"/>
      <w:r w:rsidRPr="00A74117">
        <w:rPr>
          <w:rFonts w:eastAsia="Calibri"/>
          <w:szCs w:val="22"/>
        </w:rPr>
        <w:t>sarežģī</w:t>
      </w:r>
      <w:proofErr w:type="spellEnd"/>
      <w:r w:rsidRPr="00A74117">
        <w:rPr>
          <w:rFonts w:eastAsia="Calibri"/>
          <w:szCs w:val="22"/>
        </w:rPr>
        <w:t xml:space="preserve"> nepieciešamība</w:t>
      </w:r>
      <w:r>
        <w:rPr>
          <w:rFonts w:eastAsia="Calibri"/>
          <w:szCs w:val="22"/>
        </w:rPr>
        <w:t xml:space="preserve"> nodot</w:t>
      </w:r>
      <w:r w:rsidRPr="00A74117">
        <w:rPr>
          <w:rFonts w:eastAsia="Calibri"/>
          <w:szCs w:val="22"/>
        </w:rPr>
        <w:t xml:space="preserve"> Covid-19 analīzes un ievērot karantīnu. Tādējādi tūristu plūsma joprojām turpina samazināties. </w:t>
      </w:r>
      <w:r>
        <w:rPr>
          <w:rFonts w:eastAsia="Calibri"/>
          <w:szCs w:val="22"/>
        </w:rPr>
        <w:t>Šā gada</w:t>
      </w:r>
      <w:r w:rsidRPr="00A74117">
        <w:rPr>
          <w:rFonts w:eastAsia="Calibri"/>
          <w:szCs w:val="22"/>
        </w:rPr>
        <w:t xml:space="preserve"> septiņos mēnešos ārvalstu tūristu skaits Latvijā bija par 69% mazāks nekā pērnā gad</w:t>
      </w:r>
      <w:r>
        <w:rPr>
          <w:rFonts w:eastAsia="Calibri"/>
          <w:szCs w:val="22"/>
        </w:rPr>
        <w:t>a</w:t>
      </w:r>
      <w:r w:rsidRPr="00A74117">
        <w:rPr>
          <w:rFonts w:eastAsia="Calibri"/>
          <w:szCs w:val="22"/>
        </w:rPr>
        <w:t xml:space="preserve"> attiecīgajā periodā.</w:t>
      </w:r>
      <w:r>
        <w:rPr>
          <w:rFonts w:eastAsia="Calibri"/>
          <w:szCs w:val="22"/>
        </w:rPr>
        <w:t xml:space="preserve"> Šāds kritums ir iespaidīgs, </w:t>
      </w:r>
      <w:r w:rsidRPr="00A74117">
        <w:rPr>
          <w:rFonts w:eastAsia="Calibri"/>
          <w:szCs w:val="22"/>
        </w:rPr>
        <w:t>ņemot vērā, ka jau 2020</w:t>
      </w:r>
      <w:r>
        <w:rPr>
          <w:rFonts w:eastAsia="Calibri"/>
          <w:szCs w:val="22"/>
        </w:rPr>
        <w:t>. gada</w:t>
      </w:r>
      <w:r w:rsidRPr="00A74117">
        <w:rPr>
          <w:rFonts w:eastAsia="Calibri"/>
          <w:szCs w:val="22"/>
        </w:rPr>
        <w:t xml:space="preserve"> pirmajos septiņos mēnešos apkalpoto ārvalstu tūristu skaits Latvijas viesnīcās ir samazinājies par 56,9%. Ārvalstu tūristu izdevumi Latvijā </w:t>
      </w:r>
      <w:r>
        <w:rPr>
          <w:rFonts w:eastAsia="Calibri"/>
          <w:szCs w:val="22"/>
        </w:rPr>
        <w:t xml:space="preserve">šā gada </w:t>
      </w:r>
      <w:r w:rsidRPr="00A74117">
        <w:rPr>
          <w:rFonts w:eastAsia="Calibri"/>
          <w:szCs w:val="22"/>
        </w:rPr>
        <w:t xml:space="preserve">septiņos mēnešos bija par 56,6% mazāki nekā pērn attiecīgajā periodā. Tādējādi ārvalstu tūristu izdevumu kritums atstāja lielāko negatīvo ietekmi uz pakalpojumu eksportu. Arī Rīgas lidostā </w:t>
      </w:r>
      <w:r>
        <w:rPr>
          <w:rFonts w:eastAsia="Calibri"/>
          <w:szCs w:val="22"/>
        </w:rPr>
        <w:t>šā gada</w:t>
      </w:r>
      <w:r w:rsidRPr="00A74117">
        <w:rPr>
          <w:rFonts w:eastAsia="Calibri"/>
          <w:szCs w:val="22"/>
        </w:rPr>
        <w:t xml:space="preserve"> pirmajos septiņos mēnešos apkalpoto pasažieru skaits bija 703 tūkst. cilvēku</w:t>
      </w:r>
      <w:r>
        <w:rPr>
          <w:rFonts w:eastAsia="Calibri"/>
          <w:szCs w:val="22"/>
        </w:rPr>
        <w:t xml:space="preserve"> jeb par </w:t>
      </w:r>
      <w:r w:rsidRPr="00A74117">
        <w:rPr>
          <w:rFonts w:eastAsia="Calibri"/>
          <w:szCs w:val="22"/>
        </w:rPr>
        <w:t xml:space="preserve">53,3% </w:t>
      </w:r>
      <w:r>
        <w:rPr>
          <w:rFonts w:eastAsia="Calibri"/>
          <w:szCs w:val="22"/>
        </w:rPr>
        <w:t xml:space="preserve">mazāk </w:t>
      </w:r>
      <w:r w:rsidRPr="00A74117">
        <w:rPr>
          <w:rFonts w:eastAsia="Calibri"/>
          <w:szCs w:val="22"/>
        </w:rPr>
        <w:t xml:space="preserve">salīdzinājumā ar attiecīgo periodu pērn, kas </w:t>
      </w:r>
      <w:r>
        <w:rPr>
          <w:rFonts w:eastAsia="Calibri"/>
          <w:szCs w:val="22"/>
        </w:rPr>
        <w:t xml:space="preserve">atbilst </w:t>
      </w:r>
      <w:r w:rsidRPr="00A74117">
        <w:rPr>
          <w:rFonts w:eastAsia="Calibri"/>
          <w:szCs w:val="22"/>
        </w:rPr>
        <w:t xml:space="preserve">ārvalstu tūristu </w:t>
      </w:r>
      <w:r>
        <w:rPr>
          <w:rFonts w:eastAsia="Calibri"/>
          <w:szCs w:val="22"/>
        </w:rPr>
        <w:t>skaita kritumam</w:t>
      </w:r>
      <w:r w:rsidRPr="00A74117">
        <w:rPr>
          <w:rFonts w:eastAsia="Calibri"/>
          <w:szCs w:val="22"/>
        </w:rPr>
        <w:t>. Tikmēr apkalpoto lidmašīnu skaits ir samazinājies mazāk, kopumā par 28,6%.</w:t>
      </w:r>
    </w:p>
    <w:p w14:paraId="361FBDBC" w14:textId="77777777" w:rsidR="00C32B3C" w:rsidRPr="00A74117" w:rsidRDefault="00C32B3C" w:rsidP="00C32B3C">
      <w:pPr>
        <w:spacing w:before="120"/>
        <w:ind w:firstLine="720"/>
        <w:rPr>
          <w:rFonts w:eastAsia="Calibri"/>
          <w:szCs w:val="22"/>
        </w:rPr>
      </w:pPr>
      <w:r w:rsidRPr="00A74117">
        <w:rPr>
          <w:rFonts w:eastAsia="Calibri"/>
          <w:szCs w:val="22"/>
        </w:rPr>
        <w:t xml:space="preserve">Transporta pakalpojumu eksports </w:t>
      </w:r>
      <w:r>
        <w:rPr>
          <w:rFonts w:eastAsia="Calibri"/>
          <w:szCs w:val="22"/>
        </w:rPr>
        <w:t>šā gada</w:t>
      </w:r>
      <w:r w:rsidRPr="00A74117">
        <w:rPr>
          <w:rFonts w:eastAsia="Calibri"/>
          <w:szCs w:val="22"/>
        </w:rPr>
        <w:t xml:space="preserve"> septiņos mēnešos ir palielinājies par 2,4%. Detalizēti dati par transporta pakalpojumu veidiem tieši septiņos mēnešos nav pieejami, bet pirmā pusgada rezultāti liecina, ka transporta pakalpojumu eksportu veicināja sniegto autotransporta kravu pārvadājumu pakalpojumu pieaugums ārvalstīs par 9,8%, kamēr pārējo transporta pakalpojumu eksports ir samazinājies. Gaisa transporta pakalpojumu eksports bija par 41,7%, jūras transporta pakalpojumu eksports – par 8,3%, bet </w:t>
      </w:r>
      <w:r>
        <w:rPr>
          <w:rFonts w:eastAsia="Calibri"/>
          <w:szCs w:val="22"/>
        </w:rPr>
        <w:t>dzelzceļa transporta pakalpojumu eksports</w:t>
      </w:r>
      <w:r w:rsidRPr="00A74117">
        <w:rPr>
          <w:rFonts w:eastAsia="Calibri"/>
          <w:szCs w:val="22"/>
        </w:rPr>
        <w:t xml:space="preserve"> – par 6,3%</w:t>
      </w:r>
      <w:r>
        <w:rPr>
          <w:rFonts w:eastAsia="Calibri"/>
          <w:szCs w:val="22"/>
        </w:rPr>
        <w:t xml:space="preserve"> zemāks nekā pirms gada.</w:t>
      </w:r>
      <w:r w:rsidRPr="00A74117">
        <w:rPr>
          <w:rFonts w:eastAsia="Calibri"/>
          <w:szCs w:val="22"/>
        </w:rPr>
        <w:t xml:space="preserve"> </w:t>
      </w:r>
    </w:p>
    <w:p w14:paraId="7ABEA458" w14:textId="77777777" w:rsidR="00C32B3C" w:rsidRDefault="00C32B3C" w:rsidP="00C32B3C">
      <w:pPr>
        <w:spacing w:before="120"/>
        <w:ind w:firstLine="720"/>
        <w:rPr>
          <w:rFonts w:eastAsia="Calibri"/>
          <w:szCs w:val="22"/>
        </w:rPr>
      </w:pPr>
      <w:r w:rsidRPr="00A74117">
        <w:rPr>
          <w:rFonts w:eastAsia="Calibri"/>
          <w:szCs w:val="22"/>
        </w:rPr>
        <w:lastRenderedPageBreak/>
        <w:t xml:space="preserve">Pārējo pakalpojumu eksporta vērtība septiņos mēnešos ir palielinājusies par 12,6%. To veicināja informācijas un </w:t>
      </w:r>
      <w:proofErr w:type="spellStart"/>
      <w:r w:rsidRPr="00A74117">
        <w:rPr>
          <w:rFonts w:eastAsia="Calibri"/>
          <w:szCs w:val="22"/>
        </w:rPr>
        <w:t>datorpakalpojumu</w:t>
      </w:r>
      <w:proofErr w:type="spellEnd"/>
      <w:r w:rsidRPr="00A74117">
        <w:rPr>
          <w:rFonts w:eastAsia="Calibri"/>
          <w:szCs w:val="22"/>
        </w:rPr>
        <w:t>, telesakaru pakalpojum</w:t>
      </w:r>
      <w:r>
        <w:rPr>
          <w:rFonts w:eastAsia="Calibri"/>
          <w:szCs w:val="22"/>
        </w:rPr>
        <w:t>u</w:t>
      </w:r>
      <w:r w:rsidRPr="00A74117">
        <w:rPr>
          <w:rFonts w:eastAsia="Calibri"/>
          <w:szCs w:val="22"/>
        </w:rPr>
        <w:t>, kā arī citu saimnieciskās dar</w:t>
      </w:r>
      <w:r>
        <w:rPr>
          <w:rFonts w:eastAsia="Calibri"/>
          <w:szCs w:val="22"/>
        </w:rPr>
        <w:t>bības pakalpojumu eksports. Šāds</w:t>
      </w:r>
      <w:r w:rsidRPr="00A74117">
        <w:rPr>
          <w:rFonts w:eastAsia="Calibri"/>
          <w:szCs w:val="22"/>
        </w:rPr>
        <w:t xml:space="preserve"> pārējo pakalpojumu eksporta pieaugum</w:t>
      </w:r>
      <w:r>
        <w:rPr>
          <w:rFonts w:eastAsia="Calibri"/>
          <w:szCs w:val="22"/>
        </w:rPr>
        <w:t>s</w:t>
      </w:r>
      <w:r w:rsidRPr="00A74117">
        <w:rPr>
          <w:rFonts w:eastAsia="Calibri"/>
          <w:szCs w:val="22"/>
        </w:rPr>
        <w:t xml:space="preserve"> jāvērtē pozitīvi, tomēr salīdzinājumā ar vidējo preču eksporta pieaugumu, augstākminēto pakalpojumu eksporta pieaugums būtiski atpaliek. Jāatzīmē arī to, ka pandēmijas laikā, būtiski palielinoties pieprasījumam pēc informācijas tehnoloģiju pakalpojumiem un citiem attālināto pakalpojumu veidiem, informācijas un </w:t>
      </w:r>
      <w:proofErr w:type="spellStart"/>
      <w:r w:rsidRPr="00A74117">
        <w:rPr>
          <w:rFonts w:eastAsia="Calibri"/>
          <w:szCs w:val="22"/>
        </w:rPr>
        <w:t>datorpakalpojumu</w:t>
      </w:r>
      <w:proofErr w:type="spellEnd"/>
      <w:r w:rsidRPr="00A74117">
        <w:rPr>
          <w:rFonts w:eastAsia="Calibri"/>
          <w:szCs w:val="22"/>
        </w:rPr>
        <w:t xml:space="preserve"> eksports pieauga par 10,4% un telesakaru pakal</w:t>
      </w:r>
      <w:r>
        <w:rPr>
          <w:rFonts w:eastAsia="Calibri"/>
          <w:szCs w:val="22"/>
        </w:rPr>
        <w:t>pojumu eksports – par 4,5% (1.37.</w:t>
      </w:r>
      <w:r w:rsidRPr="00A74117">
        <w:rPr>
          <w:rFonts w:eastAsia="Calibri"/>
          <w:szCs w:val="22"/>
        </w:rPr>
        <w:t xml:space="preserve"> un </w:t>
      </w:r>
      <w:r>
        <w:rPr>
          <w:rFonts w:eastAsia="Calibri"/>
          <w:szCs w:val="22"/>
        </w:rPr>
        <w:t>1.38.</w:t>
      </w:r>
      <w:r w:rsidRPr="00A74117">
        <w:rPr>
          <w:rFonts w:eastAsia="Calibri"/>
          <w:szCs w:val="22"/>
        </w:rPr>
        <w:t xml:space="preserve"> attēls)</w:t>
      </w:r>
      <w:r>
        <w:rPr>
          <w:rFonts w:eastAsia="Calibri"/>
          <w:szCs w:val="22"/>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51"/>
        <w:gridCol w:w="4794"/>
      </w:tblGrid>
      <w:tr w:rsidR="00C32B3C" w:rsidRPr="00EE05FE" w14:paraId="57ABA1E7" w14:textId="77777777" w:rsidTr="007F5E20">
        <w:tc>
          <w:tcPr>
            <w:tcW w:w="4151" w:type="dxa"/>
          </w:tcPr>
          <w:p w14:paraId="7EB3B602" w14:textId="77777777" w:rsidR="00C32B3C" w:rsidRPr="00897BC0" w:rsidRDefault="00C32B3C" w:rsidP="003C29FE">
            <w:pPr>
              <w:spacing w:before="60" w:after="60"/>
              <w:ind w:firstLine="0"/>
              <w:jc w:val="center"/>
              <w:rPr>
                <w:b/>
                <w:bCs/>
                <w:i/>
              </w:rPr>
            </w:pPr>
            <w:r w:rsidRPr="00897BC0">
              <w:rPr>
                <w:b/>
                <w:bCs/>
                <w:i/>
              </w:rPr>
              <w:t xml:space="preserve">1.37. attēls </w:t>
            </w:r>
            <w:r w:rsidRPr="00897BC0">
              <w:rPr>
                <w:b/>
                <w:bCs/>
              </w:rPr>
              <w:t>Latvijas pakalpojumu eksports faktiskajās cenās pa grupām, devumi (</w:t>
            </w:r>
            <w:proofErr w:type="spellStart"/>
            <w:r w:rsidRPr="00897BC0">
              <w:rPr>
                <w:b/>
                <w:bCs/>
              </w:rPr>
              <w:t>pp</w:t>
            </w:r>
            <w:proofErr w:type="spellEnd"/>
            <w:r w:rsidRPr="00897BC0">
              <w:rPr>
                <w:b/>
                <w:bCs/>
              </w:rPr>
              <w:t>) un kopējais pieaugums (%)</w:t>
            </w:r>
          </w:p>
        </w:tc>
        <w:tc>
          <w:tcPr>
            <w:tcW w:w="4151" w:type="dxa"/>
          </w:tcPr>
          <w:p w14:paraId="4F5A5640" w14:textId="77777777" w:rsidR="00C32B3C" w:rsidRPr="00897BC0" w:rsidRDefault="00C32B3C" w:rsidP="003C29FE">
            <w:pPr>
              <w:spacing w:before="60" w:after="60"/>
              <w:ind w:firstLine="0"/>
              <w:jc w:val="center"/>
              <w:rPr>
                <w:b/>
                <w:bCs/>
                <w:i/>
              </w:rPr>
            </w:pPr>
            <w:r w:rsidRPr="00897BC0">
              <w:rPr>
                <w:b/>
                <w:bCs/>
                <w:i/>
              </w:rPr>
              <w:t xml:space="preserve">1.38. attēls </w:t>
            </w:r>
            <w:r w:rsidRPr="00897BC0">
              <w:rPr>
                <w:b/>
                <w:bCs/>
              </w:rPr>
              <w:t xml:space="preserve">Latvijas pakalpojumu eksports faktiskajās cenās pa grupām (milj. </w:t>
            </w:r>
            <w:proofErr w:type="spellStart"/>
            <w:r w:rsidRPr="00897BC0">
              <w:rPr>
                <w:b/>
                <w:bCs/>
                <w:i/>
              </w:rPr>
              <w:t>euro</w:t>
            </w:r>
            <w:proofErr w:type="spellEnd"/>
            <w:r w:rsidRPr="00897BC0">
              <w:rPr>
                <w:b/>
                <w:bCs/>
              </w:rPr>
              <w:t>)</w:t>
            </w:r>
          </w:p>
        </w:tc>
      </w:tr>
      <w:tr w:rsidR="00C32B3C" w:rsidRPr="00EE05FE" w14:paraId="4CCF7B70" w14:textId="77777777" w:rsidTr="007F5E20">
        <w:tc>
          <w:tcPr>
            <w:tcW w:w="4151" w:type="dxa"/>
          </w:tcPr>
          <w:p w14:paraId="6E6EEDC9" w14:textId="77777777" w:rsidR="00C32B3C" w:rsidRPr="00897BC0" w:rsidRDefault="00C32B3C" w:rsidP="007F5E20">
            <w:pPr>
              <w:spacing w:before="60" w:after="60"/>
              <w:ind w:firstLine="0"/>
              <w:jc w:val="center"/>
              <w:rPr>
                <w:b/>
                <w:bCs/>
                <w:i/>
              </w:rPr>
            </w:pPr>
            <w:r>
              <w:rPr>
                <w:noProof/>
                <w:lang w:eastAsia="lv-LV"/>
              </w:rPr>
              <w:drawing>
                <wp:inline distT="0" distB="0" distL="0" distR="0" wp14:anchorId="2DBF8EE6" wp14:editId="28D9EA78">
                  <wp:extent cx="2475781" cy="4334510"/>
                  <wp:effectExtent l="0" t="0" r="1270" b="8890"/>
                  <wp:docPr id="31" name="Chart 31">
                    <a:extLst xmlns:a="http://schemas.openxmlformats.org/drawingml/2006/main">
                      <a:ext uri="{FF2B5EF4-FFF2-40B4-BE49-F238E27FC236}">
                        <a16:creationId xmlns:a16="http://schemas.microsoft.com/office/drawing/2014/main" id="{00000000-0008-0000-2800-000006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tc>
        <w:tc>
          <w:tcPr>
            <w:tcW w:w="4151" w:type="dxa"/>
          </w:tcPr>
          <w:p w14:paraId="30A5342D" w14:textId="77777777" w:rsidR="00C32B3C" w:rsidRPr="00897BC0" w:rsidRDefault="00C32B3C" w:rsidP="007F5E20">
            <w:pPr>
              <w:spacing w:before="60" w:after="60"/>
              <w:ind w:firstLine="558"/>
              <w:jc w:val="center"/>
              <w:rPr>
                <w:b/>
                <w:bCs/>
                <w:i/>
              </w:rPr>
            </w:pPr>
            <w:r>
              <w:rPr>
                <w:noProof/>
                <w:lang w:eastAsia="lv-LV"/>
              </w:rPr>
              <w:drawing>
                <wp:inline distT="0" distB="0" distL="0" distR="0" wp14:anchorId="4B04BA0F" wp14:editId="0F62C1B2">
                  <wp:extent cx="2544972" cy="4334510"/>
                  <wp:effectExtent l="0" t="0" r="8255" b="8890"/>
                  <wp:docPr id="32" name="Chart 32"/>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tc>
      </w:tr>
    </w:tbl>
    <w:p w14:paraId="4EBF5067" w14:textId="434F3F66" w:rsidR="00C32B3C" w:rsidRPr="007517F1" w:rsidRDefault="00C32B3C" w:rsidP="00C32B3C">
      <w:pPr>
        <w:spacing w:before="120"/>
        <w:ind w:firstLine="720"/>
        <w:rPr>
          <w:rFonts w:eastAsia="Calibri"/>
          <w:szCs w:val="22"/>
        </w:rPr>
      </w:pPr>
      <w:r w:rsidRPr="007517F1">
        <w:rPr>
          <w:rFonts w:eastAsia="Calibri"/>
          <w:szCs w:val="22"/>
        </w:rPr>
        <w:t xml:space="preserve">Tāpat kā eksports, arī </w:t>
      </w:r>
      <w:r w:rsidRPr="007517F1">
        <w:rPr>
          <w:rFonts w:eastAsia="Calibri"/>
          <w:b/>
          <w:szCs w:val="22"/>
        </w:rPr>
        <w:t>preču un pakalpojumu imports</w:t>
      </w:r>
      <w:r w:rsidRPr="007517F1">
        <w:rPr>
          <w:rFonts w:eastAsia="Calibri"/>
          <w:szCs w:val="22"/>
        </w:rPr>
        <w:t xml:space="preserve"> 2020</w:t>
      </w:r>
      <w:r>
        <w:rPr>
          <w:rFonts w:eastAsia="Calibri"/>
          <w:szCs w:val="22"/>
        </w:rPr>
        <w:t>. gad</w:t>
      </w:r>
      <w:r w:rsidRPr="007517F1">
        <w:rPr>
          <w:rFonts w:eastAsia="Calibri"/>
          <w:szCs w:val="22"/>
        </w:rPr>
        <w:t xml:space="preserve">ā saruka. Mazinoties ekonomikas aktivitātei Latvijā, mazinājās arī pieprasījums pēc importa precēm, galvenokārt pēc starppatēriņa precēm, kas tiek izmantotas ražošanas procesā. Savukārt ārējā pieprasījuma kritums negatīvi ietekmēja satiksmes līdzekļu reeksporta apjomus, tādējādi mazinot </w:t>
      </w:r>
      <w:proofErr w:type="spellStart"/>
      <w:r w:rsidRPr="007517F1">
        <w:rPr>
          <w:rFonts w:eastAsia="Calibri"/>
          <w:szCs w:val="22"/>
        </w:rPr>
        <w:t>kapitālpreču</w:t>
      </w:r>
      <w:proofErr w:type="spellEnd"/>
      <w:r w:rsidRPr="007517F1">
        <w:rPr>
          <w:rFonts w:eastAsia="Calibri"/>
          <w:szCs w:val="22"/>
        </w:rPr>
        <w:t xml:space="preserve"> importu. Kopējais preču un pakalpojumu imports salīdzināmajās cenās 2020</w:t>
      </w:r>
      <w:r>
        <w:rPr>
          <w:rFonts w:eastAsia="Calibri"/>
          <w:szCs w:val="22"/>
        </w:rPr>
        <w:t>. gad</w:t>
      </w:r>
      <w:r w:rsidRPr="007517F1">
        <w:rPr>
          <w:rFonts w:eastAsia="Calibri"/>
          <w:szCs w:val="22"/>
        </w:rPr>
        <w:t>ā bija par 3,3% mazāks nekā iepriekšējā gadā. Ņemot vērā, ka importa kritums bija straujāks par eksport</w:t>
      </w:r>
      <w:r>
        <w:rPr>
          <w:rFonts w:eastAsia="Calibri"/>
          <w:szCs w:val="22"/>
        </w:rPr>
        <w:t>a</w:t>
      </w:r>
      <w:r w:rsidRPr="007517F1">
        <w:rPr>
          <w:rFonts w:eastAsia="Calibri"/>
          <w:szCs w:val="22"/>
        </w:rPr>
        <w:t xml:space="preserve"> samazinājumu, neto eksporta devums reālā </w:t>
      </w:r>
      <w:r w:rsidR="003C29FE">
        <w:rPr>
          <w:rFonts w:eastAsia="Calibri"/>
          <w:szCs w:val="22"/>
        </w:rPr>
        <w:t>IKP</w:t>
      </w:r>
      <w:r w:rsidRPr="007517F1">
        <w:rPr>
          <w:rFonts w:eastAsia="Calibri"/>
          <w:szCs w:val="22"/>
        </w:rPr>
        <w:t xml:space="preserve"> pieaugumā 2020</w:t>
      </w:r>
      <w:r>
        <w:rPr>
          <w:rFonts w:eastAsia="Calibri"/>
          <w:szCs w:val="22"/>
        </w:rPr>
        <w:t>. gad</w:t>
      </w:r>
      <w:r w:rsidRPr="007517F1">
        <w:rPr>
          <w:rFonts w:eastAsia="Calibri"/>
          <w:szCs w:val="22"/>
        </w:rPr>
        <w:t>ā bija pozitīvs, proti, 0,5 procentpunkti.</w:t>
      </w:r>
    </w:p>
    <w:p w14:paraId="1C7C5BA8" w14:textId="77777777" w:rsidR="00C32B3C" w:rsidRPr="007517F1" w:rsidRDefault="00C32B3C" w:rsidP="00C32B3C">
      <w:pPr>
        <w:spacing w:before="120"/>
        <w:ind w:firstLine="720"/>
        <w:rPr>
          <w:rFonts w:eastAsia="Calibri"/>
          <w:szCs w:val="22"/>
        </w:rPr>
      </w:pPr>
      <w:r w:rsidRPr="007517F1">
        <w:rPr>
          <w:rFonts w:eastAsia="Calibri"/>
          <w:szCs w:val="22"/>
        </w:rPr>
        <w:t>2021</w:t>
      </w:r>
      <w:r>
        <w:rPr>
          <w:rFonts w:eastAsia="Calibri"/>
          <w:szCs w:val="22"/>
        </w:rPr>
        <w:t>. gad</w:t>
      </w:r>
      <w:r w:rsidRPr="007517F1">
        <w:rPr>
          <w:rFonts w:eastAsia="Calibri"/>
          <w:szCs w:val="22"/>
        </w:rPr>
        <w:t xml:space="preserve">a pirmajā ceturksnī kopējais imports bija pērnā gada līmenī. Savukārt, </w:t>
      </w:r>
      <w:r>
        <w:rPr>
          <w:rFonts w:eastAsia="Calibri"/>
          <w:szCs w:val="22"/>
        </w:rPr>
        <w:t xml:space="preserve">šā gada </w:t>
      </w:r>
      <w:r w:rsidRPr="007517F1">
        <w:rPr>
          <w:rFonts w:eastAsia="Calibri"/>
          <w:szCs w:val="22"/>
        </w:rPr>
        <w:t>otrajā ceturksnī salīdzinājumā ar pērnā gada otro ceturksni bija fiksēts ļoti straujš gan preču, gan pakalpojumu importa pieaugums, attiecīgi par 31,6% un 36,5%. Tādējādi, 2021</w:t>
      </w:r>
      <w:r>
        <w:rPr>
          <w:rFonts w:eastAsia="Calibri"/>
          <w:szCs w:val="22"/>
        </w:rPr>
        <w:t>. gad</w:t>
      </w:r>
      <w:r w:rsidRPr="007517F1">
        <w:rPr>
          <w:rFonts w:eastAsia="Calibri"/>
          <w:szCs w:val="22"/>
        </w:rPr>
        <w:t xml:space="preserve">a pirmajā pusgadā kopējais imports salīdzināmajās cenās bija par 15,0% augstāks. Zīmīgi, ka </w:t>
      </w:r>
      <w:r w:rsidRPr="007517F1">
        <w:rPr>
          <w:rFonts w:eastAsia="Calibri"/>
          <w:szCs w:val="22"/>
        </w:rPr>
        <w:lastRenderedPageBreak/>
        <w:t>importa pieaugums bija divas reizes straujāks nekā eksporta</w:t>
      </w:r>
      <w:r>
        <w:rPr>
          <w:rFonts w:eastAsia="Calibri"/>
          <w:szCs w:val="22"/>
        </w:rPr>
        <w:t xml:space="preserve"> pieaugums</w:t>
      </w:r>
      <w:r w:rsidRPr="007517F1">
        <w:rPr>
          <w:rFonts w:eastAsia="Calibri"/>
          <w:szCs w:val="22"/>
        </w:rPr>
        <w:t xml:space="preserve">, un, atšķirībā no eksporta kāpuma, straujš importa pieaugums bija fiksēts gan precēm, gan pakalpojumiem. Straujš importa pieaugums gan </w:t>
      </w:r>
      <w:r>
        <w:rPr>
          <w:rFonts w:eastAsia="Calibri"/>
          <w:szCs w:val="22"/>
        </w:rPr>
        <w:t>šā gada</w:t>
      </w:r>
      <w:r w:rsidRPr="007517F1">
        <w:rPr>
          <w:rFonts w:eastAsia="Calibri"/>
          <w:szCs w:val="22"/>
        </w:rPr>
        <w:t xml:space="preserve"> otrajā ceturksnī, gan arī jūlija mēnesī liecina par Latvijas ekonomikas atkopšanos. Palielinoties iekšējam patēriņam un aktivizējoties būvniecībai, pieprasījums pēc importa patēriņa un kapitāla precēm arī pieaug. Kopumā, </w:t>
      </w:r>
      <w:proofErr w:type="spellStart"/>
      <w:r w:rsidRPr="007517F1">
        <w:rPr>
          <w:rFonts w:eastAsia="Calibri"/>
          <w:szCs w:val="22"/>
        </w:rPr>
        <w:t>kapitālpreču</w:t>
      </w:r>
      <w:proofErr w:type="spellEnd"/>
      <w:r w:rsidRPr="007517F1">
        <w:rPr>
          <w:rFonts w:eastAsia="Calibri"/>
          <w:szCs w:val="22"/>
        </w:rPr>
        <w:t xml:space="preserve"> imports </w:t>
      </w:r>
      <w:r>
        <w:rPr>
          <w:rFonts w:eastAsia="Calibri"/>
          <w:szCs w:val="22"/>
        </w:rPr>
        <w:t>gada</w:t>
      </w:r>
      <w:r w:rsidRPr="007517F1">
        <w:rPr>
          <w:rFonts w:eastAsia="Calibri"/>
          <w:szCs w:val="22"/>
        </w:rPr>
        <w:t xml:space="preserve"> pirmajā pusē palielinājās par 33,0%, bet starppatēriņa preču </w:t>
      </w:r>
      <w:r>
        <w:rPr>
          <w:rFonts w:eastAsia="Calibri"/>
          <w:szCs w:val="22"/>
        </w:rPr>
        <w:t xml:space="preserve">imports </w:t>
      </w:r>
      <w:r w:rsidRPr="007517F1">
        <w:rPr>
          <w:rFonts w:eastAsia="Calibri"/>
          <w:szCs w:val="22"/>
        </w:rPr>
        <w:t xml:space="preserve">– par 25,1%.  </w:t>
      </w:r>
    </w:p>
    <w:p w14:paraId="69D50682" w14:textId="77777777" w:rsidR="00C32B3C" w:rsidRPr="007517F1" w:rsidRDefault="00C32B3C" w:rsidP="00C32B3C">
      <w:pPr>
        <w:spacing w:before="120"/>
        <w:ind w:firstLine="720"/>
        <w:rPr>
          <w:rFonts w:eastAsia="Calibri"/>
          <w:szCs w:val="22"/>
        </w:rPr>
      </w:pPr>
      <w:r>
        <w:rPr>
          <w:rFonts w:eastAsia="Calibri"/>
          <w:szCs w:val="22"/>
        </w:rPr>
        <w:t xml:space="preserve">Mēnešu dati </w:t>
      </w:r>
      <w:r w:rsidRPr="007517F1">
        <w:rPr>
          <w:rFonts w:eastAsia="Calibri"/>
          <w:szCs w:val="22"/>
        </w:rPr>
        <w:t xml:space="preserve">rāda, ka preču imports </w:t>
      </w:r>
      <w:r>
        <w:rPr>
          <w:rFonts w:eastAsia="Calibri"/>
          <w:szCs w:val="22"/>
        </w:rPr>
        <w:t xml:space="preserve">2021. gadā </w:t>
      </w:r>
      <w:r w:rsidRPr="007517F1">
        <w:rPr>
          <w:rFonts w:eastAsia="Calibri"/>
          <w:szCs w:val="22"/>
        </w:rPr>
        <w:t xml:space="preserve">ir palielinājies visās preču grupās. </w:t>
      </w:r>
      <w:r>
        <w:rPr>
          <w:rFonts w:eastAsia="Calibri"/>
          <w:szCs w:val="22"/>
        </w:rPr>
        <w:t>Šā gada</w:t>
      </w:r>
      <w:r w:rsidRPr="007517F1">
        <w:rPr>
          <w:rFonts w:eastAsia="Calibri"/>
          <w:szCs w:val="22"/>
        </w:rPr>
        <w:t xml:space="preserve"> pirmajos septiņos mēnešos preču importa vērtība palielinājās par 25,7%. Būtiskāko devumu preču importa pieaugumā nodrošināja mehānisko ierīču un elektroiekārtu, satiksmes līdzekļu, metālu un to izstrādājumu, k</w:t>
      </w:r>
      <w:r>
        <w:rPr>
          <w:rFonts w:eastAsia="Calibri"/>
          <w:szCs w:val="22"/>
        </w:rPr>
        <w:t>ā</w:t>
      </w:r>
      <w:r w:rsidRPr="007517F1">
        <w:rPr>
          <w:rFonts w:eastAsia="Calibri"/>
          <w:szCs w:val="22"/>
        </w:rPr>
        <w:t xml:space="preserve"> arī </w:t>
      </w:r>
      <w:proofErr w:type="spellStart"/>
      <w:r w:rsidRPr="007517F1">
        <w:rPr>
          <w:rFonts w:eastAsia="Calibri"/>
          <w:szCs w:val="22"/>
        </w:rPr>
        <w:t>minerālproduktu</w:t>
      </w:r>
      <w:proofErr w:type="spellEnd"/>
      <w:r w:rsidRPr="007517F1">
        <w:rPr>
          <w:rFonts w:eastAsia="Calibri"/>
          <w:szCs w:val="22"/>
        </w:rPr>
        <w:t xml:space="preserve"> imports (1.</w:t>
      </w:r>
      <w:r>
        <w:rPr>
          <w:rFonts w:eastAsia="Calibri"/>
          <w:szCs w:val="22"/>
        </w:rPr>
        <w:t>4</w:t>
      </w:r>
      <w:r w:rsidRPr="007517F1">
        <w:rPr>
          <w:rFonts w:eastAsia="Calibri"/>
          <w:szCs w:val="22"/>
        </w:rPr>
        <w:t>. tabul</w:t>
      </w:r>
      <w:r>
        <w:rPr>
          <w:rFonts w:eastAsia="Calibri"/>
          <w:szCs w:val="22"/>
        </w:rPr>
        <w:t>a</w:t>
      </w:r>
      <w:r w:rsidRPr="007517F1">
        <w:rPr>
          <w:rFonts w:eastAsia="Calibri"/>
          <w:szCs w:val="22"/>
        </w:rPr>
        <w:t>)</w:t>
      </w:r>
      <w:r>
        <w:rPr>
          <w:rFonts w:eastAsia="Calibri"/>
          <w:szCs w:val="22"/>
        </w:rPr>
        <w:t>.</w:t>
      </w:r>
      <w:r w:rsidRPr="007517F1">
        <w:rPr>
          <w:rFonts w:eastAsia="Calibri"/>
          <w:szCs w:val="22"/>
        </w:rPr>
        <w:t xml:space="preserve">  </w:t>
      </w:r>
    </w:p>
    <w:p w14:paraId="2C679832" w14:textId="77777777" w:rsidR="00C32B3C" w:rsidRPr="00190185" w:rsidRDefault="00C32B3C" w:rsidP="003C29FE">
      <w:pPr>
        <w:keepNext/>
        <w:spacing w:before="120"/>
        <w:ind w:firstLine="0"/>
        <w:jc w:val="center"/>
        <w:rPr>
          <w:rFonts w:eastAsia="Calibri"/>
        </w:rPr>
      </w:pPr>
      <w:r w:rsidRPr="001E6E68">
        <w:rPr>
          <w:rFonts w:eastAsia="Calibri"/>
          <w:b/>
          <w:i/>
        </w:rPr>
        <w:t xml:space="preserve">1.4. tabula </w:t>
      </w:r>
      <w:r w:rsidRPr="001E6E68">
        <w:rPr>
          <w:rFonts w:eastAsia="Calibri"/>
          <w:b/>
        </w:rPr>
        <w:t>Preču importa vērtība 2020</w:t>
      </w:r>
      <w:r>
        <w:rPr>
          <w:rFonts w:eastAsia="Calibri"/>
          <w:b/>
        </w:rPr>
        <w:t>. gad</w:t>
      </w:r>
      <w:r w:rsidRPr="001E6E68">
        <w:rPr>
          <w:rFonts w:eastAsia="Calibri"/>
          <w:b/>
        </w:rPr>
        <w:t>a un 2021</w:t>
      </w:r>
      <w:r>
        <w:rPr>
          <w:rFonts w:eastAsia="Calibri"/>
          <w:b/>
        </w:rPr>
        <w:t>. gad</w:t>
      </w:r>
      <w:r w:rsidRPr="001E6E68">
        <w:rPr>
          <w:rFonts w:eastAsia="Calibri"/>
          <w:b/>
        </w:rPr>
        <w:t>a pirmajos septiņos mēnešos</w:t>
      </w:r>
      <w:r>
        <w:rPr>
          <w:rFonts w:eastAsia="Calibri"/>
          <w:b/>
        </w:rPr>
        <w:t xml:space="preserve"> </w:t>
      </w:r>
      <w:r w:rsidRPr="001E6E68">
        <w:rPr>
          <w:rFonts w:eastAsia="Calibri"/>
          <w:b/>
        </w:rPr>
        <w:t>(izmaiņas un preču grupu īpatsvars 2021</w:t>
      </w:r>
      <w:r>
        <w:rPr>
          <w:rFonts w:eastAsia="Calibri"/>
          <w:b/>
        </w:rPr>
        <w:t>. gad</w:t>
      </w:r>
      <w:r w:rsidRPr="001E6E68">
        <w:rPr>
          <w:rFonts w:eastAsia="Calibri"/>
          <w:b/>
        </w:rPr>
        <w:t>a septiņos mēnešos)</w:t>
      </w:r>
    </w:p>
    <w:tbl>
      <w:tblPr>
        <w:tblW w:w="8302" w:type="dxa"/>
        <w:tblLook w:val="04A0" w:firstRow="1" w:lastRow="0" w:firstColumn="1" w:lastColumn="0" w:noHBand="0" w:noVBand="1"/>
      </w:tblPr>
      <w:tblGrid>
        <w:gridCol w:w="2170"/>
        <w:gridCol w:w="1285"/>
        <w:gridCol w:w="1417"/>
        <w:gridCol w:w="1285"/>
        <w:gridCol w:w="1285"/>
        <w:gridCol w:w="1375"/>
      </w:tblGrid>
      <w:tr w:rsidR="00C32B3C" w:rsidRPr="00902214" w14:paraId="60A4A91D" w14:textId="77777777" w:rsidTr="007F5E20">
        <w:trPr>
          <w:trHeight w:val="312"/>
        </w:trPr>
        <w:tc>
          <w:tcPr>
            <w:tcW w:w="2170" w:type="dxa"/>
            <w:tcBorders>
              <w:top w:val="single" w:sz="4" w:space="0" w:color="auto"/>
              <w:left w:val="single" w:sz="4" w:space="0" w:color="auto"/>
              <w:bottom w:val="single" w:sz="4" w:space="0" w:color="auto"/>
              <w:right w:val="single" w:sz="4" w:space="0" w:color="auto"/>
            </w:tcBorders>
            <w:shd w:val="clear" w:color="auto" w:fill="B8CCE4" w:themeFill="accent1" w:themeFillTint="66"/>
            <w:noWrap/>
            <w:vAlign w:val="center"/>
            <w:hideMark/>
          </w:tcPr>
          <w:p w14:paraId="1D469061" w14:textId="77777777" w:rsidR="00C32B3C" w:rsidRPr="00902214" w:rsidRDefault="00C32B3C" w:rsidP="003C29FE">
            <w:pPr>
              <w:spacing w:after="0"/>
              <w:ind w:firstLine="0"/>
              <w:jc w:val="center"/>
              <w:rPr>
                <w:b/>
                <w:color w:val="000000"/>
                <w:sz w:val="18"/>
                <w:szCs w:val="18"/>
                <w:lang w:eastAsia="lv-LV"/>
              </w:rPr>
            </w:pPr>
            <w:r w:rsidRPr="00902214">
              <w:rPr>
                <w:b/>
                <w:color w:val="000000"/>
                <w:sz w:val="18"/>
                <w:szCs w:val="18"/>
                <w:lang w:eastAsia="lv-LV"/>
              </w:rPr>
              <w:t>Preču grupa</w:t>
            </w:r>
          </w:p>
        </w:tc>
        <w:tc>
          <w:tcPr>
            <w:tcW w:w="1228" w:type="dxa"/>
            <w:tcBorders>
              <w:top w:val="single" w:sz="4" w:space="0" w:color="auto"/>
              <w:left w:val="nil"/>
              <w:bottom w:val="single" w:sz="4" w:space="0" w:color="auto"/>
              <w:right w:val="single" w:sz="4" w:space="0" w:color="auto"/>
            </w:tcBorders>
            <w:shd w:val="clear" w:color="auto" w:fill="B8CCE4" w:themeFill="accent1" w:themeFillTint="66"/>
            <w:noWrap/>
            <w:vAlign w:val="center"/>
            <w:hideMark/>
          </w:tcPr>
          <w:p w14:paraId="371DA764" w14:textId="77777777" w:rsidR="00C32B3C" w:rsidRPr="00902214" w:rsidRDefault="00C32B3C" w:rsidP="003C29FE">
            <w:pPr>
              <w:spacing w:after="0"/>
              <w:ind w:firstLine="0"/>
              <w:jc w:val="center"/>
              <w:rPr>
                <w:b/>
                <w:color w:val="000000"/>
                <w:sz w:val="18"/>
                <w:szCs w:val="18"/>
                <w:lang w:eastAsia="lv-LV"/>
              </w:rPr>
            </w:pPr>
            <w:r w:rsidRPr="00902214">
              <w:rPr>
                <w:b/>
                <w:color w:val="000000"/>
                <w:sz w:val="18"/>
                <w:szCs w:val="18"/>
                <w:lang w:eastAsia="lv-LV"/>
              </w:rPr>
              <w:t xml:space="preserve">I-VII 2020 milj. </w:t>
            </w:r>
            <w:proofErr w:type="spellStart"/>
            <w:r w:rsidRPr="000F1086">
              <w:rPr>
                <w:b/>
                <w:i/>
                <w:color w:val="000000"/>
                <w:sz w:val="18"/>
                <w:szCs w:val="18"/>
                <w:lang w:eastAsia="lv-LV"/>
              </w:rPr>
              <w:t>euro</w:t>
            </w:r>
            <w:proofErr w:type="spellEnd"/>
          </w:p>
        </w:tc>
        <w:tc>
          <w:tcPr>
            <w:tcW w:w="1417" w:type="dxa"/>
            <w:tcBorders>
              <w:top w:val="single" w:sz="4" w:space="0" w:color="auto"/>
              <w:left w:val="nil"/>
              <w:bottom w:val="single" w:sz="4" w:space="0" w:color="auto"/>
              <w:right w:val="single" w:sz="4" w:space="0" w:color="auto"/>
            </w:tcBorders>
            <w:shd w:val="clear" w:color="auto" w:fill="B8CCE4" w:themeFill="accent1" w:themeFillTint="66"/>
            <w:noWrap/>
            <w:vAlign w:val="center"/>
            <w:hideMark/>
          </w:tcPr>
          <w:p w14:paraId="07AB6C1E" w14:textId="77777777" w:rsidR="00C32B3C" w:rsidRPr="00902214" w:rsidRDefault="00C32B3C" w:rsidP="003C29FE">
            <w:pPr>
              <w:spacing w:after="0"/>
              <w:ind w:firstLine="0"/>
              <w:jc w:val="center"/>
              <w:rPr>
                <w:b/>
                <w:color w:val="000000"/>
                <w:sz w:val="18"/>
                <w:szCs w:val="18"/>
                <w:lang w:eastAsia="lv-LV"/>
              </w:rPr>
            </w:pPr>
            <w:r w:rsidRPr="00902214">
              <w:rPr>
                <w:b/>
                <w:color w:val="000000"/>
                <w:sz w:val="18"/>
                <w:szCs w:val="18"/>
                <w:lang w:eastAsia="lv-LV"/>
              </w:rPr>
              <w:t xml:space="preserve">I-VII 2021 milj. </w:t>
            </w:r>
            <w:proofErr w:type="spellStart"/>
            <w:r w:rsidRPr="000F1086">
              <w:rPr>
                <w:b/>
                <w:i/>
                <w:color w:val="000000"/>
                <w:sz w:val="18"/>
                <w:szCs w:val="18"/>
                <w:lang w:eastAsia="lv-LV"/>
              </w:rPr>
              <w:t>euro</w:t>
            </w:r>
            <w:proofErr w:type="spellEnd"/>
          </w:p>
        </w:tc>
        <w:tc>
          <w:tcPr>
            <w:tcW w:w="1134" w:type="dxa"/>
            <w:tcBorders>
              <w:top w:val="single" w:sz="4" w:space="0" w:color="auto"/>
              <w:left w:val="nil"/>
              <w:bottom w:val="single" w:sz="4" w:space="0" w:color="auto"/>
              <w:right w:val="single" w:sz="4" w:space="0" w:color="auto"/>
            </w:tcBorders>
            <w:shd w:val="clear" w:color="auto" w:fill="B8CCE4" w:themeFill="accent1" w:themeFillTint="66"/>
            <w:noWrap/>
            <w:vAlign w:val="center"/>
            <w:hideMark/>
          </w:tcPr>
          <w:p w14:paraId="565F64A2" w14:textId="77777777" w:rsidR="00C32B3C" w:rsidRPr="00902214" w:rsidRDefault="00C32B3C" w:rsidP="003C29FE">
            <w:pPr>
              <w:spacing w:after="0"/>
              <w:ind w:firstLine="0"/>
              <w:jc w:val="center"/>
              <w:rPr>
                <w:b/>
                <w:color w:val="000000"/>
                <w:sz w:val="18"/>
                <w:szCs w:val="18"/>
                <w:lang w:eastAsia="lv-LV"/>
              </w:rPr>
            </w:pPr>
            <w:r w:rsidRPr="00902214">
              <w:rPr>
                <w:b/>
                <w:color w:val="000000"/>
                <w:sz w:val="18"/>
                <w:szCs w:val="18"/>
                <w:lang w:eastAsia="lv-LV"/>
              </w:rPr>
              <w:t xml:space="preserve">Izmaiņas, milj. </w:t>
            </w:r>
            <w:proofErr w:type="spellStart"/>
            <w:r w:rsidRPr="000F1086">
              <w:rPr>
                <w:b/>
                <w:i/>
                <w:color w:val="000000"/>
                <w:sz w:val="18"/>
                <w:szCs w:val="18"/>
                <w:lang w:eastAsia="lv-LV"/>
              </w:rPr>
              <w:t>euro</w:t>
            </w:r>
            <w:proofErr w:type="spellEnd"/>
          </w:p>
        </w:tc>
        <w:tc>
          <w:tcPr>
            <w:tcW w:w="1134" w:type="dxa"/>
            <w:tcBorders>
              <w:top w:val="single" w:sz="4" w:space="0" w:color="auto"/>
              <w:left w:val="nil"/>
              <w:bottom w:val="single" w:sz="4" w:space="0" w:color="auto"/>
              <w:right w:val="single" w:sz="4" w:space="0" w:color="auto"/>
            </w:tcBorders>
            <w:shd w:val="clear" w:color="auto" w:fill="B8CCE4" w:themeFill="accent1" w:themeFillTint="66"/>
            <w:noWrap/>
            <w:vAlign w:val="center"/>
            <w:hideMark/>
          </w:tcPr>
          <w:p w14:paraId="24A47B5C" w14:textId="77777777" w:rsidR="00C32B3C" w:rsidRPr="00902214" w:rsidRDefault="00C32B3C" w:rsidP="003C29FE">
            <w:pPr>
              <w:spacing w:after="0"/>
              <w:ind w:firstLine="0"/>
              <w:jc w:val="center"/>
              <w:rPr>
                <w:b/>
                <w:color w:val="000000"/>
                <w:sz w:val="18"/>
                <w:szCs w:val="18"/>
                <w:lang w:eastAsia="lv-LV"/>
              </w:rPr>
            </w:pPr>
            <w:r>
              <w:rPr>
                <w:b/>
                <w:color w:val="000000"/>
                <w:sz w:val="18"/>
                <w:szCs w:val="18"/>
                <w:lang w:eastAsia="lv-LV"/>
              </w:rPr>
              <w:t>Izmaiņas</w:t>
            </w:r>
          </w:p>
        </w:tc>
        <w:tc>
          <w:tcPr>
            <w:tcW w:w="1219" w:type="dxa"/>
            <w:tcBorders>
              <w:top w:val="single" w:sz="4" w:space="0" w:color="auto"/>
              <w:left w:val="nil"/>
              <w:bottom w:val="single" w:sz="4" w:space="0" w:color="auto"/>
              <w:right w:val="single" w:sz="4" w:space="0" w:color="auto"/>
            </w:tcBorders>
            <w:shd w:val="clear" w:color="auto" w:fill="B8CCE4" w:themeFill="accent1" w:themeFillTint="66"/>
            <w:noWrap/>
            <w:vAlign w:val="center"/>
            <w:hideMark/>
          </w:tcPr>
          <w:p w14:paraId="551D5076" w14:textId="77777777" w:rsidR="00C32B3C" w:rsidRPr="00902214" w:rsidRDefault="00C32B3C" w:rsidP="003C29FE">
            <w:pPr>
              <w:spacing w:after="0"/>
              <w:ind w:firstLine="0"/>
              <w:jc w:val="center"/>
              <w:rPr>
                <w:b/>
                <w:color w:val="000000"/>
                <w:sz w:val="18"/>
                <w:szCs w:val="18"/>
                <w:lang w:eastAsia="lv-LV"/>
              </w:rPr>
            </w:pPr>
            <w:r>
              <w:rPr>
                <w:b/>
                <w:color w:val="000000"/>
                <w:sz w:val="18"/>
                <w:szCs w:val="18"/>
                <w:lang w:eastAsia="lv-LV"/>
              </w:rPr>
              <w:t>Preču grupu īpatsvars</w:t>
            </w:r>
          </w:p>
        </w:tc>
      </w:tr>
      <w:tr w:rsidR="00C32B3C" w:rsidRPr="00902214" w14:paraId="7D065131" w14:textId="77777777" w:rsidTr="007F5E20">
        <w:trPr>
          <w:trHeight w:val="288"/>
        </w:trPr>
        <w:tc>
          <w:tcPr>
            <w:tcW w:w="2170" w:type="dxa"/>
            <w:tcBorders>
              <w:top w:val="nil"/>
              <w:left w:val="single" w:sz="4" w:space="0" w:color="auto"/>
              <w:bottom w:val="single" w:sz="4" w:space="0" w:color="auto"/>
              <w:right w:val="single" w:sz="4" w:space="0" w:color="auto"/>
            </w:tcBorders>
            <w:shd w:val="clear" w:color="auto" w:fill="auto"/>
            <w:noWrap/>
            <w:vAlign w:val="center"/>
            <w:hideMark/>
          </w:tcPr>
          <w:p w14:paraId="27F8AD1B" w14:textId="77777777" w:rsidR="00C32B3C" w:rsidRPr="00902214" w:rsidRDefault="00C32B3C" w:rsidP="003C29FE">
            <w:pPr>
              <w:spacing w:after="0"/>
              <w:ind w:firstLine="0"/>
              <w:rPr>
                <w:color w:val="000000"/>
                <w:sz w:val="18"/>
                <w:szCs w:val="18"/>
                <w:lang w:eastAsia="lv-LV"/>
              </w:rPr>
            </w:pPr>
            <w:r w:rsidRPr="00902214">
              <w:rPr>
                <w:color w:val="000000"/>
                <w:sz w:val="18"/>
                <w:szCs w:val="18"/>
                <w:lang w:eastAsia="lv-LV"/>
              </w:rPr>
              <w:t>Mehānismi un ierīces, t.sk. elektroierīces</w:t>
            </w:r>
          </w:p>
        </w:tc>
        <w:tc>
          <w:tcPr>
            <w:tcW w:w="1228" w:type="dxa"/>
            <w:tcBorders>
              <w:top w:val="nil"/>
              <w:left w:val="nil"/>
              <w:bottom w:val="single" w:sz="4" w:space="0" w:color="auto"/>
              <w:right w:val="single" w:sz="4" w:space="0" w:color="auto"/>
            </w:tcBorders>
            <w:shd w:val="clear" w:color="auto" w:fill="auto"/>
            <w:noWrap/>
            <w:vAlign w:val="center"/>
            <w:hideMark/>
          </w:tcPr>
          <w:p w14:paraId="0A15AA0C" w14:textId="77777777" w:rsidR="00C32B3C" w:rsidRPr="00902214" w:rsidRDefault="00C32B3C" w:rsidP="007F5E20">
            <w:pPr>
              <w:spacing w:after="0"/>
              <w:jc w:val="center"/>
              <w:rPr>
                <w:color w:val="000000"/>
                <w:sz w:val="18"/>
                <w:szCs w:val="18"/>
                <w:lang w:eastAsia="lv-LV"/>
              </w:rPr>
            </w:pPr>
            <w:r w:rsidRPr="00902214">
              <w:rPr>
                <w:color w:val="000000"/>
                <w:sz w:val="18"/>
                <w:szCs w:val="18"/>
                <w:lang w:eastAsia="lv-LV"/>
              </w:rPr>
              <w:t>1840</w:t>
            </w:r>
          </w:p>
        </w:tc>
        <w:tc>
          <w:tcPr>
            <w:tcW w:w="1417" w:type="dxa"/>
            <w:tcBorders>
              <w:top w:val="nil"/>
              <w:left w:val="nil"/>
              <w:bottom w:val="single" w:sz="4" w:space="0" w:color="auto"/>
              <w:right w:val="single" w:sz="4" w:space="0" w:color="auto"/>
            </w:tcBorders>
            <w:shd w:val="clear" w:color="auto" w:fill="auto"/>
            <w:noWrap/>
            <w:vAlign w:val="center"/>
            <w:hideMark/>
          </w:tcPr>
          <w:p w14:paraId="7C293B8A" w14:textId="77777777" w:rsidR="00C32B3C" w:rsidRPr="00902214" w:rsidRDefault="00C32B3C" w:rsidP="007F5E20">
            <w:pPr>
              <w:spacing w:after="0"/>
              <w:jc w:val="center"/>
              <w:rPr>
                <w:color w:val="000000"/>
                <w:sz w:val="18"/>
                <w:szCs w:val="18"/>
                <w:lang w:eastAsia="lv-LV"/>
              </w:rPr>
            </w:pPr>
            <w:r w:rsidRPr="00902214">
              <w:rPr>
                <w:color w:val="000000"/>
                <w:sz w:val="18"/>
                <w:szCs w:val="18"/>
                <w:lang w:eastAsia="lv-LV"/>
              </w:rPr>
              <w:t>2169</w:t>
            </w:r>
          </w:p>
        </w:tc>
        <w:tc>
          <w:tcPr>
            <w:tcW w:w="1134" w:type="dxa"/>
            <w:tcBorders>
              <w:top w:val="nil"/>
              <w:left w:val="nil"/>
              <w:bottom w:val="single" w:sz="4" w:space="0" w:color="auto"/>
              <w:right w:val="single" w:sz="4" w:space="0" w:color="auto"/>
            </w:tcBorders>
            <w:shd w:val="clear" w:color="auto" w:fill="auto"/>
            <w:noWrap/>
            <w:vAlign w:val="center"/>
            <w:hideMark/>
          </w:tcPr>
          <w:p w14:paraId="54DE0B47" w14:textId="77777777" w:rsidR="00C32B3C" w:rsidRPr="00902214" w:rsidRDefault="00C32B3C" w:rsidP="007F5E20">
            <w:pPr>
              <w:spacing w:after="0"/>
              <w:jc w:val="center"/>
              <w:rPr>
                <w:color w:val="000000"/>
                <w:sz w:val="18"/>
                <w:szCs w:val="18"/>
                <w:lang w:eastAsia="lv-LV"/>
              </w:rPr>
            </w:pPr>
            <w:r w:rsidRPr="00902214">
              <w:rPr>
                <w:color w:val="000000"/>
                <w:sz w:val="18"/>
                <w:szCs w:val="18"/>
                <w:lang w:eastAsia="lv-LV"/>
              </w:rPr>
              <w:t>328</w:t>
            </w:r>
          </w:p>
        </w:tc>
        <w:tc>
          <w:tcPr>
            <w:tcW w:w="1134" w:type="dxa"/>
            <w:tcBorders>
              <w:top w:val="nil"/>
              <w:left w:val="nil"/>
              <w:bottom w:val="single" w:sz="4" w:space="0" w:color="auto"/>
              <w:right w:val="single" w:sz="4" w:space="0" w:color="auto"/>
            </w:tcBorders>
            <w:shd w:val="clear" w:color="auto" w:fill="auto"/>
            <w:noWrap/>
            <w:vAlign w:val="center"/>
            <w:hideMark/>
          </w:tcPr>
          <w:p w14:paraId="65637D3B" w14:textId="77777777" w:rsidR="00C32B3C" w:rsidRPr="00902214" w:rsidRDefault="00C32B3C" w:rsidP="007F5E20">
            <w:pPr>
              <w:spacing w:after="0"/>
              <w:jc w:val="center"/>
              <w:rPr>
                <w:color w:val="000000"/>
                <w:sz w:val="18"/>
                <w:szCs w:val="18"/>
                <w:lang w:eastAsia="lv-LV"/>
              </w:rPr>
            </w:pPr>
            <w:r w:rsidRPr="00902214">
              <w:rPr>
                <w:color w:val="000000"/>
                <w:sz w:val="18"/>
                <w:szCs w:val="18"/>
                <w:lang w:eastAsia="lv-LV"/>
              </w:rPr>
              <w:t>18%</w:t>
            </w:r>
          </w:p>
        </w:tc>
        <w:tc>
          <w:tcPr>
            <w:tcW w:w="1219" w:type="dxa"/>
            <w:tcBorders>
              <w:top w:val="nil"/>
              <w:left w:val="nil"/>
              <w:bottom w:val="single" w:sz="4" w:space="0" w:color="auto"/>
              <w:right w:val="single" w:sz="4" w:space="0" w:color="auto"/>
            </w:tcBorders>
            <w:shd w:val="clear" w:color="auto" w:fill="auto"/>
            <w:noWrap/>
            <w:vAlign w:val="center"/>
            <w:hideMark/>
          </w:tcPr>
          <w:p w14:paraId="34C8237D" w14:textId="77777777" w:rsidR="00C32B3C" w:rsidRPr="00902214" w:rsidRDefault="00C32B3C" w:rsidP="007F5E20">
            <w:pPr>
              <w:spacing w:after="0"/>
              <w:jc w:val="center"/>
              <w:rPr>
                <w:color w:val="000000"/>
                <w:sz w:val="18"/>
                <w:szCs w:val="18"/>
                <w:lang w:eastAsia="lv-LV"/>
              </w:rPr>
            </w:pPr>
            <w:r w:rsidRPr="00902214">
              <w:rPr>
                <w:color w:val="000000"/>
                <w:sz w:val="18"/>
                <w:szCs w:val="18"/>
                <w:lang w:eastAsia="lv-LV"/>
              </w:rPr>
              <w:t>21%</w:t>
            </w:r>
          </w:p>
        </w:tc>
      </w:tr>
      <w:tr w:rsidR="00C32B3C" w:rsidRPr="00902214" w14:paraId="4DA79AF3" w14:textId="77777777" w:rsidTr="007F5E20">
        <w:trPr>
          <w:trHeight w:val="735"/>
        </w:trPr>
        <w:tc>
          <w:tcPr>
            <w:tcW w:w="2170" w:type="dxa"/>
            <w:tcBorders>
              <w:top w:val="nil"/>
              <w:left w:val="single" w:sz="4" w:space="0" w:color="auto"/>
              <w:bottom w:val="single" w:sz="4" w:space="0" w:color="auto"/>
              <w:right w:val="single" w:sz="4" w:space="0" w:color="auto"/>
            </w:tcBorders>
            <w:shd w:val="clear" w:color="auto" w:fill="auto"/>
            <w:noWrap/>
            <w:vAlign w:val="center"/>
            <w:hideMark/>
          </w:tcPr>
          <w:p w14:paraId="7665BC62" w14:textId="77777777" w:rsidR="00C32B3C" w:rsidRPr="00902214" w:rsidRDefault="00C32B3C" w:rsidP="003C29FE">
            <w:pPr>
              <w:spacing w:after="0"/>
              <w:ind w:firstLine="0"/>
              <w:rPr>
                <w:color w:val="000000"/>
                <w:sz w:val="18"/>
                <w:szCs w:val="18"/>
                <w:lang w:eastAsia="lv-LV"/>
              </w:rPr>
            </w:pPr>
            <w:r w:rsidRPr="00902214">
              <w:rPr>
                <w:color w:val="000000"/>
                <w:sz w:val="18"/>
                <w:szCs w:val="18"/>
                <w:lang w:eastAsia="lv-LV"/>
              </w:rPr>
              <w:t>Lauksaimniecības preces un pārtika</w:t>
            </w:r>
          </w:p>
        </w:tc>
        <w:tc>
          <w:tcPr>
            <w:tcW w:w="1228" w:type="dxa"/>
            <w:tcBorders>
              <w:top w:val="nil"/>
              <w:left w:val="nil"/>
              <w:bottom w:val="single" w:sz="4" w:space="0" w:color="auto"/>
              <w:right w:val="single" w:sz="4" w:space="0" w:color="auto"/>
            </w:tcBorders>
            <w:shd w:val="clear" w:color="auto" w:fill="auto"/>
            <w:noWrap/>
            <w:vAlign w:val="center"/>
            <w:hideMark/>
          </w:tcPr>
          <w:p w14:paraId="37F8F7E9" w14:textId="77777777" w:rsidR="00C32B3C" w:rsidRPr="00902214" w:rsidRDefault="00C32B3C" w:rsidP="007F5E20">
            <w:pPr>
              <w:spacing w:after="0"/>
              <w:jc w:val="center"/>
              <w:rPr>
                <w:color w:val="000000"/>
                <w:sz w:val="18"/>
                <w:szCs w:val="18"/>
                <w:lang w:eastAsia="lv-LV"/>
              </w:rPr>
            </w:pPr>
            <w:r w:rsidRPr="00902214">
              <w:rPr>
                <w:color w:val="000000"/>
                <w:sz w:val="18"/>
                <w:szCs w:val="18"/>
                <w:lang w:eastAsia="lv-LV"/>
              </w:rPr>
              <w:t>1534</w:t>
            </w:r>
          </w:p>
        </w:tc>
        <w:tc>
          <w:tcPr>
            <w:tcW w:w="1417" w:type="dxa"/>
            <w:tcBorders>
              <w:top w:val="nil"/>
              <w:left w:val="nil"/>
              <w:bottom w:val="single" w:sz="4" w:space="0" w:color="auto"/>
              <w:right w:val="single" w:sz="4" w:space="0" w:color="auto"/>
            </w:tcBorders>
            <w:shd w:val="clear" w:color="auto" w:fill="auto"/>
            <w:noWrap/>
            <w:vAlign w:val="center"/>
            <w:hideMark/>
          </w:tcPr>
          <w:p w14:paraId="654B664E" w14:textId="77777777" w:rsidR="00C32B3C" w:rsidRPr="00902214" w:rsidRDefault="00C32B3C" w:rsidP="007F5E20">
            <w:pPr>
              <w:spacing w:after="0"/>
              <w:jc w:val="center"/>
              <w:rPr>
                <w:color w:val="000000"/>
                <w:sz w:val="18"/>
                <w:szCs w:val="18"/>
                <w:lang w:eastAsia="lv-LV"/>
              </w:rPr>
            </w:pPr>
            <w:r w:rsidRPr="00902214">
              <w:rPr>
                <w:color w:val="000000"/>
                <w:sz w:val="18"/>
                <w:szCs w:val="18"/>
                <w:lang w:eastAsia="lv-LV"/>
              </w:rPr>
              <w:t>1568</w:t>
            </w:r>
          </w:p>
        </w:tc>
        <w:tc>
          <w:tcPr>
            <w:tcW w:w="1134" w:type="dxa"/>
            <w:tcBorders>
              <w:top w:val="nil"/>
              <w:left w:val="nil"/>
              <w:bottom w:val="single" w:sz="4" w:space="0" w:color="auto"/>
              <w:right w:val="single" w:sz="4" w:space="0" w:color="auto"/>
            </w:tcBorders>
            <w:shd w:val="clear" w:color="auto" w:fill="auto"/>
            <w:noWrap/>
            <w:vAlign w:val="center"/>
            <w:hideMark/>
          </w:tcPr>
          <w:p w14:paraId="18A0B52D" w14:textId="77777777" w:rsidR="00C32B3C" w:rsidRPr="00902214" w:rsidRDefault="00C32B3C" w:rsidP="007F5E20">
            <w:pPr>
              <w:spacing w:after="0"/>
              <w:jc w:val="center"/>
              <w:rPr>
                <w:color w:val="000000"/>
                <w:sz w:val="18"/>
                <w:szCs w:val="18"/>
                <w:lang w:eastAsia="lv-LV"/>
              </w:rPr>
            </w:pPr>
            <w:r w:rsidRPr="00902214">
              <w:rPr>
                <w:color w:val="000000"/>
                <w:sz w:val="18"/>
                <w:szCs w:val="18"/>
                <w:lang w:eastAsia="lv-LV"/>
              </w:rPr>
              <w:t>34</w:t>
            </w:r>
          </w:p>
        </w:tc>
        <w:tc>
          <w:tcPr>
            <w:tcW w:w="1134" w:type="dxa"/>
            <w:tcBorders>
              <w:top w:val="nil"/>
              <w:left w:val="nil"/>
              <w:bottom w:val="single" w:sz="4" w:space="0" w:color="auto"/>
              <w:right w:val="single" w:sz="4" w:space="0" w:color="auto"/>
            </w:tcBorders>
            <w:shd w:val="clear" w:color="auto" w:fill="auto"/>
            <w:noWrap/>
            <w:vAlign w:val="center"/>
            <w:hideMark/>
          </w:tcPr>
          <w:p w14:paraId="685335F8" w14:textId="77777777" w:rsidR="00C32B3C" w:rsidRPr="00902214" w:rsidRDefault="00C32B3C" w:rsidP="007F5E20">
            <w:pPr>
              <w:spacing w:after="0"/>
              <w:jc w:val="center"/>
              <w:rPr>
                <w:color w:val="000000"/>
                <w:sz w:val="18"/>
                <w:szCs w:val="18"/>
                <w:lang w:eastAsia="lv-LV"/>
              </w:rPr>
            </w:pPr>
            <w:r w:rsidRPr="00902214">
              <w:rPr>
                <w:color w:val="000000"/>
                <w:sz w:val="18"/>
                <w:szCs w:val="18"/>
                <w:lang w:eastAsia="lv-LV"/>
              </w:rPr>
              <w:t>2%</w:t>
            </w:r>
          </w:p>
        </w:tc>
        <w:tc>
          <w:tcPr>
            <w:tcW w:w="1219" w:type="dxa"/>
            <w:tcBorders>
              <w:top w:val="nil"/>
              <w:left w:val="nil"/>
              <w:bottom w:val="single" w:sz="4" w:space="0" w:color="auto"/>
              <w:right w:val="single" w:sz="4" w:space="0" w:color="auto"/>
            </w:tcBorders>
            <w:shd w:val="clear" w:color="auto" w:fill="auto"/>
            <w:noWrap/>
            <w:vAlign w:val="center"/>
            <w:hideMark/>
          </w:tcPr>
          <w:p w14:paraId="5B4A54E4" w14:textId="77777777" w:rsidR="00C32B3C" w:rsidRPr="00902214" w:rsidRDefault="00C32B3C" w:rsidP="007F5E20">
            <w:pPr>
              <w:spacing w:after="0"/>
              <w:jc w:val="center"/>
              <w:rPr>
                <w:color w:val="000000"/>
                <w:sz w:val="18"/>
                <w:szCs w:val="18"/>
                <w:lang w:eastAsia="lv-LV"/>
              </w:rPr>
            </w:pPr>
            <w:r w:rsidRPr="00902214">
              <w:rPr>
                <w:color w:val="000000"/>
                <w:sz w:val="18"/>
                <w:szCs w:val="18"/>
                <w:lang w:eastAsia="lv-LV"/>
              </w:rPr>
              <w:t>15%</w:t>
            </w:r>
          </w:p>
        </w:tc>
      </w:tr>
      <w:tr w:rsidR="00C32B3C" w:rsidRPr="00902214" w14:paraId="2F4BF9AC" w14:textId="77777777" w:rsidTr="007F5E20">
        <w:trPr>
          <w:trHeight w:val="288"/>
        </w:trPr>
        <w:tc>
          <w:tcPr>
            <w:tcW w:w="2170" w:type="dxa"/>
            <w:tcBorders>
              <w:top w:val="nil"/>
              <w:left w:val="single" w:sz="4" w:space="0" w:color="auto"/>
              <w:bottom w:val="single" w:sz="4" w:space="0" w:color="auto"/>
              <w:right w:val="single" w:sz="4" w:space="0" w:color="auto"/>
            </w:tcBorders>
            <w:shd w:val="clear" w:color="auto" w:fill="auto"/>
            <w:noWrap/>
            <w:vAlign w:val="center"/>
            <w:hideMark/>
          </w:tcPr>
          <w:p w14:paraId="31F03A3D" w14:textId="77777777" w:rsidR="00C32B3C" w:rsidRPr="00902214" w:rsidRDefault="00C32B3C" w:rsidP="003C29FE">
            <w:pPr>
              <w:spacing w:after="0"/>
              <w:ind w:firstLine="0"/>
              <w:rPr>
                <w:color w:val="000000"/>
                <w:sz w:val="18"/>
                <w:szCs w:val="18"/>
                <w:lang w:eastAsia="lv-LV"/>
              </w:rPr>
            </w:pPr>
            <w:r w:rsidRPr="00902214">
              <w:rPr>
                <w:color w:val="000000"/>
                <w:sz w:val="18"/>
                <w:szCs w:val="18"/>
                <w:lang w:eastAsia="lv-LV"/>
              </w:rPr>
              <w:t>Ķīmiskās rūpniecības ražojumi</w:t>
            </w:r>
          </w:p>
        </w:tc>
        <w:tc>
          <w:tcPr>
            <w:tcW w:w="1228" w:type="dxa"/>
            <w:tcBorders>
              <w:top w:val="nil"/>
              <w:left w:val="nil"/>
              <w:bottom w:val="single" w:sz="4" w:space="0" w:color="auto"/>
              <w:right w:val="single" w:sz="4" w:space="0" w:color="auto"/>
            </w:tcBorders>
            <w:shd w:val="clear" w:color="auto" w:fill="auto"/>
            <w:noWrap/>
            <w:vAlign w:val="center"/>
            <w:hideMark/>
          </w:tcPr>
          <w:p w14:paraId="67F70775" w14:textId="77777777" w:rsidR="00C32B3C" w:rsidRPr="00902214" w:rsidRDefault="00C32B3C" w:rsidP="007F5E20">
            <w:pPr>
              <w:spacing w:after="0"/>
              <w:jc w:val="center"/>
              <w:rPr>
                <w:color w:val="000000"/>
                <w:sz w:val="18"/>
                <w:szCs w:val="18"/>
                <w:lang w:eastAsia="lv-LV"/>
              </w:rPr>
            </w:pPr>
            <w:r w:rsidRPr="00902214">
              <w:rPr>
                <w:color w:val="000000"/>
                <w:sz w:val="18"/>
                <w:szCs w:val="18"/>
                <w:lang w:eastAsia="lv-LV"/>
              </w:rPr>
              <w:t>956</w:t>
            </w:r>
          </w:p>
        </w:tc>
        <w:tc>
          <w:tcPr>
            <w:tcW w:w="1417" w:type="dxa"/>
            <w:tcBorders>
              <w:top w:val="nil"/>
              <w:left w:val="nil"/>
              <w:bottom w:val="single" w:sz="4" w:space="0" w:color="auto"/>
              <w:right w:val="single" w:sz="4" w:space="0" w:color="auto"/>
            </w:tcBorders>
            <w:shd w:val="clear" w:color="auto" w:fill="auto"/>
            <w:noWrap/>
            <w:vAlign w:val="center"/>
            <w:hideMark/>
          </w:tcPr>
          <w:p w14:paraId="0AE5F06B" w14:textId="77777777" w:rsidR="00C32B3C" w:rsidRPr="00902214" w:rsidRDefault="00C32B3C" w:rsidP="007F5E20">
            <w:pPr>
              <w:spacing w:after="0"/>
              <w:jc w:val="center"/>
              <w:rPr>
                <w:color w:val="000000"/>
                <w:sz w:val="18"/>
                <w:szCs w:val="18"/>
                <w:lang w:eastAsia="lv-LV"/>
              </w:rPr>
            </w:pPr>
            <w:r w:rsidRPr="00902214">
              <w:rPr>
                <w:color w:val="000000"/>
                <w:sz w:val="18"/>
                <w:szCs w:val="18"/>
                <w:lang w:eastAsia="lv-LV"/>
              </w:rPr>
              <w:t>1143</w:t>
            </w:r>
          </w:p>
        </w:tc>
        <w:tc>
          <w:tcPr>
            <w:tcW w:w="1134" w:type="dxa"/>
            <w:tcBorders>
              <w:top w:val="nil"/>
              <w:left w:val="nil"/>
              <w:bottom w:val="single" w:sz="4" w:space="0" w:color="auto"/>
              <w:right w:val="single" w:sz="4" w:space="0" w:color="auto"/>
            </w:tcBorders>
            <w:shd w:val="clear" w:color="auto" w:fill="auto"/>
            <w:noWrap/>
            <w:vAlign w:val="center"/>
            <w:hideMark/>
          </w:tcPr>
          <w:p w14:paraId="3244F557" w14:textId="77777777" w:rsidR="00C32B3C" w:rsidRPr="00902214" w:rsidRDefault="00C32B3C" w:rsidP="007F5E20">
            <w:pPr>
              <w:spacing w:after="0"/>
              <w:jc w:val="center"/>
              <w:rPr>
                <w:color w:val="000000"/>
                <w:sz w:val="18"/>
                <w:szCs w:val="18"/>
                <w:lang w:eastAsia="lv-LV"/>
              </w:rPr>
            </w:pPr>
            <w:r w:rsidRPr="00902214">
              <w:rPr>
                <w:color w:val="000000"/>
                <w:sz w:val="18"/>
                <w:szCs w:val="18"/>
                <w:lang w:eastAsia="lv-LV"/>
              </w:rPr>
              <w:t>187</w:t>
            </w:r>
          </w:p>
        </w:tc>
        <w:tc>
          <w:tcPr>
            <w:tcW w:w="1134" w:type="dxa"/>
            <w:tcBorders>
              <w:top w:val="nil"/>
              <w:left w:val="nil"/>
              <w:bottom w:val="single" w:sz="4" w:space="0" w:color="auto"/>
              <w:right w:val="single" w:sz="4" w:space="0" w:color="auto"/>
            </w:tcBorders>
            <w:shd w:val="clear" w:color="auto" w:fill="auto"/>
            <w:noWrap/>
            <w:vAlign w:val="center"/>
            <w:hideMark/>
          </w:tcPr>
          <w:p w14:paraId="1A84D47D" w14:textId="77777777" w:rsidR="00C32B3C" w:rsidRPr="00902214" w:rsidRDefault="00C32B3C" w:rsidP="007F5E20">
            <w:pPr>
              <w:spacing w:after="0"/>
              <w:jc w:val="center"/>
              <w:rPr>
                <w:color w:val="000000"/>
                <w:sz w:val="18"/>
                <w:szCs w:val="18"/>
                <w:lang w:eastAsia="lv-LV"/>
              </w:rPr>
            </w:pPr>
            <w:r w:rsidRPr="00902214">
              <w:rPr>
                <w:color w:val="000000"/>
                <w:sz w:val="18"/>
                <w:szCs w:val="18"/>
                <w:lang w:eastAsia="lv-LV"/>
              </w:rPr>
              <w:t>20%</w:t>
            </w:r>
          </w:p>
        </w:tc>
        <w:tc>
          <w:tcPr>
            <w:tcW w:w="1219" w:type="dxa"/>
            <w:tcBorders>
              <w:top w:val="nil"/>
              <w:left w:val="nil"/>
              <w:bottom w:val="single" w:sz="4" w:space="0" w:color="auto"/>
              <w:right w:val="single" w:sz="4" w:space="0" w:color="auto"/>
            </w:tcBorders>
            <w:shd w:val="clear" w:color="auto" w:fill="auto"/>
            <w:noWrap/>
            <w:vAlign w:val="center"/>
            <w:hideMark/>
          </w:tcPr>
          <w:p w14:paraId="74D876A1" w14:textId="77777777" w:rsidR="00C32B3C" w:rsidRPr="00902214" w:rsidRDefault="00C32B3C" w:rsidP="007F5E20">
            <w:pPr>
              <w:spacing w:after="0"/>
              <w:jc w:val="center"/>
              <w:rPr>
                <w:color w:val="000000"/>
                <w:sz w:val="18"/>
                <w:szCs w:val="18"/>
                <w:lang w:eastAsia="lv-LV"/>
              </w:rPr>
            </w:pPr>
            <w:r w:rsidRPr="00902214">
              <w:rPr>
                <w:color w:val="000000"/>
                <w:sz w:val="18"/>
                <w:szCs w:val="18"/>
                <w:lang w:eastAsia="lv-LV"/>
              </w:rPr>
              <w:t>11%</w:t>
            </w:r>
          </w:p>
        </w:tc>
      </w:tr>
      <w:tr w:rsidR="00C32B3C" w:rsidRPr="00902214" w14:paraId="3B2A6F14" w14:textId="77777777" w:rsidTr="007F5E20">
        <w:trPr>
          <w:trHeight w:val="288"/>
        </w:trPr>
        <w:tc>
          <w:tcPr>
            <w:tcW w:w="2170" w:type="dxa"/>
            <w:tcBorders>
              <w:top w:val="nil"/>
              <w:left w:val="single" w:sz="4" w:space="0" w:color="auto"/>
              <w:bottom w:val="single" w:sz="4" w:space="0" w:color="auto"/>
              <w:right w:val="single" w:sz="4" w:space="0" w:color="auto"/>
            </w:tcBorders>
            <w:shd w:val="clear" w:color="auto" w:fill="auto"/>
            <w:noWrap/>
            <w:vAlign w:val="center"/>
            <w:hideMark/>
          </w:tcPr>
          <w:p w14:paraId="10B606A4" w14:textId="77777777" w:rsidR="00C32B3C" w:rsidRPr="00902214" w:rsidRDefault="00C32B3C" w:rsidP="003C29FE">
            <w:pPr>
              <w:spacing w:after="0"/>
              <w:ind w:firstLine="0"/>
              <w:rPr>
                <w:color w:val="000000"/>
                <w:sz w:val="18"/>
                <w:szCs w:val="18"/>
                <w:lang w:eastAsia="lv-LV"/>
              </w:rPr>
            </w:pPr>
            <w:r w:rsidRPr="00902214">
              <w:rPr>
                <w:color w:val="000000"/>
                <w:sz w:val="18"/>
                <w:szCs w:val="18"/>
                <w:lang w:eastAsia="lv-LV"/>
              </w:rPr>
              <w:t>Satiksmes līdzekļi</w:t>
            </w:r>
          </w:p>
        </w:tc>
        <w:tc>
          <w:tcPr>
            <w:tcW w:w="1228" w:type="dxa"/>
            <w:tcBorders>
              <w:top w:val="nil"/>
              <w:left w:val="nil"/>
              <w:bottom w:val="single" w:sz="4" w:space="0" w:color="auto"/>
              <w:right w:val="single" w:sz="4" w:space="0" w:color="auto"/>
            </w:tcBorders>
            <w:shd w:val="clear" w:color="auto" w:fill="auto"/>
            <w:noWrap/>
            <w:vAlign w:val="center"/>
            <w:hideMark/>
          </w:tcPr>
          <w:p w14:paraId="32297C2C" w14:textId="77777777" w:rsidR="00C32B3C" w:rsidRPr="00902214" w:rsidRDefault="00C32B3C" w:rsidP="007F5E20">
            <w:pPr>
              <w:spacing w:after="0"/>
              <w:jc w:val="center"/>
              <w:rPr>
                <w:color w:val="000000"/>
                <w:sz w:val="18"/>
                <w:szCs w:val="18"/>
                <w:lang w:eastAsia="lv-LV"/>
              </w:rPr>
            </w:pPr>
            <w:r w:rsidRPr="00902214">
              <w:rPr>
                <w:color w:val="000000"/>
                <w:sz w:val="18"/>
                <w:szCs w:val="18"/>
                <w:lang w:eastAsia="lv-LV"/>
              </w:rPr>
              <w:t>647</w:t>
            </w:r>
          </w:p>
        </w:tc>
        <w:tc>
          <w:tcPr>
            <w:tcW w:w="1417" w:type="dxa"/>
            <w:tcBorders>
              <w:top w:val="nil"/>
              <w:left w:val="nil"/>
              <w:bottom w:val="single" w:sz="4" w:space="0" w:color="auto"/>
              <w:right w:val="single" w:sz="4" w:space="0" w:color="auto"/>
            </w:tcBorders>
            <w:shd w:val="clear" w:color="auto" w:fill="auto"/>
            <w:noWrap/>
            <w:vAlign w:val="center"/>
            <w:hideMark/>
          </w:tcPr>
          <w:p w14:paraId="7C8D7F78" w14:textId="77777777" w:rsidR="00C32B3C" w:rsidRPr="00902214" w:rsidRDefault="00C32B3C" w:rsidP="007F5E20">
            <w:pPr>
              <w:spacing w:after="0"/>
              <w:jc w:val="center"/>
              <w:rPr>
                <w:color w:val="000000"/>
                <w:sz w:val="18"/>
                <w:szCs w:val="18"/>
                <w:lang w:eastAsia="lv-LV"/>
              </w:rPr>
            </w:pPr>
            <w:r w:rsidRPr="00902214">
              <w:rPr>
                <w:color w:val="000000"/>
                <w:sz w:val="18"/>
                <w:szCs w:val="18"/>
                <w:lang w:eastAsia="lv-LV"/>
              </w:rPr>
              <w:t>1057</w:t>
            </w:r>
          </w:p>
        </w:tc>
        <w:tc>
          <w:tcPr>
            <w:tcW w:w="1134" w:type="dxa"/>
            <w:tcBorders>
              <w:top w:val="nil"/>
              <w:left w:val="nil"/>
              <w:bottom w:val="single" w:sz="4" w:space="0" w:color="auto"/>
              <w:right w:val="single" w:sz="4" w:space="0" w:color="auto"/>
            </w:tcBorders>
            <w:shd w:val="clear" w:color="auto" w:fill="auto"/>
            <w:noWrap/>
            <w:vAlign w:val="center"/>
            <w:hideMark/>
          </w:tcPr>
          <w:p w14:paraId="5B60167A" w14:textId="77777777" w:rsidR="00C32B3C" w:rsidRPr="00902214" w:rsidRDefault="00C32B3C" w:rsidP="007F5E20">
            <w:pPr>
              <w:spacing w:after="0"/>
              <w:jc w:val="center"/>
              <w:rPr>
                <w:color w:val="000000"/>
                <w:sz w:val="18"/>
                <w:szCs w:val="18"/>
                <w:lang w:eastAsia="lv-LV"/>
              </w:rPr>
            </w:pPr>
            <w:r w:rsidRPr="00902214">
              <w:rPr>
                <w:color w:val="000000"/>
                <w:sz w:val="18"/>
                <w:szCs w:val="18"/>
                <w:lang w:eastAsia="lv-LV"/>
              </w:rPr>
              <w:t>409</w:t>
            </w:r>
          </w:p>
        </w:tc>
        <w:tc>
          <w:tcPr>
            <w:tcW w:w="1134" w:type="dxa"/>
            <w:tcBorders>
              <w:top w:val="nil"/>
              <w:left w:val="nil"/>
              <w:bottom w:val="single" w:sz="4" w:space="0" w:color="auto"/>
              <w:right w:val="single" w:sz="4" w:space="0" w:color="auto"/>
            </w:tcBorders>
            <w:shd w:val="clear" w:color="auto" w:fill="auto"/>
            <w:noWrap/>
            <w:vAlign w:val="center"/>
            <w:hideMark/>
          </w:tcPr>
          <w:p w14:paraId="104B3824" w14:textId="77777777" w:rsidR="00C32B3C" w:rsidRPr="00902214" w:rsidRDefault="00C32B3C" w:rsidP="007F5E20">
            <w:pPr>
              <w:spacing w:after="0"/>
              <w:jc w:val="center"/>
              <w:rPr>
                <w:color w:val="000000"/>
                <w:sz w:val="18"/>
                <w:szCs w:val="18"/>
                <w:lang w:eastAsia="lv-LV"/>
              </w:rPr>
            </w:pPr>
            <w:r w:rsidRPr="00902214">
              <w:rPr>
                <w:color w:val="000000"/>
                <w:sz w:val="18"/>
                <w:szCs w:val="18"/>
                <w:lang w:eastAsia="lv-LV"/>
              </w:rPr>
              <w:t>63%</w:t>
            </w:r>
          </w:p>
        </w:tc>
        <w:tc>
          <w:tcPr>
            <w:tcW w:w="1219" w:type="dxa"/>
            <w:tcBorders>
              <w:top w:val="nil"/>
              <w:left w:val="nil"/>
              <w:bottom w:val="single" w:sz="4" w:space="0" w:color="auto"/>
              <w:right w:val="single" w:sz="4" w:space="0" w:color="auto"/>
            </w:tcBorders>
            <w:shd w:val="clear" w:color="auto" w:fill="auto"/>
            <w:noWrap/>
            <w:vAlign w:val="center"/>
            <w:hideMark/>
          </w:tcPr>
          <w:p w14:paraId="30B56D2F" w14:textId="77777777" w:rsidR="00C32B3C" w:rsidRPr="00902214" w:rsidRDefault="00C32B3C" w:rsidP="007F5E20">
            <w:pPr>
              <w:spacing w:after="0"/>
              <w:jc w:val="center"/>
              <w:rPr>
                <w:color w:val="000000"/>
                <w:sz w:val="18"/>
                <w:szCs w:val="18"/>
                <w:lang w:eastAsia="lv-LV"/>
              </w:rPr>
            </w:pPr>
            <w:r w:rsidRPr="00902214">
              <w:rPr>
                <w:color w:val="000000"/>
                <w:sz w:val="18"/>
                <w:szCs w:val="18"/>
                <w:lang w:eastAsia="lv-LV"/>
              </w:rPr>
              <w:t>10%</w:t>
            </w:r>
          </w:p>
        </w:tc>
      </w:tr>
      <w:tr w:rsidR="00C32B3C" w:rsidRPr="00902214" w14:paraId="3227F8D4" w14:textId="77777777" w:rsidTr="007F5E20">
        <w:trPr>
          <w:trHeight w:val="288"/>
        </w:trPr>
        <w:tc>
          <w:tcPr>
            <w:tcW w:w="2170" w:type="dxa"/>
            <w:tcBorders>
              <w:top w:val="nil"/>
              <w:left w:val="single" w:sz="4" w:space="0" w:color="auto"/>
              <w:bottom w:val="single" w:sz="4" w:space="0" w:color="auto"/>
              <w:right w:val="single" w:sz="4" w:space="0" w:color="auto"/>
            </w:tcBorders>
            <w:shd w:val="clear" w:color="auto" w:fill="auto"/>
            <w:noWrap/>
            <w:vAlign w:val="center"/>
            <w:hideMark/>
          </w:tcPr>
          <w:p w14:paraId="65F42549" w14:textId="77777777" w:rsidR="00C32B3C" w:rsidRPr="00902214" w:rsidRDefault="00C32B3C" w:rsidP="003C29FE">
            <w:pPr>
              <w:spacing w:after="0"/>
              <w:ind w:firstLine="0"/>
              <w:rPr>
                <w:color w:val="000000"/>
                <w:sz w:val="18"/>
                <w:szCs w:val="18"/>
                <w:lang w:eastAsia="lv-LV"/>
              </w:rPr>
            </w:pPr>
            <w:r w:rsidRPr="00902214">
              <w:rPr>
                <w:color w:val="000000"/>
                <w:sz w:val="18"/>
                <w:szCs w:val="18"/>
                <w:lang w:eastAsia="lv-LV"/>
              </w:rPr>
              <w:t>Metāli un to izstrādājumi</w:t>
            </w:r>
          </w:p>
        </w:tc>
        <w:tc>
          <w:tcPr>
            <w:tcW w:w="1228" w:type="dxa"/>
            <w:tcBorders>
              <w:top w:val="nil"/>
              <w:left w:val="nil"/>
              <w:bottom w:val="single" w:sz="4" w:space="0" w:color="auto"/>
              <w:right w:val="single" w:sz="4" w:space="0" w:color="auto"/>
            </w:tcBorders>
            <w:shd w:val="clear" w:color="auto" w:fill="auto"/>
            <w:noWrap/>
            <w:vAlign w:val="center"/>
            <w:hideMark/>
          </w:tcPr>
          <w:p w14:paraId="6247453F" w14:textId="77777777" w:rsidR="00C32B3C" w:rsidRPr="00902214" w:rsidRDefault="00C32B3C" w:rsidP="007F5E20">
            <w:pPr>
              <w:spacing w:after="0"/>
              <w:jc w:val="center"/>
              <w:rPr>
                <w:color w:val="000000"/>
                <w:sz w:val="18"/>
                <w:szCs w:val="18"/>
                <w:lang w:eastAsia="lv-LV"/>
              </w:rPr>
            </w:pPr>
            <w:r w:rsidRPr="00902214">
              <w:rPr>
                <w:color w:val="000000"/>
                <w:sz w:val="18"/>
                <w:szCs w:val="18"/>
                <w:lang w:eastAsia="lv-LV"/>
              </w:rPr>
              <w:t>704</w:t>
            </w:r>
          </w:p>
        </w:tc>
        <w:tc>
          <w:tcPr>
            <w:tcW w:w="1417" w:type="dxa"/>
            <w:tcBorders>
              <w:top w:val="nil"/>
              <w:left w:val="nil"/>
              <w:bottom w:val="single" w:sz="4" w:space="0" w:color="auto"/>
              <w:right w:val="single" w:sz="4" w:space="0" w:color="auto"/>
            </w:tcBorders>
            <w:shd w:val="clear" w:color="auto" w:fill="auto"/>
            <w:noWrap/>
            <w:vAlign w:val="center"/>
            <w:hideMark/>
          </w:tcPr>
          <w:p w14:paraId="63387905" w14:textId="77777777" w:rsidR="00C32B3C" w:rsidRPr="00902214" w:rsidRDefault="00C32B3C" w:rsidP="007F5E20">
            <w:pPr>
              <w:spacing w:after="0"/>
              <w:jc w:val="center"/>
              <w:rPr>
                <w:color w:val="000000"/>
                <w:sz w:val="18"/>
                <w:szCs w:val="18"/>
                <w:lang w:eastAsia="lv-LV"/>
              </w:rPr>
            </w:pPr>
            <w:r w:rsidRPr="00902214">
              <w:rPr>
                <w:color w:val="000000"/>
                <w:sz w:val="18"/>
                <w:szCs w:val="18"/>
                <w:lang w:eastAsia="lv-LV"/>
              </w:rPr>
              <w:t>1027</w:t>
            </w:r>
          </w:p>
        </w:tc>
        <w:tc>
          <w:tcPr>
            <w:tcW w:w="1134" w:type="dxa"/>
            <w:tcBorders>
              <w:top w:val="nil"/>
              <w:left w:val="nil"/>
              <w:bottom w:val="single" w:sz="4" w:space="0" w:color="auto"/>
              <w:right w:val="single" w:sz="4" w:space="0" w:color="auto"/>
            </w:tcBorders>
            <w:shd w:val="clear" w:color="auto" w:fill="auto"/>
            <w:noWrap/>
            <w:vAlign w:val="center"/>
            <w:hideMark/>
          </w:tcPr>
          <w:p w14:paraId="0887ADAE" w14:textId="77777777" w:rsidR="00C32B3C" w:rsidRPr="00902214" w:rsidRDefault="00C32B3C" w:rsidP="007F5E20">
            <w:pPr>
              <w:spacing w:after="0"/>
              <w:jc w:val="center"/>
              <w:rPr>
                <w:color w:val="000000"/>
                <w:sz w:val="18"/>
                <w:szCs w:val="18"/>
                <w:lang w:eastAsia="lv-LV"/>
              </w:rPr>
            </w:pPr>
            <w:r w:rsidRPr="00902214">
              <w:rPr>
                <w:color w:val="000000"/>
                <w:sz w:val="18"/>
                <w:szCs w:val="18"/>
                <w:lang w:eastAsia="lv-LV"/>
              </w:rPr>
              <w:t>323</w:t>
            </w:r>
          </w:p>
        </w:tc>
        <w:tc>
          <w:tcPr>
            <w:tcW w:w="1134" w:type="dxa"/>
            <w:tcBorders>
              <w:top w:val="nil"/>
              <w:left w:val="nil"/>
              <w:bottom w:val="single" w:sz="4" w:space="0" w:color="auto"/>
              <w:right w:val="single" w:sz="4" w:space="0" w:color="auto"/>
            </w:tcBorders>
            <w:shd w:val="clear" w:color="auto" w:fill="auto"/>
            <w:noWrap/>
            <w:vAlign w:val="center"/>
            <w:hideMark/>
          </w:tcPr>
          <w:p w14:paraId="581E9F29" w14:textId="77777777" w:rsidR="00C32B3C" w:rsidRPr="00902214" w:rsidRDefault="00C32B3C" w:rsidP="007F5E20">
            <w:pPr>
              <w:spacing w:after="0"/>
              <w:jc w:val="center"/>
              <w:rPr>
                <w:color w:val="000000"/>
                <w:sz w:val="18"/>
                <w:szCs w:val="18"/>
                <w:lang w:eastAsia="lv-LV"/>
              </w:rPr>
            </w:pPr>
            <w:r w:rsidRPr="00902214">
              <w:rPr>
                <w:color w:val="000000"/>
                <w:sz w:val="18"/>
                <w:szCs w:val="18"/>
                <w:lang w:eastAsia="lv-LV"/>
              </w:rPr>
              <w:t>46%</w:t>
            </w:r>
          </w:p>
        </w:tc>
        <w:tc>
          <w:tcPr>
            <w:tcW w:w="1219" w:type="dxa"/>
            <w:tcBorders>
              <w:top w:val="nil"/>
              <w:left w:val="nil"/>
              <w:bottom w:val="single" w:sz="4" w:space="0" w:color="auto"/>
              <w:right w:val="single" w:sz="4" w:space="0" w:color="auto"/>
            </w:tcBorders>
            <w:shd w:val="clear" w:color="auto" w:fill="auto"/>
            <w:noWrap/>
            <w:vAlign w:val="center"/>
            <w:hideMark/>
          </w:tcPr>
          <w:p w14:paraId="29CCD584" w14:textId="77777777" w:rsidR="00C32B3C" w:rsidRPr="00902214" w:rsidRDefault="00C32B3C" w:rsidP="007F5E20">
            <w:pPr>
              <w:spacing w:after="0"/>
              <w:jc w:val="center"/>
              <w:rPr>
                <w:color w:val="000000"/>
                <w:sz w:val="18"/>
                <w:szCs w:val="18"/>
                <w:lang w:eastAsia="lv-LV"/>
              </w:rPr>
            </w:pPr>
            <w:r w:rsidRPr="00902214">
              <w:rPr>
                <w:color w:val="000000"/>
                <w:sz w:val="18"/>
                <w:szCs w:val="18"/>
                <w:lang w:eastAsia="lv-LV"/>
              </w:rPr>
              <w:t>10%</w:t>
            </w:r>
          </w:p>
        </w:tc>
      </w:tr>
      <w:tr w:rsidR="00C32B3C" w:rsidRPr="00902214" w14:paraId="77E13E37" w14:textId="77777777" w:rsidTr="007F5E20">
        <w:trPr>
          <w:trHeight w:val="288"/>
        </w:trPr>
        <w:tc>
          <w:tcPr>
            <w:tcW w:w="2170" w:type="dxa"/>
            <w:tcBorders>
              <w:top w:val="nil"/>
              <w:left w:val="single" w:sz="4" w:space="0" w:color="auto"/>
              <w:bottom w:val="single" w:sz="4" w:space="0" w:color="auto"/>
              <w:right w:val="single" w:sz="4" w:space="0" w:color="auto"/>
            </w:tcBorders>
            <w:shd w:val="clear" w:color="auto" w:fill="auto"/>
            <w:noWrap/>
            <w:vAlign w:val="center"/>
            <w:hideMark/>
          </w:tcPr>
          <w:p w14:paraId="4281A89E" w14:textId="77777777" w:rsidR="00C32B3C" w:rsidRPr="00902214" w:rsidRDefault="00C32B3C" w:rsidP="003C29FE">
            <w:pPr>
              <w:spacing w:after="0"/>
              <w:ind w:firstLine="0"/>
              <w:rPr>
                <w:color w:val="000000"/>
                <w:sz w:val="18"/>
                <w:szCs w:val="18"/>
                <w:lang w:eastAsia="lv-LV"/>
              </w:rPr>
            </w:pPr>
            <w:proofErr w:type="spellStart"/>
            <w:r w:rsidRPr="00902214">
              <w:rPr>
                <w:color w:val="000000"/>
                <w:sz w:val="18"/>
                <w:szCs w:val="18"/>
                <w:lang w:eastAsia="lv-LV"/>
              </w:rPr>
              <w:t>Minerālprodukti</w:t>
            </w:r>
            <w:proofErr w:type="spellEnd"/>
          </w:p>
        </w:tc>
        <w:tc>
          <w:tcPr>
            <w:tcW w:w="1228" w:type="dxa"/>
            <w:tcBorders>
              <w:top w:val="nil"/>
              <w:left w:val="nil"/>
              <w:bottom w:val="single" w:sz="4" w:space="0" w:color="auto"/>
              <w:right w:val="single" w:sz="4" w:space="0" w:color="auto"/>
            </w:tcBorders>
            <w:shd w:val="clear" w:color="auto" w:fill="auto"/>
            <w:noWrap/>
            <w:vAlign w:val="center"/>
            <w:hideMark/>
          </w:tcPr>
          <w:p w14:paraId="032E99CE" w14:textId="77777777" w:rsidR="00C32B3C" w:rsidRPr="00902214" w:rsidRDefault="00C32B3C" w:rsidP="007F5E20">
            <w:pPr>
              <w:spacing w:after="0"/>
              <w:jc w:val="center"/>
              <w:rPr>
                <w:color w:val="000000"/>
                <w:sz w:val="18"/>
                <w:szCs w:val="18"/>
                <w:lang w:eastAsia="lv-LV"/>
              </w:rPr>
            </w:pPr>
            <w:r w:rsidRPr="00902214">
              <w:rPr>
                <w:color w:val="000000"/>
                <w:sz w:val="18"/>
                <w:szCs w:val="18"/>
                <w:lang w:eastAsia="lv-LV"/>
              </w:rPr>
              <w:t>554</w:t>
            </w:r>
          </w:p>
        </w:tc>
        <w:tc>
          <w:tcPr>
            <w:tcW w:w="1417" w:type="dxa"/>
            <w:tcBorders>
              <w:top w:val="nil"/>
              <w:left w:val="nil"/>
              <w:bottom w:val="single" w:sz="4" w:space="0" w:color="auto"/>
              <w:right w:val="single" w:sz="4" w:space="0" w:color="auto"/>
            </w:tcBorders>
            <w:shd w:val="clear" w:color="auto" w:fill="auto"/>
            <w:noWrap/>
            <w:vAlign w:val="center"/>
            <w:hideMark/>
          </w:tcPr>
          <w:p w14:paraId="2DCF3699" w14:textId="77777777" w:rsidR="00C32B3C" w:rsidRPr="00902214" w:rsidRDefault="00C32B3C" w:rsidP="007F5E20">
            <w:pPr>
              <w:spacing w:after="0"/>
              <w:jc w:val="center"/>
              <w:rPr>
                <w:color w:val="000000"/>
                <w:sz w:val="18"/>
                <w:szCs w:val="18"/>
                <w:lang w:eastAsia="lv-LV"/>
              </w:rPr>
            </w:pPr>
            <w:r w:rsidRPr="00902214">
              <w:rPr>
                <w:color w:val="000000"/>
                <w:sz w:val="18"/>
                <w:szCs w:val="18"/>
                <w:lang w:eastAsia="lv-LV"/>
              </w:rPr>
              <w:t>903</w:t>
            </w:r>
          </w:p>
        </w:tc>
        <w:tc>
          <w:tcPr>
            <w:tcW w:w="1134" w:type="dxa"/>
            <w:tcBorders>
              <w:top w:val="nil"/>
              <w:left w:val="nil"/>
              <w:bottom w:val="single" w:sz="4" w:space="0" w:color="auto"/>
              <w:right w:val="single" w:sz="4" w:space="0" w:color="auto"/>
            </w:tcBorders>
            <w:shd w:val="clear" w:color="auto" w:fill="auto"/>
            <w:noWrap/>
            <w:vAlign w:val="center"/>
            <w:hideMark/>
          </w:tcPr>
          <w:p w14:paraId="016E5F5C" w14:textId="77777777" w:rsidR="00C32B3C" w:rsidRPr="00902214" w:rsidRDefault="00C32B3C" w:rsidP="007F5E20">
            <w:pPr>
              <w:spacing w:after="0"/>
              <w:jc w:val="center"/>
              <w:rPr>
                <w:color w:val="000000"/>
                <w:sz w:val="18"/>
                <w:szCs w:val="18"/>
                <w:lang w:eastAsia="lv-LV"/>
              </w:rPr>
            </w:pPr>
            <w:r w:rsidRPr="00902214">
              <w:rPr>
                <w:color w:val="000000"/>
                <w:sz w:val="18"/>
                <w:szCs w:val="18"/>
                <w:lang w:eastAsia="lv-LV"/>
              </w:rPr>
              <w:t>350</w:t>
            </w:r>
          </w:p>
        </w:tc>
        <w:tc>
          <w:tcPr>
            <w:tcW w:w="1134" w:type="dxa"/>
            <w:tcBorders>
              <w:top w:val="nil"/>
              <w:left w:val="nil"/>
              <w:bottom w:val="single" w:sz="4" w:space="0" w:color="auto"/>
              <w:right w:val="single" w:sz="4" w:space="0" w:color="auto"/>
            </w:tcBorders>
            <w:shd w:val="clear" w:color="auto" w:fill="auto"/>
            <w:noWrap/>
            <w:vAlign w:val="center"/>
            <w:hideMark/>
          </w:tcPr>
          <w:p w14:paraId="024CF364" w14:textId="77777777" w:rsidR="00C32B3C" w:rsidRPr="00902214" w:rsidRDefault="00C32B3C" w:rsidP="007F5E20">
            <w:pPr>
              <w:spacing w:after="0"/>
              <w:jc w:val="center"/>
              <w:rPr>
                <w:color w:val="000000"/>
                <w:sz w:val="18"/>
                <w:szCs w:val="18"/>
                <w:lang w:eastAsia="lv-LV"/>
              </w:rPr>
            </w:pPr>
            <w:r w:rsidRPr="00902214">
              <w:rPr>
                <w:color w:val="000000"/>
                <w:sz w:val="18"/>
                <w:szCs w:val="18"/>
                <w:lang w:eastAsia="lv-LV"/>
              </w:rPr>
              <w:t>63%</w:t>
            </w:r>
          </w:p>
        </w:tc>
        <w:tc>
          <w:tcPr>
            <w:tcW w:w="1219" w:type="dxa"/>
            <w:tcBorders>
              <w:top w:val="nil"/>
              <w:left w:val="nil"/>
              <w:bottom w:val="single" w:sz="4" w:space="0" w:color="auto"/>
              <w:right w:val="single" w:sz="4" w:space="0" w:color="auto"/>
            </w:tcBorders>
            <w:shd w:val="clear" w:color="auto" w:fill="auto"/>
            <w:noWrap/>
            <w:vAlign w:val="center"/>
            <w:hideMark/>
          </w:tcPr>
          <w:p w14:paraId="5D21E1D3" w14:textId="77777777" w:rsidR="00C32B3C" w:rsidRPr="00902214" w:rsidRDefault="00C32B3C" w:rsidP="007F5E20">
            <w:pPr>
              <w:spacing w:after="0"/>
              <w:jc w:val="center"/>
              <w:rPr>
                <w:color w:val="000000"/>
                <w:sz w:val="18"/>
                <w:szCs w:val="18"/>
                <w:lang w:eastAsia="lv-LV"/>
              </w:rPr>
            </w:pPr>
            <w:r w:rsidRPr="00902214">
              <w:rPr>
                <w:color w:val="000000"/>
                <w:sz w:val="18"/>
                <w:szCs w:val="18"/>
                <w:lang w:eastAsia="lv-LV"/>
              </w:rPr>
              <w:t>9%</w:t>
            </w:r>
          </w:p>
        </w:tc>
      </w:tr>
      <w:tr w:rsidR="00C32B3C" w:rsidRPr="00902214" w14:paraId="39021AC1" w14:textId="77777777" w:rsidTr="007F5E20">
        <w:trPr>
          <w:trHeight w:val="288"/>
        </w:trPr>
        <w:tc>
          <w:tcPr>
            <w:tcW w:w="2170" w:type="dxa"/>
            <w:tcBorders>
              <w:top w:val="nil"/>
              <w:left w:val="single" w:sz="4" w:space="0" w:color="auto"/>
              <w:bottom w:val="single" w:sz="4" w:space="0" w:color="auto"/>
              <w:right w:val="single" w:sz="4" w:space="0" w:color="auto"/>
            </w:tcBorders>
            <w:shd w:val="clear" w:color="auto" w:fill="auto"/>
            <w:noWrap/>
            <w:vAlign w:val="center"/>
            <w:hideMark/>
          </w:tcPr>
          <w:p w14:paraId="171CBE6B" w14:textId="77777777" w:rsidR="00C32B3C" w:rsidRPr="00902214" w:rsidRDefault="00C32B3C" w:rsidP="003C29FE">
            <w:pPr>
              <w:spacing w:after="0"/>
              <w:ind w:firstLine="0"/>
              <w:rPr>
                <w:color w:val="000000"/>
                <w:sz w:val="18"/>
                <w:szCs w:val="18"/>
                <w:lang w:eastAsia="lv-LV"/>
              </w:rPr>
            </w:pPr>
            <w:r w:rsidRPr="00902214">
              <w:rPr>
                <w:color w:val="000000"/>
                <w:sz w:val="18"/>
                <w:szCs w:val="18"/>
                <w:lang w:eastAsia="lv-LV"/>
              </w:rPr>
              <w:t>Pārējās preces</w:t>
            </w:r>
          </w:p>
        </w:tc>
        <w:tc>
          <w:tcPr>
            <w:tcW w:w="1228" w:type="dxa"/>
            <w:tcBorders>
              <w:top w:val="nil"/>
              <w:left w:val="nil"/>
              <w:bottom w:val="single" w:sz="4" w:space="0" w:color="auto"/>
              <w:right w:val="single" w:sz="4" w:space="0" w:color="auto"/>
            </w:tcBorders>
            <w:shd w:val="clear" w:color="auto" w:fill="auto"/>
            <w:noWrap/>
            <w:vAlign w:val="center"/>
            <w:hideMark/>
          </w:tcPr>
          <w:p w14:paraId="44C1BADB" w14:textId="77777777" w:rsidR="00C32B3C" w:rsidRPr="00902214" w:rsidRDefault="00C32B3C" w:rsidP="007F5E20">
            <w:pPr>
              <w:spacing w:after="0"/>
              <w:jc w:val="center"/>
              <w:rPr>
                <w:color w:val="000000"/>
                <w:sz w:val="18"/>
                <w:szCs w:val="18"/>
                <w:lang w:eastAsia="lv-LV"/>
              </w:rPr>
            </w:pPr>
            <w:r w:rsidRPr="00902214">
              <w:rPr>
                <w:color w:val="000000"/>
                <w:sz w:val="18"/>
                <w:szCs w:val="18"/>
                <w:lang w:eastAsia="lv-LV"/>
              </w:rPr>
              <w:t>597</w:t>
            </w:r>
          </w:p>
        </w:tc>
        <w:tc>
          <w:tcPr>
            <w:tcW w:w="1417" w:type="dxa"/>
            <w:tcBorders>
              <w:top w:val="nil"/>
              <w:left w:val="nil"/>
              <w:bottom w:val="single" w:sz="4" w:space="0" w:color="auto"/>
              <w:right w:val="single" w:sz="4" w:space="0" w:color="auto"/>
            </w:tcBorders>
            <w:shd w:val="clear" w:color="auto" w:fill="auto"/>
            <w:noWrap/>
            <w:vAlign w:val="center"/>
            <w:hideMark/>
          </w:tcPr>
          <w:p w14:paraId="572A2EEF" w14:textId="77777777" w:rsidR="00C32B3C" w:rsidRPr="00902214" w:rsidRDefault="00C32B3C" w:rsidP="007F5E20">
            <w:pPr>
              <w:spacing w:after="0"/>
              <w:jc w:val="center"/>
              <w:rPr>
                <w:color w:val="000000"/>
                <w:sz w:val="18"/>
                <w:szCs w:val="18"/>
                <w:lang w:eastAsia="lv-LV"/>
              </w:rPr>
            </w:pPr>
            <w:r w:rsidRPr="00902214">
              <w:rPr>
                <w:color w:val="000000"/>
                <w:sz w:val="18"/>
                <w:szCs w:val="18"/>
                <w:lang w:eastAsia="lv-LV"/>
              </w:rPr>
              <w:t>715</w:t>
            </w:r>
          </w:p>
        </w:tc>
        <w:tc>
          <w:tcPr>
            <w:tcW w:w="1134" w:type="dxa"/>
            <w:tcBorders>
              <w:top w:val="nil"/>
              <w:left w:val="nil"/>
              <w:bottom w:val="single" w:sz="4" w:space="0" w:color="auto"/>
              <w:right w:val="single" w:sz="4" w:space="0" w:color="auto"/>
            </w:tcBorders>
            <w:shd w:val="clear" w:color="auto" w:fill="auto"/>
            <w:noWrap/>
            <w:vAlign w:val="center"/>
            <w:hideMark/>
          </w:tcPr>
          <w:p w14:paraId="08577CB1" w14:textId="77777777" w:rsidR="00C32B3C" w:rsidRPr="00902214" w:rsidRDefault="00C32B3C" w:rsidP="007F5E20">
            <w:pPr>
              <w:spacing w:after="0"/>
              <w:jc w:val="center"/>
              <w:rPr>
                <w:color w:val="000000"/>
                <w:sz w:val="18"/>
                <w:szCs w:val="18"/>
                <w:lang w:eastAsia="lv-LV"/>
              </w:rPr>
            </w:pPr>
            <w:r w:rsidRPr="00902214">
              <w:rPr>
                <w:color w:val="000000"/>
                <w:sz w:val="18"/>
                <w:szCs w:val="18"/>
                <w:lang w:eastAsia="lv-LV"/>
              </w:rPr>
              <w:t>119</w:t>
            </w:r>
          </w:p>
        </w:tc>
        <w:tc>
          <w:tcPr>
            <w:tcW w:w="1134" w:type="dxa"/>
            <w:tcBorders>
              <w:top w:val="nil"/>
              <w:left w:val="nil"/>
              <w:bottom w:val="single" w:sz="4" w:space="0" w:color="auto"/>
              <w:right w:val="single" w:sz="4" w:space="0" w:color="auto"/>
            </w:tcBorders>
            <w:shd w:val="clear" w:color="auto" w:fill="auto"/>
            <w:noWrap/>
            <w:vAlign w:val="center"/>
            <w:hideMark/>
          </w:tcPr>
          <w:p w14:paraId="1F573B10" w14:textId="77777777" w:rsidR="00C32B3C" w:rsidRPr="00902214" w:rsidRDefault="00C32B3C" w:rsidP="007F5E20">
            <w:pPr>
              <w:spacing w:after="0"/>
              <w:jc w:val="center"/>
              <w:rPr>
                <w:color w:val="000000"/>
                <w:sz w:val="18"/>
                <w:szCs w:val="18"/>
                <w:lang w:eastAsia="lv-LV"/>
              </w:rPr>
            </w:pPr>
            <w:r w:rsidRPr="00902214">
              <w:rPr>
                <w:color w:val="000000"/>
                <w:sz w:val="18"/>
                <w:szCs w:val="18"/>
                <w:lang w:eastAsia="lv-LV"/>
              </w:rPr>
              <w:t>20%</w:t>
            </w:r>
          </w:p>
        </w:tc>
        <w:tc>
          <w:tcPr>
            <w:tcW w:w="1219" w:type="dxa"/>
            <w:tcBorders>
              <w:top w:val="nil"/>
              <w:left w:val="nil"/>
              <w:bottom w:val="single" w:sz="4" w:space="0" w:color="auto"/>
              <w:right w:val="single" w:sz="4" w:space="0" w:color="auto"/>
            </w:tcBorders>
            <w:shd w:val="clear" w:color="auto" w:fill="auto"/>
            <w:noWrap/>
            <w:vAlign w:val="center"/>
            <w:hideMark/>
          </w:tcPr>
          <w:p w14:paraId="7081A775" w14:textId="77777777" w:rsidR="00C32B3C" w:rsidRPr="00902214" w:rsidRDefault="00C32B3C" w:rsidP="007F5E20">
            <w:pPr>
              <w:spacing w:after="0"/>
              <w:jc w:val="center"/>
              <w:rPr>
                <w:color w:val="000000"/>
                <w:sz w:val="18"/>
                <w:szCs w:val="18"/>
                <w:lang w:eastAsia="lv-LV"/>
              </w:rPr>
            </w:pPr>
            <w:r w:rsidRPr="00902214">
              <w:rPr>
                <w:color w:val="000000"/>
                <w:sz w:val="18"/>
                <w:szCs w:val="18"/>
                <w:lang w:eastAsia="lv-LV"/>
              </w:rPr>
              <w:t>7%</w:t>
            </w:r>
          </w:p>
        </w:tc>
      </w:tr>
      <w:tr w:rsidR="00C32B3C" w:rsidRPr="00902214" w14:paraId="5F58D72B" w14:textId="77777777" w:rsidTr="007F5E20">
        <w:trPr>
          <w:trHeight w:val="288"/>
        </w:trPr>
        <w:tc>
          <w:tcPr>
            <w:tcW w:w="2170" w:type="dxa"/>
            <w:tcBorders>
              <w:top w:val="nil"/>
              <w:left w:val="single" w:sz="4" w:space="0" w:color="auto"/>
              <w:bottom w:val="single" w:sz="4" w:space="0" w:color="auto"/>
              <w:right w:val="single" w:sz="4" w:space="0" w:color="auto"/>
            </w:tcBorders>
            <w:shd w:val="clear" w:color="auto" w:fill="auto"/>
            <w:noWrap/>
            <w:vAlign w:val="center"/>
            <w:hideMark/>
          </w:tcPr>
          <w:p w14:paraId="20C943A5" w14:textId="77777777" w:rsidR="00C32B3C" w:rsidRPr="00902214" w:rsidRDefault="00C32B3C" w:rsidP="003C29FE">
            <w:pPr>
              <w:spacing w:after="0"/>
              <w:ind w:firstLine="0"/>
              <w:rPr>
                <w:color w:val="000000"/>
                <w:sz w:val="18"/>
                <w:szCs w:val="18"/>
                <w:lang w:eastAsia="lv-LV"/>
              </w:rPr>
            </w:pPr>
            <w:r w:rsidRPr="00902214">
              <w:rPr>
                <w:color w:val="000000"/>
                <w:sz w:val="18"/>
                <w:szCs w:val="18"/>
                <w:lang w:eastAsia="lv-LV"/>
              </w:rPr>
              <w:t>Plastmasas, kaučuks un to izstrādājumi</w:t>
            </w:r>
          </w:p>
        </w:tc>
        <w:tc>
          <w:tcPr>
            <w:tcW w:w="1228" w:type="dxa"/>
            <w:tcBorders>
              <w:top w:val="nil"/>
              <w:left w:val="nil"/>
              <w:bottom w:val="single" w:sz="4" w:space="0" w:color="auto"/>
              <w:right w:val="single" w:sz="4" w:space="0" w:color="auto"/>
            </w:tcBorders>
            <w:shd w:val="clear" w:color="auto" w:fill="auto"/>
            <w:noWrap/>
            <w:vAlign w:val="center"/>
            <w:hideMark/>
          </w:tcPr>
          <w:p w14:paraId="6434C923" w14:textId="77777777" w:rsidR="00C32B3C" w:rsidRPr="00902214" w:rsidRDefault="00C32B3C" w:rsidP="007F5E20">
            <w:pPr>
              <w:spacing w:after="0"/>
              <w:jc w:val="center"/>
              <w:rPr>
                <w:color w:val="000000"/>
                <w:sz w:val="18"/>
                <w:szCs w:val="18"/>
                <w:lang w:eastAsia="lv-LV"/>
              </w:rPr>
            </w:pPr>
            <w:r w:rsidRPr="00902214">
              <w:rPr>
                <w:color w:val="000000"/>
                <w:sz w:val="18"/>
                <w:szCs w:val="18"/>
                <w:lang w:eastAsia="lv-LV"/>
              </w:rPr>
              <w:t>499</w:t>
            </w:r>
          </w:p>
        </w:tc>
        <w:tc>
          <w:tcPr>
            <w:tcW w:w="1417" w:type="dxa"/>
            <w:tcBorders>
              <w:top w:val="nil"/>
              <w:left w:val="nil"/>
              <w:bottom w:val="single" w:sz="4" w:space="0" w:color="auto"/>
              <w:right w:val="single" w:sz="4" w:space="0" w:color="auto"/>
            </w:tcBorders>
            <w:shd w:val="clear" w:color="auto" w:fill="auto"/>
            <w:noWrap/>
            <w:vAlign w:val="center"/>
            <w:hideMark/>
          </w:tcPr>
          <w:p w14:paraId="58152665" w14:textId="77777777" w:rsidR="00C32B3C" w:rsidRPr="00902214" w:rsidRDefault="00C32B3C" w:rsidP="007F5E20">
            <w:pPr>
              <w:spacing w:after="0"/>
              <w:jc w:val="center"/>
              <w:rPr>
                <w:color w:val="000000"/>
                <w:sz w:val="18"/>
                <w:szCs w:val="18"/>
                <w:lang w:eastAsia="lv-LV"/>
              </w:rPr>
            </w:pPr>
            <w:r w:rsidRPr="00902214">
              <w:rPr>
                <w:color w:val="000000"/>
                <w:sz w:val="18"/>
                <w:szCs w:val="18"/>
                <w:lang w:eastAsia="lv-LV"/>
              </w:rPr>
              <w:t>601</w:t>
            </w:r>
          </w:p>
        </w:tc>
        <w:tc>
          <w:tcPr>
            <w:tcW w:w="1134" w:type="dxa"/>
            <w:tcBorders>
              <w:top w:val="nil"/>
              <w:left w:val="nil"/>
              <w:bottom w:val="single" w:sz="4" w:space="0" w:color="auto"/>
              <w:right w:val="single" w:sz="4" w:space="0" w:color="auto"/>
            </w:tcBorders>
            <w:shd w:val="clear" w:color="auto" w:fill="auto"/>
            <w:noWrap/>
            <w:vAlign w:val="center"/>
            <w:hideMark/>
          </w:tcPr>
          <w:p w14:paraId="3E6ED2FF" w14:textId="77777777" w:rsidR="00C32B3C" w:rsidRPr="00902214" w:rsidRDefault="00C32B3C" w:rsidP="007F5E20">
            <w:pPr>
              <w:spacing w:after="0"/>
              <w:jc w:val="center"/>
              <w:rPr>
                <w:color w:val="000000"/>
                <w:sz w:val="18"/>
                <w:szCs w:val="18"/>
                <w:lang w:eastAsia="lv-LV"/>
              </w:rPr>
            </w:pPr>
            <w:r w:rsidRPr="00902214">
              <w:rPr>
                <w:color w:val="000000"/>
                <w:sz w:val="18"/>
                <w:szCs w:val="18"/>
                <w:lang w:eastAsia="lv-LV"/>
              </w:rPr>
              <w:t>103</w:t>
            </w:r>
          </w:p>
        </w:tc>
        <w:tc>
          <w:tcPr>
            <w:tcW w:w="1134" w:type="dxa"/>
            <w:tcBorders>
              <w:top w:val="nil"/>
              <w:left w:val="nil"/>
              <w:bottom w:val="single" w:sz="4" w:space="0" w:color="auto"/>
              <w:right w:val="single" w:sz="4" w:space="0" w:color="auto"/>
            </w:tcBorders>
            <w:shd w:val="clear" w:color="auto" w:fill="auto"/>
            <w:noWrap/>
            <w:vAlign w:val="center"/>
            <w:hideMark/>
          </w:tcPr>
          <w:p w14:paraId="3CA16677" w14:textId="77777777" w:rsidR="00C32B3C" w:rsidRPr="00902214" w:rsidRDefault="00C32B3C" w:rsidP="007F5E20">
            <w:pPr>
              <w:spacing w:after="0"/>
              <w:jc w:val="center"/>
              <w:rPr>
                <w:color w:val="000000"/>
                <w:sz w:val="18"/>
                <w:szCs w:val="18"/>
                <w:lang w:eastAsia="lv-LV"/>
              </w:rPr>
            </w:pPr>
            <w:r w:rsidRPr="00902214">
              <w:rPr>
                <w:color w:val="000000"/>
                <w:sz w:val="18"/>
                <w:szCs w:val="18"/>
                <w:lang w:eastAsia="lv-LV"/>
              </w:rPr>
              <w:t>21%</w:t>
            </w:r>
          </w:p>
        </w:tc>
        <w:tc>
          <w:tcPr>
            <w:tcW w:w="1219" w:type="dxa"/>
            <w:tcBorders>
              <w:top w:val="nil"/>
              <w:left w:val="nil"/>
              <w:bottom w:val="single" w:sz="4" w:space="0" w:color="auto"/>
              <w:right w:val="single" w:sz="4" w:space="0" w:color="auto"/>
            </w:tcBorders>
            <w:shd w:val="clear" w:color="auto" w:fill="auto"/>
            <w:noWrap/>
            <w:vAlign w:val="center"/>
            <w:hideMark/>
          </w:tcPr>
          <w:p w14:paraId="16E4B74E" w14:textId="77777777" w:rsidR="00C32B3C" w:rsidRPr="00902214" w:rsidRDefault="00C32B3C" w:rsidP="007F5E20">
            <w:pPr>
              <w:spacing w:after="0"/>
              <w:jc w:val="center"/>
              <w:rPr>
                <w:color w:val="000000"/>
                <w:sz w:val="18"/>
                <w:szCs w:val="18"/>
                <w:lang w:eastAsia="lv-LV"/>
              </w:rPr>
            </w:pPr>
            <w:r w:rsidRPr="00902214">
              <w:rPr>
                <w:color w:val="000000"/>
                <w:sz w:val="18"/>
                <w:szCs w:val="18"/>
                <w:lang w:eastAsia="lv-LV"/>
              </w:rPr>
              <w:t>6%</w:t>
            </w:r>
          </w:p>
        </w:tc>
      </w:tr>
      <w:tr w:rsidR="00C32B3C" w:rsidRPr="00902214" w14:paraId="6F5E95AE" w14:textId="77777777" w:rsidTr="007F5E20">
        <w:trPr>
          <w:trHeight w:val="288"/>
        </w:trPr>
        <w:tc>
          <w:tcPr>
            <w:tcW w:w="2170" w:type="dxa"/>
            <w:tcBorders>
              <w:top w:val="nil"/>
              <w:left w:val="single" w:sz="4" w:space="0" w:color="auto"/>
              <w:bottom w:val="single" w:sz="4" w:space="0" w:color="auto"/>
              <w:right w:val="single" w:sz="4" w:space="0" w:color="auto"/>
            </w:tcBorders>
            <w:shd w:val="clear" w:color="auto" w:fill="auto"/>
            <w:noWrap/>
            <w:vAlign w:val="center"/>
            <w:hideMark/>
          </w:tcPr>
          <w:p w14:paraId="6E43706C" w14:textId="77777777" w:rsidR="00C32B3C" w:rsidRPr="00902214" w:rsidRDefault="00C32B3C" w:rsidP="003C29FE">
            <w:pPr>
              <w:spacing w:after="0"/>
              <w:ind w:firstLine="0"/>
              <w:rPr>
                <w:color w:val="000000"/>
                <w:sz w:val="18"/>
                <w:szCs w:val="18"/>
                <w:lang w:eastAsia="lv-LV"/>
              </w:rPr>
            </w:pPr>
            <w:r w:rsidRPr="00902214">
              <w:rPr>
                <w:color w:val="000000"/>
                <w:sz w:val="18"/>
                <w:szCs w:val="18"/>
                <w:lang w:eastAsia="lv-LV"/>
              </w:rPr>
              <w:t>Koks un koka izstrādājumi</w:t>
            </w:r>
          </w:p>
        </w:tc>
        <w:tc>
          <w:tcPr>
            <w:tcW w:w="1228" w:type="dxa"/>
            <w:tcBorders>
              <w:top w:val="nil"/>
              <w:left w:val="nil"/>
              <w:bottom w:val="single" w:sz="4" w:space="0" w:color="auto"/>
              <w:right w:val="single" w:sz="4" w:space="0" w:color="auto"/>
            </w:tcBorders>
            <w:shd w:val="clear" w:color="auto" w:fill="auto"/>
            <w:noWrap/>
            <w:vAlign w:val="center"/>
            <w:hideMark/>
          </w:tcPr>
          <w:p w14:paraId="2C3CDD57" w14:textId="77777777" w:rsidR="00C32B3C" w:rsidRPr="00902214" w:rsidRDefault="00C32B3C" w:rsidP="007F5E20">
            <w:pPr>
              <w:spacing w:after="0"/>
              <w:jc w:val="center"/>
              <w:rPr>
                <w:color w:val="000000"/>
                <w:sz w:val="18"/>
                <w:szCs w:val="18"/>
                <w:lang w:eastAsia="lv-LV"/>
              </w:rPr>
            </w:pPr>
            <w:r w:rsidRPr="00902214">
              <w:rPr>
                <w:color w:val="000000"/>
                <w:sz w:val="18"/>
                <w:szCs w:val="18"/>
                <w:lang w:eastAsia="lv-LV"/>
              </w:rPr>
              <w:t>314</w:t>
            </w:r>
          </w:p>
        </w:tc>
        <w:tc>
          <w:tcPr>
            <w:tcW w:w="1417" w:type="dxa"/>
            <w:tcBorders>
              <w:top w:val="nil"/>
              <w:left w:val="nil"/>
              <w:bottom w:val="single" w:sz="4" w:space="0" w:color="auto"/>
              <w:right w:val="single" w:sz="4" w:space="0" w:color="auto"/>
            </w:tcBorders>
            <w:shd w:val="clear" w:color="auto" w:fill="auto"/>
            <w:noWrap/>
            <w:vAlign w:val="center"/>
            <w:hideMark/>
          </w:tcPr>
          <w:p w14:paraId="3604210E" w14:textId="77777777" w:rsidR="00C32B3C" w:rsidRPr="00902214" w:rsidRDefault="00C32B3C" w:rsidP="007F5E20">
            <w:pPr>
              <w:spacing w:after="0"/>
              <w:jc w:val="center"/>
              <w:rPr>
                <w:color w:val="000000"/>
                <w:sz w:val="18"/>
                <w:szCs w:val="18"/>
                <w:lang w:eastAsia="lv-LV"/>
              </w:rPr>
            </w:pPr>
            <w:r w:rsidRPr="00902214">
              <w:rPr>
                <w:color w:val="000000"/>
                <w:sz w:val="18"/>
                <w:szCs w:val="18"/>
                <w:lang w:eastAsia="lv-LV"/>
              </w:rPr>
              <w:t>534</w:t>
            </w:r>
          </w:p>
        </w:tc>
        <w:tc>
          <w:tcPr>
            <w:tcW w:w="1134" w:type="dxa"/>
            <w:tcBorders>
              <w:top w:val="nil"/>
              <w:left w:val="nil"/>
              <w:bottom w:val="single" w:sz="4" w:space="0" w:color="auto"/>
              <w:right w:val="single" w:sz="4" w:space="0" w:color="auto"/>
            </w:tcBorders>
            <w:shd w:val="clear" w:color="auto" w:fill="auto"/>
            <w:noWrap/>
            <w:vAlign w:val="center"/>
            <w:hideMark/>
          </w:tcPr>
          <w:p w14:paraId="5774F6BE" w14:textId="77777777" w:rsidR="00C32B3C" w:rsidRPr="00902214" w:rsidRDefault="00C32B3C" w:rsidP="007F5E20">
            <w:pPr>
              <w:spacing w:after="0"/>
              <w:jc w:val="center"/>
              <w:rPr>
                <w:color w:val="000000"/>
                <w:sz w:val="18"/>
                <w:szCs w:val="18"/>
                <w:lang w:eastAsia="lv-LV"/>
              </w:rPr>
            </w:pPr>
            <w:r w:rsidRPr="00902214">
              <w:rPr>
                <w:color w:val="000000"/>
                <w:sz w:val="18"/>
                <w:szCs w:val="18"/>
                <w:lang w:eastAsia="lv-LV"/>
              </w:rPr>
              <w:t>221</w:t>
            </w:r>
          </w:p>
        </w:tc>
        <w:tc>
          <w:tcPr>
            <w:tcW w:w="1134" w:type="dxa"/>
            <w:tcBorders>
              <w:top w:val="nil"/>
              <w:left w:val="nil"/>
              <w:bottom w:val="single" w:sz="4" w:space="0" w:color="auto"/>
              <w:right w:val="single" w:sz="4" w:space="0" w:color="auto"/>
            </w:tcBorders>
            <w:shd w:val="clear" w:color="auto" w:fill="auto"/>
            <w:noWrap/>
            <w:vAlign w:val="center"/>
            <w:hideMark/>
          </w:tcPr>
          <w:p w14:paraId="3D2ABD00" w14:textId="77777777" w:rsidR="00C32B3C" w:rsidRPr="00902214" w:rsidRDefault="00C32B3C" w:rsidP="007F5E20">
            <w:pPr>
              <w:spacing w:after="0"/>
              <w:jc w:val="center"/>
              <w:rPr>
                <w:color w:val="000000"/>
                <w:sz w:val="18"/>
                <w:szCs w:val="18"/>
                <w:lang w:eastAsia="lv-LV"/>
              </w:rPr>
            </w:pPr>
            <w:r w:rsidRPr="00902214">
              <w:rPr>
                <w:color w:val="000000"/>
                <w:sz w:val="18"/>
                <w:szCs w:val="18"/>
                <w:lang w:eastAsia="lv-LV"/>
              </w:rPr>
              <w:t>70%</w:t>
            </w:r>
          </w:p>
        </w:tc>
        <w:tc>
          <w:tcPr>
            <w:tcW w:w="1219" w:type="dxa"/>
            <w:tcBorders>
              <w:top w:val="nil"/>
              <w:left w:val="nil"/>
              <w:bottom w:val="single" w:sz="4" w:space="0" w:color="auto"/>
              <w:right w:val="single" w:sz="4" w:space="0" w:color="auto"/>
            </w:tcBorders>
            <w:shd w:val="clear" w:color="auto" w:fill="auto"/>
            <w:noWrap/>
            <w:vAlign w:val="center"/>
            <w:hideMark/>
          </w:tcPr>
          <w:p w14:paraId="2BA18B02" w14:textId="77777777" w:rsidR="00C32B3C" w:rsidRPr="00902214" w:rsidRDefault="00C32B3C" w:rsidP="007F5E20">
            <w:pPr>
              <w:spacing w:after="0"/>
              <w:jc w:val="center"/>
              <w:rPr>
                <w:color w:val="000000"/>
                <w:sz w:val="18"/>
                <w:szCs w:val="18"/>
                <w:lang w:eastAsia="lv-LV"/>
              </w:rPr>
            </w:pPr>
            <w:r w:rsidRPr="00902214">
              <w:rPr>
                <w:color w:val="000000"/>
                <w:sz w:val="18"/>
                <w:szCs w:val="18"/>
                <w:lang w:eastAsia="lv-LV"/>
              </w:rPr>
              <w:t>5%</w:t>
            </w:r>
          </w:p>
        </w:tc>
      </w:tr>
      <w:tr w:rsidR="00C32B3C" w:rsidRPr="00902214" w14:paraId="09633D4F" w14:textId="77777777" w:rsidTr="007F5E20">
        <w:trPr>
          <w:trHeight w:val="288"/>
        </w:trPr>
        <w:tc>
          <w:tcPr>
            <w:tcW w:w="2170" w:type="dxa"/>
            <w:tcBorders>
              <w:top w:val="nil"/>
              <w:left w:val="single" w:sz="4" w:space="0" w:color="auto"/>
              <w:bottom w:val="single" w:sz="4" w:space="0" w:color="auto"/>
              <w:right w:val="single" w:sz="4" w:space="0" w:color="auto"/>
            </w:tcBorders>
            <w:shd w:val="clear" w:color="auto" w:fill="auto"/>
            <w:noWrap/>
            <w:vAlign w:val="center"/>
            <w:hideMark/>
          </w:tcPr>
          <w:p w14:paraId="1AA118C4" w14:textId="77777777" w:rsidR="00C32B3C" w:rsidRPr="00902214" w:rsidRDefault="00C32B3C" w:rsidP="003C29FE">
            <w:pPr>
              <w:spacing w:after="0"/>
              <w:ind w:firstLine="0"/>
              <w:rPr>
                <w:color w:val="000000"/>
                <w:sz w:val="18"/>
                <w:szCs w:val="18"/>
                <w:lang w:eastAsia="lv-LV"/>
              </w:rPr>
            </w:pPr>
            <w:r w:rsidRPr="00902214">
              <w:rPr>
                <w:color w:val="000000"/>
                <w:sz w:val="18"/>
                <w:szCs w:val="18"/>
                <w:lang w:eastAsia="lv-LV"/>
              </w:rPr>
              <w:t>Tekstilmateriāli un tekstilizstrādājumi</w:t>
            </w:r>
          </w:p>
        </w:tc>
        <w:tc>
          <w:tcPr>
            <w:tcW w:w="1228" w:type="dxa"/>
            <w:tcBorders>
              <w:top w:val="nil"/>
              <w:left w:val="nil"/>
              <w:bottom w:val="single" w:sz="4" w:space="0" w:color="auto"/>
              <w:right w:val="single" w:sz="4" w:space="0" w:color="auto"/>
            </w:tcBorders>
            <w:shd w:val="clear" w:color="auto" w:fill="auto"/>
            <w:noWrap/>
            <w:vAlign w:val="center"/>
            <w:hideMark/>
          </w:tcPr>
          <w:p w14:paraId="313FE80D" w14:textId="77777777" w:rsidR="00C32B3C" w:rsidRPr="00902214" w:rsidRDefault="00C32B3C" w:rsidP="007F5E20">
            <w:pPr>
              <w:spacing w:after="0"/>
              <w:jc w:val="center"/>
              <w:rPr>
                <w:color w:val="000000"/>
                <w:sz w:val="18"/>
                <w:szCs w:val="18"/>
                <w:lang w:eastAsia="lv-LV"/>
              </w:rPr>
            </w:pPr>
            <w:r w:rsidRPr="00902214">
              <w:rPr>
                <w:color w:val="000000"/>
                <w:sz w:val="18"/>
                <w:szCs w:val="18"/>
                <w:lang w:eastAsia="lv-LV"/>
              </w:rPr>
              <w:t>326</w:t>
            </w:r>
          </w:p>
        </w:tc>
        <w:tc>
          <w:tcPr>
            <w:tcW w:w="1417" w:type="dxa"/>
            <w:tcBorders>
              <w:top w:val="nil"/>
              <w:left w:val="nil"/>
              <w:bottom w:val="single" w:sz="4" w:space="0" w:color="auto"/>
              <w:right w:val="single" w:sz="4" w:space="0" w:color="auto"/>
            </w:tcBorders>
            <w:shd w:val="clear" w:color="auto" w:fill="auto"/>
            <w:noWrap/>
            <w:vAlign w:val="center"/>
            <w:hideMark/>
          </w:tcPr>
          <w:p w14:paraId="7BB6142F" w14:textId="77777777" w:rsidR="00C32B3C" w:rsidRPr="00902214" w:rsidRDefault="00C32B3C" w:rsidP="007F5E20">
            <w:pPr>
              <w:spacing w:after="0"/>
              <w:jc w:val="center"/>
              <w:rPr>
                <w:color w:val="000000"/>
                <w:sz w:val="18"/>
                <w:szCs w:val="18"/>
                <w:lang w:eastAsia="lv-LV"/>
              </w:rPr>
            </w:pPr>
            <w:r w:rsidRPr="00902214">
              <w:rPr>
                <w:color w:val="000000"/>
                <w:sz w:val="18"/>
                <w:szCs w:val="18"/>
                <w:lang w:eastAsia="lv-LV"/>
              </w:rPr>
              <w:t>351</w:t>
            </w:r>
          </w:p>
        </w:tc>
        <w:tc>
          <w:tcPr>
            <w:tcW w:w="1134" w:type="dxa"/>
            <w:tcBorders>
              <w:top w:val="nil"/>
              <w:left w:val="nil"/>
              <w:bottom w:val="single" w:sz="4" w:space="0" w:color="auto"/>
              <w:right w:val="single" w:sz="4" w:space="0" w:color="auto"/>
            </w:tcBorders>
            <w:shd w:val="clear" w:color="auto" w:fill="auto"/>
            <w:noWrap/>
            <w:vAlign w:val="center"/>
            <w:hideMark/>
          </w:tcPr>
          <w:p w14:paraId="13314AA2" w14:textId="77777777" w:rsidR="00C32B3C" w:rsidRPr="00902214" w:rsidRDefault="00C32B3C" w:rsidP="007F5E20">
            <w:pPr>
              <w:spacing w:after="0"/>
              <w:jc w:val="center"/>
              <w:rPr>
                <w:color w:val="000000"/>
                <w:sz w:val="18"/>
                <w:szCs w:val="18"/>
                <w:lang w:eastAsia="lv-LV"/>
              </w:rPr>
            </w:pPr>
            <w:r w:rsidRPr="00902214">
              <w:rPr>
                <w:color w:val="000000"/>
                <w:sz w:val="18"/>
                <w:szCs w:val="18"/>
                <w:lang w:eastAsia="lv-LV"/>
              </w:rPr>
              <w:t>25</w:t>
            </w:r>
          </w:p>
        </w:tc>
        <w:tc>
          <w:tcPr>
            <w:tcW w:w="1134" w:type="dxa"/>
            <w:tcBorders>
              <w:top w:val="nil"/>
              <w:left w:val="nil"/>
              <w:bottom w:val="single" w:sz="4" w:space="0" w:color="auto"/>
              <w:right w:val="single" w:sz="4" w:space="0" w:color="auto"/>
            </w:tcBorders>
            <w:shd w:val="clear" w:color="auto" w:fill="auto"/>
            <w:noWrap/>
            <w:vAlign w:val="center"/>
            <w:hideMark/>
          </w:tcPr>
          <w:p w14:paraId="6508F08E" w14:textId="77777777" w:rsidR="00C32B3C" w:rsidRPr="00902214" w:rsidRDefault="00C32B3C" w:rsidP="007F5E20">
            <w:pPr>
              <w:spacing w:after="0"/>
              <w:jc w:val="center"/>
              <w:rPr>
                <w:color w:val="000000"/>
                <w:sz w:val="18"/>
                <w:szCs w:val="18"/>
                <w:lang w:eastAsia="lv-LV"/>
              </w:rPr>
            </w:pPr>
            <w:r w:rsidRPr="00902214">
              <w:rPr>
                <w:color w:val="000000"/>
                <w:sz w:val="18"/>
                <w:szCs w:val="18"/>
                <w:lang w:eastAsia="lv-LV"/>
              </w:rPr>
              <w:t>8%</w:t>
            </w:r>
          </w:p>
        </w:tc>
        <w:tc>
          <w:tcPr>
            <w:tcW w:w="1219" w:type="dxa"/>
            <w:tcBorders>
              <w:top w:val="nil"/>
              <w:left w:val="nil"/>
              <w:bottom w:val="single" w:sz="4" w:space="0" w:color="auto"/>
              <w:right w:val="single" w:sz="4" w:space="0" w:color="auto"/>
            </w:tcBorders>
            <w:shd w:val="clear" w:color="auto" w:fill="auto"/>
            <w:noWrap/>
            <w:vAlign w:val="center"/>
            <w:hideMark/>
          </w:tcPr>
          <w:p w14:paraId="23017146" w14:textId="77777777" w:rsidR="00C32B3C" w:rsidRPr="00902214" w:rsidRDefault="00C32B3C" w:rsidP="007F5E20">
            <w:pPr>
              <w:spacing w:after="0"/>
              <w:jc w:val="center"/>
              <w:rPr>
                <w:color w:val="000000"/>
                <w:sz w:val="18"/>
                <w:szCs w:val="18"/>
                <w:lang w:eastAsia="lv-LV"/>
              </w:rPr>
            </w:pPr>
            <w:r w:rsidRPr="00902214">
              <w:rPr>
                <w:color w:val="000000"/>
                <w:sz w:val="18"/>
                <w:szCs w:val="18"/>
                <w:lang w:eastAsia="lv-LV"/>
              </w:rPr>
              <w:t>3%</w:t>
            </w:r>
          </w:p>
        </w:tc>
      </w:tr>
      <w:tr w:rsidR="00C32B3C" w:rsidRPr="00902214" w14:paraId="02B731CC" w14:textId="77777777" w:rsidTr="007F5E20">
        <w:trPr>
          <w:trHeight w:val="288"/>
        </w:trPr>
        <w:tc>
          <w:tcPr>
            <w:tcW w:w="2170" w:type="dxa"/>
            <w:tcBorders>
              <w:top w:val="nil"/>
              <w:left w:val="single" w:sz="4" w:space="0" w:color="auto"/>
              <w:bottom w:val="single" w:sz="4" w:space="0" w:color="auto"/>
              <w:right w:val="single" w:sz="4" w:space="0" w:color="auto"/>
            </w:tcBorders>
            <w:shd w:val="clear" w:color="auto" w:fill="auto"/>
            <w:noWrap/>
            <w:vAlign w:val="center"/>
            <w:hideMark/>
          </w:tcPr>
          <w:p w14:paraId="3F33BFFD" w14:textId="77777777" w:rsidR="00C32B3C" w:rsidRPr="00902214" w:rsidRDefault="00C32B3C" w:rsidP="003C29FE">
            <w:pPr>
              <w:spacing w:after="0"/>
              <w:ind w:firstLine="0"/>
              <w:rPr>
                <w:color w:val="000000"/>
                <w:sz w:val="18"/>
                <w:szCs w:val="18"/>
                <w:lang w:eastAsia="lv-LV"/>
              </w:rPr>
            </w:pPr>
            <w:r w:rsidRPr="00902214">
              <w:rPr>
                <w:color w:val="000000"/>
                <w:sz w:val="18"/>
                <w:szCs w:val="18"/>
                <w:lang w:eastAsia="lv-LV"/>
              </w:rPr>
              <w:t>Papīrs, kartons un poligrāfijas izstrādājumi</w:t>
            </w:r>
          </w:p>
        </w:tc>
        <w:tc>
          <w:tcPr>
            <w:tcW w:w="1228" w:type="dxa"/>
            <w:tcBorders>
              <w:top w:val="nil"/>
              <w:left w:val="nil"/>
              <w:bottom w:val="single" w:sz="4" w:space="0" w:color="auto"/>
              <w:right w:val="single" w:sz="4" w:space="0" w:color="auto"/>
            </w:tcBorders>
            <w:shd w:val="clear" w:color="auto" w:fill="auto"/>
            <w:noWrap/>
            <w:vAlign w:val="center"/>
            <w:hideMark/>
          </w:tcPr>
          <w:p w14:paraId="3F5920E8" w14:textId="77777777" w:rsidR="00C32B3C" w:rsidRPr="00902214" w:rsidRDefault="00C32B3C" w:rsidP="007F5E20">
            <w:pPr>
              <w:spacing w:after="0"/>
              <w:jc w:val="center"/>
              <w:rPr>
                <w:color w:val="000000"/>
                <w:sz w:val="18"/>
                <w:szCs w:val="18"/>
                <w:lang w:eastAsia="lv-LV"/>
              </w:rPr>
            </w:pPr>
            <w:r w:rsidRPr="00902214">
              <w:rPr>
                <w:color w:val="000000"/>
                <w:sz w:val="18"/>
                <w:szCs w:val="18"/>
                <w:lang w:eastAsia="lv-LV"/>
              </w:rPr>
              <w:t>174</w:t>
            </w:r>
          </w:p>
        </w:tc>
        <w:tc>
          <w:tcPr>
            <w:tcW w:w="1417" w:type="dxa"/>
            <w:tcBorders>
              <w:top w:val="nil"/>
              <w:left w:val="nil"/>
              <w:bottom w:val="single" w:sz="4" w:space="0" w:color="auto"/>
              <w:right w:val="single" w:sz="4" w:space="0" w:color="auto"/>
            </w:tcBorders>
            <w:shd w:val="clear" w:color="auto" w:fill="auto"/>
            <w:noWrap/>
            <w:vAlign w:val="center"/>
            <w:hideMark/>
          </w:tcPr>
          <w:p w14:paraId="59502F82" w14:textId="77777777" w:rsidR="00C32B3C" w:rsidRPr="00902214" w:rsidRDefault="00C32B3C" w:rsidP="007F5E20">
            <w:pPr>
              <w:spacing w:after="0"/>
              <w:jc w:val="center"/>
              <w:rPr>
                <w:color w:val="000000"/>
                <w:sz w:val="18"/>
                <w:szCs w:val="18"/>
                <w:lang w:eastAsia="lv-LV"/>
              </w:rPr>
            </w:pPr>
            <w:r w:rsidRPr="00902214">
              <w:rPr>
                <w:color w:val="000000"/>
                <w:sz w:val="18"/>
                <w:szCs w:val="18"/>
                <w:lang w:eastAsia="lv-LV"/>
              </w:rPr>
              <w:t>192</w:t>
            </w:r>
          </w:p>
        </w:tc>
        <w:tc>
          <w:tcPr>
            <w:tcW w:w="1134" w:type="dxa"/>
            <w:tcBorders>
              <w:top w:val="nil"/>
              <w:left w:val="nil"/>
              <w:bottom w:val="single" w:sz="4" w:space="0" w:color="auto"/>
              <w:right w:val="single" w:sz="4" w:space="0" w:color="auto"/>
            </w:tcBorders>
            <w:shd w:val="clear" w:color="auto" w:fill="auto"/>
            <w:noWrap/>
            <w:vAlign w:val="center"/>
            <w:hideMark/>
          </w:tcPr>
          <w:p w14:paraId="743B7626" w14:textId="77777777" w:rsidR="00C32B3C" w:rsidRPr="00902214" w:rsidRDefault="00C32B3C" w:rsidP="007F5E20">
            <w:pPr>
              <w:spacing w:after="0"/>
              <w:jc w:val="center"/>
              <w:rPr>
                <w:color w:val="000000"/>
                <w:sz w:val="18"/>
                <w:szCs w:val="18"/>
                <w:lang w:eastAsia="lv-LV"/>
              </w:rPr>
            </w:pPr>
            <w:r w:rsidRPr="00902214">
              <w:rPr>
                <w:color w:val="000000"/>
                <w:sz w:val="18"/>
                <w:szCs w:val="18"/>
                <w:lang w:eastAsia="lv-LV"/>
              </w:rPr>
              <w:t>18</w:t>
            </w:r>
          </w:p>
        </w:tc>
        <w:tc>
          <w:tcPr>
            <w:tcW w:w="1134" w:type="dxa"/>
            <w:tcBorders>
              <w:top w:val="nil"/>
              <w:left w:val="nil"/>
              <w:bottom w:val="single" w:sz="4" w:space="0" w:color="auto"/>
              <w:right w:val="single" w:sz="4" w:space="0" w:color="auto"/>
            </w:tcBorders>
            <w:shd w:val="clear" w:color="auto" w:fill="auto"/>
            <w:noWrap/>
            <w:vAlign w:val="center"/>
            <w:hideMark/>
          </w:tcPr>
          <w:p w14:paraId="28308D89" w14:textId="77777777" w:rsidR="00C32B3C" w:rsidRPr="00902214" w:rsidRDefault="00C32B3C" w:rsidP="007F5E20">
            <w:pPr>
              <w:spacing w:after="0"/>
              <w:jc w:val="center"/>
              <w:rPr>
                <w:color w:val="000000"/>
                <w:sz w:val="18"/>
                <w:szCs w:val="18"/>
                <w:lang w:eastAsia="lv-LV"/>
              </w:rPr>
            </w:pPr>
            <w:r w:rsidRPr="00902214">
              <w:rPr>
                <w:color w:val="000000"/>
                <w:sz w:val="18"/>
                <w:szCs w:val="18"/>
                <w:lang w:eastAsia="lv-LV"/>
              </w:rPr>
              <w:t>10%</w:t>
            </w:r>
          </w:p>
        </w:tc>
        <w:tc>
          <w:tcPr>
            <w:tcW w:w="1219" w:type="dxa"/>
            <w:tcBorders>
              <w:top w:val="nil"/>
              <w:left w:val="nil"/>
              <w:bottom w:val="single" w:sz="4" w:space="0" w:color="auto"/>
              <w:right w:val="single" w:sz="4" w:space="0" w:color="auto"/>
            </w:tcBorders>
            <w:shd w:val="clear" w:color="auto" w:fill="auto"/>
            <w:noWrap/>
            <w:vAlign w:val="center"/>
            <w:hideMark/>
          </w:tcPr>
          <w:p w14:paraId="69B292D0" w14:textId="77777777" w:rsidR="00C32B3C" w:rsidRPr="00902214" w:rsidRDefault="00C32B3C" w:rsidP="007F5E20">
            <w:pPr>
              <w:spacing w:after="0"/>
              <w:jc w:val="center"/>
              <w:rPr>
                <w:color w:val="000000"/>
                <w:sz w:val="18"/>
                <w:szCs w:val="18"/>
                <w:lang w:eastAsia="lv-LV"/>
              </w:rPr>
            </w:pPr>
            <w:r w:rsidRPr="00902214">
              <w:rPr>
                <w:color w:val="000000"/>
                <w:sz w:val="18"/>
                <w:szCs w:val="18"/>
                <w:lang w:eastAsia="lv-LV"/>
              </w:rPr>
              <w:t>2%</w:t>
            </w:r>
          </w:p>
        </w:tc>
      </w:tr>
      <w:tr w:rsidR="00C32B3C" w:rsidRPr="00902214" w14:paraId="4B328BEA" w14:textId="77777777" w:rsidTr="007F5E20">
        <w:trPr>
          <w:trHeight w:val="300"/>
        </w:trPr>
        <w:tc>
          <w:tcPr>
            <w:tcW w:w="2170" w:type="dxa"/>
            <w:tcBorders>
              <w:top w:val="nil"/>
              <w:left w:val="single" w:sz="4" w:space="0" w:color="auto"/>
              <w:bottom w:val="single" w:sz="4" w:space="0" w:color="auto"/>
              <w:right w:val="single" w:sz="4" w:space="0" w:color="auto"/>
            </w:tcBorders>
            <w:shd w:val="clear" w:color="auto" w:fill="auto"/>
            <w:noWrap/>
            <w:vAlign w:val="center"/>
            <w:hideMark/>
          </w:tcPr>
          <w:p w14:paraId="48FE18BB" w14:textId="77777777" w:rsidR="00C32B3C" w:rsidRPr="00902214" w:rsidRDefault="00C32B3C" w:rsidP="003C29FE">
            <w:pPr>
              <w:spacing w:after="0"/>
              <w:ind w:firstLine="0"/>
              <w:rPr>
                <w:color w:val="000000"/>
                <w:sz w:val="18"/>
                <w:szCs w:val="18"/>
                <w:lang w:eastAsia="lv-LV"/>
              </w:rPr>
            </w:pPr>
            <w:r w:rsidRPr="00902214">
              <w:rPr>
                <w:color w:val="000000"/>
                <w:sz w:val="18"/>
                <w:szCs w:val="18"/>
                <w:lang w:eastAsia="lv-LV"/>
              </w:rPr>
              <w:t>Būvniecības izstrādājumi</w:t>
            </w:r>
          </w:p>
        </w:tc>
        <w:tc>
          <w:tcPr>
            <w:tcW w:w="1228" w:type="dxa"/>
            <w:tcBorders>
              <w:top w:val="nil"/>
              <w:left w:val="nil"/>
              <w:bottom w:val="single" w:sz="4" w:space="0" w:color="auto"/>
              <w:right w:val="single" w:sz="4" w:space="0" w:color="auto"/>
            </w:tcBorders>
            <w:shd w:val="clear" w:color="auto" w:fill="auto"/>
            <w:noWrap/>
            <w:vAlign w:val="center"/>
            <w:hideMark/>
          </w:tcPr>
          <w:p w14:paraId="57078B90" w14:textId="77777777" w:rsidR="00C32B3C" w:rsidRPr="00902214" w:rsidRDefault="00C32B3C" w:rsidP="007F5E20">
            <w:pPr>
              <w:spacing w:after="0"/>
              <w:jc w:val="center"/>
              <w:rPr>
                <w:color w:val="000000"/>
                <w:sz w:val="18"/>
                <w:szCs w:val="18"/>
                <w:lang w:eastAsia="lv-LV"/>
              </w:rPr>
            </w:pPr>
            <w:r w:rsidRPr="00902214">
              <w:rPr>
                <w:color w:val="000000"/>
                <w:sz w:val="18"/>
                <w:szCs w:val="18"/>
                <w:lang w:eastAsia="lv-LV"/>
              </w:rPr>
              <w:t>146</w:t>
            </w:r>
          </w:p>
        </w:tc>
        <w:tc>
          <w:tcPr>
            <w:tcW w:w="1417" w:type="dxa"/>
            <w:tcBorders>
              <w:top w:val="nil"/>
              <w:left w:val="nil"/>
              <w:bottom w:val="single" w:sz="4" w:space="0" w:color="auto"/>
              <w:right w:val="single" w:sz="4" w:space="0" w:color="auto"/>
            </w:tcBorders>
            <w:shd w:val="clear" w:color="auto" w:fill="auto"/>
            <w:noWrap/>
            <w:vAlign w:val="center"/>
            <w:hideMark/>
          </w:tcPr>
          <w:p w14:paraId="5781E4AF" w14:textId="77777777" w:rsidR="00C32B3C" w:rsidRPr="00902214" w:rsidRDefault="00C32B3C" w:rsidP="007F5E20">
            <w:pPr>
              <w:spacing w:after="0"/>
              <w:jc w:val="center"/>
              <w:rPr>
                <w:color w:val="000000"/>
                <w:sz w:val="18"/>
                <w:szCs w:val="18"/>
                <w:lang w:eastAsia="lv-LV"/>
              </w:rPr>
            </w:pPr>
            <w:r w:rsidRPr="00902214">
              <w:rPr>
                <w:color w:val="000000"/>
                <w:sz w:val="18"/>
                <w:szCs w:val="18"/>
                <w:lang w:eastAsia="lv-LV"/>
              </w:rPr>
              <w:t>160</w:t>
            </w:r>
          </w:p>
        </w:tc>
        <w:tc>
          <w:tcPr>
            <w:tcW w:w="1134" w:type="dxa"/>
            <w:tcBorders>
              <w:top w:val="nil"/>
              <w:left w:val="nil"/>
              <w:bottom w:val="single" w:sz="4" w:space="0" w:color="auto"/>
              <w:right w:val="single" w:sz="4" w:space="0" w:color="auto"/>
            </w:tcBorders>
            <w:shd w:val="clear" w:color="auto" w:fill="auto"/>
            <w:noWrap/>
            <w:vAlign w:val="center"/>
            <w:hideMark/>
          </w:tcPr>
          <w:p w14:paraId="2D2EF175" w14:textId="77777777" w:rsidR="00C32B3C" w:rsidRPr="00902214" w:rsidRDefault="00C32B3C" w:rsidP="007F5E20">
            <w:pPr>
              <w:spacing w:after="0"/>
              <w:jc w:val="center"/>
              <w:rPr>
                <w:color w:val="000000"/>
                <w:sz w:val="18"/>
                <w:szCs w:val="18"/>
                <w:lang w:eastAsia="lv-LV"/>
              </w:rPr>
            </w:pPr>
            <w:r w:rsidRPr="00902214">
              <w:rPr>
                <w:color w:val="000000"/>
                <w:sz w:val="18"/>
                <w:szCs w:val="18"/>
                <w:lang w:eastAsia="lv-LV"/>
              </w:rPr>
              <w:t>14</w:t>
            </w:r>
          </w:p>
        </w:tc>
        <w:tc>
          <w:tcPr>
            <w:tcW w:w="1134" w:type="dxa"/>
            <w:tcBorders>
              <w:top w:val="nil"/>
              <w:left w:val="nil"/>
              <w:bottom w:val="single" w:sz="4" w:space="0" w:color="auto"/>
              <w:right w:val="single" w:sz="4" w:space="0" w:color="auto"/>
            </w:tcBorders>
            <w:shd w:val="clear" w:color="auto" w:fill="auto"/>
            <w:noWrap/>
            <w:vAlign w:val="center"/>
            <w:hideMark/>
          </w:tcPr>
          <w:p w14:paraId="7CF1CDD9" w14:textId="77777777" w:rsidR="00C32B3C" w:rsidRPr="00902214" w:rsidRDefault="00C32B3C" w:rsidP="007F5E20">
            <w:pPr>
              <w:spacing w:after="0"/>
              <w:jc w:val="center"/>
              <w:rPr>
                <w:color w:val="000000"/>
                <w:sz w:val="18"/>
                <w:szCs w:val="18"/>
                <w:lang w:eastAsia="lv-LV"/>
              </w:rPr>
            </w:pPr>
            <w:r w:rsidRPr="00902214">
              <w:rPr>
                <w:color w:val="000000"/>
                <w:sz w:val="18"/>
                <w:szCs w:val="18"/>
                <w:lang w:eastAsia="lv-LV"/>
              </w:rPr>
              <w:t>9%</w:t>
            </w:r>
          </w:p>
        </w:tc>
        <w:tc>
          <w:tcPr>
            <w:tcW w:w="1219" w:type="dxa"/>
            <w:tcBorders>
              <w:top w:val="nil"/>
              <w:left w:val="nil"/>
              <w:bottom w:val="single" w:sz="4" w:space="0" w:color="auto"/>
              <w:right w:val="single" w:sz="4" w:space="0" w:color="auto"/>
            </w:tcBorders>
            <w:shd w:val="clear" w:color="auto" w:fill="auto"/>
            <w:noWrap/>
            <w:vAlign w:val="center"/>
            <w:hideMark/>
          </w:tcPr>
          <w:p w14:paraId="6372EE73" w14:textId="77777777" w:rsidR="00C32B3C" w:rsidRPr="00902214" w:rsidRDefault="00C32B3C" w:rsidP="007F5E20">
            <w:pPr>
              <w:spacing w:after="0"/>
              <w:jc w:val="center"/>
              <w:rPr>
                <w:color w:val="000000"/>
                <w:sz w:val="18"/>
                <w:szCs w:val="18"/>
                <w:lang w:eastAsia="lv-LV"/>
              </w:rPr>
            </w:pPr>
            <w:r w:rsidRPr="00902214">
              <w:rPr>
                <w:color w:val="000000"/>
                <w:sz w:val="18"/>
                <w:szCs w:val="18"/>
                <w:lang w:eastAsia="lv-LV"/>
              </w:rPr>
              <w:t>2%</w:t>
            </w:r>
          </w:p>
        </w:tc>
      </w:tr>
      <w:tr w:rsidR="00C32B3C" w:rsidRPr="00902214" w14:paraId="6E0AEE6D" w14:textId="77777777" w:rsidTr="007F5E20">
        <w:trPr>
          <w:trHeight w:val="288"/>
        </w:trPr>
        <w:tc>
          <w:tcPr>
            <w:tcW w:w="2170" w:type="dxa"/>
            <w:tcBorders>
              <w:top w:val="nil"/>
              <w:left w:val="single" w:sz="4" w:space="0" w:color="auto"/>
              <w:bottom w:val="single" w:sz="4" w:space="0" w:color="auto"/>
              <w:right w:val="single" w:sz="4" w:space="0" w:color="auto"/>
            </w:tcBorders>
            <w:shd w:val="clear" w:color="auto" w:fill="auto"/>
            <w:noWrap/>
            <w:vAlign w:val="center"/>
            <w:hideMark/>
          </w:tcPr>
          <w:p w14:paraId="6D2E7D8D" w14:textId="77777777" w:rsidR="00C32B3C" w:rsidRPr="00902214" w:rsidRDefault="00C32B3C" w:rsidP="003C29FE">
            <w:pPr>
              <w:spacing w:after="0"/>
              <w:ind w:firstLine="0"/>
              <w:jc w:val="right"/>
              <w:rPr>
                <w:b/>
                <w:color w:val="000000"/>
                <w:sz w:val="18"/>
                <w:szCs w:val="18"/>
                <w:lang w:eastAsia="lv-LV"/>
              </w:rPr>
            </w:pPr>
            <w:r w:rsidRPr="00902214">
              <w:rPr>
                <w:b/>
                <w:color w:val="000000"/>
                <w:sz w:val="18"/>
                <w:szCs w:val="18"/>
                <w:lang w:eastAsia="lv-LV"/>
              </w:rPr>
              <w:t>Pavisam</w:t>
            </w:r>
          </w:p>
        </w:tc>
        <w:tc>
          <w:tcPr>
            <w:tcW w:w="1228" w:type="dxa"/>
            <w:tcBorders>
              <w:top w:val="nil"/>
              <w:left w:val="nil"/>
              <w:bottom w:val="single" w:sz="4" w:space="0" w:color="auto"/>
              <w:right w:val="single" w:sz="4" w:space="0" w:color="auto"/>
            </w:tcBorders>
            <w:shd w:val="clear" w:color="auto" w:fill="auto"/>
            <w:noWrap/>
            <w:vAlign w:val="center"/>
            <w:hideMark/>
          </w:tcPr>
          <w:p w14:paraId="2B93797E" w14:textId="77777777" w:rsidR="00C32B3C" w:rsidRPr="00902214" w:rsidRDefault="00C32B3C" w:rsidP="007F5E20">
            <w:pPr>
              <w:spacing w:after="0"/>
              <w:jc w:val="center"/>
              <w:rPr>
                <w:b/>
                <w:color w:val="000000"/>
                <w:sz w:val="18"/>
                <w:szCs w:val="18"/>
                <w:lang w:eastAsia="lv-LV"/>
              </w:rPr>
            </w:pPr>
            <w:r w:rsidRPr="00902214">
              <w:rPr>
                <w:b/>
                <w:color w:val="000000"/>
                <w:sz w:val="18"/>
                <w:szCs w:val="18"/>
                <w:lang w:eastAsia="lv-LV"/>
              </w:rPr>
              <w:t>8291</w:t>
            </w:r>
          </w:p>
        </w:tc>
        <w:tc>
          <w:tcPr>
            <w:tcW w:w="1417" w:type="dxa"/>
            <w:tcBorders>
              <w:top w:val="nil"/>
              <w:left w:val="nil"/>
              <w:bottom w:val="single" w:sz="4" w:space="0" w:color="auto"/>
              <w:right w:val="single" w:sz="4" w:space="0" w:color="auto"/>
            </w:tcBorders>
            <w:shd w:val="clear" w:color="auto" w:fill="auto"/>
            <w:noWrap/>
            <w:vAlign w:val="center"/>
            <w:hideMark/>
          </w:tcPr>
          <w:p w14:paraId="53A8A692" w14:textId="77777777" w:rsidR="00C32B3C" w:rsidRPr="00902214" w:rsidRDefault="00C32B3C" w:rsidP="007F5E20">
            <w:pPr>
              <w:spacing w:after="0"/>
              <w:jc w:val="center"/>
              <w:rPr>
                <w:b/>
                <w:color w:val="000000"/>
                <w:sz w:val="18"/>
                <w:szCs w:val="18"/>
                <w:lang w:eastAsia="lv-LV"/>
              </w:rPr>
            </w:pPr>
            <w:r w:rsidRPr="00902214">
              <w:rPr>
                <w:b/>
                <w:color w:val="000000"/>
                <w:sz w:val="18"/>
                <w:szCs w:val="18"/>
                <w:lang w:eastAsia="lv-LV"/>
              </w:rPr>
              <w:t>10421</w:t>
            </w:r>
          </w:p>
        </w:tc>
        <w:tc>
          <w:tcPr>
            <w:tcW w:w="1134" w:type="dxa"/>
            <w:tcBorders>
              <w:top w:val="nil"/>
              <w:left w:val="nil"/>
              <w:bottom w:val="single" w:sz="4" w:space="0" w:color="auto"/>
              <w:right w:val="single" w:sz="4" w:space="0" w:color="auto"/>
            </w:tcBorders>
            <w:shd w:val="clear" w:color="auto" w:fill="auto"/>
            <w:noWrap/>
            <w:vAlign w:val="center"/>
            <w:hideMark/>
          </w:tcPr>
          <w:p w14:paraId="080B1A0A" w14:textId="77777777" w:rsidR="00C32B3C" w:rsidRPr="00902214" w:rsidRDefault="00C32B3C" w:rsidP="007F5E20">
            <w:pPr>
              <w:spacing w:after="0"/>
              <w:jc w:val="center"/>
              <w:rPr>
                <w:b/>
                <w:color w:val="000000"/>
                <w:sz w:val="18"/>
                <w:szCs w:val="18"/>
                <w:lang w:eastAsia="lv-LV"/>
              </w:rPr>
            </w:pPr>
            <w:r w:rsidRPr="00902214">
              <w:rPr>
                <w:b/>
                <w:color w:val="000000"/>
                <w:sz w:val="18"/>
                <w:szCs w:val="18"/>
                <w:lang w:eastAsia="lv-LV"/>
              </w:rPr>
              <w:t>2130</w:t>
            </w:r>
          </w:p>
        </w:tc>
        <w:tc>
          <w:tcPr>
            <w:tcW w:w="1134" w:type="dxa"/>
            <w:tcBorders>
              <w:top w:val="nil"/>
              <w:left w:val="nil"/>
              <w:bottom w:val="single" w:sz="4" w:space="0" w:color="auto"/>
              <w:right w:val="single" w:sz="4" w:space="0" w:color="auto"/>
            </w:tcBorders>
            <w:shd w:val="clear" w:color="auto" w:fill="auto"/>
            <w:noWrap/>
            <w:vAlign w:val="center"/>
            <w:hideMark/>
          </w:tcPr>
          <w:p w14:paraId="2CF2B3CC" w14:textId="77777777" w:rsidR="00C32B3C" w:rsidRPr="00902214" w:rsidRDefault="00C32B3C" w:rsidP="007F5E20">
            <w:pPr>
              <w:spacing w:after="0"/>
              <w:jc w:val="center"/>
              <w:rPr>
                <w:b/>
                <w:color w:val="000000"/>
                <w:sz w:val="18"/>
                <w:szCs w:val="18"/>
                <w:lang w:eastAsia="lv-LV"/>
              </w:rPr>
            </w:pPr>
            <w:r w:rsidRPr="00902214">
              <w:rPr>
                <w:b/>
                <w:color w:val="000000"/>
                <w:sz w:val="18"/>
                <w:szCs w:val="18"/>
                <w:lang w:eastAsia="lv-LV"/>
              </w:rPr>
              <w:t>26%</w:t>
            </w:r>
          </w:p>
        </w:tc>
        <w:tc>
          <w:tcPr>
            <w:tcW w:w="1219" w:type="dxa"/>
            <w:tcBorders>
              <w:top w:val="nil"/>
              <w:left w:val="nil"/>
              <w:bottom w:val="single" w:sz="4" w:space="0" w:color="auto"/>
              <w:right w:val="single" w:sz="4" w:space="0" w:color="auto"/>
            </w:tcBorders>
            <w:shd w:val="clear" w:color="auto" w:fill="auto"/>
            <w:noWrap/>
            <w:vAlign w:val="center"/>
            <w:hideMark/>
          </w:tcPr>
          <w:p w14:paraId="75E85B7E" w14:textId="77777777" w:rsidR="00C32B3C" w:rsidRPr="00902214" w:rsidRDefault="00C32B3C" w:rsidP="007F5E20">
            <w:pPr>
              <w:spacing w:after="0"/>
              <w:jc w:val="center"/>
              <w:rPr>
                <w:b/>
                <w:color w:val="000000"/>
                <w:sz w:val="18"/>
                <w:szCs w:val="18"/>
                <w:lang w:eastAsia="lv-LV"/>
              </w:rPr>
            </w:pPr>
            <w:r w:rsidRPr="00902214">
              <w:rPr>
                <w:b/>
                <w:color w:val="000000"/>
                <w:sz w:val="18"/>
                <w:szCs w:val="18"/>
                <w:lang w:eastAsia="lv-LV"/>
              </w:rPr>
              <w:t>100%</w:t>
            </w:r>
          </w:p>
        </w:tc>
      </w:tr>
    </w:tbl>
    <w:p w14:paraId="3469BCF7" w14:textId="77777777" w:rsidR="00C32B3C" w:rsidRPr="000F1086" w:rsidRDefault="00C32B3C" w:rsidP="00C32B3C">
      <w:pPr>
        <w:spacing w:before="120"/>
        <w:ind w:firstLine="720"/>
        <w:rPr>
          <w:rFonts w:eastAsia="Calibri"/>
          <w:szCs w:val="22"/>
        </w:rPr>
      </w:pPr>
      <w:r w:rsidRPr="000F1086">
        <w:rPr>
          <w:rFonts w:eastAsia="Calibri"/>
          <w:szCs w:val="22"/>
        </w:rPr>
        <w:t>Pakalpojumu importa vērtība 2021</w:t>
      </w:r>
      <w:r>
        <w:rPr>
          <w:rFonts w:eastAsia="Calibri"/>
          <w:szCs w:val="22"/>
        </w:rPr>
        <w:t>. gad</w:t>
      </w:r>
      <w:r w:rsidRPr="000F1086">
        <w:rPr>
          <w:rFonts w:eastAsia="Calibri"/>
          <w:szCs w:val="22"/>
        </w:rPr>
        <w:t xml:space="preserve">a pirmajos septiņos mēnešos palielinājās par 13,8%, ko veicināja transporta pakalpojumu, kā arī pārējo pakalpojumu imports. Transporta pakalpojumu imports pieauga visos transporta veidos, izņemot gaisa transportu. Tikmēr informācijas un </w:t>
      </w:r>
      <w:proofErr w:type="spellStart"/>
      <w:r w:rsidRPr="000F1086">
        <w:rPr>
          <w:rFonts w:eastAsia="Calibri"/>
          <w:szCs w:val="22"/>
        </w:rPr>
        <w:t>datorpakalpojumu</w:t>
      </w:r>
      <w:proofErr w:type="spellEnd"/>
      <w:r w:rsidRPr="000F1086">
        <w:rPr>
          <w:rFonts w:eastAsia="Calibri"/>
          <w:szCs w:val="22"/>
        </w:rPr>
        <w:t xml:space="preserve"> imports pieauga par 19,5%. Vienlaicīgi Latvijas iedzīvotāju izdevumi ārvalstīs samazinājās par 54,6% salīdzinājumā ar pērnā gada pirmajiem septiņiem mēnešiem. </w:t>
      </w:r>
    </w:p>
    <w:p w14:paraId="578322D3" w14:textId="77777777" w:rsidR="00C32B3C" w:rsidRDefault="00C32B3C" w:rsidP="00C32B3C">
      <w:pPr>
        <w:spacing w:before="120"/>
        <w:ind w:firstLine="720"/>
        <w:rPr>
          <w:rFonts w:eastAsia="Calibri"/>
          <w:szCs w:val="22"/>
        </w:rPr>
      </w:pPr>
      <w:r w:rsidRPr="000F1086">
        <w:rPr>
          <w:rFonts w:eastAsia="Calibri"/>
          <w:szCs w:val="22"/>
        </w:rPr>
        <w:t>Ārējās tirdzniecības apgrozījuma straujais pieaugums būtiski ietekmēja Latvijas maksājumu bilances tekošo kontu (1.</w:t>
      </w:r>
      <w:r>
        <w:rPr>
          <w:rFonts w:eastAsia="Calibri"/>
          <w:szCs w:val="22"/>
        </w:rPr>
        <w:t>39</w:t>
      </w:r>
      <w:r w:rsidRPr="000F1086">
        <w:rPr>
          <w:rFonts w:eastAsia="Calibri"/>
          <w:szCs w:val="22"/>
        </w:rPr>
        <w:t>.</w:t>
      </w:r>
      <w:r>
        <w:rPr>
          <w:rFonts w:eastAsia="Calibri"/>
          <w:szCs w:val="22"/>
        </w:rPr>
        <w:t xml:space="preserve"> </w:t>
      </w:r>
      <w:r w:rsidRPr="000F1086">
        <w:rPr>
          <w:rFonts w:eastAsia="Calibri"/>
          <w:szCs w:val="22"/>
        </w:rPr>
        <w:t>attēls). 2021</w:t>
      </w:r>
      <w:r>
        <w:rPr>
          <w:rFonts w:eastAsia="Calibri"/>
          <w:szCs w:val="22"/>
        </w:rPr>
        <w:t>. gad</w:t>
      </w:r>
      <w:r w:rsidRPr="000F1086">
        <w:rPr>
          <w:rFonts w:eastAsia="Calibri"/>
          <w:szCs w:val="22"/>
        </w:rPr>
        <w:t xml:space="preserve">a pirmajā pusgadā tekošajā kontā bija 652 milj. </w:t>
      </w:r>
      <w:proofErr w:type="spellStart"/>
      <w:r w:rsidRPr="000F1086">
        <w:rPr>
          <w:rFonts w:eastAsia="Calibri"/>
          <w:i/>
          <w:szCs w:val="22"/>
        </w:rPr>
        <w:t>euro</w:t>
      </w:r>
      <w:proofErr w:type="spellEnd"/>
      <w:r w:rsidRPr="000F1086">
        <w:rPr>
          <w:rFonts w:eastAsia="Calibri"/>
          <w:szCs w:val="22"/>
        </w:rPr>
        <w:t xml:space="preserve"> deficīts pretstatā 306 milj. </w:t>
      </w:r>
      <w:proofErr w:type="spellStart"/>
      <w:r w:rsidRPr="00024598">
        <w:rPr>
          <w:rFonts w:eastAsia="Calibri"/>
          <w:i/>
          <w:szCs w:val="22"/>
        </w:rPr>
        <w:t>euro</w:t>
      </w:r>
      <w:proofErr w:type="spellEnd"/>
      <w:r w:rsidRPr="000F1086">
        <w:rPr>
          <w:rFonts w:eastAsia="Calibri"/>
          <w:szCs w:val="22"/>
        </w:rPr>
        <w:t xml:space="preserve"> pārpalikumam pērnā gada attiecīgajā periodā. Pasliktinājās visas tekošā konta apakškontu bilances, tomēr noteicošā loma bija tieši ārējās tirdzniecības kontiem. Preču importam palielinoties straujāk par preču eksportu, preču konta deficīts ir palielinājies par 355 milj. </w:t>
      </w:r>
      <w:proofErr w:type="spellStart"/>
      <w:r w:rsidRPr="000F1086">
        <w:rPr>
          <w:rFonts w:eastAsia="Calibri"/>
          <w:i/>
          <w:szCs w:val="22"/>
        </w:rPr>
        <w:t>euro</w:t>
      </w:r>
      <w:proofErr w:type="spellEnd"/>
      <w:r w:rsidRPr="000F1086">
        <w:rPr>
          <w:rFonts w:eastAsia="Calibri"/>
          <w:szCs w:val="22"/>
        </w:rPr>
        <w:t xml:space="preserve"> līdz 1134 </w:t>
      </w:r>
      <w:r w:rsidRPr="000F1086">
        <w:rPr>
          <w:rFonts w:eastAsia="Calibri"/>
          <w:i/>
          <w:szCs w:val="22"/>
        </w:rPr>
        <w:t xml:space="preserve">milj. </w:t>
      </w:r>
      <w:proofErr w:type="spellStart"/>
      <w:r w:rsidRPr="000F1086">
        <w:rPr>
          <w:rFonts w:eastAsia="Calibri"/>
          <w:i/>
          <w:szCs w:val="22"/>
        </w:rPr>
        <w:t>euro</w:t>
      </w:r>
      <w:proofErr w:type="spellEnd"/>
      <w:r w:rsidRPr="000F1086">
        <w:rPr>
          <w:rFonts w:eastAsia="Calibri"/>
          <w:szCs w:val="22"/>
        </w:rPr>
        <w:t xml:space="preserve">. Līdzīgi bija arī pakalpojumu kontā – pakalpojumu imports pieauga straujāk par eksportu, tāpēc pakalpojumu konta pārpalikums ir samazinājies par 116 milj. </w:t>
      </w:r>
      <w:proofErr w:type="spellStart"/>
      <w:r w:rsidRPr="000F1086">
        <w:rPr>
          <w:rFonts w:eastAsia="Calibri"/>
          <w:i/>
          <w:szCs w:val="22"/>
        </w:rPr>
        <w:t>euro</w:t>
      </w:r>
      <w:proofErr w:type="spellEnd"/>
      <w:r w:rsidRPr="000F1086">
        <w:rPr>
          <w:rFonts w:eastAsia="Calibri"/>
          <w:szCs w:val="22"/>
        </w:rPr>
        <w:t xml:space="preserve"> līdz 817 milj. </w:t>
      </w:r>
      <w:proofErr w:type="spellStart"/>
      <w:r w:rsidRPr="000F1086">
        <w:rPr>
          <w:rFonts w:eastAsia="Calibri"/>
          <w:i/>
          <w:szCs w:val="22"/>
        </w:rPr>
        <w:t>euro</w:t>
      </w:r>
      <w:proofErr w:type="spellEnd"/>
      <w:r w:rsidRPr="000F1086">
        <w:rPr>
          <w:rFonts w:eastAsia="Calibri"/>
          <w:szCs w:val="22"/>
        </w:rPr>
        <w:t>. T</w:t>
      </w:r>
      <w:r>
        <w:rPr>
          <w:rFonts w:eastAsia="Calibri"/>
          <w:szCs w:val="22"/>
        </w:rPr>
        <w:t>ādējādi</w:t>
      </w:r>
      <w:r w:rsidRPr="000F1086">
        <w:rPr>
          <w:rFonts w:eastAsia="Calibri"/>
          <w:szCs w:val="22"/>
        </w:rPr>
        <w:t xml:space="preserve"> pakalpojumu konta pārpalikums tikai daļēji nosedz preču konta deficītu.</w:t>
      </w:r>
    </w:p>
    <w:p w14:paraId="5CDBE359" w14:textId="77777777" w:rsidR="00C32B3C" w:rsidRPr="00DD0873" w:rsidRDefault="00C32B3C" w:rsidP="003C29FE">
      <w:pPr>
        <w:keepNext/>
        <w:spacing w:before="120"/>
        <w:ind w:firstLine="0"/>
        <w:jc w:val="center"/>
        <w:rPr>
          <w:b/>
          <w:i/>
        </w:rPr>
      </w:pPr>
      <w:r w:rsidRPr="00024598">
        <w:rPr>
          <w:b/>
          <w:i/>
        </w:rPr>
        <w:lastRenderedPageBreak/>
        <w:t xml:space="preserve">1.39. attēls </w:t>
      </w:r>
      <w:r w:rsidRPr="000F1086">
        <w:rPr>
          <w:b/>
        </w:rPr>
        <w:t xml:space="preserve">Latvijas maksājumu bilances tekošā konta komponentes (milj. </w:t>
      </w:r>
      <w:proofErr w:type="spellStart"/>
      <w:r w:rsidRPr="000F1086">
        <w:rPr>
          <w:b/>
          <w:i/>
        </w:rPr>
        <w:t>euro</w:t>
      </w:r>
      <w:proofErr w:type="spellEnd"/>
      <w:r w:rsidRPr="000F1086">
        <w:rPr>
          <w:b/>
        </w:rPr>
        <w:t xml:space="preserve">) </w:t>
      </w:r>
      <w:r w:rsidRPr="000F1086">
        <w:rPr>
          <w:b/>
        </w:rPr>
        <w:br/>
        <w:t>un tekošais konts procentos no IKP (labā ass)</w:t>
      </w:r>
    </w:p>
    <w:p w14:paraId="7AADC058" w14:textId="77777777" w:rsidR="00C32B3C" w:rsidRDefault="00C32B3C" w:rsidP="003C29FE">
      <w:pPr>
        <w:spacing w:after="0"/>
        <w:ind w:firstLine="0"/>
        <w:jc w:val="center"/>
        <w:rPr>
          <w:color w:val="FF0000"/>
        </w:rPr>
      </w:pPr>
      <w:r>
        <w:rPr>
          <w:noProof/>
          <w:lang w:eastAsia="lv-LV"/>
        </w:rPr>
        <w:drawing>
          <wp:inline distT="0" distB="0" distL="0" distR="0" wp14:anchorId="5AAD80E3" wp14:editId="0AE5849A">
            <wp:extent cx="5681966" cy="3303905"/>
            <wp:effectExtent l="0" t="0" r="0" b="0"/>
            <wp:docPr id="27" name="Chart 27">
              <a:extLst xmlns:a="http://schemas.openxmlformats.org/drawingml/2006/main">
                <a:ext uri="{FF2B5EF4-FFF2-40B4-BE49-F238E27FC236}">
                  <a16:creationId xmlns:a16="http://schemas.microsoft.com/office/drawing/2014/main" id="{00000000-0008-0000-3000-000004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p w14:paraId="76B8E933" w14:textId="77777777" w:rsidR="00C32B3C" w:rsidRPr="00521CDD" w:rsidRDefault="00C32B3C" w:rsidP="00C32B3C">
      <w:pPr>
        <w:spacing w:before="120"/>
        <w:ind w:firstLine="720"/>
        <w:rPr>
          <w:rFonts w:eastAsia="Calibri"/>
          <w:szCs w:val="22"/>
        </w:rPr>
      </w:pPr>
      <w:r w:rsidRPr="00521CDD">
        <w:rPr>
          <w:rFonts w:eastAsia="Calibri"/>
          <w:szCs w:val="22"/>
        </w:rPr>
        <w:t xml:space="preserve">Sākotnējo ienākuma konta deficīts ir palielinājies par 383 milj. </w:t>
      </w:r>
      <w:proofErr w:type="spellStart"/>
      <w:r w:rsidRPr="00521CDD">
        <w:rPr>
          <w:rFonts w:eastAsia="Calibri"/>
          <w:i/>
          <w:szCs w:val="22"/>
        </w:rPr>
        <w:t>euro</w:t>
      </w:r>
      <w:proofErr w:type="spellEnd"/>
      <w:r w:rsidRPr="00521CDD">
        <w:rPr>
          <w:rFonts w:eastAsia="Calibri"/>
          <w:szCs w:val="22"/>
        </w:rPr>
        <w:t xml:space="preserve"> līdz 466 milj. </w:t>
      </w:r>
      <w:proofErr w:type="spellStart"/>
      <w:r w:rsidRPr="00521CDD">
        <w:rPr>
          <w:rFonts w:eastAsia="Calibri"/>
          <w:i/>
          <w:szCs w:val="22"/>
        </w:rPr>
        <w:t>euro</w:t>
      </w:r>
      <w:proofErr w:type="spellEnd"/>
      <w:r w:rsidRPr="00521CDD">
        <w:rPr>
          <w:rFonts w:eastAsia="Calibri"/>
          <w:szCs w:val="22"/>
        </w:rPr>
        <w:t>, ko galvenokārt ietekmēja lielāks izmaksāto dividenžu apjoms ārvalstu investoriem. Savukārt otrreizējo ienākumu konta pārpalikums ir samazinājies par</w:t>
      </w:r>
      <w:r>
        <w:rPr>
          <w:rFonts w:eastAsia="Calibri"/>
          <w:szCs w:val="22"/>
        </w:rPr>
        <w:t xml:space="preserve"> 103 milj. </w:t>
      </w:r>
      <w:proofErr w:type="spellStart"/>
      <w:r w:rsidRPr="00521CDD">
        <w:rPr>
          <w:rFonts w:eastAsia="Calibri"/>
          <w:i/>
          <w:szCs w:val="22"/>
        </w:rPr>
        <w:t>euro</w:t>
      </w:r>
      <w:proofErr w:type="spellEnd"/>
      <w:r w:rsidRPr="00521CDD">
        <w:rPr>
          <w:rFonts w:eastAsia="Calibri"/>
          <w:szCs w:val="22"/>
        </w:rPr>
        <w:t xml:space="preserve"> līdz 132 milj. </w:t>
      </w:r>
      <w:proofErr w:type="spellStart"/>
      <w:r w:rsidRPr="00521CDD">
        <w:rPr>
          <w:rFonts w:eastAsia="Calibri"/>
          <w:i/>
          <w:szCs w:val="22"/>
        </w:rPr>
        <w:t>euro</w:t>
      </w:r>
      <w:proofErr w:type="spellEnd"/>
      <w:r w:rsidRPr="00521CDD">
        <w:rPr>
          <w:rFonts w:eastAsia="Calibri"/>
          <w:szCs w:val="22"/>
        </w:rPr>
        <w:t>, ko negatīvi ietekmēja augstākas Latvijas iemaksas ES budžetā, kā arī mājsaimniecību un uzņēmumu augstāks kapitāla pārvedumu apjoms uz ārvalstīm.</w:t>
      </w:r>
    </w:p>
    <w:p w14:paraId="2ED745D6" w14:textId="77777777" w:rsidR="00C32B3C" w:rsidRPr="00521CDD" w:rsidRDefault="00C32B3C" w:rsidP="00C32B3C">
      <w:pPr>
        <w:spacing w:before="120"/>
        <w:ind w:firstLine="720"/>
        <w:rPr>
          <w:rFonts w:eastAsia="Calibri"/>
          <w:szCs w:val="22"/>
        </w:rPr>
      </w:pPr>
      <w:r w:rsidRPr="00521CDD">
        <w:rPr>
          <w:rFonts w:eastAsia="Calibri"/>
          <w:szCs w:val="22"/>
        </w:rPr>
        <w:t>Tekošā konta deficīts</w:t>
      </w:r>
      <w:r>
        <w:rPr>
          <w:rFonts w:eastAsia="Calibri"/>
          <w:szCs w:val="22"/>
        </w:rPr>
        <w:t xml:space="preserve"> attiecībā</w:t>
      </w:r>
      <w:r w:rsidRPr="00521CDD">
        <w:rPr>
          <w:rFonts w:eastAsia="Calibri"/>
          <w:szCs w:val="22"/>
        </w:rPr>
        <w:t xml:space="preserve"> pret iekšzemes kopproduktu </w:t>
      </w:r>
      <w:r>
        <w:rPr>
          <w:rFonts w:eastAsia="Calibri"/>
          <w:szCs w:val="22"/>
        </w:rPr>
        <w:t>šā gada</w:t>
      </w:r>
      <w:r w:rsidRPr="00521CDD">
        <w:rPr>
          <w:rFonts w:eastAsia="Calibri"/>
          <w:szCs w:val="22"/>
        </w:rPr>
        <w:t xml:space="preserve"> pirmajā pusgadā ir palielinājies līdz 4,4%</w:t>
      </w:r>
      <w:r>
        <w:rPr>
          <w:rFonts w:eastAsia="Calibri"/>
          <w:szCs w:val="22"/>
        </w:rPr>
        <w:t xml:space="preserve">. </w:t>
      </w:r>
      <w:r w:rsidRPr="00521CDD">
        <w:rPr>
          <w:rFonts w:eastAsia="Calibri"/>
          <w:szCs w:val="22"/>
        </w:rPr>
        <w:t xml:space="preserve">Sagaidāms, ka </w:t>
      </w:r>
      <w:r>
        <w:rPr>
          <w:rFonts w:eastAsia="Calibri"/>
          <w:szCs w:val="22"/>
        </w:rPr>
        <w:t>tekošā konta deficīts</w:t>
      </w:r>
      <w:r w:rsidRPr="00521CDD">
        <w:rPr>
          <w:rFonts w:eastAsia="Calibri"/>
          <w:szCs w:val="22"/>
        </w:rPr>
        <w:t xml:space="preserve"> vidēj</w:t>
      </w:r>
      <w:r>
        <w:rPr>
          <w:rFonts w:eastAsia="Calibri"/>
          <w:szCs w:val="22"/>
        </w:rPr>
        <w:t>ā</w:t>
      </w:r>
      <w:r w:rsidRPr="00521CDD">
        <w:rPr>
          <w:rFonts w:eastAsia="Calibri"/>
          <w:szCs w:val="22"/>
        </w:rPr>
        <w:t xml:space="preserve"> termiņ</w:t>
      </w:r>
      <w:r>
        <w:rPr>
          <w:rFonts w:eastAsia="Calibri"/>
          <w:szCs w:val="22"/>
        </w:rPr>
        <w:t>ā</w:t>
      </w:r>
      <w:r w:rsidRPr="00521CDD">
        <w:rPr>
          <w:rFonts w:eastAsia="Calibri"/>
          <w:szCs w:val="22"/>
        </w:rPr>
        <w:t xml:space="preserve"> mazināsies, ko noteiks pakalpojumu eksporta izaugsme un </w:t>
      </w:r>
      <w:r>
        <w:rPr>
          <w:rFonts w:eastAsia="Calibri"/>
          <w:szCs w:val="22"/>
        </w:rPr>
        <w:t xml:space="preserve">straujāka </w:t>
      </w:r>
      <w:r w:rsidRPr="00521CDD">
        <w:rPr>
          <w:rFonts w:eastAsia="Calibri"/>
          <w:szCs w:val="22"/>
        </w:rPr>
        <w:t xml:space="preserve">ES </w:t>
      </w:r>
      <w:r>
        <w:rPr>
          <w:rFonts w:eastAsia="Calibri"/>
          <w:szCs w:val="22"/>
        </w:rPr>
        <w:t xml:space="preserve">finanšu instrumentu </w:t>
      </w:r>
      <w:r w:rsidRPr="00521CDD">
        <w:rPr>
          <w:rFonts w:eastAsia="Calibri"/>
          <w:szCs w:val="22"/>
        </w:rPr>
        <w:t>ieplūde.</w:t>
      </w:r>
    </w:p>
    <w:p w14:paraId="3B860C03" w14:textId="02284139" w:rsidR="007A3A10" w:rsidRDefault="00EF1D74" w:rsidP="007A3A10">
      <w:pPr>
        <w:keepNext/>
        <w:keepLines/>
        <w:spacing w:before="240" w:after="240"/>
        <w:ind w:firstLine="0"/>
        <w:jc w:val="center"/>
        <w:outlineLvl w:val="2"/>
        <w:rPr>
          <w:b/>
          <w:bCs/>
          <w:sz w:val="32"/>
          <w:szCs w:val="32"/>
        </w:rPr>
      </w:pPr>
      <w:r w:rsidRPr="00EF1D74">
        <w:rPr>
          <w:b/>
          <w:bCs/>
          <w:sz w:val="32"/>
          <w:szCs w:val="32"/>
        </w:rPr>
        <w:t>1.2.7. Investīcijas</w:t>
      </w:r>
    </w:p>
    <w:p w14:paraId="00509D31" w14:textId="77777777" w:rsidR="0015262B" w:rsidRPr="009F0488" w:rsidRDefault="0015262B" w:rsidP="0015262B">
      <w:pPr>
        <w:spacing w:before="120"/>
        <w:ind w:firstLine="720"/>
        <w:rPr>
          <w:rFonts w:eastAsia="Calibri"/>
          <w:szCs w:val="22"/>
        </w:rPr>
      </w:pPr>
      <w:r>
        <w:rPr>
          <w:rFonts w:eastAsia="Calibri"/>
          <w:szCs w:val="22"/>
        </w:rPr>
        <w:t>Neskatoties uz</w:t>
      </w:r>
      <w:r w:rsidRPr="009F0488">
        <w:rPr>
          <w:rFonts w:eastAsia="Calibri"/>
          <w:szCs w:val="22"/>
        </w:rPr>
        <w:t xml:space="preserve"> ekonomiskās aktivitātes kritum</w:t>
      </w:r>
      <w:r>
        <w:rPr>
          <w:rFonts w:eastAsia="Calibri"/>
          <w:szCs w:val="22"/>
        </w:rPr>
        <w:t>u</w:t>
      </w:r>
      <w:r w:rsidRPr="009F0488">
        <w:rPr>
          <w:rFonts w:eastAsia="Calibri"/>
          <w:szCs w:val="22"/>
        </w:rPr>
        <w:t xml:space="preserve"> 2020</w:t>
      </w:r>
      <w:r>
        <w:rPr>
          <w:rFonts w:eastAsia="Calibri"/>
          <w:szCs w:val="22"/>
        </w:rPr>
        <w:t>. gad</w:t>
      </w:r>
      <w:r w:rsidRPr="009F0488">
        <w:rPr>
          <w:rFonts w:eastAsia="Calibri"/>
          <w:szCs w:val="22"/>
        </w:rPr>
        <w:t xml:space="preserve">ā, investīciju apjoms Latvijā ir nedaudz palielinājies. Bruto pamatkapitāla veidošana pērn bija 6281 milj. </w:t>
      </w:r>
      <w:proofErr w:type="spellStart"/>
      <w:r w:rsidRPr="009F0488">
        <w:rPr>
          <w:rFonts w:eastAsia="Calibri"/>
          <w:i/>
          <w:szCs w:val="22"/>
        </w:rPr>
        <w:t>euro</w:t>
      </w:r>
      <w:proofErr w:type="spellEnd"/>
      <w:r w:rsidRPr="009F0488">
        <w:rPr>
          <w:rFonts w:eastAsia="Calibri"/>
          <w:szCs w:val="22"/>
        </w:rPr>
        <w:t xml:space="preserve"> apmērā, kas salīdzināmajās cenās bija par 0,2% vairāk nekā 2019</w:t>
      </w:r>
      <w:r>
        <w:rPr>
          <w:rFonts w:eastAsia="Calibri"/>
          <w:szCs w:val="22"/>
        </w:rPr>
        <w:t>. gad</w:t>
      </w:r>
      <w:r w:rsidRPr="009F0488">
        <w:rPr>
          <w:rFonts w:eastAsia="Calibri"/>
          <w:szCs w:val="22"/>
        </w:rPr>
        <w:t>ā. Tādējādi Covid-19 krīzes negatīvā ietekme uz investīciju aktivitāti bija būtiski mazāka nekā uz privāto patēriņu vai ārējo tirdzniecību.</w:t>
      </w:r>
    </w:p>
    <w:p w14:paraId="2FAB11F4" w14:textId="77777777" w:rsidR="0015262B" w:rsidRPr="009F0488" w:rsidRDefault="0015262B" w:rsidP="0015262B">
      <w:pPr>
        <w:spacing w:before="120"/>
        <w:ind w:firstLine="720"/>
        <w:rPr>
          <w:rFonts w:eastAsia="Calibri"/>
          <w:szCs w:val="22"/>
        </w:rPr>
      </w:pPr>
      <w:r w:rsidRPr="009F0488">
        <w:rPr>
          <w:rFonts w:eastAsia="Calibri"/>
          <w:szCs w:val="22"/>
        </w:rPr>
        <w:t>Investīciju apjoms Latvijā 2020</w:t>
      </w:r>
      <w:r>
        <w:rPr>
          <w:rFonts w:eastAsia="Calibri"/>
          <w:szCs w:val="22"/>
        </w:rPr>
        <w:t>. gad</w:t>
      </w:r>
      <w:r w:rsidRPr="009F0488">
        <w:rPr>
          <w:rFonts w:eastAsia="Calibri"/>
          <w:szCs w:val="22"/>
        </w:rPr>
        <w:t>ā bija noturīgs arī uz ES kopējā fona. ES investīcijas pērn samazinājās vidēji par 6,5%, un tikai četrām ES dalībvalstīm, proti,  Dānijai, Igaunij</w:t>
      </w:r>
      <w:r>
        <w:rPr>
          <w:rFonts w:eastAsia="Calibri"/>
          <w:szCs w:val="22"/>
        </w:rPr>
        <w:t xml:space="preserve">ai, Rumānijai, kā arī Latvijai </w:t>
      </w:r>
      <w:r w:rsidRPr="009F0488">
        <w:rPr>
          <w:rFonts w:eastAsia="Calibri"/>
          <w:szCs w:val="22"/>
        </w:rPr>
        <w:t>investīciju apjoms bija augošs. Pandēmijas laikā investīciju vide visās ES dalībvalstīs ir būtiski pasliktinājusies, jo uzņēmēju vēlme veikt jaunas investīcijas</w:t>
      </w:r>
      <w:r>
        <w:rPr>
          <w:rFonts w:eastAsia="Calibri"/>
          <w:szCs w:val="22"/>
        </w:rPr>
        <w:t xml:space="preserve"> un</w:t>
      </w:r>
      <w:r w:rsidRPr="009F0488">
        <w:rPr>
          <w:rFonts w:eastAsia="Calibri"/>
          <w:szCs w:val="22"/>
        </w:rPr>
        <w:t xml:space="preserve"> attīstīt jaunus projektus bija zema saistībā ar nenoteiktību par ieviesto ierobežojumu ilgumu, praktiski aptur</w:t>
      </w:r>
      <w:r>
        <w:rPr>
          <w:rFonts w:eastAsia="Calibri"/>
          <w:szCs w:val="22"/>
        </w:rPr>
        <w:t>ot</w:t>
      </w:r>
      <w:r w:rsidRPr="009F0488">
        <w:rPr>
          <w:rFonts w:eastAsia="Calibri"/>
          <w:szCs w:val="22"/>
        </w:rPr>
        <w:t xml:space="preserve"> atsevišķu nozaru, kā piemēram, izmitināšanas, ēdināšanas, pasažieru pārvadājumu darbību. Šādos apstākļos palielinājās valdības loma investīciju veikšanā tautsaimniecībā. Vispārējās valdības investīciju apjoms ES 2020</w:t>
      </w:r>
      <w:r>
        <w:rPr>
          <w:rFonts w:eastAsia="Calibri"/>
          <w:szCs w:val="22"/>
        </w:rPr>
        <w:t>. gad</w:t>
      </w:r>
      <w:r w:rsidRPr="009F0488">
        <w:rPr>
          <w:rFonts w:eastAsia="Calibri"/>
          <w:szCs w:val="22"/>
        </w:rPr>
        <w:t>ā palielinājās vidēji par 4,0%. Savukārt</w:t>
      </w:r>
      <w:r>
        <w:rPr>
          <w:rFonts w:eastAsia="Calibri"/>
          <w:szCs w:val="22"/>
        </w:rPr>
        <w:t>,</w:t>
      </w:r>
      <w:r w:rsidRPr="009F0488">
        <w:rPr>
          <w:rFonts w:eastAsia="Calibri"/>
          <w:szCs w:val="22"/>
        </w:rPr>
        <w:t xml:space="preserve"> Latvijā vispārējās valdības investīcijas pieauga par 8,3%, palielinot to īpatsvaru kopējās investīcijās no 22,6% 2019</w:t>
      </w:r>
      <w:r>
        <w:rPr>
          <w:rFonts w:eastAsia="Calibri"/>
          <w:szCs w:val="22"/>
        </w:rPr>
        <w:t>. gad</w:t>
      </w:r>
      <w:r w:rsidRPr="009F0488">
        <w:rPr>
          <w:rFonts w:eastAsia="Calibri"/>
          <w:szCs w:val="22"/>
        </w:rPr>
        <w:t>ā līdz 24,1% 2020</w:t>
      </w:r>
      <w:r>
        <w:rPr>
          <w:rFonts w:eastAsia="Calibri"/>
          <w:szCs w:val="22"/>
        </w:rPr>
        <w:t>. gad</w:t>
      </w:r>
      <w:r w:rsidRPr="009F0488">
        <w:rPr>
          <w:rFonts w:eastAsia="Calibri"/>
          <w:szCs w:val="22"/>
        </w:rPr>
        <w:t>ā. Savukārt</w:t>
      </w:r>
      <w:r>
        <w:rPr>
          <w:rFonts w:eastAsia="Calibri"/>
          <w:szCs w:val="22"/>
        </w:rPr>
        <w:t>,</w:t>
      </w:r>
      <w:r w:rsidRPr="009F0488">
        <w:rPr>
          <w:rFonts w:eastAsia="Calibri"/>
          <w:szCs w:val="22"/>
        </w:rPr>
        <w:t xml:space="preserve"> kopējais investīciju </w:t>
      </w:r>
      <w:r>
        <w:rPr>
          <w:rFonts w:eastAsia="Calibri"/>
          <w:szCs w:val="22"/>
        </w:rPr>
        <w:t>īpatsvars</w:t>
      </w:r>
      <w:r w:rsidRPr="009F0488">
        <w:rPr>
          <w:rFonts w:eastAsia="Calibri"/>
          <w:szCs w:val="22"/>
        </w:rPr>
        <w:t xml:space="preserve"> iekšzemes kopproduktā 2020</w:t>
      </w:r>
      <w:r>
        <w:rPr>
          <w:rFonts w:eastAsia="Calibri"/>
          <w:szCs w:val="22"/>
        </w:rPr>
        <w:t>. gad</w:t>
      </w:r>
      <w:r w:rsidRPr="009F0488">
        <w:rPr>
          <w:rFonts w:eastAsia="Calibri"/>
          <w:szCs w:val="22"/>
        </w:rPr>
        <w:t xml:space="preserve">ā </w:t>
      </w:r>
      <w:r>
        <w:rPr>
          <w:rFonts w:eastAsia="Calibri"/>
          <w:szCs w:val="22"/>
        </w:rPr>
        <w:t xml:space="preserve">ir </w:t>
      </w:r>
      <w:r w:rsidRPr="009F0488">
        <w:rPr>
          <w:rFonts w:eastAsia="Calibri"/>
          <w:szCs w:val="22"/>
        </w:rPr>
        <w:t>palielinājies par 1 procentpunktu līdz 23,7%.</w:t>
      </w:r>
    </w:p>
    <w:p w14:paraId="50DC9D7A" w14:textId="77777777" w:rsidR="0015262B" w:rsidRPr="009F0488" w:rsidRDefault="0015262B" w:rsidP="0015262B">
      <w:pPr>
        <w:spacing w:before="120"/>
        <w:ind w:firstLine="720"/>
        <w:rPr>
          <w:rFonts w:eastAsia="Calibri"/>
          <w:szCs w:val="22"/>
        </w:rPr>
      </w:pPr>
      <w:r w:rsidRPr="009F0488">
        <w:rPr>
          <w:rFonts w:eastAsia="Calibri"/>
          <w:szCs w:val="22"/>
        </w:rPr>
        <w:lastRenderedPageBreak/>
        <w:t>Investīciju apjoma izmaiņas 2020</w:t>
      </w:r>
      <w:r>
        <w:rPr>
          <w:rFonts w:eastAsia="Calibri"/>
          <w:szCs w:val="22"/>
        </w:rPr>
        <w:t>. gad</w:t>
      </w:r>
      <w:r w:rsidRPr="009F0488">
        <w:rPr>
          <w:rFonts w:eastAsia="Calibri"/>
          <w:szCs w:val="22"/>
        </w:rPr>
        <w:t xml:space="preserve">ā Latvijā pa ceturkšņiem ir atšķirīgas. </w:t>
      </w:r>
      <w:r>
        <w:rPr>
          <w:rFonts w:eastAsia="Calibri"/>
          <w:szCs w:val="22"/>
        </w:rPr>
        <w:t>P</w:t>
      </w:r>
      <w:r w:rsidRPr="009F0488">
        <w:rPr>
          <w:rFonts w:eastAsia="Calibri"/>
          <w:szCs w:val="22"/>
        </w:rPr>
        <w:t xml:space="preserve">ērnā gada </w:t>
      </w:r>
      <w:r>
        <w:rPr>
          <w:rFonts w:eastAsia="Calibri"/>
          <w:szCs w:val="22"/>
        </w:rPr>
        <w:t xml:space="preserve">pirmajā </w:t>
      </w:r>
      <w:r w:rsidRPr="009F0488">
        <w:rPr>
          <w:rFonts w:eastAsia="Calibri"/>
          <w:szCs w:val="22"/>
        </w:rPr>
        <w:t xml:space="preserve">ceturksnī, kad pandēmija vēl nebija </w:t>
      </w:r>
      <w:proofErr w:type="spellStart"/>
      <w:r w:rsidRPr="009F0488">
        <w:rPr>
          <w:rFonts w:eastAsia="Calibri"/>
          <w:szCs w:val="22"/>
        </w:rPr>
        <w:t>skārusi</w:t>
      </w:r>
      <w:proofErr w:type="spellEnd"/>
      <w:r w:rsidRPr="009F0488">
        <w:rPr>
          <w:rFonts w:eastAsia="Calibri"/>
          <w:szCs w:val="22"/>
        </w:rPr>
        <w:t xml:space="preserve"> Latviju, investīcijas salīdzinājumā ar iepriekšējā gada attiecīgo </w:t>
      </w:r>
      <w:r>
        <w:rPr>
          <w:rFonts w:eastAsia="Calibri"/>
          <w:szCs w:val="22"/>
        </w:rPr>
        <w:t>periodu palielinājās par 4,6%, bet</w:t>
      </w:r>
      <w:r w:rsidRPr="009F0488">
        <w:rPr>
          <w:rFonts w:eastAsia="Calibri"/>
          <w:szCs w:val="22"/>
        </w:rPr>
        <w:t xml:space="preserve"> jau 2020</w:t>
      </w:r>
      <w:r>
        <w:rPr>
          <w:rFonts w:eastAsia="Calibri"/>
          <w:szCs w:val="22"/>
        </w:rPr>
        <w:t>. gada otrajā ceturksnī –</w:t>
      </w:r>
      <w:r w:rsidRPr="009F0488">
        <w:rPr>
          <w:rFonts w:eastAsia="Calibri"/>
          <w:szCs w:val="22"/>
        </w:rPr>
        <w:t xml:space="preserve"> pa</w:t>
      </w:r>
      <w:r>
        <w:rPr>
          <w:rFonts w:eastAsia="Calibri"/>
          <w:szCs w:val="22"/>
        </w:rPr>
        <w:t xml:space="preserve">ndēmijas sākumā, </w:t>
      </w:r>
      <w:r w:rsidRPr="009F0488">
        <w:rPr>
          <w:rFonts w:eastAsia="Calibri"/>
          <w:szCs w:val="22"/>
        </w:rPr>
        <w:t>kad, pastāvot lielai nenoteiktībai, būtiski pasliktinājās uzņēmumu noskaņojums, tika fiksēts investīciju kritums par 4,8%. Situācijai stabilizējoties un mēreni palielinoties ekonomiskajai aktivitātei, trešajā ceturksnī investīcijas samazinājās vien par 0,9%, bet jau ceturtajā ceturksnī atsākās investīciju kāpums, un bruto pamatkapitāla veidošanas apjoms bija par 2,6% lielāks nekā 2019</w:t>
      </w:r>
      <w:r>
        <w:rPr>
          <w:rFonts w:eastAsia="Calibri"/>
          <w:szCs w:val="22"/>
        </w:rPr>
        <w:t>. gad</w:t>
      </w:r>
      <w:r w:rsidRPr="009F0488">
        <w:rPr>
          <w:rFonts w:eastAsia="Calibri"/>
          <w:szCs w:val="22"/>
        </w:rPr>
        <w:t>a ceturtajā ceturksnī.</w:t>
      </w:r>
    </w:p>
    <w:p w14:paraId="3A921F65" w14:textId="77777777" w:rsidR="0015262B" w:rsidRPr="009F0488" w:rsidRDefault="0015262B" w:rsidP="0015262B">
      <w:pPr>
        <w:spacing w:before="120"/>
        <w:ind w:firstLine="720"/>
        <w:rPr>
          <w:rFonts w:eastAsia="Calibri"/>
          <w:szCs w:val="22"/>
        </w:rPr>
      </w:pPr>
      <w:r w:rsidRPr="009F0488">
        <w:rPr>
          <w:rFonts w:eastAsia="Calibri"/>
          <w:szCs w:val="22"/>
        </w:rPr>
        <w:t>2021</w:t>
      </w:r>
      <w:r>
        <w:rPr>
          <w:rFonts w:eastAsia="Calibri"/>
          <w:szCs w:val="22"/>
        </w:rPr>
        <w:t>. gad</w:t>
      </w:r>
      <w:r w:rsidRPr="009F0488">
        <w:rPr>
          <w:rFonts w:eastAsia="Calibri"/>
          <w:szCs w:val="22"/>
        </w:rPr>
        <w:t xml:space="preserve">a pirmajā ceturksnī investīciju apjoms </w:t>
      </w:r>
      <w:r>
        <w:rPr>
          <w:rFonts w:eastAsia="Calibri"/>
          <w:szCs w:val="22"/>
        </w:rPr>
        <w:t xml:space="preserve">saruka </w:t>
      </w:r>
      <w:r w:rsidRPr="009F0488">
        <w:rPr>
          <w:rFonts w:eastAsia="Calibri"/>
          <w:szCs w:val="22"/>
        </w:rPr>
        <w:t>par 4,5%, ko</w:t>
      </w:r>
      <w:r>
        <w:rPr>
          <w:rFonts w:eastAsia="Calibri"/>
          <w:szCs w:val="22"/>
        </w:rPr>
        <w:t xml:space="preserve"> noteica investīciju kritums ēkās un būvēs. Savukārt</w:t>
      </w:r>
      <w:r w:rsidRPr="009F0488">
        <w:rPr>
          <w:rFonts w:eastAsia="Calibri"/>
          <w:szCs w:val="22"/>
        </w:rPr>
        <w:t xml:space="preserve"> </w:t>
      </w:r>
      <w:r>
        <w:rPr>
          <w:rFonts w:eastAsia="Calibri"/>
          <w:szCs w:val="22"/>
        </w:rPr>
        <w:t>šā gada</w:t>
      </w:r>
      <w:r w:rsidRPr="009F0488">
        <w:rPr>
          <w:rFonts w:eastAsia="Calibri"/>
          <w:szCs w:val="22"/>
        </w:rPr>
        <w:t xml:space="preserve"> otrajā ceturksnī kopēj</w:t>
      </w:r>
      <w:r>
        <w:rPr>
          <w:rFonts w:eastAsia="Calibri"/>
          <w:szCs w:val="22"/>
        </w:rPr>
        <w:t>ā</w:t>
      </w:r>
      <w:r w:rsidRPr="009F0488">
        <w:rPr>
          <w:rFonts w:eastAsia="Calibri"/>
          <w:szCs w:val="22"/>
        </w:rPr>
        <w:t>s investīcijas gada izteiksmē palielinājās par 11,2%, ko lielā mērā veicināj</w:t>
      </w:r>
      <w:r>
        <w:rPr>
          <w:rFonts w:eastAsia="Calibri"/>
          <w:szCs w:val="22"/>
        </w:rPr>
        <w:t>a augstākas investīcijas iekārtā</w:t>
      </w:r>
      <w:r w:rsidRPr="009F0488">
        <w:rPr>
          <w:rFonts w:eastAsia="Calibri"/>
          <w:szCs w:val="22"/>
        </w:rPr>
        <w:t>s un mašīn</w:t>
      </w:r>
      <w:r>
        <w:rPr>
          <w:rFonts w:eastAsia="Calibri"/>
          <w:szCs w:val="22"/>
        </w:rPr>
        <w:t>ā</w:t>
      </w:r>
      <w:r w:rsidRPr="009F0488">
        <w:rPr>
          <w:rFonts w:eastAsia="Calibri"/>
          <w:szCs w:val="22"/>
        </w:rPr>
        <w:t>s, kā arī intelektuālajā īpašumā. Kopumā 2021</w:t>
      </w:r>
      <w:r>
        <w:rPr>
          <w:rFonts w:eastAsia="Calibri"/>
          <w:szCs w:val="22"/>
        </w:rPr>
        <w:t>. gada</w:t>
      </w:r>
      <w:r w:rsidRPr="009F0488">
        <w:rPr>
          <w:rFonts w:eastAsia="Calibri"/>
          <w:szCs w:val="22"/>
        </w:rPr>
        <w:t xml:space="preserve"> p</w:t>
      </w:r>
      <w:r>
        <w:rPr>
          <w:rFonts w:eastAsia="Calibri"/>
          <w:szCs w:val="22"/>
        </w:rPr>
        <w:t>irmajā pusē investīcijas</w:t>
      </w:r>
      <w:r w:rsidRPr="009F0488">
        <w:rPr>
          <w:rFonts w:eastAsia="Calibri"/>
          <w:szCs w:val="22"/>
        </w:rPr>
        <w:t xml:space="preserve"> veidoja 2733 milj. </w:t>
      </w:r>
      <w:proofErr w:type="spellStart"/>
      <w:r w:rsidRPr="002427FE">
        <w:rPr>
          <w:rFonts w:eastAsia="Calibri"/>
          <w:i/>
          <w:szCs w:val="22"/>
        </w:rPr>
        <w:t>euro</w:t>
      </w:r>
      <w:proofErr w:type="spellEnd"/>
      <w:r w:rsidRPr="009F0488">
        <w:rPr>
          <w:rFonts w:eastAsia="Calibri"/>
          <w:szCs w:val="22"/>
        </w:rPr>
        <w:t xml:space="preserve"> </w:t>
      </w:r>
      <w:r>
        <w:rPr>
          <w:rFonts w:eastAsia="Calibri"/>
          <w:szCs w:val="22"/>
        </w:rPr>
        <w:t xml:space="preserve">jeb </w:t>
      </w:r>
      <w:r w:rsidRPr="009F0488">
        <w:rPr>
          <w:rFonts w:eastAsia="Calibri"/>
          <w:szCs w:val="22"/>
        </w:rPr>
        <w:t>par 4,0% vairāk nekā pērnā gada attiecīgajā periodā.</w:t>
      </w:r>
    </w:p>
    <w:p w14:paraId="12CB49E0" w14:textId="77777777" w:rsidR="0015262B" w:rsidRDefault="0015262B" w:rsidP="0015262B">
      <w:pPr>
        <w:spacing w:before="120"/>
        <w:ind w:firstLine="720"/>
        <w:rPr>
          <w:rFonts w:eastAsia="Calibri"/>
          <w:szCs w:val="22"/>
        </w:rPr>
      </w:pPr>
      <w:r w:rsidRPr="009F0488">
        <w:rPr>
          <w:rFonts w:eastAsia="Calibri"/>
          <w:szCs w:val="22"/>
        </w:rPr>
        <w:t>Investīcijām ie</w:t>
      </w:r>
      <w:r>
        <w:rPr>
          <w:rFonts w:eastAsia="Calibri"/>
          <w:szCs w:val="22"/>
        </w:rPr>
        <w:t>kārtās un mašīnās bija noteicošā</w:t>
      </w:r>
      <w:r w:rsidRPr="009F0488">
        <w:rPr>
          <w:rFonts w:eastAsia="Calibri"/>
          <w:szCs w:val="22"/>
        </w:rPr>
        <w:t xml:space="preserve"> lomā kopējo investīciju pieaugumā </w:t>
      </w:r>
      <w:r>
        <w:rPr>
          <w:rFonts w:eastAsia="Calibri"/>
          <w:szCs w:val="22"/>
        </w:rPr>
        <w:t>šā gada</w:t>
      </w:r>
      <w:r w:rsidRPr="009F0488">
        <w:rPr>
          <w:rFonts w:eastAsia="Calibri"/>
          <w:szCs w:val="22"/>
        </w:rPr>
        <w:t xml:space="preserve"> pirmajā pusgadā. </w:t>
      </w:r>
      <w:r>
        <w:rPr>
          <w:rFonts w:eastAsia="Calibri"/>
          <w:szCs w:val="22"/>
        </w:rPr>
        <w:t>Šo investīciju apjoms palielinājā</w:t>
      </w:r>
      <w:r w:rsidRPr="009F0488">
        <w:rPr>
          <w:rFonts w:eastAsia="Calibri"/>
          <w:szCs w:val="22"/>
        </w:rPr>
        <w:t xml:space="preserve">s par 16,4% un veidoja 42,3% no kopējām investīcijām. Samērā straujais pieaugums ir atspoguļojies arī importa datos, jo </w:t>
      </w:r>
      <w:proofErr w:type="spellStart"/>
      <w:r w:rsidRPr="009F0488">
        <w:rPr>
          <w:rFonts w:eastAsia="Calibri"/>
          <w:szCs w:val="22"/>
        </w:rPr>
        <w:t>kapitālpreču</w:t>
      </w:r>
      <w:proofErr w:type="spellEnd"/>
      <w:r w:rsidRPr="009F0488">
        <w:rPr>
          <w:rFonts w:eastAsia="Calibri"/>
          <w:szCs w:val="22"/>
        </w:rPr>
        <w:t xml:space="preserve"> importa vērtība, kas atspoguļo ieguldījumus iekārt</w:t>
      </w:r>
      <w:r>
        <w:rPr>
          <w:rFonts w:eastAsia="Calibri"/>
          <w:szCs w:val="22"/>
        </w:rPr>
        <w:t>ā</w:t>
      </w:r>
      <w:r w:rsidRPr="009F0488">
        <w:rPr>
          <w:rFonts w:eastAsia="Calibri"/>
          <w:szCs w:val="22"/>
        </w:rPr>
        <w:t>s un mašīnās, attiecīgajā laik</w:t>
      </w:r>
      <w:r>
        <w:rPr>
          <w:rFonts w:eastAsia="Calibri"/>
          <w:szCs w:val="22"/>
        </w:rPr>
        <w:t>a</w:t>
      </w:r>
      <w:r w:rsidRPr="009F0488">
        <w:rPr>
          <w:rFonts w:eastAsia="Calibri"/>
          <w:szCs w:val="22"/>
        </w:rPr>
        <w:t xml:space="preserve"> periodā </w:t>
      </w:r>
      <w:r>
        <w:rPr>
          <w:rFonts w:eastAsia="Calibri"/>
          <w:szCs w:val="22"/>
        </w:rPr>
        <w:t>arī strauji palielinājās</w:t>
      </w:r>
      <w:r w:rsidRPr="009F0488">
        <w:rPr>
          <w:rFonts w:eastAsia="Calibri"/>
          <w:szCs w:val="22"/>
        </w:rPr>
        <w:t xml:space="preserve">, pieaugot par 33,0% faktiskajās cenās. Jāatzīmē, ka pirms pandēmijas investīciju apjoms šajos pamatlīdzekļos bija augošs, tomēr </w:t>
      </w:r>
      <w:r>
        <w:rPr>
          <w:rFonts w:eastAsia="Calibri"/>
          <w:szCs w:val="22"/>
        </w:rPr>
        <w:t>ne</w:t>
      </w:r>
      <w:r w:rsidRPr="009F0488">
        <w:rPr>
          <w:rFonts w:eastAsia="Calibri"/>
          <w:szCs w:val="22"/>
        </w:rPr>
        <w:t>pietiekošs, lai spētu būtiski veicināt un nodrošināt produktivitātes pieaugumu un inovāciju ieviešanu. Tād</w:t>
      </w:r>
      <w:r>
        <w:rPr>
          <w:rFonts w:eastAsia="Calibri"/>
          <w:szCs w:val="22"/>
        </w:rPr>
        <w:t>ējādi, pozitīvi ir vērtējams</w:t>
      </w:r>
      <w:r w:rsidRPr="009F0488">
        <w:rPr>
          <w:rFonts w:eastAsia="Calibri"/>
          <w:szCs w:val="22"/>
        </w:rPr>
        <w:t xml:space="preserve"> fakts, ka </w:t>
      </w:r>
      <w:r>
        <w:rPr>
          <w:rFonts w:eastAsia="Calibri"/>
          <w:szCs w:val="22"/>
        </w:rPr>
        <w:t>tieši ieguldījumiem iekārtās un mašīnās bija galvenā</w:t>
      </w:r>
      <w:r w:rsidRPr="009F0488">
        <w:rPr>
          <w:rFonts w:eastAsia="Calibri"/>
          <w:szCs w:val="22"/>
        </w:rPr>
        <w:t xml:space="preserve"> lom</w:t>
      </w:r>
      <w:r>
        <w:rPr>
          <w:rFonts w:eastAsia="Calibri"/>
          <w:szCs w:val="22"/>
        </w:rPr>
        <w:t>a</w:t>
      </w:r>
      <w:r w:rsidRPr="009F0488">
        <w:rPr>
          <w:rFonts w:eastAsia="Calibri"/>
          <w:szCs w:val="22"/>
        </w:rPr>
        <w:t xml:space="preserve"> investīciju kāpumā.</w:t>
      </w:r>
    </w:p>
    <w:p w14:paraId="1BDDC43C" w14:textId="77777777" w:rsidR="0015262B" w:rsidRPr="009F0488" w:rsidRDefault="0015262B" w:rsidP="0015262B">
      <w:pPr>
        <w:spacing w:before="120"/>
        <w:ind w:firstLine="720"/>
        <w:rPr>
          <w:rFonts w:eastAsia="Calibri"/>
          <w:szCs w:val="22"/>
        </w:rPr>
      </w:pPr>
      <w:r w:rsidRPr="009F0488">
        <w:rPr>
          <w:rFonts w:eastAsia="Calibri"/>
          <w:szCs w:val="22"/>
        </w:rPr>
        <w:t>Vienlaicīgi, aktuālākie apstrādes rūpniecības nozarē strādājošo uzņēmēju aptaujas dati par investīcijas ietekmējošiem faktoriem rāda, ka 56% no plānotajām investīcijām 2021</w:t>
      </w:r>
      <w:r>
        <w:rPr>
          <w:rFonts w:eastAsia="Calibri"/>
          <w:szCs w:val="22"/>
        </w:rPr>
        <w:t>. gad</w:t>
      </w:r>
      <w:r w:rsidRPr="009F0488">
        <w:rPr>
          <w:rFonts w:eastAsia="Calibri"/>
          <w:szCs w:val="22"/>
        </w:rPr>
        <w:t xml:space="preserve">ā būs vērstas uz veco iekārtu aizvietošanu un ražošanas procesu optimizāciju, un tikai 30% uz ražošanas paplašināšanu. Visticamāk, ka pandēmijas dēļ uzņēmumi joprojām ir piesardzīgi </w:t>
      </w:r>
      <w:r>
        <w:rPr>
          <w:rFonts w:eastAsia="Calibri"/>
          <w:szCs w:val="22"/>
        </w:rPr>
        <w:t xml:space="preserve">attiecībā uz </w:t>
      </w:r>
      <w:r w:rsidRPr="009F0488">
        <w:rPr>
          <w:rFonts w:eastAsia="Calibri"/>
          <w:szCs w:val="22"/>
        </w:rPr>
        <w:t xml:space="preserve">jaunu projektu īstenošanu, tāpēc </w:t>
      </w:r>
      <w:r>
        <w:rPr>
          <w:rFonts w:eastAsia="Calibri"/>
          <w:szCs w:val="22"/>
        </w:rPr>
        <w:t xml:space="preserve">ražošanas </w:t>
      </w:r>
      <w:r w:rsidRPr="009F0488">
        <w:rPr>
          <w:rFonts w:eastAsia="Calibri"/>
          <w:szCs w:val="22"/>
        </w:rPr>
        <w:t xml:space="preserve">paplašināšanai </w:t>
      </w:r>
      <w:proofErr w:type="spellStart"/>
      <w:r w:rsidRPr="009F0488">
        <w:rPr>
          <w:rFonts w:eastAsia="Calibri"/>
          <w:szCs w:val="22"/>
        </w:rPr>
        <w:t>atvēl</w:t>
      </w:r>
      <w:proofErr w:type="spellEnd"/>
      <w:r w:rsidRPr="009F0488">
        <w:rPr>
          <w:rFonts w:eastAsia="Calibri"/>
          <w:szCs w:val="22"/>
        </w:rPr>
        <w:t xml:space="preserve"> mazāk nekā trešo daļu no plānotajām investīcijām.</w:t>
      </w:r>
    </w:p>
    <w:p w14:paraId="25BDEB92" w14:textId="221CAF96" w:rsidR="0015262B" w:rsidRDefault="0015262B" w:rsidP="0015262B">
      <w:pPr>
        <w:spacing w:before="120"/>
        <w:ind w:firstLine="720"/>
        <w:rPr>
          <w:rFonts w:eastAsia="Calibri"/>
          <w:szCs w:val="22"/>
        </w:rPr>
      </w:pPr>
      <w:r w:rsidRPr="009F0488">
        <w:rPr>
          <w:rFonts w:eastAsia="Calibri"/>
          <w:szCs w:val="22"/>
        </w:rPr>
        <w:t>Neskatoties uz to, ka investīcijas biroju, mājokļu, noliktavu un citu ēku būvniecībā, kā arī jau esošo ēku un būvju renovācijā 2021</w:t>
      </w:r>
      <w:r>
        <w:rPr>
          <w:rFonts w:eastAsia="Calibri"/>
          <w:szCs w:val="22"/>
        </w:rPr>
        <w:t>. gad</w:t>
      </w:r>
      <w:r w:rsidRPr="009F0488">
        <w:rPr>
          <w:rFonts w:eastAsia="Calibri"/>
          <w:szCs w:val="22"/>
        </w:rPr>
        <w:t xml:space="preserve">a pirmajā </w:t>
      </w:r>
      <w:r>
        <w:rPr>
          <w:rFonts w:eastAsia="Calibri"/>
          <w:szCs w:val="22"/>
        </w:rPr>
        <w:t>pusgadā samazinājās par 5,6%, tā</w:t>
      </w:r>
      <w:r w:rsidRPr="009F0488">
        <w:rPr>
          <w:rFonts w:eastAsia="Calibri"/>
          <w:szCs w:val="22"/>
        </w:rPr>
        <w:t xml:space="preserve">s joprojām saglabājas kā galvenais investīciju veids. </w:t>
      </w:r>
      <w:r>
        <w:rPr>
          <w:rFonts w:eastAsia="Calibri"/>
          <w:szCs w:val="22"/>
        </w:rPr>
        <w:t>Šā gada</w:t>
      </w:r>
      <w:r w:rsidRPr="009F0488">
        <w:rPr>
          <w:rFonts w:eastAsia="Calibri"/>
          <w:szCs w:val="22"/>
        </w:rPr>
        <w:t xml:space="preserve"> pirmajā pusē investīcijas ēkās un būvēs veidoja 1288 milj. </w:t>
      </w:r>
      <w:proofErr w:type="spellStart"/>
      <w:r w:rsidRPr="00FE4D0A">
        <w:rPr>
          <w:rFonts w:eastAsia="Calibri"/>
          <w:i/>
          <w:szCs w:val="22"/>
        </w:rPr>
        <w:t>euro</w:t>
      </w:r>
      <w:proofErr w:type="spellEnd"/>
      <w:r>
        <w:rPr>
          <w:rFonts w:eastAsia="Calibri"/>
          <w:szCs w:val="22"/>
        </w:rPr>
        <w:t xml:space="preserve"> </w:t>
      </w:r>
      <w:r w:rsidRPr="009F0488">
        <w:rPr>
          <w:rFonts w:eastAsia="Calibri"/>
          <w:szCs w:val="22"/>
        </w:rPr>
        <w:t xml:space="preserve">jeb 47,1% no kopējām investīcijām. Investīciju kritumu noteica mazāka aktivitāte būvniecības nozarē. Būvniecības produkcijas apjoms </w:t>
      </w:r>
      <w:r>
        <w:rPr>
          <w:rFonts w:eastAsia="Calibri"/>
          <w:szCs w:val="22"/>
        </w:rPr>
        <w:t>salīdzināmās cenās šā gada</w:t>
      </w:r>
      <w:r w:rsidRPr="009F0488">
        <w:rPr>
          <w:rFonts w:eastAsia="Calibri"/>
          <w:szCs w:val="22"/>
        </w:rPr>
        <w:t xml:space="preserve"> pirmajā pusē samazinājās par </w:t>
      </w:r>
      <w:r>
        <w:rPr>
          <w:rFonts w:eastAsia="Calibri"/>
          <w:szCs w:val="22"/>
        </w:rPr>
        <w:t>4,7</w:t>
      </w:r>
      <w:r w:rsidRPr="009F0488">
        <w:rPr>
          <w:rFonts w:eastAsia="Calibri"/>
          <w:szCs w:val="22"/>
        </w:rPr>
        <w:t>% salīdzinājumā ar iepriekšējā gada attiecīgo periodu. Ceturkšņ</w:t>
      </w:r>
      <w:r>
        <w:rPr>
          <w:rFonts w:eastAsia="Calibri"/>
          <w:szCs w:val="22"/>
        </w:rPr>
        <w:t>u</w:t>
      </w:r>
      <w:r w:rsidRPr="009F0488">
        <w:rPr>
          <w:rFonts w:eastAsia="Calibri"/>
          <w:szCs w:val="22"/>
        </w:rPr>
        <w:t xml:space="preserve"> dati liecina, ka būvniecības produkcijas apjoms pirmajā ceturksnī </w:t>
      </w:r>
      <w:r>
        <w:rPr>
          <w:rFonts w:eastAsia="Calibri"/>
          <w:szCs w:val="22"/>
        </w:rPr>
        <w:t xml:space="preserve">ir </w:t>
      </w:r>
      <w:r w:rsidRPr="009F0488">
        <w:rPr>
          <w:rFonts w:eastAsia="Calibri"/>
          <w:szCs w:val="22"/>
        </w:rPr>
        <w:t>samazināji</w:t>
      </w:r>
      <w:r>
        <w:rPr>
          <w:rFonts w:eastAsia="Calibri"/>
          <w:szCs w:val="22"/>
        </w:rPr>
        <w:t>es par 12,3</w:t>
      </w:r>
      <w:r w:rsidRPr="009F0488">
        <w:rPr>
          <w:rFonts w:eastAsia="Calibri"/>
          <w:szCs w:val="22"/>
        </w:rPr>
        <w:t xml:space="preserve">%, ko galvenokārt ietekmēja būvniecības darbiem nelabvēlīgie laika apstākli. Savukārt </w:t>
      </w:r>
      <w:r>
        <w:rPr>
          <w:rFonts w:eastAsia="Calibri"/>
          <w:szCs w:val="22"/>
        </w:rPr>
        <w:t>šā gada</w:t>
      </w:r>
      <w:r w:rsidRPr="009F0488">
        <w:rPr>
          <w:rFonts w:eastAsia="Calibri"/>
          <w:szCs w:val="22"/>
        </w:rPr>
        <w:t xml:space="preserve"> otrajā ceturksnī būvniecības produkc</w:t>
      </w:r>
      <w:r>
        <w:rPr>
          <w:rFonts w:eastAsia="Calibri"/>
          <w:szCs w:val="22"/>
        </w:rPr>
        <w:t>ijas apjoms palielinājās par 1,0</w:t>
      </w:r>
      <w:r w:rsidRPr="009F0488">
        <w:rPr>
          <w:rFonts w:eastAsia="Calibri"/>
          <w:szCs w:val="22"/>
        </w:rPr>
        <w:t>% salīdzinājumā ar pērnā gada attiecīgo periodu. Investīciju izmaiņas pa darbības veidiem un t</w:t>
      </w:r>
      <w:r>
        <w:rPr>
          <w:rFonts w:eastAsia="Calibri"/>
          <w:szCs w:val="22"/>
        </w:rPr>
        <w:t>o</w:t>
      </w:r>
      <w:r w:rsidRPr="009F0488">
        <w:rPr>
          <w:rFonts w:eastAsia="Calibri"/>
          <w:szCs w:val="22"/>
        </w:rPr>
        <w:t xml:space="preserve"> apjoms ir atspoguļots attiecīgi </w:t>
      </w:r>
      <w:r>
        <w:rPr>
          <w:rFonts w:eastAsia="Calibri"/>
          <w:szCs w:val="22"/>
        </w:rPr>
        <w:t>1.40</w:t>
      </w:r>
      <w:r w:rsidRPr="009F0488">
        <w:rPr>
          <w:rFonts w:eastAsia="Calibri"/>
          <w:szCs w:val="22"/>
        </w:rPr>
        <w:t xml:space="preserve"> un </w:t>
      </w:r>
      <w:r>
        <w:rPr>
          <w:rFonts w:eastAsia="Calibri"/>
          <w:szCs w:val="22"/>
        </w:rPr>
        <w:t>1.41. attēlā.</w:t>
      </w:r>
    </w:p>
    <w:p w14:paraId="4188C457" w14:textId="36E115F2" w:rsidR="0015262B" w:rsidRDefault="0015262B" w:rsidP="0015262B">
      <w:pPr>
        <w:spacing w:before="120"/>
        <w:ind w:firstLine="720"/>
        <w:rPr>
          <w:rFonts w:eastAsia="Calibri"/>
          <w:szCs w:val="22"/>
        </w:rPr>
      </w:pPr>
    </w:p>
    <w:p w14:paraId="7413C4AB" w14:textId="356CD992" w:rsidR="0015262B" w:rsidRDefault="0015262B" w:rsidP="0015262B">
      <w:pPr>
        <w:spacing w:before="120"/>
        <w:ind w:firstLine="720"/>
        <w:rPr>
          <w:rFonts w:eastAsia="Calibri"/>
          <w:szCs w:val="22"/>
        </w:rPr>
      </w:pPr>
    </w:p>
    <w:p w14:paraId="2BE37CD9" w14:textId="51395D42" w:rsidR="0015262B" w:rsidRDefault="0015262B" w:rsidP="0015262B">
      <w:pPr>
        <w:spacing w:before="120"/>
        <w:ind w:firstLine="720"/>
        <w:rPr>
          <w:rFonts w:eastAsia="Calibri"/>
          <w:szCs w:val="22"/>
        </w:rPr>
      </w:pPr>
    </w:p>
    <w:p w14:paraId="20BB914F" w14:textId="77777777" w:rsidR="0015262B" w:rsidRDefault="0015262B" w:rsidP="0015262B">
      <w:pPr>
        <w:spacing w:before="120"/>
        <w:ind w:firstLine="720"/>
        <w:rPr>
          <w:rFonts w:eastAsia="Calibri"/>
          <w:szCs w:val="22"/>
        </w:rPr>
      </w:pPr>
    </w:p>
    <w:p w14:paraId="0202F53E" w14:textId="77777777" w:rsidR="0015262B" w:rsidRDefault="0015262B" w:rsidP="0015262B">
      <w:pPr>
        <w:spacing w:before="120"/>
        <w:ind w:firstLine="720"/>
        <w:rPr>
          <w:rFonts w:eastAsia="Calibri"/>
          <w:szCs w:val="22"/>
        </w:rPr>
      </w:pPr>
    </w:p>
    <w:tbl>
      <w:tblPr>
        <w:tblStyle w:val="TableGrid"/>
        <w:tblW w:w="5003" w:type="pct"/>
        <w:tblInd w:w="-5" w:type="dxa"/>
        <w:tblLayout w:type="fixed"/>
        <w:tblCellMar>
          <w:left w:w="0" w:type="dxa"/>
          <w:right w:w="0" w:type="dxa"/>
        </w:tblCellMar>
        <w:tblLook w:val="04A0" w:firstRow="1" w:lastRow="0" w:firstColumn="1" w:lastColumn="0" w:noHBand="0" w:noVBand="1"/>
      </w:tblPr>
      <w:tblGrid>
        <w:gridCol w:w="4537"/>
        <w:gridCol w:w="4539"/>
      </w:tblGrid>
      <w:tr w:rsidR="0015262B" w14:paraId="602268D8" w14:textId="77777777" w:rsidTr="007F5E20">
        <w:tc>
          <w:tcPr>
            <w:tcW w:w="4155" w:type="dxa"/>
            <w:tcBorders>
              <w:top w:val="nil"/>
              <w:left w:val="nil"/>
              <w:bottom w:val="nil"/>
              <w:right w:val="nil"/>
            </w:tcBorders>
            <w:vAlign w:val="center"/>
          </w:tcPr>
          <w:p w14:paraId="4686FDA7" w14:textId="77777777" w:rsidR="0015262B" w:rsidRPr="00B656FD" w:rsidRDefault="0015262B" w:rsidP="0015262B">
            <w:pPr>
              <w:ind w:firstLine="8"/>
              <w:jc w:val="center"/>
              <w:rPr>
                <w:rFonts w:eastAsia="Calibri"/>
                <w:b/>
                <w:i/>
              </w:rPr>
            </w:pPr>
            <w:r w:rsidRPr="00B656FD">
              <w:rPr>
                <w:rFonts w:eastAsia="Calibri"/>
                <w:b/>
                <w:i/>
              </w:rPr>
              <w:lastRenderedPageBreak/>
              <w:t xml:space="preserve">1.40. attēls </w:t>
            </w:r>
            <w:r w:rsidRPr="00B656FD">
              <w:rPr>
                <w:rFonts w:eastAsia="Calibri"/>
                <w:b/>
              </w:rPr>
              <w:t>Bruto kapitālieguldījum</w:t>
            </w:r>
            <w:r>
              <w:rPr>
                <w:rFonts w:eastAsia="Calibri"/>
                <w:b/>
              </w:rPr>
              <w:t>u izmaiņas pa darbības veidiem</w:t>
            </w:r>
            <w:r>
              <w:rPr>
                <w:rFonts w:eastAsia="Calibri"/>
                <w:b/>
              </w:rPr>
              <w:br/>
              <w:t>(</w:t>
            </w:r>
            <w:r w:rsidRPr="00B656FD">
              <w:rPr>
                <w:rFonts w:eastAsia="Calibri"/>
                <w:b/>
              </w:rPr>
              <w:t xml:space="preserve">milj. </w:t>
            </w:r>
            <w:proofErr w:type="spellStart"/>
            <w:r w:rsidRPr="00B656FD">
              <w:rPr>
                <w:rFonts w:eastAsia="Calibri"/>
                <w:b/>
                <w:i/>
              </w:rPr>
              <w:t>euro</w:t>
            </w:r>
            <w:proofErr w:type="spellEnd"/>
            <w:r w:rsidRPr="00B656FD">
              <w:rPr>
                <w:rFonts w:eastAsia="Calibri"/>
                <w:b/>
              </w:rPr>
              <w:t>, salīdzināmajās cenās</w:t>
            </w:r>
            <w:r>
              <w:rPr>
                <w:rFonts w:eastAsia="Calibri"/>
                <w:b/>
              </w:rPr>
              <w:t>)</w:t>
            </w:r>
          </w:p>
        </w:tc>
        <w:tc>
          <w:tcPr>
            <w:tcW w:w="4156" w:type="dxa"/>
            <w:tcBorders>
              <w:top w:val="nil"/>
              <w:left w:val="nil"/>
              <w:bottom w:val="nil"/>
              <w:right w:val="nil"/>
            </w:tcBorders>
            <w:vAlign w:val="center"/>
          </w:tcPr>
          <w:p w14:paraId="43BDB701" w14:textId="77777777" w:rsidR="0015262B" w:rsidRPr="00B656FD" w:rsidRDefault="0015262B" w:rsidP="0015262B">
            <w:pPr>
              <w:ind w:firstLine="0"/>
              <w:jc w:val="center"/>
              <w:rPr>
                <w:rFonts w:eastAsia="Calibri"/>
                <w:b/>
                <w:i/>
              </w:rPr>
            </w:pPr>
            <w:r w:rsidRPr="00B656FD">
              <w:rPr>
                <w:rFonts w:eastAsia="Calibri"/>
                <w:b/>
                <w:i/>
              </w:rPr>
              <w:t xml:space="preserve">1.41. attēls </w:t>
            </w:r>
            <w:r w:rsidRPr="00B656FD">
              <w:rPr>
                <w:rFonts w:eastAsia="Calibri"/>
                <w:b/>
              </w:rPr>
              <w:t>Bruto kapitāli</w:t>
            </w:r>
            <w:r>
              <w:rPr>
                <w:rFonts w:eastAsia="Calibri"/>
                <w:b/>
              </w:rPr>
              <w:t>eguldījumi</w:t>
            </w:r>
            <w:r>
              <w:rPr>
                <w:rFonts w:eastAsia="Calibri"/>
                <w:b/>
              </w:rPr>
              <w:br/>
              <w:t>pa darbības veidiem</w:t>
            </w:r>
            <w:r>
              <w:rPr>
                <w:rFonts w:eastAsia="Calibri"/>
                <w:b/>
              </w:rPr>
              <w:br/>
              <w:t>(</w:t>
            </w:r>
            <w:r w:rsidRPr="00B656FD">
              <w:rPr>
                <w:rFonts w:eastAsia="Calibri"/>
                <w:b/>
              </w:rPr>
              <w:t xml:space="preserve">milj. </w:t>
            </w:r>
            <w:proofErr w:type="spellStart"/>
            <w:r w:rsidRPr="00B656FD">
              <w:rPr>
                <w:rFonts w:eastAsia="Calibri"/>
                <w:b/>
                <w:i/>
              </w:rPr>
              <w:t>euro</w:t>
            </w:r>
            <w:proofErr w:type="spellEnd"/>
            <w:r w:rsidRPr="00B656FD">
              <w:rPr>
                <w:rFonts w:eastAsia="Calibri"/>
                <w:b/>
              </w:rPr>
              <w:t>, salīdzināmajās cenās</w:t>
            </w:r>
            <w:r>
              <w:rPr>
                <w:rFonts w:eastAsia="Calibri"/>
                <w:b/>
              </w:rPr>
              <w:t>)</w:t>
            </w:r>
          </w:p>
        </w:tc>
      </w:tr>
      <w:tr w:rsidR="0015262B" w14:paraId="7AED81EF" w14:textId="77777777" w:rsidTr="007F5E2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4155" w:type="dxa"/>
            <w:vAlign w:val="center"/>
          </w:tcPr>
          <w:p w14:paraId="231D0B40" w14:textId="77777777" w:rsidR="0015262B" w:rsidRDefault="0015262B" w:rsidP="0015262B">
            <w:pPr>
              <w:ind w:firstLine="8"/>
              <w:jc w:val="center"/>
            </w:pPr>
            <w:r>
              <w:rPr>
                <w:noProof/>
                <w:lang w:eastAsia="lv-LV"/>
              </w:rPr>
              <w:drawing>
                <wp:inline distT="0" distB="0" distL="0" distR="0" wp14:anchorId="1A3E5B55" wp14:editId="65428679">
                  <wp:extent cx="2639683" cy="2992755"/>
                  <wp:effectExtent l="0" t="0" r="8890" b="0"/>
                  <wp:docPr id="29" name="Chart 29">
                    <a:extLst xmlns:a="http://schemas.openxmlformats.org/drawingml/2006/main">
                      <a:ext uri="{FF2B5EF4-FFF2-40B4-BE49-F238E27FC236}">
                        <a16:creationId xmlns:a16="http://schemas.microsoft.com/office/drawing/2014/main" id="{00000000-0008-0000-2C00-000003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tc>
        <w:tc>
          <w:tcPr>
            <w:tcW w:w="4156" w:type="dxa"/>
            <w:vAlign w:val="center"/>
          </w:tcPr>
          <w:p w14:paraId="2C45557E" w14:textId="77777777" w:rsidR="0015262B" w:rsidRDefault="0015262B" w:rsidP="0015262B">
            <w:pPr>
              <w:ind w:firstLine="150"/>
              <w:jc w:val="center"/>
            </w:pPr>
            <w:r>
              <w:rPr>
                <w:noProof/>
                <w:lang w:eastAsia="lv-LV"/>
              </w:rPr>
              <w:drawing>
                <wp:inline distT="0" distB="0" distL="0" distR="0" wp14:anchorId="442DAB72" wp14:editId="271705F0">
                  <wp:extent cx="2491955" cy="2992755"/>
                  <wp:effectExtent l="0" t="0" r="3810" b="0"/>
                  <wp:docPr id="30" name="Chart 30">
                    <a:extLst xmlns:a="http://schemas.openxmlformats.org/drawingml/2006/main">
                      <a:ext uri="{FF2B5EF4-FFF2-40B4-BE49-F238E27FC236}">
                        <a16:creationId xmlns:a16="http://schemas.microsoft.com/office/drawing/2014/main" id="{00000000-0008-0000-2C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tc>
      </w:tr>
    </w:tbl>
    <w:p w14:paraId="573C2C37" w14:textId="77777777" w:rsidR="0015262B" w:rsidRDefault="0015262B" w:rsidP="0015262B">
      <w:pPr>
        <w:spacing w:before="120"/>
        <w:ind w:firstLine="720"/>
        <w:rPr>
          <w:rFonts w:eastAsia="Calibri"/>
          <w:szCs w:val="22"/>
        </w:rPr>
      </w:pPr>
      <w:r w:rsidRPr="009F0488">
        <w:rPr>
          <w:rFonts w:eastAsia="Calibri"/>
          <w:szCs w:val="22"/>
        </w:rPr>
        <w:t>Balstoties uz uzņēmumu aptaujas datiem, darb</w:t>
      </w:r>
      <w:r>
        <w:rPr>
          <w:rFonts w:eastAsia="Calibri"/>
          <w:szCs w:val="22"/>
        </w:rPr>
        <w:t>u</w:t>
      </w:r>
      <w:r w:rsidRPr="009F0488">
        <w:rPr>
          <w:rFonts w:eastAsia="Calibri"/>
          <w:szCs w:val="22"/>
        </w:rPr>
        <w:t xml:space="preserve"> apjoms būvniecības nozarē </w:t>
      </w:r>
      <w:r>
        <w:rPr>
          <w:rFonts w:eastAsia="Calibri"/>
          <w:szCs w:val="22"/>
        </w:rPr>
        <w:t>šā gada</w:t>
      </w:r>
      <w:r w:rsidRPr="009F0488">
        <w:rPr>
          <w:rFonts w:eastAsia="Calibri"/>
          <w:szCs w:val="22"/>
        </w:rPr>
        <w:t xml:space="preserve"> trešajā ceturksnī pieaugs, atgriežoties </w:t>
      </w:r>
      <w:proofErr w:type="spellStart"/>
      <w:r w:rsidRPr="009F0488">
        <w:rPr>
          <w:rFonts w:eastAsia="Calibri"/>
          <w:szCs w:val="22"/>
        </w:rPr>
        <w:t>pirmspandēmijas</w:t>
      </w:r>
      <w:proofErr w:type="spellEnd"/>
      <w:r w:rsidRPr="009F0488">
        <w:rPr>
          <w:rFonts w:eastAsia="Calibri"/>
          <w:szCs w:val="22"/>
        </w:rPr>
        <w:t xml:space="preserve"> līmenī. Tādējādi augošā konfidence būvniecības nozarē un dati par pasūtījumu apjomu liecina, ka investīciju kritums ēkās un būvēs 2021</w:t>
      </w:r>
      <w:r>
        <w:rPr>
          <w:rFonts w:eastAsia="Calibri"/>
          <w:szCs w:val="22"/>
        </w:rPr>
        <w:t>. gad</w:t>
      </w:r>
      <w:r w:rsidRPr="009F0488">
        <w:rPr>
          <w:rFonts w:eastAsia="Calibri"/>
          <w:szCs w:val="22"/>
        </w:rPr>
        <w:t>a sākumā bija īslaicīgs. Tomēr pastāv vairāki būtiski faktori, kas varētu kavēt jauno būvobjektu realizēšanu, līdz ar to arī investīciju apjomu.</w:t>
      </w:r>
    </w:p>
    <w:p w14:paraId="3A792A39" w14:textId="77777777" w:rsidR="0015262B" w:rsidRDefault="0015262B" w:rsidP="0015262B">
      <w:pPr>
        <w:spacing w:before="120"/>
        <w:ind w:firstLine="720"/>
        <w:rPr>
          <w:rFonts w:eastAsia="Calibri"/>
          <w:szCs w:val="22"/>
        </w:rPr>
      </w:pPr>
      <w:r w:rsidRPr="009F0488">
        <w:rPr>
          <w:rFonts w:eastAsia="Calibri"/>
          <w:szCs w:val="22"/>
        </w:rPr>
        <w:t>Pirmkārt, pandēmijas dēļ tādās nozarēs kā izmitināšana, ēdināšana, izklaide un kultūra, kā arī transports būtiski ir samazinājies apgrozījums un pasliktinājušies peļņas rādītāji. Visticamāk šīs nozares atteiksies no jauniem kredītiem un investīcij</w:t>
      </w:r>
      <w:r>
        <w:rPr>
          <w:rFonts w:eastAsia="Calibri"/>
          <w:szCs w:val="22"/>
        </w:rPr>
        <w:t>ām</w:t>
      </w:r>
      <w:r w:rsidRPr="009F0488">
        <w:rPr>
          <w:rFonts w:eastAsia="Calibri"/>
          <w:szCs w:val="22"/>
        </w:rPr>
        <w:t xml:space="preserve"> vidējā termiņā. Savukārt, darba organizācijas ieradumu maiņa un masveidīga attālinātā darba prakses ieviešana varētu mazināt pieprasījumu pēc birojiem, kas negatīvi i</w:t>
      </w:r>
      <w:r>
        <w:rPr>
          <w:rFonts w:eastAsia="Calibri"/>
          <w:szCs w:val="22"/>
        </w:rPr>
        <w:t>etekmēs investīciju aktivitāti.</w:t>
      </w:r>
    </w:p>
    <w:p w14:paraId="5555AA4B" w14:textId="77777777" w:rsidR="0015262B" w:rsidRPr="009F0488" w:rsidRDefault="0015262B" w:rsidP="0015262B">
      <w:pPr>
        <w:spacing w:before="120"/>
        <w:ind w:firstLine="720"/>
        <w:rPr>
          <w:rFonts w:eastAsia="Calibri"/>
          <w:szCs w:val="22"/>
        </w:rPr>
      </w:pPr>
      <w:r w:rsidRPr="009F0488">
        <w:rPr>
          <w:rFonts w:eastAsia="Calibri"/>
          <w:szCs w:val="22"/>
        </w:rPr>
        <w:t>Otrkārt, izejvielu cenu pieaugums, tajā skaitā koksnes un metāla cenu kāpums, kā arī ierobežots darbaspēks šajā nozarē, kas stimulē algu kāpumu</w:t>
      </w:r>
      <w:r>
        <w:rPr>
          <w:rFonts w:eastAsia="Calibri"/>
          <w:szCs w:val="22"/>
        </w:rPr>
        <w:t>, ra</w:t>
      </w:r>
      <w:r w:rsidRPr="009F0488">
        <w:rPr>
          <w:rFonts w:eastAsia="Calibri"/>
          <w:szCs w:val="22"/>
        </w:rPr>
        <w:t xml:space="preserve">da spiedienu uz būvniecības izmaksām. </w:t>
      </w:r>
      <w:r>
        <w:rPr>
          <w:rFonts w:eastAsia="Calibri"/>
          <w:szCs w:val="22"/>
        </w:rPr>
        <w:t>Šā gada</w:t>
      </w:r>
      <w:r w:rsidRPr="009F0488">
        <w:rPr>
          <w:rFonts w:eastAsia="Calibri"/>
          <w:szCs w:val="22"/>
        </w:rPr>
        <w:t xml:space="preserve"> pirmajā ceturksnī būvniecības izmaksas pieauga par 1,3%, bet </w:t>
      </w:r>
      <w:r w:rsidRPr="000E22FF">
        <w:rPr>
          <w:rFonts w:eastAsia="Calibri"/>
          <w:szCs w:val="22"/>
        </w:rPr>
        <w:t>otrajā ceturksnī par 4,7%,</w:t>
      </w:r>
      <w:r w:rsidRPr="009F0488">
        <w:rPr>
          <w:rFonts w:eastAsia="Calibri"/>
          <w:szCs w:val="22"/>
        </w:rPr>
        <w:t xml:space="preserve"> kas kopumā atbilst </w:t>
      </w:r>
      <w:proofErr w:type="spellStart"/>
      <w:r w:rsidRPr="009F0488">
        <w:rPr>
          <w:rFonts w:eastAsia="Calibri"/>
          <w:szCs w:val="22"/>
        </w:rPr>
        <w:t>pirmspandēmijas</w:t>
      </w:r>
      <w:proofErr w:type="spellEnd"/>
      <w:r w:rsidRPr="009F0488">
        <w:rPr>
          <w:rFonts w:eastAsia="Calibri"/>
          <w:szCs w:val="22"/>
        </w:rPr>
        <w:t xml:space="preserve"> izmaksu kāpumam. Tomēr turpmākajos</w:t>
      </w:r>
      <w:r>
        <w:rPr>
          <w:rFonts w:eastAsia="Calibri"/>
          <w:szCs w:val="22"/>
        </w:rPr>
        <w:t xml:space="preserve"> ceturkšņos būvniecības izmaksu</w:t>
      </w:r>
      <w:r w:rsidRPr="009F0488">
        <w:rPr>
          <w:rFonts w:eastAsia="Calibri"/>
          <w:szCs w:val="22"/>
        </w:rPr>
        <w:t xml:space="preserve"> pieaugums var paātrināties. </w:t>
      </w:r>
    </w:p>
    <w:p w14:paraId="5D5AD004" w14:textId="5272D410" w:rsidR="0015262B" w:rsidRPr="0015262B" w:rsidRDefault="0015262B" w:rsidP="0015262B">
      <w:pPr>
        <w:ind w:firstLine="720"/>
      </w:pPr>
      <w:r w:rsidRPr="009F0488">
        <w:rPr>
          <w:rFonts w:eastAsia="Calibri"/>
          <w:szCs w:val="22"/>
        </w:rPr>
        <w:t xml:space="preserve">Covid-19 krīzes pārvarēšanā būtiska loma ir valdības īstenotajiem ekonomikas atbalsta un izaugsmes veicināšanas pasākumiem. Salīdzinājumā ar iepriekšējo ekonomikas krīzi šobrīd Latvijas finanšu stāvoklis ir labāks un pieejamie finanšu resursi ir ievērojami plašāki. Valsts atbalsts uzņēmumiem, izmaksājot dīkstāves pabalstus un piešķirot </w:t>
      </w:r>
      <w:proofErr w:type="spellStart"/>
      <w:r w:rsidRPr="009F0488">
        <w:rPr>
          <w:rFonts w:eastAsia="Calibri"/>
          <w:szCs w:val="22"/>
        </w:rPr>
        <w:t>grantus</w:t>
      </w:r>
      <w:proofErr w:type="spellEnd"/>
      <w:r w:rsidRPr="009F0488">
        <w:rPr>
          <w:rFonts w:eastAsia="Calibri"/>
          <w:szCs w:val="22"/>
        </w:rPr>
        <w:t xml:space="preserve"> apgrozāmo līdzekļu plūsmas nodrošināšanai, palīdz mazināt Covid-19 krīzes negatīvo ietekmi uz uzņēmumu darbību. Savukārt vidējā termiņā Latvijai būs pieejamas ES struktūrfondu investīcijas, Atveseļošanas un noturības mehānisma līdzekļi, kā arī investīcijas </w:t>
      </w:r>
      <w:proofErr w:type="spellStart"/>
      <w:r w:rsidRPr="007C2E86">
        <w:rPr>
          <w:rFonts w:eastAsia="Calibri"/>
          <w:i/>
          <w:szCs w:val="22"/>
        </w:rPr>
        <w:t>RailBaltica</w:t>
      </w:r>
      <w:proofErr w:type="spellEnd"/>
      <w:r w:rsidRPr="009F0488">
        <w:rPr>
          <w:rFonts w:eastAsia="Calibri"/>
          <w:szCs w:val="22"/>
        </w:rPr>
        <w:t xml:space="preserve"> projekta realizācijai. Būtiska loma Covid-19 krīzes seku pārvarēšanā būs jaunajam ES fondu investī</w:t>
      </w:r>
      <w:r>
        <w:rPr>
          <w:rFonts w:eastAsia="Calibri"/>
          <w:szCs w:val="22"/>
        </w:rPr>
        <w:t>ciju plānošanas periodam 2021</w:t>
      </w:r>
      <w:r>
        <w:rPr>
          <w:rFonts w:eastAsia="Calibri"/>
          <w:szCs w:val="22"/>
        </w:rPr>
        <w:noBreakHyphen/>
      </w:r>
      <w:r w:rsidRPr="009F0488">
        <w:rPr>
          <w:rFonts w:eastAsia="Calibri"/>
          <w:szCs w:val="22"/>
        </w:rPr>
        <w:t>2027</w:t>
      </w:r>
      <w:r>
        <w:rPr>
          <w:rFonts w:eastAsia="Calibri"/>
          <w:szCs w:val="22"/>
        </w:rPr>
        <w:t>. gad</w:t>
      </w:r>
      <w:r w:rsidRPr="009F0488">
        <w:rPr>
          <w:rFonts w:eastAsia="Calibri"/>
          <w:szCs w:val="22"/>
        </w:rPr>
        <w:t>am. Tomēr ir svarīgi, lai struktūrfondu investīciju</w:t>
      </w:r>
      <w:r>
        <w:rPr>
          <w:rFonts w:eastAsia="Calibri"/>
          <w:szCs w:val="22"/>
        </w:rPr>
        <w:t xml:space="preserve"> plūsma pa gadiem būtu vienmērīga, lai nera</w:t>
      </w:r>
      <w:r w:rsidRPr="009F0488">
        <w:rPr>
          <w:rFonts w:eastAsia="Calibri"/>
          <w:szCs w:val="22"/>
        </w:rPr>
        <w:t xml:space="preserve">dītu </w:t>
      </w:r>
      <w:r>
        <w:rPr>
          <w:rFonts w:eastAsia="Calibri"/>
          <w:szCs w:val="22"/>
        </w:rPr>
        <w:t xml:space="preserve">pārkašanu </w:t>
      </w:r>
      <w:r w:rsidRPr="009F0488">
        <w:rPr>
          <w:rFonts w:eastAsia="Calibri"/>
          <w:szCs w:val="22"/>
        </w:rPr>
        <w:t xml:space="preserve">būvniecības nozarē.    </w:t>
      </w:r>
    </w:p>
    <w:p w14:paraId="79679245" w14:textId="0EF015EF" w:rsidR="00EF1D74" w:rsidRDefault="00EF1D74" w:rsidP="00EF1D74">
      <w:pPr>
        <w:keepNext/>
        <w:keepLines/>
        <w:spacing w:before="240" w:after="240" w:line="259" w:lineRule="auto"/>
        <w:ind w:firstLine="0"/>
        <w:jc w:val="center"/>
        <w:outlineLvl w:val="1"/>
        <w:rPr>
          <w:b/>
          <w:sz w:val="36"/>
          <w:szCs w:val="36"/>
        </w:rPr>
      </w:pPr>
      <w:r w:rsidRPr="00EF1D74">
        <w:rPr>
          <w:b/>
          <w:sz w:val="36"/>
          <w:szCs w:val="36"/>
        </w:rPr>
        <w:lastRenderedPageBreak/>
        <w:t>1.3. Makroekonomisko nelīdzsvarotību uzraudzība ES</w:t>
      </w:r>
    </w:p>
    <w:p w14:paraId="36C6BA03" w14:textId="77777777" w:rsidR="00D56B46" w:rsidRPr="00871AC9" w:rsidRDefault="00D56B46" w:rsidP="00D56B46">
      <w:pPr>
        <w:spacing w:before="60" w:after="60"/>
        <w:ind w:firstLine="720"/>
        <w:rPr>
          <w:rFonts w:cstheme="minorBidi"/>
          <w:bCs/>
        </w:rPr>
      </w:pPr>
      <w:r w:rsidRPr="00871AC9">
        <w:rPr>
          <w:rFonts w:cstheme="minorBidi"/>
        </w:rPr>
        <w:t>Viens no ES pamatmērķiem ir dalībvalstu ilgtspējīgas ekonomiskās izaugsmes veicināšana. Lai nodrošinātu savlaicīgu makroekonomisko risku identificēšanu un pārvaldi 2011</w:t>
      </w:r>
      <w:r>
        <w:rPr>
          <w:rFonts w:cstheme="minorBidi"/>
        </w:rPr>
        <w:t>. gad</w:t>
      </w:r>
      <w:r w:rsidRPr="00871AC9">
        <w:rPr>
          <w:rFonts w:cstheme="minorBidi"/>
        </w:rPr>
        <w:t>a 16.</w:t>
      </w:r>
      <w:r>
        <w:rPr>
          <w:rFonts w:cstheme="minorBidi"/>
        </w:rPr>
        <w:t> </w:t>
      </w:r>
      <w:r w:rsidRPr="00871AC9">
        <w:rPr>
          <w:rFonts w:cstheme="minorBidi"/>
        </w:rPr>
        <w:t xml:space="preserve">novembrī Eiropas Parlaments un Eiropas Padome pieņēma divas regulas – par to, kā novērst un koriģēt makroekonomisko nelīdzsvarotību (regula Nr.1176/2011), un regulu par izpildes pasākumiem pārmērīgas makroekonomiskās nelīdzsvarotības koriģēšanai </w:t>
      </w:r>
      <w:proofErr w:type="spellStart"/>
      <w:r w:rsidRPr="00871AC9">
        <w:rPr>
          <w:rFonts w:cstheme="minorBidi"/>
        </w:rPr>
        <w:t>eirozonā</w:t>
      </w:r>
      <w:proofErr w:type="spellEnd"/>
      <w:r w:rsidRPr="00871AC9">
        <w:rPr>
          <w:rFonts w:cstheme="minorBidi"/>
        </w:rPr>
        <w:t xml:space="preserve"> (Nr.1174/2011</w:t>
      </w:r>
      <w:r w:rsidRPr="00871AC9">
        <w:rPr>
          <w:rFonts w:cstheme="minorBidi"/>
          <w:bCs/>
        </w:rPr>
        <w:t>).</w:t>
      </w:r>
      <w:r w:rsidRPr="00871AC9">
        <w:rPr>
          <w:rFonts w:cstheme="minorBidi"/>
          <w:bCs/>
          <w:vertAlign w:val="superscript"/>
        </w:rPr>
        <w:footnoteReference w:id="2"/>
      </w:r>
      <w:r w:rsidRPr="00871AC9">
        <w:rPr>
          <w:rFonts w:cstheme="minorBidi"/>
          <w:bCs/>
        </w:rPr>
        <w:t xml:space="preserve"> </w:t>
      </w:r>
    </w:p>
    <w:p w14:paraId="00DAC84E" w14:textId="77777777" w:rsidR="00D56B46" w:rsidRPr="00871AC9" w:rsidRDefault="00D56B46" w:rsidP="00D56B46">
      <w:pPr>
        <w:spacing w:before="60" w:after="60"/>
        <w:ind w:firstLine="720"/>
        <w:rPr>
          <w:rFonts w:cstheme="minorBidi"/>
        </w:rPr>
      </w:pPr>
      <w:r w:rsidRPr="00871AC9">
        <w:rPr>
          <w:rFonts w:cstheme="minorBidi"/>
        </w:rPr>
        <w:t xml:space="preserve">Procedūras izstrādes mērķis bija ne tikai stiprināt Stabilitātes un izaugsmes </w:t>
      </w:r>
      <w:proofErr w:type="spellStart"/>
      <w:r w:rsidRPr="00871AC9">
        <w:rPr>
          <w:rFonts w:cstheme="minorBidi"/>
        </w:rPr>
        <w:t>pakta</w:t>
      </w:r>
      <w:proofErr w:type="spellEnd"/>
      <w:r w:rsidRPr="00871AC9">
        <w:rPr>
          <w:rFonts w:cstheme="minorBidi"/>
        </w:rPr>
        <w:t xml:space="preserve"> funkcionēšanu, bet papildus budžeta uzraudzībai, paplašināt fiskālo un makroekonomisko nelīdzsvarotību uzraudzību un īstenot to efektīvu vadību ES dalībvalstīs. Regulu ietvaros tika atrunāta makroekonomikas uzraudzības un nesabalansētību identificēšanas kārtība, kā arī iespējamo finanšu sankciju kārtība, kas varētu tikt piemērota dalībvalstīm, kurās makroekonomiskā disciplīna netiek ievērota.</w:t>
      </w:r>
    </w:p>
    <w:p w14:paraId="64430930" w14:textId="77777777" w:rsidR="00D56B46" w:rsidRPr="00871AC9" w:rsidRDefault="00D56B46" w:rsidP="00D56B46">
      <w:pPr>
        <w:spacing w:before="60" w:after="60"/>
        <w:ind w:firstLine="720"/>
        <w:rPr>
          <w:rFonts w:cstheme="minorBidi"/>
        </w:rPr>
      </w:pPr>
      <w:r w:rsidRPr="00871AC9">
        <w:rPr>
          <w:rFonts w:cstheme="minorBidi"/>
        </w:rPr>
        <w:t xml:space="preserve">Finanšu sankcijas paredz noteiktu ikgadēju soda naudu vai procentus nesošu depozītu, kas ir 0,1% no attiecīgās dalībvalsts iepriekšējā gada IKP. Neraugoties uz to, ka makroekonomiskās nesabalansētības procedūras ietvaros ir atrunātas iespējamās finanšu sankcijas, praksē nevienai no dalībvalstīm tās līdz šim netika piemērotas. </w:t>
      </w:r>
    </w:p>
    <w:p w14:paraId="61BFFF1E" w14:textId="157B8DD4" w:rsidR="00EF1D74" w:rsidRDefault="00EF1D74" w:rsidP="00EF1D74">
      <w:pPr>
        <w:keepNext/>
        <w:keepLines/>
        <w:spacing w:before="240" w:after="240" w:line="259" w:lineRule="auto"/>
        <w:ind w:firstLine="0"/>
        <w:jc w:val="center"/>
        <w:outlineLvl w:val="2"/>
        <w:rPr>
          <w:b/>
          <w:sz w:val="32"/>
          <w:szCs w:val="32"/>
        </w:rPr>
      </w:pPr>
      <w:r w:rsidRPr="00EF1D74">
        <w:rPr>
          <w:b/>
          <w:sz w:val="32"/>
          <w:szCs w:val="32"/>
        </w:rPr>
        <w:t>1.3.1. Makroekonomikas nesabalansētību identificēšanas un pārvaldes posmi</w:t>
      </w:r>
    </w:p>
    <w:p w14:paraId="4552E63C" w14:textId="77777777" w:rsidR="00D56B46" w:rsidRPr="00871AC9" w:rsidRDefault="00D56B46" w:rsidP="00D56B46">
      <w:pPr>
        <w:spacing w:before="60" w:after="60"/>
        <w:ind w:firstLine="720"/>
        <w:rPr>
          <w:rFonts w:cstheme="minorBidi"/>
        </w:rPr>
      </w:pPr>
      <w:r w:rsidRPr="00871AC9">
        <w:rPr>
          <w:rFonts w:cstheme="minorBidi"/>
        </w:rPr>
        <w:t>Agrās brīdināšanas mehānisma ziņojums tiek publicēts tekošā gada beigās, kas ir arī sākums jaunam makroekonomiskās nesabalansētības uzraudzības ciklam. Tādējādi šobrīd, sagatavojot 2022</w:t>
      </w:r>
      <w:r>
        <w:rPr>
          <w:rFonts w:cstheme="minorBidi"/>
        </w:rPr>
        <w:t>. gad</w:t>
      </w:r>
      <w:r w:rsidRPr="00871AC9">
        <w:rPr>
          <w:rFonts w:cstheme="minorBidi"/>
        </w:rPr>
        <w:t>a budžeta paskaidrojumus, tiek izmantots “Agrās brīdināšanas mehānisma ziņojums 2021” (</w:t>
      </w:r>
      <w:proofErr w:type="spellStart"/>
      <w:r w:rsidRPr="00871AC9">
        <w:rPr>
          <w:rFonts w:cstheme="minorBidi"/>
          <w:i/>
        </w:rPr>
        <w:t>Alert</w:t>
      </w:r>
      <w:proofErr w:type="spellEnd"/>
      <w:r w:rsidRPr="00871AC9">
        <w:rPr>
          <w:rFonts w:cstheme="minorBidi"/>
          <w:i/>
        </w:rPr>
        <w:t xml:space="preserve"> </w:t>
      </w:r>
      <w:proofErr w:type="spellStart"/>
      <w:r w:rsidRPr="00871AC9">
        <w:rPr>
          <w:rFonts w:cstheme="minorBidi"/>
          <w:i/>
        </w:rPr>
        <w:t>Mechanism</w:t>
      </w:r>
      <w:proofErr w:type="spellEnd"/>
      <w:r w:rsidRPr="00871AC9">
        <w:rPr>
          <w:rFonts w:cstheme="minorBidi"/>
          <w:i/>
        </w:rPr>
        <w:t xml:space="preserve"> </w:t>
      </w:r>
      <w:proofErr w:type="spellStart"/>
      <w:r w:rsidRPr="00871AC9">
        <w:rPr>
          <w:rFonts w:cstheme="minorBidi"/>
          <w:i/>
        </w:rPr>
        <w:t>Report</w:t>
      </w:r>
      <w:proofErr w:type="spellEnd"/>
      <w:r w:rsidRPr="00871AC9">
        <w:rPr>
          <w:rFonts w:cstheme="minorBidi"/>
        </w:rPr>
        <w:t xml:space="preserve"> 2021), kurš tika publicēts 2020</w:t>
      </w:r>
      <w:r>
        <w:rPr>
          <w:rFonts w:cstheme="minorBidi"/>
        </w:rPr>
        <w:t>. gad</w:t>
      </w:r>
      <w:r w:rsidRPr="00871AC9">
        <w:rPr>
          <w:rFonts w:cstheme="minorBidi"/>
        </w:rPr>
        <w:t>a 18. novembrī. Ziņojumu izstrādē tiek lietoti statistikas dati ar gandrīz divu gadu nobīdi, attiecīgi 2021</w:t>
      </w:r>
      <w:r>
        <w:rPr>
          <w:rFonts w:cstheme="minorBidi"/>
        </w:rPr>
        <w:t>. gad</w:t>
      </w:r>
      <w:r w:rsidRPr="00871AC9">
        <w:rPr>
          <w:rFonts w:cstheme="minorBidi"/>
        </w:rPr>
        <w:t>a Agrās brīdināšanas mehānisma ziņojums balstās uz 2019</w:t>
      </w:r>
      <w:r>
        <w:rPr>
          <w:rFonts w:cstheme="minorBidi"/>
        </w:rPr>
        <w:t>. gad</w:t>
      </w:r>
      <w:r w:rsidRPr="00871AC9">
        <w:rPr>
          <w:rFonts w:cstheme="minorBidi"/>
        </w:rPr>
        <w:t>a statistikas datiem. Lai gan nākamais “Agrās brīdināšanas mehānisma ziņojums 2022” (</w:t>
      </w:r>
      <w:proofErr w:type="spellStart"/>
      <w:r w:rsidRPr="00871AC9">
        <w:rPr>
          <w:rFonts w:cstheme="minorBidi"/>
          <w:i/>
        </w:rPr>
        <w:t>Alert</w:t>
      </w:r>
      <w:proofErr w:type="spellEnd"/>
      <w:r w:rsidRPr="00871AC9">
        <w:rPr>
          <w:rFonts w:cstheme="minorBidi"/>
          <w:i/>
        </w:rPr>
        <w:t xml:space="preserve"> </w:t>
      </w:r>
      <w:proofErr w:type="spellStart"/>
      <w:r w:rsidRPr="00871AC9">
        <w:rPr>
          <w:rFonts w:cstheme="minorBidi"/>
          <w:i/>
        </w:rPr>
        <w:t>Mechanism</w:t>
      </w:r>
      <w:proofErr w:type="spellEnd"/>
      <w:r w:rsidRPr="00871AC9">
        <w:rPr>
          <w:rFonts w:cstheme="minorBidi"/>
          <w:i/>
        </w:rPr>
        <w:t xml:space="preserve"> </w:t>
      </w:r>
      <w:proofErr w:type="spellStart"/>
      <w:r w:rsidRPr="00871AC9">
        <w:rPr>
          <w:rFonts w:cstheme="minorBidi"/>
          <w:i/>
        </w:rPr>
        <w:t>Report</w:t>
      </w:r>
      <w:proofErr w:type="spellEnd"/>
      <w:r w:rsidRPr="00871AC9">
        <w:rPr>
          <w:rFonts w:cstheme="minorBidi"/>
        </w:rPr>
        <w:t xml:space="preserve">  2022) tiks publicēts tikai š</w:t>
      </w:r>
      <w:r>
        <w:rPr>
          <w:rFonts w:cstheme="minorBidi"/>
        </w:rPr>
        <w:t>ā</w:t>
      </w:r>
      <w:r w:rsidRPr="00871AC9">
        <w:rPr>
          <w:rFonts w:cstheme="minorBidi"/>
        </w:rPr>
        <w:t xml:space="preserve"> gada nogalē, jau šobrīd ir zināmi gandrīz visi pamata rādītāji par Latviju</w:t>
      </w:r>
      <w:r>
        <w:rPr>
          <w:rFonts w:cstheme="minorBidi"/>
        </w:rPr>
        <w:t xml:space="preserve"> (</w:t>
      </w:r>
      <w:r w:rsidRPr="00871AC9">
        <w:rPr>
          <w:rFonts w:cstheme="minorBidi"/>
        </w:rPr>
        <w:t>1.6.</w:t>
      </w:r>
      <w:r>
        <w:rPr>
          <w:rFonts w:cstheme="minorBidi"/>
        </w:rPr>
        <w:t xml:space="preserve"> tabula).</w:t>
      </w:r>
      <w:r w:rsidRPr="00871AC9">
        <w:rPr>
          <w:rFonts w:cstheme="minorBidi"/>
        </w:rPr>
        <w:t xml:space="preserve"> </w:t>
      </w:r>
    </w:p>
    <w:p w14:paraId="18576377" w14:textId="77777777" w:rsidR="00D56B46" w:rsidRPr="00871AC9" w:rsidRDefault="00D56B46" w:rsidP="00D56B46">
      <w:pPr>
        <w:spacing w:before="60" w:after="60"/>
        <w:ind w:firstLine="720"/>
        <w:rPr>
          <w:rFonts w:cstheme="minorBidi"/>
        </w:rPr>
      </w:pPr>
      <w:r w:rsidRPr="00871AC9">
        <w:rPr>
          <w:rFonts w:cstheme="minorBidi"/>
        </w:rPr>
        <w:t xml:space="preserve">Ziņojuma pamatā ir divas rādītāju grupas – 14 pamata rādītāji un 28 papildinoši rādītāji. Pamata rādītājiem ir definēti </w:t>
      </w:r>
      <w:proofErr w:type="spellStart"/>
      <w:r w:rsidRPr="00871AC9">
        <w:rPr>
          <w:rFonts w:cstheme="minorBidi"/>
        </w:rPr>
        <w:t>mērķlīmeņi</w:t>
      </w:r>
      <w:proofErr w:type="spellEnd"/>
      <w:r w:rsidRPr="00871AC9">
        <w:rPr>
          <w:rFonts w:cstheme="minorBidi"/>
        </w:rPr>
        <w:t xml:space="preserve"> jeb pieļaujamās robež</w:t>
      </w:r>
      <w:r>
        <w:rPr>
          <w:rFonts w:cstheme="minorBidi"/>
        </w:rPr>
        <w:t>vērtības</w:t>
      </w:r>
      <w:r w:rsidRPr="00871AC9">
        <w:rPr>
          <w:rFonts w:cstheme="minorBidi"/>
        </w:rPr>
        <w:t>, kuru pārsniegšana var iniciēt Padziļinātās izpētes ziņojuma (IDR) izstrādi par attiecīgo dalībvalsti. Lēmums par attiecīgās valsts ekonomikas padziļinātās izpētes procedūras uzsākšanu var tikt pieņemts pamatojoties uz izvērstu, fundamentālu ekonomiskās situācijas un saistīto risku analīzi, kā arī ņemot vērā rādītāju sagaidāmo dinamiku. Automātiska padziļinātās izpētes procedūras uzsākšana, pamatojoties vienīgi uz tehnisku dažu rādītāju noteikto robežvērtību pārsniegšanu, netiek praktizēta. Pamata rādītāju tabula (</w:t>
      </w:r>
      <w:proofErr w:type="spellStart"/>
      <w:r w:rsidRPr="00871AC9">
        <w:rPr>
          <w:rFonts w:cstheme="minorBidi"/>
          <w:i/>
        </w:rPr>
        <w:t>scoreboard</w:t>
      </w:r>
      <w:proofErr w:type="spellEnd"/>
      <w:r w:rsidRPr="00871AC9">
        <w:rPr>
          <w:rFonts w:cstheme="minorBidi"/>
        </w:rPr>
        <w:t>) ietver šādus rādītājus:</w:t>
      </w:r>
    </w:p>
    <w:p w14:paraId="6B8F93A3" w14:textId="77777777" w:rsidR="00D56B46" w:rsidRPr="00871AC9" w:rsidRDefault="00D56B46" w:rsidP="00D56B46">
      <w:pPr>
        <w:numPr>
          <w:ilvl w:val="0"/>
          <w:numId w:val="3"/>
        </w:numPr>
        <w:spacing w:before="60" w:after="60"/>
        <w:ind w:left="567"/>
        <w:contextualSpacing/>
        <w:jc w:val="left"/>
        <w:rPr>
          <w:rFonts w:cstheme="minorBidi"/>
        </w:rPr>
      </w:pPr>
      <w:r w:rsidRPr="00871AC9">
        <w:rPr>
          <w:rFonts w:cstheme="minorBidi"/>
        </w:rPr>
        <w:t>Tekošā konta bilance, % no IKP, 3 gadu vidējais rādītājs;</w:t>
      </w:r>
    </w:p>
    <w:p w14:paraId="7E1FB206" w14:textId="77777777" w:rsidR="00D56B46" w:rsidRPr="00871AC9" w:rsidRDefault="00D56B46" w:rsidP="00D56B46">
      <w:pPr>
        <w:numPr>
          <w:ilvl w:val="0"/>
          <w:numId w:val="3"/>
        </w:numPr>
        <w:spacing w:before="60" w:after="60"/>
        <w:ind w:left="567"/>
        <w:contextualSpacing/>
        <w:jc w:val="left"/>
        <w:rPr>
          <w:rFonts w:cstheme="minorBidi"/>
        </w:rPr>
      </w:pPr>
      <w:r w:rsidRPr="00871AC9">
        <w:rPr>
          <w:rFonts w:cstheme="minorBidi"/>
        </w:rPr>
        <w:t>Neto starptautisko investīciju pozīcija, % no IKP;</w:t>
      </w:r>
    </w:p>
    <w:p w14:paraId="20FD79E8" w14:textId="77777777" w:rsidR="00D56B46" w:rsidRPr="00871AC9" w:rsidRDefault="00D56B46" w:rsidP="00D56B46">
      <w:pPr>
        <w:numPr>
          <w:ilvl w:val="0"/>
          <w:numId w:val="3"/>
        </w:numPr>
        <w:spacing w:before="60" w:after="60"/>
        <w:ind w:left="567"/>
        <w:contextualSpacing/>
        <w:jc w:val="left"/>
        <w:rPr>
          <w:rFonts w:cstheme="minorBidi"/>
        </w:rPr>
      </w:pPr>
      <w:r w:rsidRPr="00871AC9">
        <w:rPr>
          <w:rFonts w:cstheme="minorBidi"/>
        </w:rPr>
        <w:t xml:space="preserve">Reālais efektīvais valūtas kurss (HICP </w:t>
      </w:r>
      <w:proofErr w:type="spellStart"/>
      <w:r w:rsidRPr="00871AC9">
        <w:rPr>
          <w:rFonts w:cstheme="minorBidi"/>
        </w:rPr>
        <w:t>deflators</w:t>
      </w:r>
      <w:proofErr w:type="spellEnd"/>
      <w:r w:rsidRPr="00871AC9">
        <w:rPr>
          <w:rFonts w:cstheme="minorBidi"/>
        </w:rPr>
        <w:t>), 3 gadu % izmaiņas;</w:t>
      </w:r>
    </w:p>
    <w:p w14:paraId="373A7826" w14:textId="77777777" w:rsidR="00D56B46" w:rsidRPr="00871AC9" w:rsidRDefault="00D56B46" w:rsidP="00D56B46">
      <w:pPr>
        <w:numPr>
          <w:ilvl w:val="0"/>
          <w:numId w:val="3"/>
        </w:numPr>
        <w:spacing w:before="60" w:after="60"/>
        <w:ind w:left="567"/>
        <w:contextualSpacing/>
        <w:jc w:val="left"/>
        <w:rPr>
          <w:rFonts w:cstheme="minorBidi"/>
        </w:rPr>
      </w:pPr>
      <w:r w:rsidRPr="00871AC9">
        <w:rPr>
          <w:rFonts w:cstheme="minorBidi"/>
        </w:rPr>
        <w:t>Eksporta tirgus daļa, % no pasaules eksporta, 5 gadu % izmaiņas;</w:t>
      </w:r>
    </w:p>
    <w:p w14:paraId="59200C7D" w14:textId="77777777" w:rsidR="00D56B46" w:rsidRPr="00871AC9" w:rsidRDefault="00D56B46" w:rsidP="00D56B46">
      <w:pPr>
        <w:numPr>
          <w:ilvl w:val="0"/>
          <w:numId w:val="3"/>
        </w:numPr>
        <w:spacing w:before="60" w:after="60"/>
        <w:ind w:left="567"/>
        <w:contextualSpacing/>
        <w:jc w:val="left"/>
        <w:rPr>
          <w:rFonts w:cstheme="minorBidi"/>
        </w:rPr>
      </w:pPr>
      <w:r w:rsidRPr="00871AC9">
        <w:rPr>
          <w:rFonts w:cstheme="minorBidi"/>
        </w:rPr>
        <w:lastRenderedPageBreak/>
        <w:t>Nominālo vienības darbaspēka izmaksu indekss,</w:t>
      </w:r>
      <w:r w:rsidRPr="00871AC9">
        <w:rPr>
          <w:rStyle w:val="FootnoteReference"/>
        </w:rPr>
        <w:footnoteReference w:id="3"/>
      </w:r>
      <w:r w:rsidRPr="00871AC9">
        <w:rPr>
          <w:rFonts w:cstheme="minorBidi"/>
        </w:rPr>
        <w:t xml:space="preserve"> 3 gadu % izmaiņas, (2010=100);</w:t>
      </w:r>
    </w:p>
    <w:p w14:paraId="3D8C0A93" w14:textId="77777777" w:rsidR="00D56B46" w:rsidRPr="00871AC9" w:rsidRDefault="00D56B46" w:rsidP="00D56B46">
      <w:pPr>
        <w:numPr>
          <w:ilvl w:val="0"/>
          <w:numId w:val="3"/>
        </w:numPr>
        <w:spacing w:before="60" w:after="60"/>
        <w:ind w:left="567"/>
        <w:contextualSpacing/>
        <w:jc w:val="left"/>
        <w:rPr>
          <w:rFonts w:cstheme="minorBidi"/>
        </w:rPr>
      </w:pPr>
      <w:r w:rsidRPr="00871AC9">
        <w:rPr>
          <w:rFonts w:cstheme="minorBidi"/>
        </w:rPr>
        <w:t>Mājokļu cenu indekss (2010=100), gada % izmaiņas;</w:t>
      </w:r>
    </w:p>
    <w:p w14:paraId="407E8A36" w14:textId="77777777" w:rsidR="00D56B46" w:rsidRPr="00871AC9" w:rsidRDefault="00D56B46" w:rsidP="00D56B46">
      <w:pPr>
        <w:numPr>
          <w:ilvl w:val="0"/>
          <w:numId w:val="3"/>
        </w:numPr>
        <w:spacing w:before="60" w:after="60"/>
        <w:ind w:left="567"/>
        <w:contextualSpacing/>
        <w:jc w:val="left"/>
        <w:rPr>
          <w:rFonts w:cstheme="minorBidi"/>
        </w:rPr>
      </w:pPr>
      <w:r w:rsidRPr="00871AC9">
        <w:rPr>
          <w:rFonts w:cstheme="minorBidi"/>
        </w:rPr>
        <w:t xml:space="preserve">Privātā sektora konsolidētā </w:t>
      </w:r>
      <w:proofErr w:type="spellStart"/>
      <w:r w:rsidRPr="00871AC9">
        <w:rPr>
          <w:rFonts w:cstheme="minorBidi"/>
        </w:rPr>
        <w:t>kredītplūsma</w:t>
      </w:r>
      <w:proofErr w:type="spellEnd"/>
      <w:r w:rsidRPr="00871AC9">
        <w:rPr>
          <w:rFonts w:cstheme="minorBidi"/>
        </w:rPr>
        <w:t>, % no IKP;</w:t>
      </w:r>
    </w:p>
    <w:p w14:paraId="5189072B" w14:textId="77777777" w:rsidR="00D56B46" w:rsidRPr="00871AC9" w:rsidRDefault="00D56B46" w:rsidP="00D56B46">
      <w:pPr>
        <w:numPr>
          <w:ilvl w:val="0"/>
          <w:numId w:val="3"/>
        </w:numPr>
        <w:spacing w:before="60" w:after="60"/>
        <w:ind w:left="567"/>
        <w:contextualSpacing/>
        <w:jc w:val="left"/>
        <w:rPr>
          <w:rFonts w:cstheme="minorBidi"/>
        </w:rPr>
      </w:pPr>
      <w:r w:rsidRPr="00871AC9">
        <w:rPr>
          <w:rFonts w:cstheme="minorBidi"/>
        </w:rPr>
        <w:t>Privātā sektora konsolidētais parāds, % no IKP;</w:t>
      </w:r>
    </w:p>
    <w:p w14:paraId="10E4D663" w14:textId="77777777" w:rsidR="00D56B46" w:rsidRPr="00871AC9" w:rsidRDefault="00D56B46" w:rsidP="00D56B46">
      <w:pPr>
        <w:numPr>
          <w:ilvl w:val="0"/>
          <w:numId w:val="3"/>
        </w:numPr>
        <w:spacing w:before="60" w:after="60"/>
        <w:ind w:left="567"/>
        <w:contextualSpacing/>
        <w:jc w:val="left"/>
        <w:rPr>
          <w:rFonts w:cstheme="minorBidi"/>
        </w:rPr>
      </w:pPr>
      <w:r w:rsidRPr="00871AC9">
        <w:rPr>
          <w:rFonts w:cstheme="minorBidi"/>
        </w:rPr>
        <w:t>Vispārējās valdības sektora parāds, % no IKP;</w:t>
      </w:r>
    </w:p>
    <w:p w14:paraId="36015EAB" w14:textId="77777777" w:rsidR="00D56B46" w:rsidRPr="00871AC9" w:rsidRDefault="00D56B46" w:rsidP="00D56B46">
      <w:pPr>
        <w:numPr>
          <w:ilvl w:val="0"/>
          <w:numId w:val="3"/>
        </w:numPr>
        <w:spacing w:before="60" w:after="60"/>
        <w:ind w:left="567"/>
        <w:contextualSpacing/>
        <w:jc w:val="left"/>
        <w:rPr>
          <w:rFonts w:cstheme="minorBidi"/>
        </w:rPr>
      </w:pPr>
      <w:r w:rsidRPr="00871AC9">
        <w:rPr>
          <w:rFonts w:cstheme="minorBidi"/>
        </w:rPr>
        <w:t>Bezdarba līmenis, 3 gadu vidējais;</w:t>
      </w:r>
    </w:p>
    <w:p w14:paraId="6D99A3A1" w14:textId="77777777" w:rsidR="00D56B46" w:rsidRPr="00871AC9" w:rsidRDefault="00D56B46" w:rsidP="00D56B46">
      <w:pPr>
        <w:numPr>
          <w:ilvl w:val="0"/>
          <w:numId w:val="3"/>
        </w:numPr>
        <w:spacing w:before="60" w:after="60"/>
        <w:ind w:left="567"/>
        <w:contextualSpacing/>
        <w:jc w:val="left"/>
        <w:rPr>
          <w:rFonts w:cstheme="minorBidi"/>
        </w:rPr>
      </w:pPr>
      <w:r w:rsidRPr="00871AC9">
        <w:rPr>
          <w:rFonts w:cstheme="minorBidi"/>
        </w:rPr>
        <w:t>Finanšu sektora nekonsolidētās saistības, 1 gada % izmaiņas;</w:t>
      </w:r>
    </w:p>
    <w:p w14:paraId="3A274BB4" w14:textId="77777777" w:rsidR="00D56B46" w:rsidRPr="00871AC9" w:rsidRDefault="00D56B46" w:rsidP="00D56B46">
      <w:pPr>
        <w:numPr>
          <w:ilvl w:val="0"/>
          <w:numId w:val="3"/>
        </w:numPr>
        <w:spacing w:before="60" w:after="60"/>
        <w:ind w:left="567"/>
        <w:contextualSpacing/>
        <w:jc w:val="left"/>
        <w:rPr>
          <w:rFonts w:cstheme="minorBidi"/>
        </w:rPr>
      </w:pPr>
      <w:r w:rsidRPr="00871AC9">
        <w:rPr>
          <w:rFonts w:cstheme="minorBidi"/>
        </w:rPr>
        <w:t>Iedzīvotāju ekonomiskās aktivitātes līmenis – 3 gadu izmaiņas procentu punktos no visiem iedzīvotājiem vecuma grupā no 15 līdz 64 gadiem;</w:t>
      </w:r>
    </w:p>
    <w:p w14:paraId="109007BE" w14:textId="77777777" w:rsidR="00D56B46" w:rsidRPr="00871AC9" w:rsidRDefault="00D56B46" w:rsidP="00D56B46">
      <w:pPr>
        <w:numPr>
          <w:ilvl w:val="0"/>
          <w:numId w:val="3"/>
        </w:numPr>
        <w:spacing w:before="60" w:after="60"/>
        <w:ind w:left="567"/>
        <w:contextualSpacing/>
        <w:jc w:val="left"/>
        <w:rPr>
          <w:rFonts w:cstheme="minorBidi"/>
        </w:rPr>
      </w:pPr>
      <w:r w:rsidRPr="00871AC9">
        <w:rPr>
          <w:rFonts w:cstheme="minorBidi"/>
        </w:rPr>
        <w:t>Ilgtermiņa bezdarba līmenis – 3 gadu izmaiņas procentu punktos no ekonomiski aktīvajiem iedzīvotājiem vecuma grupā no 15 līdz 74 gadiem;</w:t>
      </w:r>
    </w:p>
    <w:p w14:paraId="0085C537" w14:textId="77777777" w:rsidR="00D56B46" w:rsidRPr="00871AC9" w:rsidRDefault="00D56B46" w:rsidP="00D56B46">
      <w:pPr>
        <w:numPr>
          <w:ilvl w:val="0"/>
          <w:numId w:val="3"/>
        </w:numPr>
        <w:spacing w:before="60" w:after="60"/>
        <w:ind w:left="567"/>
        <w:contextualSpacing/>
        <w:jc w:val="left"/>
        <w:rPr>
          <w:rFonts w:cstheme="minorBidi"/>
        </w:rPr>
      </w:pPr>
      <w:r w:rsidRPr="00871AC9">
        <w:rPr>
          <w:rFonts w:cstheme="minorBidi"/>
        </w:rPr>
        <w:t>Jauniešu bezdarba līmenis – 3 gadu izmaiņas procentu punktos no ekonomiski aktīvajiem iedzīvotājiem vecuma grupā no 15 līdz 24 gadiem.</w:t>
      </w:r>
    </w:p>
    <w:p w14:paraId="26EB8382" w14:textId="77777777" w:rsidR="00D56B46" w:rsidRPr="00871AC9" w:rsidRDefault="00D56B46" w:rsidP="00D56B46">
      <w:pPr>
        <w:spacing w:before="120" w:after="60"/>
        <w:ind w:firstLine="567"/>
        <w:rPr>
          <w:rFonts w:cstheme="minorBidi"/>
        </w:rPr>
      </w:pPr>
      <w:r w:rsidRPr="00871AC9">
        <w:rPr>
          <w:rFonts w:cstheme="minorBidi"/>
        </w:rPr>
        <w:t xml:space="preserve">Līdzīgi kā pamata rādītāju tehniskā neievērošana, arī </w:t>
      </w:r>
      <w:proofErr w:type="spellStart"/>
      <w:r w:rsidRPr="00871AC9">
        <w:rPr>
          <w:rFonts w:cstheme="minorBidi"/>
        </w:rPr>
        <w:t>jaunieviesto</w:t>
      </w:r>
      <w:proofErr w:type="spellEnd"/>
      <w:r w:rsidRPr="00871AC9">
        <w:rPr>
          <w:rFonts w:cstheme="minorBidi"/>
        </w:rPr>
        <w:t xml:space="preserve"> sociālo rādītāju robežvērtību tehniska neievērošana nevar kalpot par makroekonomiskās nesabalansētības fakta atzīšanu kādā no dalībvalstīm – šāds lēmums vienmēr tiek balstīts uz padziļinātu, vispārēju situācijas analīzi, ņemot vērā rādītāju dinamiku un attīstības perspektīvas.</w:t>
      </w:r>
    </w:p>
    <w:p w14:paraId="6D4ABE7B" w14:textId="2991972B" w:rsidR="00EF1D74" w:rsidRDefault="00EF1D74" w:rsidP="00EF1D74">
      <w:pPr>
        <w:keepNext/>
        <w:keepLines/>
        <w:spacing w:before="240" w:after="240" w:line="259" w:lineRule="auto"/>
        <w:ind w:firstLine="0"/>
        <w:jc w:val="center"/>
        <w:outlineLvl w:val="2"/>
        <w:rPr>
          <w:b/>
          <w:bCs/>
          <w:kern w:val="32"/>
          <w:sz w:val="32"/>
          <w:szCs w:val="32"/>
        </w:rPr>
      </w:pPr>
      <w:r w:rsidRPr="00EF1D74">
        <w:rPr>
          <w:b/>
          <w:bCs/>
          <w:kern w:val="32"/>
          <w:sz w:val="32"/>
          <w:szCs w:val="32"/>
        </w:rPr>
        <w:t>1.3.2. </w:t>
      </w:r>
      <w:r w:rsidR="00D56B46" w:rsidRPr="00D56B46">
        <w:rPr>
          <w:b/>
          <w:bCs/>
          <w:kern w:val="32"/>
          <w:sz w:val="32"/>
          <w:szCs w:val="32"/>
        </w:rPr>
        <w:t>Pārmērīga makroekonomiskā nesabalansētība un padziļinātās izpētes ziņojumu izstrāde</w:t>
      </w:r>
    </w:p>
    <w:p w14:paraId="382398ED" w14:textId="77777777" w:rsidR="00D56B46" w:rsidRDefault="00D56B46" w:rsidP="00D56B46">
      <w:pPr>
        <w:spacing w:before="60" w:after="60"/>
        <w:ind w:firstLine="567"/>
        <w:rPr>
          <w:rFonts w:cstheme="minorBidi"/>
        </w:rPr>
      </w:pPr>
      <w:r w:rsidRPr="00871AC9">
        <w:rPr>
          <w:rFonts w:cstheme="minorBidi"/>
        </w:rPr>
        <w:t>2021</w:t>
      </w:r>
      <w:r>
        <w:rPr>
          <w:rFonts w:cstheme="minorBidi"/>
        </w:rPr>
        <w:t>. gad</w:t>
      </w:r>
      <w:r w:rsidRPr="00871AC9">
        <w:rPr>
          <w:rFonts w:cstheme="minorBidi"/>
        </w:rPr>
        <w:t xml:space="preserve">a Agrās </w:t>
      </w:r>
      <w:r>
        <w:rPr>
          <w:rFonts w:cstheme="minorBidi"/>
        </w:rPr>
        <w:t>b</w:t>
      </w:r>
      <w:r w:rsidRPr="00871AC9">
        <w:rPr>
          <w:rFonts w:cstheme="minorBidi"/>
        </w:rPr>
        <w:t>rīdināšanas mehānisma ziņojumā 12 dalībvalst</w:t>
      </w:r>
      <w:r>
        <w:rPr>
          <w:rFonts w:cstheme="minorBidi"/>
        </w:rPr>
        <w:t>īm</w:t>
      </w:r>
      <w:r w:rsidRPr="00871AC9">
        <w:rPr>
          <w:rFonts w:cstheme="minorBidi"/>
        </w:rPr>
        <w:t xml:space="preserve"> konstatētas nesabalansētības, t.sk. 3 dalībvalst</w:t>
      </w:r>
      <w:r>
        <w:rPr>
          <w:rFonts w:cstheme="minorBidi"/>
        </w:rPr>
        <w:t>īm</w:t>
      </w:r>
      <w:r w:rsidRPr="00871AC9">
        <w:rPr>
          <w:rFonts w:cstheme="minorBidi"/>
        </w:rPr>
        <w:t xml:space="preserve"> pārmērīg</w:t>
      </w:r>
      <w:r>
        <w:rPr>
          <w:rFonts w:cstheme="minorBidi"/>
        </w:rPr>
        <w:t>as</w:t>
      </w:r>
      <w:r w:rsidRPr="00871AC9">
        <w:rPr>
          <w:rFonts w:cstheme="minorBidi"/>
        </w:rPr>
        <w:t xml:space="preserve"> nesabalansētīb</w:t>
      </w:r>
      <w:r>
        <w:rPr>
          <w:rFonts w:cstheme="minorBidi"/>
        </w:rPr>
        <w:t>as. Tādējādi pandēmijas gadā par vienu</w:t>
      </w:r>
      <w:r w:rsidRPr="00871AC9">
        <w:rPr>
          <w:rFonts w:cstheme="minorBidi"/>
        </w:rPr>
        <w:t xml:space="preserve"> valsti  (Bulgāriju) ir samazinājies kopējais </w:t>
      </w:r>
      <w:r>
        <w:rPr>
          <w:rFonts w:cstheme="minorBidi"/>
        </w:rPr>
        <w:t xml:space="preserve">padziļināti </w:t>
      </w:r>
      <w:r w:rsidRPr="00871AC9">
        <w:rPr>
          <w:rFonts w:cstheme="minorBidi"/>
        </w:rPr>
        <w:t>analizējamo valstu skaits. Pārējo valstu sastāvs ar konstatē</w:t>
      </w:r>
      <w:r>
        <w:rPr>
          <w:rFonts w:cstheme="minorBidi"/>
        </w:rPr>
        <w:t>ta</w:t>
      </w:r>
      <w:r w:rsidRPr="00871AC9">
        <w:rPr>
          <w:rFonts w:cstheme="minorBidi"/>
        </w:rPr>
        <w:t xml:space="preserve">jām </w:t>
      </w:r>
      <w:proofErr w:type="spellStart"/>
      <w:r w:rsidRPr="00871AC9">
        <w:rPr>
          <w:rFonts w:cstheme="minorBidi"/>
        </w:rPr>
        <w:t>nesabalansētībām</w:t>
      </w:r>
      <w:proofErr w:type="spellEnd"/>
      <w:r w:rsidRPr="00871AC9">
        <w:rPr>
          <w:rFonts w:cstheme="minorBidi"/>
        </w:rPr>
        <w:t xml:space="preserve"> un pārmērīgajām </w:t>
      </w:r>
      <w:proofErr w:type="spellStart"/>
      <w:r w:rsidRPr="00871AC9">
        <w:rPr>
          <w:rFonts w:cstheme="minorBidi"/>
        </w:rPr>
        <w:t>nesabalansētībām</w:t>
      </w:r>
      <w:proofErr w:type="spellEnd"/>
      <w:r w:rsidRPr="00871AC9">
        <w:rPr>
          <w:rFonts w:cstheme="minorBidi"/>
        </w:rPr>
        <w:t xml:space="preserve"> nav mainījies.  </w:t>
      </w:r>
    </w:p>
    <w:p w14:paraId="48AE9A22" w14:textId="77777777" w:rsidR="00D56B46" w:rsidRDefault="00D56B46" w:rsidP="00D56B46">
      <w:pPr>
        <w:spacing w:before="60" w:after="60"/>
        <w:ind w:firstLine="567"/>
        <w:rPr>
          <w:rFonts w:cstheme="minorBidi"/>
        </w:rPr>
      </w:pPr>
      <w:r>
        <w:rPr>
          <w:rFonts w:cstheme="minorBidi"/>
        </w:rPr>
        <w:t>Latvijā tāpat kā līdz šim makroekonomiskās nesabalansētības nav konstatētas un nav ierosināts sākt padziļināto izpēti.</w:t>
      </w:r>
    </w:p>
    <w:p w14:paraId="6D5BE29D" w14:textId="77777777" w:rsidR="00D56B46" w:rsidRPr="00C80494" w:rsidRDefault="00D56B46" w:rsidP="00D56B46">
      <w:pPr>
        <w:keepNext/>
        <w:spacing w:after="0"/>
        <w:ind w:firstLine="0"/>
        <w:jc w:val="center"/>
        <w:rPr>
          <w:rFonts w:eastAsia="Calibri"/>
          <w:b/>
          <w:i/>
        </w:rPr>
      </w:pPr>
      <w:r>
        <w:rPr>
          <w:rFonts w:eastAsia="Calibri"/>
          <w:b/>
          <w:i/>
        </w:rPr>
        <w:t>1.42</w:t>
      </w:r>
      <w:r w:rsidRPr="00C80494">
        <w:rPr>
          <w:rFonts w:eastAsia="Calibri"/>
          <w:b/>
          <w:i/>
        </w:rPr>
        <w:t xml:space="preserve">. </w:t>
      </w:r>
      <w:r>
        <w:rPr>
          <w:rFonts w:eastAsia="Calibri"/>
          <w:b/>
          <w:i/>
        </w:rPr>
        <w:t>attēls</w:t>
      </w:r>
      <w:r w:rsidRPr="00C80494">
        <w:rPr>
          <w:rFonts w:eastAsia="Calibri"/>
          <w:b/>
          <w:i/>
        </w:rPr>
        <w:t xml:space="preserve"> </w:t>
      </w:r>
      <w:r w:rsidRPr="00024598">
        <w:rPr>
          <w:rFonts w:eastAsia="Calibri"/>
          <w:b/>
        </w:rPr>
        <w:t xml:space="preserve">Valstu skaits, kurās pārsniegts </w:t>
      </w:r>
      <w:r w:rsidRPr="00024598">
        <w:rPr>
          <w:b/>
        </w:rPr>
        <w:t xml:space="preserve">Agrās brīdināšanas mehānisma rādītāju </w:t>
      </w:r>
      <w:r w:rsidRPr="00024598">
        <w:rPr>
          <w:rFonts w:eastAsia="Calibri"/>
          <w:b/>
        </w:rPr>
        <w:t xml:space="preserve">noteikto </w:t>
      </w:r>
      <w:proofErr w:type="spellStart"/>
      <w:r w:rsidRPr="00024598">
        <w:rPr>
          <w:rFonts w:eastAsia="Calibri"/>
          <w:b/>
        </w:rPr>
        <w:t>robežslieksni</w:t>
      </w:r>
      <w:proofErr w:type="spellEnd"/>
      <w:r w:rsidRPr="00024598">
        <w:rPr>
          <w:rFonts w:eastAsia="Calibri"/>
          <w:b/>
        </w:rPr>
        <w:t xml:space="preserve"> (pa rādītājiem)</w:t>
      </w:r>
    </w:p>
    <w:p w14:paraId="7911A02F" w14:textId="77777777" w:rsidR="00D56B46" w:rsidRPr="0056738D" w:rsidRDefault="00D56B46" w:rsidP="00D56B46">
      <w:pPr>
        <w:spacing w:before="60" w:after="60"/>
        <w:ind w:firstLine="0"/>
        <w:jc w:val="center"/>
        <w:rPr>
          <w:rFonts w:cstheme="minorBidi"/>
          <w:sz w:val="28"/>
          <w:szCs w:val="28"/>
        </w:rPr>
      </w:pPr>
      <w:r>
        <w:rPr>
          <w:noProof/>
          <w:lang w:eastAsia="lv-LV"/>
        </w:rPr>
        <w:drawing>
          <wp:inline distT="0" distB="0" distL="0" distR="0" wp14:anchorId="44D71D34" wp14:editId="468025C4">
            <wp:extent cx="5771820" cy="3033395"/>
            <wp:effectExtent l="0" t="0" r="635" b="0"/>
            <wp:docPr id="1" name="Chart 1">
              <a:extLst xmlns:a="http://schemas.openxmlformats.org/drawingml/2006/main">
                <a:ext uri="{FF2B5EF4-FFF2-40B4-BE49-F238E27FC236}">
                  <a16:creationId xmlns:a16="http://schemas.microsoft.com/office/drawing/2014/main" id="{0E88124D-4D46-43D9-90EF-F946BB9A62F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p w14:paraId="343B34B8" w14:textId="77777777" w:rsidR="00D56B46" w:rsidRPr="00FF60D3" w:rsidRDefault="00D56B46" w:rsidP="00D56B46">
      <w:pPr>
        <w:spacing w:before="60" w:after="60"/>
        <w:ind w:firstLine="567"/>
        <w:rPr>
          <w:rFonts w:cstheme="minorBidi"/>
        </w:rPr>
      </w:pPr>
      <w:r w:rsidRPr="00FF60D3">
        <w:rPr>
          <w:rFonts w:cstheme="minorBidi"/>
        </w:rPr>
        <w:lastRenderedPageBreak/>
        <w:t>Saskaņā ar 2021</w:t>
      </w:r>
      <w:r>
        <w:rPr>
          <w:rFonts w:cstheme="minorBidi"/>
        </w:rPr>
        <w:t>.</w:t>
      </w:r>
      <w:r w:rsidRPr="00FF60D3">
        <w:rPr>
          <w:rFonts w:cstheme="minorBidi"/>
        </w:rPr>
        <w:t xml:space="preserve"> gada Agrās brīdināšanas mehānisma ziņojumu padziļinātā izpētes procedūra ir uzsākta 12 valstīm –</w:t>
      </w:r>
      <w:r>
        <w:rPr>
          <w:rFonts w:cstheme="minorBidi"/>
        </w:rPr>
        <w:t xml:space="preserve"> </w:t>
      </w:r>
      <w:r w:rsidRPr="00FF60D3">
        <w:rPr>
          <w:rFonts w:cstheme="minorBidi"/>
        </w:rPr>
        <w:t>Horvātijai, Francijai, Vācijai, Īrijai, Nīderlandei, Portugālei, Rumānijai, Spānijai un Zviedrijai, kā arī Kiprai, Grieķijai un Itālijai, kurās ir konstatē</w:t>
      </w:r>
      <w:r>
        <w:rPr>
          <w:rFonts w:cstheme="minorBidi"/>
        </w:rPr>
        <w:t>tas pārmērīgas nesabalansētības (1.5. tabula).</w:t>
      </w:r>
    </w:p>
    <w:p w14:paraId="5E62443E" w14:textId="77777777" w:rsidR="00D56B46" w:rsidRPr="00FF60D3" w:rsidRDefault="00D56B46" w:rsidP="00D56B46">
      <w:pPr>
        <w:spacing w:before="60" w:after="60"/>
        <w:ind w:firstLine="720"/>
        <w:rPr>
          <w:rFonts w:cstheme="minorBidi"/>
        </w:rPr>
      </w:pPr>
    </w:p>
    <w:p w14:paraId="7AE0F0B6" w14:textId="77777777" w:rsidR="00D56B46" w:rsidRPr="00E505AC" w:rsidRDefault="00D56B46" w:rsidP="00D56B46">
      <w:pPr>
        <w:keepNext/>
        <w:spacing w:before="60" w:after="240"/>
        <w:ind w:firstLine="0"/>
        <w:jc w:val="center"/>
        <w:rPr>
          <w:b/>
          <w:i/>
        </w:rPr>
      </w:pPr>
      <w:r w:rsidRPr="00E505AC">
        <w:rPr>
          <w:rFonts w:cstheme="minorBidi"/>
          <w:b/>
          <w:i/>
        </w:rPr>
        <w:t>1.5</w:t>
      </w:r>
      <w:r w:rsidRPr="00E505AC">
        <w:rPr>
          <w:b/>
          <w:i/>
        </w:rPr>
        <w:t xml:space="preserve">. tabula </w:t>
      </w:r>
      <w:r w:rsidRPr="00E505AC">
        <w:rPr>
          <w:b/>
        </w:rPr>
        <w:t>2021</w:t>
      </w:r>
      <w:r>
        <w:rPr>
          <w:b/>
        </w:rPr>
        <w:t>. gad</w:t>
      </w:r>
      <w:r w:rsidRPr="00E505AC">
        <w:rPr>
          <w:b/>
        </w:rPr>
        <w:t>a Agrās brīdināšanas mehānisma ziņojuma rezultāts</w:t>
      </w:r>
      <w:r w:rsidRPr="00E505AC">
        <w:rPr>
          <w:b/>
          <w:vertAlign w:val="superscript"/>
        </w:rPr>
        <w:footnoteReference w:id="4"/>
      </w:r>
    </w:p>
    <w:tbl>
      <w:tblPr>
        <w:tblStyle w:val="ListTable2-Accent1"/>
        <w:tblW w:w="9117" w:type="dxa"/>
        <w:jc w:val="center"/>
        <w:tblLook w:val="04A0" w:firstRow="1" w:lastRow="0" w:firstColumn="1" w:lastColumn="0" w:noHBand="0" w:noVBand="1"/>
      </w:tblPr>
      <w:tblGrid>
        <w:gridCol w:w="4144"/>
        <w:gridCol w:w="4973"/>
      </w:tblGrid>
      <w:tr w:rsidR="00D56B46" w:rsidRPr="00F2768F" w14:paraId="4625CF30" w14:textId="77777777" w:rsidTr="00D56B46">
        <w:trPr>
          <w:cnfStyle w:val="100000000000" w:firstRow="1" w:lastRow="0" w:firstColumn="0" w:lastColumn="0" w:oddVBand="0" w:evenVBand="0" w:oddHBand="0" w:evenHBand="0" w:firstRowFirstColumn="0" w:firstRowLastColumn="0" w:lastRowFirstColumn="0" w:lastRowLastColumn="0"/>
          <w:trHeight w:val="474"/>
          <w:jc w:val="center"/>
        </w:trPr>
        <w:tc>
          <w:tcPr>
            <w:cnfStyle w:val="001000000000" w:firstRow="0" w:lastRow="0" w:firstColumn="1" w:lastColumn="0" w:oddVBand="0" w:evenVBand="0" w:oddHBand="0" w:evenHBand="0" w:firstRowFirstColumn="0" w:firstRowLastColumn="0" w:lastRowFirstColumn="0" w:lastRowLastColumn="0"/>
            <w:tcW w:w="4144" w:type="dxa"/>
          </w:tcPr>
          <w:p w14:paraId="227F6F6E" w14:textId="77777777" w:rsidR="00D56B46" w:rsidRPr="00BB2E38" w:rsidRDefault="00D56B46" w:rsidP="00D56B46">
            <w:pPr>
              <w:numPr>
                <w:ilvl w:val="0"/>
                <w:numId w:val="2"/>
              </w:numPr>
              <w:spacing w:before="60" w:after="60"/>
              <w:ind w:left="360"/>
              <w:contextualSpacing/>
              <w:jc w:val="left"/>
              <w:rPr>
                <w:b w:val="0"/>
                <w:bCs w:val="0"/>
                <w:sz w:val="18"/>
                <w:szCs w:val="18"/>
              </w:rPr>
            </w:pPr>
            <w:r w:rsidRPr="00BB2E38">
              <w:rPr>
                <w:b w:val="0"/>
                <w:bCs w:val="0"/>
                <w:sz w:val="18"/>
                <w:szCs w:val="18"/>
              </w:rPr>
              <w:t xml:space="preserve">Nesabalansētības netika konstatētas un netiek iniciēta Padziļinātā izpētes ziņojuma izstrāde </w:t>
            </w:r>
          </w:p>
        </w:tc>
        <w:tc>
          <w:tcPr>
            <w:tcW w:w="4973" w:type="dxa"/>
          </w:tcPr>
          <w:p w14:paraId="0DE28570" w14:textId="77777777" w:rsidR="00D56B46" w:rsidRPr="00295023" w:rsidRDefault="00D56B46" w:rsidP="00D56B46">
            <w:pPr>
              <w:spacing w:before="60" w:after="60"/>
              <w:ind w:firstLine="0"/>
              <w:cnfStyle w:val="100000000000" w:firstRow="1" w:lastRow="0" w:firstColumn="0" w:lastColumn="0" w:oddVBand="0" w:evenVBand="0" w:oddHBand="0" w:evenHBand="0" w:firstRowFirstColumn="0" w:firstRowLastColumn="0" w:lastRowFirstColumn="0" w:lastRowLastColumn="0"/>
              <w:rPr>
                <w:b w:val="0"/>
                <w:bCs w:val="0"/>
                <w:sz w:val="18"/>
                <w:szCs w:val="18"/>
              </w:rPr>
            </w:pPr>
            <w:r w:rsidRPr="00295023">
              <w:rPr>
                <w:b w:val="0"/>
                <w:sz w:val="18"/>
                <w:szCs w:val="18"/>
              </w:rPr>
              <w:t xml:space="preserve">Austrija, Beļģija, Igaunija, Ungārija,  Čehija, Dānija, </w:t>
            </w:r>
            <w:r w:rsidRPr="00295023">
              <w:rPr>
                <w:sz w:val="18"/>
                <w:szCs w:val="18"/>
              </w:rPr>
              <w:t>Latvija</w:t>
            </w:r>
            <w:r w:rsidRPr="00295023">
              <w:rPr>
                <w:b w:val="0"/>
                <w:sz w:val="18"/>
                <w:szCs w:val="18"/>
              </w:rPr>
              <w:t>, Lietuva, Luksemburga, Malta, Slovākija, Polija, Slovēnija, Somija</w:t>
            </w:r>
          </w:p>
        </w:tc>
      </w:tr>
      <w:tr w:rsidR="00D56B46" w:rsidRPr="00F2768F" w14:paraId="27DD82E6" w14:textId="77777777" w:rsidTr="00D56B46">
        <w:trPr>
          <w:cnfStyle w:val="000000100000" w:firstRow="0" w:lastRow="0" w:firstColumn="0" w:lastColumn="0" w:oddVBand="0" w:evenVBand="0" w:oddHBand="1" w:evenHBand="0" w:firstRowFirstColumn="0" w:firstRowLastColumn="0" w:lastRowFirstColumn="0" w:lastRowLastColumn="0"/>
          <w:trHeight w:val="474"/>
          <w:jc w:val="center"/>
        </w:trPr>
        <w:tc>
          <w:tcPr>
            <w:cnfStyle w:val="001000000000" w:firstRow="0" w:lastRow="0" w:firstColumn="1" w:lastColumn="0" w:oddVBand="0" w:evenVBand="0" w:oddHBand="0" w:evenHBand="0" w:firstRowFirstColumn="0" w:firstRowLastColumn="0" w:lastRowFirstColumn="0" w:lastRowLastColumn="0"/>
            <w:tcW w:w="4144" w:type="dxa"/>
          </w:tcPr>
          <w:p w14:paraId="338A3270" w14:textId="77777777" w:rsidR="00D56B46" w:rsidRPr="00295023" w:rsidRDefault="00D56B46" w:rsidP="00D56B46">
            <w:pPr>
              <w:numPr>
                <w:ilvl w:val="0"/>
                <w:numId w:val="2"/>
              </w:numPr>
              <w:spacing w:before="60" w:after="60"/>
              <w:ind w:left="360"/>
              <w:contextualSpacing/>
              <w:jc w:val="left"/>
              <w:rPr>
                <w:b w:val="0"/>
                <w:bCs w:val="0"/>
                <w:sz w:val="18"/>
                <w:szCs w:val="18"/>
              </w:rPr>
            </w:pPr>
            <w:r w:rsidRPr="00295023">
              <w:rPr>
                <w:b w:val="0"/>
                <w:sz w:val="18"/>
                <w:szCs w:val="18"/>
              </w:rPr>
              <w:t>Pastāv makroekonomiskās nesabalansētības</w:t>
            </w:r>
          </w:p>
        </w:tc>
        <w:tc>
          <w:tcPr>
            <w:tcW w:w="4973" w:type="dxa"/>
          </w:tcPr>
          <w:p w14:paraId="57BDCFE6" w14:textId="77777777" w:rsidR="00D56B46" w:rsidRPr="00E505AC" w:rsidRDefault="00D56B46" w:rsidP="00D56B46">
            <w:pPr>
              <w:spacing w:before="60" w:after="60"/>
              <w:ind w:firstLine="0"/>
              <w:cnfStyle w:val="000000100000" w:firstRow="0" w:lastRow="0" w:firstColumn="0" w:lastColumn="0" w:oddVBand="0" w:evenVBand="0" w:oddHBand="1" w:evenHBand="0" w:firstRowFirstColumn="0" w:firstRowLastColumn="0" w:lastRowFirstColumn="0" w:lastRowLastColumn="0"/>
              <w:rPr>
                <w:sz w:val="18"/>
                <w:szCs w:val="18"/>
              </w:rPr>
            </w:pPr>
            <w:r w:rsidRPr="00E505AC">
              <w:rPr>
                <w:sz w:val="18"/>
                <w:szCs w:val="18"/>
              </w:rPr>
              <w:t>Horvātija, Francija, Vācija, Īrija, Nīderlande, Portugāle, Rumānija, Spānija un Zviedrija</w:t>
            </w:r>
          </w:p>
        </w:tc>
      </w:tr>
      <w:tr w:rsidR="00D56B46" w:rsidRPr="00F2768F" w14:paraId="46387598" w14:textId="77777777" w:rsidTr="00D56B46">
        <w:trPr>
          <w:trHeight w:val="474"/>
          <w:jc w:val="center"/>
        </w:trPr>
        <w:tc>
          <w:tcPr>
            <w:cnfStyle w:val="001000000000" w:firstRow="0" w:lastRow="0" w:firstColumn="1" w:lastColumn="0" w:oddVBand="0" w:evenVBand="0" w:oddHBand="0" w:evenHBand="0" w:firstRowFirstColumn="0" w:firstRowLastColumn="0" w:lastRowFirstColumn="0" w:lastRowLastColumn="0"/>
            <w:tcW w:w="4144" w:type="dxa"/>
          </w:tcPr>
          <w:p w14:paraId="77F36AF2" w14:textId="77777777" w:rsidR="00D56B46" w:rsidRPr="00295023" w:rsidRDefault="00D56B46" w:rsidP="00BB2E38">
            <w:pPr>
              <w:numPr>
                <w:ilvl w:val="0"/>
                <w:numId w:val="2"/>
              </w:numPr>
              <w:spacing w:before="60" w:after="60"/>
              <w:ind w:left="360"/>
              <w:contextualSpacing/>
              <w:rPr>
                <w:b w:val="0"/>
                <w:bCs w:val="0"/>
                <w:sz w:val="18"/>
                <w:szCs w:val="18"/>
              </w:rPr>
            </w:pPr>
            <w:r w:rsidRPr="00295023">
              <w:rPr>
                <w:b w:val="0"/>
                <w:sz w:val="18"/>
                <w:szCs w:val="18"/>
              </w:rPr>
              <w:t>Pastāv pārmērīgas makroekonomiskās nesabalansētības</w:t>
            </w:r>
          </w:p>
        </w:tc>
        <w:tc>
          <w:tcPr>
            <w:tcW w:w="4973" w:type="dxa"/>
          </w:tcPr>
          <w:p w14:paraId="505ACB5C" w14:textId="77777777" w:rsidR="00D56B46" w:rsidRPr="00E505AC" w:rsidRDefault="00D56B46" w:rsidP="00D56B46">
            <w:pPr>
              <w:spacing w:before="60" w:after="60"/>
              <w:ind w:firstLine="0"/>
              <w:cnfStyle w:val="000000000000" w:firstRow="0" w:lastRow="0" w:firstColumn="0" w:lastColumn="0" w:oddVBand="0" w:evenVBand="0" w:oddHBand="0" w:evenHBand="0" w:firstRowFirstColumn="0" w:firstRowLastColumn="0" w:lastRowFirstColumn="0" w:lastRowLastColumn="0"/>
              <w:rPr>
                <w:sz w:val="18"/>
                <w:szCs w:val="18"/>
              </w:rPr>
            </w:pPr>
            <w:r w:rsidRPr="00E505AC">
              <w:rPr>
                <w:sz w:val="18"/>
                <w:szCs w:val="18"/>
              </w:rPr>
              <w:t>Kipra, Grieķija un Itālija</w:t>
            </w:r>
          </w:p>
        </w:tc>
      </w:tr>
      <w:tr w:rsidR="00D56B46" w:rsidRPr="00F2768F" w14:paraId="362D534C" w14:textId="77777777" w:rsidTr="00D56B46">
        <w:trPr>
          <w:cnfStyle w:val="000000100000" w:firstRow="0" w:lastRow="0" w:firstColumn="0" w:lastColumn="0" w:oddVBand="0" w:evenVBand="0" w:oddHBand="1" w:evenHBand="0" w:firstRowFirstColumn="0" w:firstRowLastColumn="0" w:lastRowFirstColumn="0" w:lastRowLastColumn="0"/>
          <w:trHeight w:val="474"/>
          <w:jc w:val="center"/>
        </w:trPr>
        <w:tc>
          <w:tcPr>
            <w:cnfStyle w:val="001000000000" w:firstRow="0" w:lastRow="0" w:firstColumn="1" w:lastColumn="0" w:oddVBand="0" w:evenVBand="0" w:oddHBand="0" w:evenHBand="0" w:firstRowFirstColumn="0" w:firstRowLastColumn="0" w:lastRowFirstColumn="0" w:lastRowLastColumn="0"/>
            <w:tcW w:w="4144" w:type="dxa"/>
          </w:tcPr>
          <w:p w14:paraId="7F0414A4" w14:textId="77777777" w:rsidR="00D56B46" w:rsidRPr="00295023" w:rsidRDefault="00D56B46" w:rsidP="00BB2E38">
            <w:pPr>
              <w:numPr>
                <w:ilvl w:val="0"/>
                <w:numId w:val="2"/>
              </w:numPr>
              <w:spacing w:before="60" w:after="60"/>
              <w:ind w:left="360"/>
              <w:contextualSpacing/>
              <w:rPr>
                <w:b w:val="0"/>
                <w:bCs w:val="0"/>
                <w:sz w:val="18"/>
                <w:szCs w:val="18"/>
              </w:rPr>
            </w:pPr>
            <w:r w:rsidRPr="00295023">
              <w:rPr>
                <w:b w:val="0"/>
                <w:sz w:val="18"/>
                <w:szCs w:val="18"/>
              </w:rPr>
              <w:t>Kopā, no 27 ES dalībvalstīm Padziļinātās izpētes ziņojumi izstrādāti</w:t>
            </w:r>
          </w:p>
        </w:tc>
        <w:tc>
          <w:tcPr>
            <w:tcW w:w="4973" w:type="dxa"/>
          </w:tcPr>
          <w:p w14:paraId="5A98E245" w14:textId="77777777" w:rsidR="00D56B46" w:rsidRPr="00E505AC" w:rsidRDefault="00D56B46" w:rsidP="00D56B46">
            <w:pPr>
              <w:spacing w:before="60" w:after="60"/>
              <w:ind w:firstLine="0"/>
              <w:cnfStyle w:val="000000100000" w:firstRow="0" w:lastRow="0" w:firstColumn="0" w:lastColumn="0" w:oddVBand="0" w:evenVBand="0" w:oddHBand="1" w:evenHBand="0" w:firstRowFirstColumn="0" w:firstRowLastColumn="0" w:lastRowFirstColumn="0" w:lastRowLastColumn="0"/>
              <w:rPr>
                <w:sz w:val="18"/>
                <w:szCs w:val="18"/>
              </w:rPr>
            </w:pPr>
            <w:r w:rsidRPr="00E505AC">
              <w:rPr>
                <w:sz w:val="18"/>
                <w:szCs w:val="18"/>
              </w:rPr>
              <w:t>12 dalībvalstīs</w:t>
            </w:r>
          </w:p>
        </w:tc>
      </w:tr>
    </w:tbl>
    <w:p w14:paraId="03E16979" w14:textId="77777777" w:rsidR="00D56B46" w:rsidRPr="00DF1711" w:rsidRDefault="00D56B46" w:rsidP="00D56B46">
      <w:pPr>
        <w:spacing w:before="240"/>
        <w:ind w:firstLine="567"/>
        <w:rPr>
          <w:rFonts w:eastAsia="Calibri"/>
          <w:szCs w:val="22"/>
        </w:rPr>
      </w:pPr>
      <w:r w:rsidRPr="00DF1711">
        <w:rPr>
          <w:rFonts w:eastAsia="Calibri"/>
          <w:szCs w:val="22"/>
        </w:rPr>
        <w:t xml:space="preserve">Kopumā ziņojumā norādīts, ka </w:t>
      </w:r>
      <w:r>
        <w:rPr>
          <w:rFonts w:eastAsia="Calibri"/>
          <w:szCs w:val="22"/>
        </w:rPr>
        <w:t>Covid</w:t>
      </w:r>
      <w:r>
        <w:rPr>
          <w:rFonts w:eastAsia="Calibri"/>
          <w:szCs w:val="22"/>
        </w:rPr>
        <w:noBreakHyphen/>
        <w:t>19</w:t>
      </w:r>
      <w:r w:rsidRPr="00DF1711">
        <w:rPr>
          <w:rFonts w:eastAsia="Calibri"/>
          <w:szCs w:val="22"/>
        </w:rPr>
        <w:t xml:space="preserve"> krīze ir  pastiprinājusi vairākas esošās makroekonomiskās nelīdzsvarotības un var rasties jauni riski, jo īpaši pieaugot  valdības un privātā sektora parāda attiecībai pret IKP.</w:t>
      </w:r>
    </w:p>
    <w:p w14:paraId="7997F8C8" w14:textId="77777777" w:rsidR="00D56B46" w:rsidRPr="00DF1711" w:rsidRDefault="00D56B46" w:rsidP="00D56B46">
      <w:pPr>
        <w:ind w:firstLine="567"/>
        <w:rPr>
          <w:rFonts w:eastAsia="Calibri"/>
          <w:szCs w:val="22"/>
        </w:rPr>
      </w:pPr>
      <w:r w:rsidRPr="00DF1711">
        <w:rPr>
          <w:rFonts w:eastAsia="Calibri"/>
          <w:szCs w:val="22"/>
        </w:rPr>
        <w:t>Raugoties nākotnē</w:t>
      </w:r>
      <w:r>
        <w:rPr>
          <w:rFonts w:eastAsia="Calibri"/>
          <w:szCs w:val="22"/>
        </w:rPr>
        <w:t>,</w:t>
      </w:r>
      <w:r w:rsidRPr="00DF1711">
        <w:rPr>
          <w:rFonts w:eastAsia="Calibri"/>
          <w:szCs w:val="22"/>
        </w:rPr>
        <w:t xml:space="preserve"> turpmāko privātā sektora parāda samazinājumu varētu kavēt vāja ekonomikas attīstība, iespējamie bankroti un vājš darba tirgu</w:t>
      </w:r>
      <w:r>
        <w:rPr>
          <w:rFonts w:eastAsia="Calibri"/>
          <w:szCs w:val="22"/>
        </w:rPr>
        <w:t>s</w:t>
      </w:r>
      <w:r w:rsidRPr="00DF1711">
        <w:rPr>
          <w:rFonts w:eastAsia="Calibri"/>
          <w:szCs w:val="22"/>
        </w:rPr>
        <w:t>. Šāds privāto parādu samazinājumu scenārijs ietekmētu banku bilances un vēl vairāk pasliktinātu to rentabilitāti. Tajā pašā laikā pārmērīgi strauj</w:t>
      </w:r>
      <w:r>
        <w:rPr>
          <w:rFonts w:eastAsia="Calibri"/>
          <w:szCs w:val="22"/>
        </w:rPr>
        <w:t>š</w:t>
      </w:r>
      <w:r w:rsidRPr="00DF1711">
        <w:rPr>
          <w:rFonts w:eastAsia="Calibri"/>
          <w:szCs w:val="22"/>
        </w:rPr>
        <w:t xml:space="preserve"> darbaspēka izmaksu kāpums un mājokļu cen</w:t>
      </w:r>
      <w:r>
        <w:rPr>
          <w:rFonts w:eastAsia="Calibri"/>
          <w:szCs w:val="22"/>
        </w:rPr>
        <w:t>u</w:t>
      </w:r>
      <w:r w:rsidRPr="00DF1711">
        <w:rPr>
          <w:rFonts w:eastAsia="Calibri"/>
          <w:szCs w:val="22"/>
        </w:rPr>
        <w:t xml:space="preserve"> </w:t>
      </w:r>
      <w:r>
        <w:rPr>
          <w:rFonts w:eastAsia="Calibri"/>
          <w:szCs w:val="22"/>
        </w:rPr>
        <w:t>pieaugums</w:t>
      </w:r>
      <w:r w:rsidRPr="00DF1711">
        <w:rPr>
          <w:rFonts w:eastAsia="Calibri"/>
          <w:szCs w:val="22"/>
        </w:rPr>
        <w:t xml:space="preserve">, kas raksturoja neseno pagātni, izzudīs, taču, var rasties arī bažas, ka korekcija pārvēršas par pārmērīgām lejupvērstām korekcijām, jo īpaši attiecībā uz mājokļu cenām dalībvalstīs ar jau tagad augstu mājsaimniecību parāda līmeni. Tādējādi </w:t>
      </w:r>
      <w:r>
        <w:rPr>
          <w:rFonts w:eastAsia="Calibri"/>
          <w:szCs w:val="22"/>
        </w:rPr>
        <w:t>Covid</w:t>
      </w:r>
      <w:r>
        <w:rPr>
          <w:rFonts w:eastAsia="Calibri"/>
          <w:szCs w:val="22"/>
        </w:rPr>
        <w:noBreakHyphen/>
        <w:t>19</w:t>
      </w:r>
      <w:r w:rsidRPr="00DF1711">
        <w:rPr>
          <w:rFonts w:eastAsia="Calibri"/>
          <w:szCs w:val="22"/>
        </w:rPr>
        <w:t xml:space="preserve"> šoks, kas ir pastiprinā</w:t>
      </w:r>
      <w:r>
        <w:rPr>
          <w:rFonts w:eastAsia="Calibri"/>
          <w:szCs w:val="22"/>
        </w:rPr>
        <w:t xml:space="preserve">jis pašreizējo nelīdzsvarotību </w:t>
      </w:r>
      <w:proofErr w:type="spellStart"/>
      <w:r>
        <w:rPr>
          <w:rFonts w:eastAsia="Calibri"/>
          <w:szCs w:val="22"/>
        </w:rPr>
        <w:t>eiro</w:t>
      </w:r>
      <w:r w:rsidRPr="00DF1711">
        <w:rPr>
          <w:rFonts w:eastAsia="Calibri"/>
          <w:szCs w:val="22"/>
        </w:rPr>
        <w:t>zonā</w:t>
      </w:r>
      <w:proofErr w:type="spellEnd"/>
      <w:r>
        <w:rPr>
          <w:rFonts w:eastAsia="Calibri"/>
          <w:szCs w:val="22"/>
        </w:rPr>
        <w:t>,</w:t>
      </w:r>
      <w:r w:rsidRPr="00DF1711">
        <w:rPr>
          <w:rFonts w:eastAsia="Calibri"/>
          <w:szCs w:val="22"/>
        </w:rPr>
        <w:t xml:space="preserve"> nosaka nepieciešamību pēc iespējas labāk izmantot ES atbalsta mehānismus.</w:t>
      </w:r>
    </w:p>
    <w:p w14:paraId="563008D7" w14:textId="77777777" w:rsidR="00D56B46" w:rsidRPr="00DF1711" w:rsidRDefault="00D56B46" w:rsidP="00D56B46">
      <w:pPr>
        <w:keepNext/>
        <w:keepLines/>
        <w:numPr>
          <w:ilvl w:val="2"/>
          <w:numId w:val="0"/>
        </w:numPr>
        <w:spacing w:before="240" w:after="240"/>
        <w:jc w:val="center"/>
        <w:outlineLvl w:val="2"/>
        <w:rPr>
          <w:b/>
          <w:sz w:val="32"/>
          <w:szCs w:val="32"/>
        </w:rPr>
      </w:pPr>
      <w:r>
        <w:rPr>
          <w:b/>
          <w:sz w:val="32"/>
          <w:szCs w:val="32"/>
        </w:rPr>
        <w:t xml:space="preserve">1.3.3. </w:t>
      </w:r>
      <w:r w:rsidRPr="00DF1711">
        <w:rPr>
          <w:b/>
          <w:sz w:val="32"/>
          <w:szCs w:val="32"/>
        </w:rPr>
        <w:t>Latvijas ekonomiskās situācijas novērtējums 2021</w:t>
      </w:r>
      <w:r>
        <w:rPr>
          <w:b/>
          <w:sz w:val="32"/>
          <w:szCs w:val="32"/>
        </w:rPr>
        <w:t>. gad</w:t>
      </w:r>
      <w:r w:rsidRPr="00DF1711">
        <w:rPr>
          <w:b/>
          <w:sz w:val="32"/>
          <w:szCs w:val="32"/>
        </w:rPr>
        <w:t xml:space="preserve">a </w:t>
      </w:r>
      <w:r w:rsidRPr="00F1091E">
        <w:rPr>
          <w:b/>
          <w:sz w:val="32"/>
          <w:szCs w:val="32"/>
        </w:rPr>
        <w:t xml:space="preserve">Brīdināšanas mehānisma </w:t>
      </w:r>
      <w:r w:rsidRPr="00DF1711">
        <w:rPr>
          <w:b/>
          <w:sz w:val="32"/>
          <w:szCs w:val="32"/>
        </w:rPr>
        <w:t xml:space="preserve">ziņojumā un iespējamās </w:t>
      </w:r>
      <w:r w:rsidRPr="00F71D02">
        <w:rPr>
          <w:b/>
          <w:sz w:val="32"/>
          <w:szCs w:val="32"/>
        </w:rPr>
        <w:t>tendences 2022. gada ziņojumā</w:t>
      </w:r>
    </w:p>
    <w:p w14:paraId="0BD0076F" w14:textId="77777777" w:rsidR="00D56B46" w:rsidRDefault="00D56B46" w:rsidP="00D56B46">
      <w:pPr>
        <w:ind w:firstLine="567"/>
        <w:rPr>
          <w:rFonts w:eastAsia="Calibri"/>
          <w:szCs w:val="22"/>
        </w:rPr>
      </w:pPr>
      <w:r>
        <w:rPr>
          <w:rFonts w:eastAsia="Calibri"/>
          <w:szCs w:val="22"/>
        </w:rPr>
        <w:t>S</w:t>
      </w:r>
      <w:r w:rsidRPr="00DF1711">
        <w:rPr>
          <w:rFonts w:eastAsia="Calibri"/>
          <w:szCs w:val="22"/>
        </w:rPr>
        <w:t>agatavojot 2021</w:t>
      </w:r>
      <w:r>
        <w:rPr>
          <w:rFonts w:eastAsia="Calibri"/>
          <w:szCs w:val="22"/>
        </w:rPr>
        <w:t>. gad</w:t>
      </w:r>
      <w:r w:rsidRPr="00DF1711">
        <w:rPr>
          <w:rFonts w:eastAsia="Calibri"/>
          <w:szCs w:val="22"/>
        </w:rPr>
        <w:t>a</w:t>
      </w:r>
      <w:r>
        <w:rPr>
          <w:rFonts w:eastAsia="Calibri"/>
          <w:szCs w:val="22"/>
        </w:rPr>
        <w:t xml:space="preserve"> Agrās b</w:t>
      </w:r>
      <w:r w:rsidRPr="007609DB">
        <w:rPr>
          <w:rFonts w:eastAsia="Calibri"/>
          <w:szCs w:val="22"/>
        </w:rPr>
        <w:t>rīdināšanas mehānisma</w:t>
      </w:r>
      <w:r>
        <w:rPr>
          <w:b/>
          <w:bCs/>
          <w:color w:val="000000"/>
          <w:shd w:val="clear" w:color="auto" w:fill="FFFFFF"/>
        </w:rPr>
        <w:t xml:space="preserve"> </w:t>
      </w:r>
      <w:r>
        <w:rPr>
          <w:rFonts w:eastAsia="Calibri"/>
          <w:szCs w:val="22"/>
        </w:rPr>
        <w:t xml:space="preserve">(jeb </w:t>
      </w:r>
      <w:proofErr w:type="spellStart"/>
      <w:r w:rsidRPr="002955CE">
        <w:rPr>
          <w:rFonts w:eastAsia="Calibri"/>
          <w:i/>
          <w:szCs w:val="22"/>
        </w:rPr>
        <w:t>Alert</w:t>
      </w:r>
      <w:proofErr w:type="spellEnd"/>
      <w:r w:rsidRPr="002955CE">
        <w:rPr>
          <w:rFonts w:eastAsia="Calibri"/>
          <w:i/>
          <w:szCs w:val="22"/>
        </w:rPr>
        <w:t xml:space="preserve"> </w:t>
      </w:r>
      <w:proofErr w:type="spellStart"/>
      <w:r w:rsidRPr="00871AC9">
        <w:rPr>
          <w:rFonts w:cstheme="minorBidi"/>
          <w:i/>
        </w:rPr>
        <w:t>Mechanism</w:t>
      </w:r>
      <w:proofErr w:type="spellEnd"/>
      <w:r w:rsidRPr="00871AC9">
        <w:rPr>
          <w:rFonts w:cstheme="minorBidi"/>
          <w:i/>
        </w:rPr>
        <w:t xml:space="preserve"> </w:t>
      </w:r>
      <w:proofErr w:type="spellStart"/>
      <w:r w:rsidRPr="00871AC9">
        <w:rPr>
          <w:rFonts w:cstheme="minorBidi"/>
          <w:i/>
        </w:rPr>
        <w:t>Report</w:t>
      </w:r>
      <w:proofErr w:type="spellEnd"/>
      <w:r w:rsidRPr="00871AC9">
        <w:rPr>
          <w:rFonts w:cstheme="minorBidi"/>
        </w:rPr>
        <w:t xml:space="preserve"> </w:t>
      </w:r>
      <w:r>
        <w:rPr>
          <w:rFonts w:eastAsia="Calibri"/>
          <w:szCs w:val="22"/>
        </w:rPr>
        <w:t xml:space="preserve">– </w:t>
      </w:r>
      <w:r w:rsidRPr="00DF1711">
        <w:rPr>
          <w:rFonts w:eastAsia="Calibri"/>
          <w:szCs w:val="22"/>
        </w:rPr>
        <w:t>AMR</w:t>
      </w:r>
      <w:r>
        <w:rPr>
          <w:rFonts w:eastAsia="Calibri"/>
          <w:szCs w:val="22"/>
        </w:rPr>
        <w:t>)</w:t>
      </w:r>
      <w:r w:rsidRPr="00DF1711">
        <w:rPr>
          <w:rFonts w:eastAsia="Calibri"/>
          <w:szCs w:val="22"/>
        </w:rPr>
        <w:t xml:space="preserve"> ziņojumu ir izmantoti 2019</w:t>
      </w:r>
      <w:r>
        <w:rPr>
          <w:rFonts w:eastAsia="Calibri"/>
          <w:szCs w:val="22"/>
        </w:rPr>
        <w:t>. gad</w:t>
      </w:r>
      <w:r w:rsidRPr="00DF1711">
        <w:rPr>
          <w:rFonts w:eastAsia="Calibri"/>
          <w:szCs w:val="22"/>
        </w:rPr>
        <w:t xml:space="preserve">a dati, kad pandēmijas ietekme vēl nebija izteikta. </w:t>
      </w:r>
      <w:r w:rsidRPr="00F71D02">
        <w:rPr>
          <w:rFonts w:eastAsia="Calibri"/>
          <w:szCs w:val="22"/>
        </w:rPr>
        <w:t>Neskatoties uz to</w:t>
      </w:r>
      <w:r>
        <w:rPr>
          <w:rFonts w:eastAsia="Calibri"/>
          <w:szCs w:val="22"/>
        </w:rPr>
        <w:t>,</w:t>
      </w:r>
      <w:r w:rsidRPr="00F71D02">
        <w:rPr>
          <w:rFonts w:eastAsia="Calibri"/>
          <w:szCs w:val="22"/>
        </w:rPr>
        <w:t xml:space="preserve"> ziņojumā ir analizēta iespējamā Covid</w:t>
      </w:r>
      <w:r w:rsidRPr="00F71D02">
        <w:rPr>
          <w:rFonts w:eastAsia="Calibri"/>
          <w:szCs w:val="22"/>
        </w:rPr>
        <w:noBreakHyphen/>
        <w:t>19 pandēmijas negatīvā ietekme uz ne</w:t>
      </w:r>
      <w:r>
        <w:rPr>
          <w:rFonts w:eastAsia="Calibri"/>
          <w:szCs w:val="22"/>
        </w:rPr>
        <w:t>sabalansētība</w:t>
      </w:r>
      <w:r w:rsidRPr="00F71D02">
        <w:rPr>
          <w:rFonts w:eastAsia="Calibri"/>
          <w:szCs w:val="22"/>
        </w:rPr>
        <w:t xml:space="preserve">s rādītājiem 2020. gadā, kas Latvijas gadījumā nav pasliktinājis rezultātu. </w:t>
      </w:r>
    </w:p>
    <w:p w14:paraId="46B9F34F" w14:textId="77777777" w:rsidR="00D56B46" w:rsidRDefault="00D56B46" w:rsidP="00D56B46">
      <w:pPr>
        <w:ind w:firstLine="567"/>
        <w:rPr>
          <w:rFonts w:eastAsia="Calibri"/>
          <w:szCs w:val="22"/>
        </w:rPr>
      </w:pPr>
      <w:r w:rsidRPr="00F71D02">
        <w:rPr>
          <w:rFonts w:eastAsia="Calibri"/>
          <w:szCs w:val="22"/>
        </w:rPr>
        <w:t xml:space="preserve">Ja 2020. gada ziņojumā </w:t>
      </w:r>
      <w:r>
        <w:rPr>
          <w:rFonts w:eastAsia="Calibri"/>
          <w:szCs w:val="22"/>
        </w:rPr>
        <w:t>trīs</w:t>
      </w:r>
      <w:r w:rsidRPr="00F71D02">
        <w:rPr>
          <w:rFonts w:eastAsia="Calibri"/>
          <w:szCs w:val="22"/>
        </w:rPr>
        <w:t xml:space="preserve"> Latvijas rādītāji pārsniedza kritisko robežvērtību, tad 2021. gada ziņojumā </w:t>
      </w:r>
      <w:r>
        <w:rPr>
          <w:rFonts w:eastAsia="Calibri"/>
          <w:szCs w:val="22"/>
        </w:rPr>
        <w:t xml:space="preserve">vairs </w:t>
      </w:r>
      <w:r w:rsidRPr="00F71D02">
        <w:rPr>
          <w:rFonts w:eastAsia="Calibri"/>
          <w:szCs w:val="22"/>
        </w:rPr>
        <w:t>tikai divi – neto starptautiskā i</w:t>
      </w:r>
      <w:r>
        <w:rPr>
          <w:rFonts w:eastAsia="Calibri"/>
          <w:szCs w:val="22"/>
        </w:rPr>
        <w:t>nvestīciju pozīcija un nominālo</w:t>
      </w:r>
      <w:r w:rsidRPr="00F71D02">
        <w:rPr>
          <w:rFonts w:eastAsia="Calibri"/>
          <w:szCs w:val="22"/>
        </w:rPr>
        <w:t xml:space="preserve"> vienības darbaspēka </w:t>
      </w:r>
      <w:r>
        <w:rPr>
          <w:rFonts w:eastAsia="Calibri"/>
          <w:szCs w:val="22"/>
        </w:rPr>
        <w:t xml:space="preserve">izmaksu </w:t>
      </w:r>
      <w:r w:rsidRPr="00F71D02">
        <w:rPr>
          <w:rFonts w:eastAsia="Calibri"/>
          <w:szCs w:val="22"/>
        </w:rPr>
        <w:t>indekss (iepriekšējā ziņojumā bija pārsniegta arī mājokļu cenu indeksa robežvērtība). Līdz ar to var secināt, ka Latvijā ir turpinājusies pastāvošo nesabalansētību mazināšanās un Latvijā nav konstatēta makroekonomiskā nelīdzsvarotība.</w:t>
      </w:r>
    </w:p>
    <w:p w14:paraId="66B7EA33" w14:textId="77777777" w:rsidR="00D56B46" w:rsidRPr="00DF1711" w:rsidRDefault="00D56B46" w:rsidP="00D56B46">
      <w:pPr>
        <w:ind w:firstLine="567"/>
        <w:rPr>
          <w:rFonts w:eastAsia="Calibri"/>
          <w:szCs w:val="22"/>
        </w:rPr>
      </w:pPr>
      <w:r w:rsidRPr="007609DB">
        <w:rPr>
          <w:rFonts w:eastAsia="Calibri"/>
          <w:szCs w:val="22"/>
        </w:rPr>
        <w:t>Tāpat kā</w:t>
      </w:r>
      <w:r>
        <w:rPr>
          <w:rFonts w:eastAsia="Calibri"/>
          <w:szCs w:val="22"/>
        </w:rPr>
        <w:t xml:space="preserve"> visos iepriekšējos gados</w:t>
      </w:r>
      <w:r w:rsidRPr="007609DB">
        <w:rPr>
          <w:rFonts w:eastAsia="Calibri"/>
          <w:szCs w:val="22"/>
        </w:rPr>
        <w:t xml:space="preserve"> kopš </w:t>
      </w:r>
      <w:r>
        <w:rPr>
          <w:rFonts w:eastAsia="Calibri"/>
          <w:szCs w:val="22"/>
        </w:rPr>
        <w:t>Agrās b</w:t>
      </w:r>
      <w:r w:rsidRPr="007609DB">
        <w:rPr>
          <w:rFonts w:eastAsia="Calibri"/>
          <w:szCs w:val="22"/>
        </w:rPr>
        <w:t>rīdināšanas mehānisma</w:t>
      </w:r>
      <w:r>
        <w:rPr>
          <w:rFonts w:eastAsia="Calibri"/>
          <w:szCs w:val="22"/>
        </w:rPr>
        <w:t xml:space="preserve"> ieviešanas</w:t>
      </w:r>
      <w:r w:rsidRPr="007609DB">
        <w:rPr>
          <w:rFonts w:eastAsia="Calibri"/>
          <w:szCs w:val="22"/>
        </w:rPr>
        <w:t xml:space="preserve">, </w:t>
      </w:r>
      <w:r>
        <w:rPr>
          <w:rFonts w:eastAsia="Calibri"/>
          <w:szCs w:val="22"/>
        </w:rPr>
        <w:t xml:space="preserve">arī šajā ziņojumā </w:t>
      </w:r>
      <w:r w:rsidRPr="007609DB">
        <w:rPr>
          <w:rFonts w:eastAsia="Calibri"/>
          <w:szCs w:val="22"/>
        </w:rPr>
        <w:t>Latvijā makroekonomiskās nesabalansētības nav konstatētas un par Latviju nav tikusi veikta padziļinātā izpēte.</w:t>
      </w:r>
      <w:r w:rsidRPr="00DF1711">
        <w:rPr>
          <w:rFonts w:eastAsia="Calibri"/>
          <w:szCs w:val="22"/>
        </w:rPr>
        <w:t xml:space="preserve"> Atjau</w:t>
      </w:r>
      <w:r>
        <w:rPr>
          <w:rFonts w:eastAsia="Calibri"/>
          <w:szCs w:val="22"/>
        </w:rPr>
        <w:t>notajā</w:t>
      </w:r>
      <w:r w:rsidRPr="00DF1711">
        <w:rPr>
          <w:rFonts w:eastAsia="Calibri"/>
          <w:szCs w:val="22"/>
        </w:rPr>
        <w:t xml:space="preserve"> ziņojumā norādīts, ka rezul</w:t>
      </w:r>
      <w:r>
        <w:rPr>
          <w:rFonts w:eastAsia="Calibri"/>
          <w:szCs w:val="22"/>
        </w:rPr>
        <w:t>tātu apkopojumā, kurā iekļauti rādītāji</w:t>
      </w:r>
      <w:r w:rsidRPr="00DF1711">
        <w:rPr>
          <w:rFonts w:eastAsia="Calibri"/>
          <w:szCs w:val="22"/>
        </w:rPr>
        <w:t xml:space="preserve"> līdz 2019</w:t>
      </w:r>
      <w:r>
        <w:rPr>
          <w:rFonts w:eastAsia="Calibri"/>
          <w:szCs w:val="22"/>
        </w:rPr>
        <w:t>. gad</w:t>
      </w:r>
      <w:r w:rsidRPr="00DF1711">
        <w:rPr>
          <w:rFonts w:eastAsia="Calibri"/>
          <w:szCs w:val="22"/>
        </w:rPr>
        <w:t xml:space="preserve">am, neto starptautisko ieguldījumu pozīcija (NIIP) un vienības darbaspēka izmaksu pieauguma rādītāji pārsniedz indikatīvo </w:t>
      </w:r>
      <w:proofErr w:type="spellStart"/>
      <w:r w:rsidRPr="00DF1711">
        <w:rPr>
          <w:rFonts w:eastAsia="Calibri"/>
          <w:szCs w:val="22"/>
        </w:rPr>
        <w:t>robežslieksni</w:t>
      </w:r>
      <w:proofErr w:type="spellEnd"/>
      <w:r w:rsidRPr="00DF1711">
        <w:rPr>
          <w:rFonts w:eastAsia="Calibri"/>
          <w:szCs w:val="22"/>
        </w:rPr>
        <w:t>. Tāpat attiecībā uz Latviju ziņojumā norādīts, ka vienības darbaspēka izmaksas 2019</w:t>
      </w:r>
      <w:r>
        <w:rPr>
          <w:rFonts w:eastAsia="Calibri"/>
          <w:szCs w:val="22"/>
        </w:rPr>
        <w:t>. gad</w:t>
      </w:r>
      <w:r w:rsidRPr="00DF1711">
        <w:rPr>
          <w:rFonts w:eastAsia="Calibri"/>
          <w:szCs w:val="22"/>
        </w:rPr>
        <w:t xml:space="preserve">ā turpināja augt </w:t>
      </w:r>
      <w:r w:rsidRPr="00DF1711">
        <w:rPr>
          <w:rFonts w:eastAsia="Calibri"/>
          <w:szCs w:val="22"/>
        </w:rPr>
        <w:lastRenderedPageBreak/>
        <w:t>salīdzinoši spēcīgi, ko veicināja ievērojams algu pieaugums. Tika prognozēts, ka algu pieaugums 2020</w:t>
      </w:r>
      <w:r>
        <w:rPr>
          <w:rFonts w:eastAsia="Calibri"/>
          <w:szCs w:val="22"/>
        </w:rPr>
        <w:t>. gad</w:t>
      </w:r>
      <w:r w:rsidRPr="00DF1711">
        <w:rPr>
          <w:rFonts w:eastAsia="Calibri"/>
          <w:szCs w:val="22"/>
        </w:rPr>
        <w:t xml:space="preserve">ā samazināsies, ņemot vērā </w:t>
      </w:r>
      <w:r>
        <w:rPr>
          <w:rFonts w:eastAsia="Calibri"/>
          <w:szCs w:val="22"/>
        </w:rPr>
        <w:t>Covid</w:t>
      </w:r>
      <w:r>
        <w:rPr>
          <w:rFonts w:eastAsia="Calibri"/>
          <w:szCs w:val="22"/>
        </w:rPr>
        <w:noBreakHyphen/>
        <w:t>19</w:t>
      </w:r>
      <w:r w:rsidRPr="00DF1711">
        <w:rPr>
          <w:rFonts w:eastAsia="Calibri"/>
          <w:szCs w:val="22"/>
        </w:rPr>
        <w:t xml:space="preserve"> krīzes ietekmi, taču </w:t>
      </w:r>
      <w:proofErr w:type="spellStart"/>
      <w:r w:rsidRPr="00BB2E38">
        <w:rPr>
          <w:rFonts w:eastAsia="Calibri"/>
          <w:i/>
          <w:iCs/>
          <w:szCs w:val="22"/>
        </w:rPr>
        <w:t>Eurostat</w:t>
      </w:r>
      <w:proofErr w:type="spellEnd"/>
      <w:r w:rsidRPr="00DF1711">
        <w:rPr>
          <w:rFonts w:eastAsia="Calibri"/>
          <w:szCs w:val="22"/>
        </w:rPr>
        <w:t xml:space="preserve"> dati rāda, ka arī 2020</w:t>
      </w:r>
      <w:r>
        <w:rPr>
          <w:rFonts w:eastAsia="Calibri"/>
          <w:szCs w:val="22"/>
        </w:rPr>
        <w:t>. gad</w:t>
      </w:r>
      <w:r w:rsidRPr="00DF1711">
        <w:rPr>
          <w:rFonts w:eastAsia="Calibri"/>
          <w:szCs w:val="22"/>
        </w:rPr>
        <w:t>ā vienības darbaspēka izmaksas ir augušas pat straujāk kā 2019</w:t>
      </w:r>
      <w:r>
        <w:rPr>
          <w:rFonts w:eastAsia="Calibri"/>
          <w:szCs w:val="22"/>
        </w:rPr>
        <w:t>. gadā, triju gadu pieaugumam sasniedzot 1</w:t>
      </w:r>
      <w:r w:rsidRPr="00DF1711">
        <w:rPr>
          <w:rFonts w:eastAsia="Calibri"/>
          <w:szCs w:val="22"/>
        </w:rPr>
        <w:t>9</w:t>
      </w:r>
      <w:r>
        <w:rPr>
          <w:rFonts w:eastAsia="Calibri"/>
          <w:szCs w:val="22"/>
        </w:rPr>
        <w:t>,</w:t>
      </w:r>
      <w:r w:rsidRPr="00DF1711">
        <w:rPr>
          <w:rFonts w:eastAsia="Calibri"/>
          <w:szCs w:val="22"/>
        </w:rPr>
        <w:t>9% pretstatā 17% 2019</w:t>
      </w:r>
      <w:r>
        <w:rPr>
          <w:rFonts w:eastAsia="Calibri"/>
          <w:szCs w:val="22"/>
        </w:rPr>
        <w:t>. gadā. T</w:t>
      </w:r>
      <w:r w:rsidRPr="00DF1711">
        <w:rPr>
          <w:rFonts w:eastAsia="Calibri"/>
          <w:szCs w:val="22"/>
        </w:rPr>
        <w:t xml:space="preserve">ādējādi </w:t>
      </w:r>
      <w:r>
        <w:rPr>
          <w:rFonts w:eastAsia="Calibri"/>
          <w:szCs w:val="22"/>
        </w:rPr>
        <w:t xml:space="preserve">šis rādītājs </w:t>
      </w:r>
      <w:r w:rsidRPr="00DF1711">
        <w:rPr>
          <w:rFonts w:eastAsia="Calibri"/>
          <w:szCs w:val="22"/>
        </w:rPr>
        <w:t xml:space="preserve">noteikto robežvērtību 9% pārsniegs arī nākamā gada ziņojumā. Vienlaikus reālais efektīvais valūtas kurss pēc iepriekšējā gada spēcīgā pieauguma </w:t>
      </w:r>
      <w:r>
        <w:rPr>
          <w:rFonts w:eastAsia="Calibri"/>
          <w:szCs w:val="22"/>
        </w:rPr>
        <w:t xml:space="preserve">saglabājās </w:t>
      </w:r>
      <w:r w:rsidRPr="00DF1711">
        <w:rPr>
          <w:rFonts w:eastAsia="Calibri"/>
          <w:szCs w:val="22"/>
        </w:rPr>
        <w:t xml:space="preserve">nemainīgs. Eksporta tirgus daļas samazinājās pirmo reizi četru gadu laikā. </w:t>
      </w:r>
    </w:p>
    <w:p w14:paraId="38A091D3" w14:textId="3A5D3C94" w:rsidR="00D56B46" w:rsidRDefault="00D56B46" w:rsidP="00D56B46">
      <w:pPr>
        <w:ind w:firstLine="567"/>
        <w:rPr>
          <w:rFonts w:eastAsia="Calibri"/>
          <w:szCs w:val="22"/>
        </w:rPr>
      </w:pPr>
      <w:r w:rsidRPr="00DF1711">
        <w:rPr>
          <w:rFonts w:eastAsia="Calibri"/>
          <w:szCs w:val="22"/>
        </w:rPr>
        <w:t>Valsts parāds 2019</w:t>
      </w:r>
      <w:r>
        <w:rPr>
          <w:rFonts w:eastAsia="Calibri"/>
          <w:szCs w:val="22"/>
        </w:rPr>
        <w:t>. gad</w:t>
      </w:r>
      <w:r w:rsidRPr="00DF1711">
        <w:rPr>
          <w:rFonts w:eastAsia="Calibri"/>
          <w:szCs w:val="22"/>
        </w:rPr>
        <w:t>ā turpināja samazināties līdz aptuveni 37% no IKP, bet 2020</w:t>
      </w:r>
      <w:r>
        <w:rPr>
          <w:rFonts w:eastAsia="Calibri"/>
          <w:szCs w:val="22"/>
        </w:rPr>
        <w:t>. gad</w:t>
      </w:r>
      <w:r w:rsidRPr="00DF1711">
        <w:rPr>
          <w:rFonts w:eastAsia="Calibri"/>
          <w:szCs w:val="22"/>
        </w:rPr>
        <w:t>ā</w:t>
      </w:r>
      <w:r>
        <w:rPr>
          <w:rFonts w:eastAsia="Calibri"/>
          <w:szCs w:val="22"/>
        </w:rPr>
        <w:t>,</w:t>
      </w:r>
      <w:r w:rsidRPr="00DF1711">
        <w:rPr>
          <w:rFonts w:eastAsia="Calibri"/>
          <w:szCs w:val="22"/>
        </w:rPr>
        <w:t xml:space="preserve"> veicot pasākumus pandēmijas un </w:t>
      </w:r>
      <w:r>
        <w:rPr>
          <w:rFonts w:eastAsia="Calibri"/>
          <w:szCs w:val="22"/>
        </w:rPr>
        <w:t>ekonomikas krituma</w:t>
      </w:r>
      <w:r w:rsidRPr="00DF1711">
        <w:rPr>
          <w:rFonts w:eastAsia="Calibri"/>
          <w:szCs w:val="22"/>
        </w:rPr>
        <w:t xml:space="preserve"> novēršanai</w:t>
      </w:r>
      <w:r>
        <w:rPr>
          <w:rFonts w:eastAsia="Calibri"/>
          <w:szCs w:val="22"/>
        </w:rPr>
        <w:t>,</w:t>
      </w:r>
      <w:r w:rsidRPr="00DF1711">
        <w:rPr>
          <w:rFonts w:eastAsia="Calibri"/>
          <w:szCs w:val="22"/>
        </w:rPr>
        <w:t xml:space="preserve"> tas </w:t>
      </w:r>
      <w:r>
        <w:rPr>
          <w:rFonts w:eastAsia="Calibri"/>
          <w:szCs w:val="22"/>
        </w:rPr>
        <w:t>palielinājies līdz 43,5</w:t>
      </w:r>
      <w:r w:rsidRPr="00FB2193">
        <w:rPr>
          <w:rFonts w:eastAsia="Calibri"/>
          <w:szCs w:val="22"/>
        </w:rPr>
        <w:t>%</w:t>
      </w:r>
      <w:r>
        <w:rPr>
          <w:rFonts w:eastAsia="Calibri"/>
          <w:szCs w:val="22"/>
        </w:rPr>
        <w:t xml:space="preserve"> no IKP. </w:t>
      </w:r>
      <w:r w:rsidRPr="00DF1711">
        <w:rPr>
          <w:rFonts w:eastAsia="Calibri"/>
          <w:szCs w:val="22"/>
        </w:rPr>
        <w:t xml:space="preserve">Latvija iekļuva </w:t>
      </w:r>
      <w:r>
        <w:rPr>
          <w:rFonts w:eastAsia="Calibri"/>
          <w:szCs w:val="22"/>
        </w:rPr>
        <w:t>Covid</w:t>
      </w:r>
      <w:r>
        <w:rPr>
          <w:rFonts w:eastAsia="Calibri"/>
          <w:szCs w:val="22"/>
        </w:rPr>
        <w:noBreakHyphen/>
        <w:t>19</w:t>
      </w:r>
      <w:r w:rsidRPr="00DF1711">
        <w:rPr>
          <w:rFonts w:eastAsia="Calibri"/>
          <w:szCs w:val="22"/>
        </w:rPr>
        <w:t xml:space="preserve"> krīzē bez konstatētas makroekonomiskās nelīdzsvarotības, lai gan ar darbaspēka piedāvājumu un izmaksu konkurētspēju saistītā dinamika ietvēra dažus ierobežotus riskus. Līdz ar </w:t>
      </w:r>
      <w:r>
        <w:rPr>
          <w:rFonts w:eastAsia="Calibri"/>
          <w:szCs w:val="22"/>
        </w:rPr>
        <w:t>Covid</w:t>
      </w:r>
      <w:r>
        <w:rPr>
          <w:rFonts w:eastAsia="Calibri"/>
          <w:szCs w:val="22"/>
        </w:rPr>
        <w:noBreakHyphen/>
        <w:t>19</w:t>
      </w:r>
      <w:r w:rsidRPr="00DF1711">
        <w:rPr>
          <w:rFonts w:eastAsia="Calibri"/>
          <w:szCs w:val="22"/>
        </w:rPr>
        <w:t xml:space="preserve"> krīzi darba tirgus un algu spiedienam uz laiku būtu jāmazinās. Kopumā </w:t>
      </w:r>
      <w:r w:rsidR="00BB2E38">
        <w:rPr>
          <w:rFonts w:eastAsia="Calibri"/>
          <w:szCs w:val="22"/>
        </w:rPr>
        <w:t>EK</w:t>
      </w:r>
      <w:r w:rsidRPr="00DF1711">
        <w:rPr>
          <w:rFonts w:eastAsia="Calibri"/>
          <w:szCs w:val="22"/>
        </w:rPr>
        <w:t xml:space="preserve"> neuzskata par </w:t>
      </w:r>
      <w:r>
        <w:rPr>
          <w:rFonts w:eastAsia="Calibri"/>
          <w:szCs w:val="22"/>
        </w:rPr>
        <w:t>nepieciešamu</w:t>
      </w:r>
      <w:r w:rsidRPr="00DF1711">
        <w:rPr>
          <w:rFonts w:eastAsia="Calibri"/>
          <w:szCs w:val="22"/>
        </w:rPr>
        <w:t xml:space="preserve"> šajā posmā veikt turpmāku padziļinātu analīzi saistībā ar Makroekonomisko nelīdzsvarotības procedūru.</w:t>
      </w:r>
    </w:p>
    <w:p w14:paraId="25E9C658" w14:textId="681BB29B" w:rsidR="00BB2E38" w:rsidRDefault="00BB2E38" w:rsidP="00BB2E38">
      <w:pPr>
        <w:ind w:firstLine="0"/>
        <w:jc w:val="center"/>
        <w:rPr>
          <w:b/>
          <w:vertAlign w:val="superscript"/>
        </w:rPr>
      </w:pPr>
      <w:r w:rsidRPr="00C80494">
        <w:rPr>
          <w:b/>
          <w:i/>
        </w:rPr>
        <w:t xml:space="preserve">1.6. tabula </w:t>
      </w:r>
      <w:r w:rsidRPr="003A7AC0">
        <w:rPr>
          <w:b/>
        </w:rPr>
        <w:t xml:space="preserve">Agrās brīdināšanas mehānisma rādītāju dinamika Latvijā kopš nelīdzsvarotības uzraudzības </w:t>
      </w:r>
      <w:r w:rsidRPr="00E769CA">
        <w:rPr>
          <w:b/>
        </w:rPr>
        <w:t xml:space="preserve">sākuma </w:t>
      </w:r>
      <w:r w:rsidRPr="00E769CA">
        <w:rPr>
          <w:b/>
          <w:vertAlign w:val="superscript"/>
        </w:rPr>
        <w:footnoteReference w:id="5"/>
      </w:r>
      <w:r>
        <w:rPr>
          <w:b/>
          <w:vertAlign w:val="superscript"/>
        </w:rPr>
        <w:t>,</w:t>
      </w:r>
      <w:r>
        <w:rPr>
          <w:rStyle w:val="FootnoteReference"/>
          <w:b/>
        </w:rPr>
        <w:footnoteReference w:id="6"/>
      </w:r>
    </w:p>
    <w:tbl>
      <w:tblPr>
        <w:tblStyle w:val="TableGrid"/>
        <w:tblW w:w="0" w:type="auto"/>
        <w:tblLook w:val="04A0" w:firstRow="1" w:lastRow="0" w:firstColumn="1" w:lastColumn="0" w:noHBand="0" w:noVBand="1"/>
      </w:tblPr>
      <w:tblGrid>
        <w:gridCol w:w="1167"/>
        <w:gridCol w:w="785"/>
        <w:gridCol w:w="710"/>
        <w:gridCol w:w="580"/>
        <w:gridCol w:w="581"/>
        <w:gridCol w:w="582"/>
        <w:gridCol w:w="582"/>
        <w:gridCol w:w="582"/>
        <w:gridCol w:w="582"/>
        <w:gridCol w:w="582"/>
        <w:gridCol w:w="582"/>
        <w:gridCol w:w="582"/>
        <w:gridCol w:w="582"/>
        <w:gridCol w:w="582"/>
      </w:tblGrid>
      <w:tr w:rsidR="00BC1ED9" w:rsidRPr="00BC1ED9" w14:paraId="186E94DA" w14:textId="77777777" w:rsidTr="006B5C30">
        <w:trPr>
          <w:tblHeader/>
        </w:trPr>
        <w:tc>
          <w:tcPr>
            <w:tcW w:w="1050" w:type="dxa"/>
          </w:tcPr>
          <w:p w14:paraId="44CC7E8A" w14:textId="77777777" w:rsidR="00BC1ED9" w:rsidRPr="00BC1ED9" w:rsidRDefault="00BC1ED9" w:rsidP="00BC1ED9">
            <w:pPr>
              <w:spacing w:after="0"/>
              <w:ind w:firstLine="0"/>
              <w:jc w:val="left"/>
              <w:rPr>
                <w:rFonts w:eastAsia="Calibri"/>
                <w:sz w:val="14"/>
                <w:szCs w:val="14"/>
              </w:rPr>
            </w:pPr>
          </w:p>
        </w:tc>
        <w:tc>
          <w:tcPr>
            <w:tcW w:w="1454" w:type="dxa"/>
            <w:gridSpan w:val="2"/>
            <w:vAlign w:val="center"/>
          </w:tcPr>
          <w:p w14:paraId="7132AD4A" w14:textId="34CEC988" w:rsidR="00BC1ED9" w:rsidRPr="00537EDC" w:rsidRDefault="00BC1ED9" w:rsidP="00BC1ED9">
            <w:pPr>
              <w:spacing w:after="0"/>
              <w:ind w:firstLine="0"/>
              <w:jc w:val="center"/>
              <w:rPr>
                <w:rFonts w:eastAsia="Calibri"/>
                <w:b/>
                <w:bCs/>
                <w:sz w:val="18"/>
                <w:szCs w:val="18"/>
              </w:rPr>
            </w:pPr>
            <w:r w:rsidRPr="00537EDC">
              <w:rPr>
                <w:rFonts w:eastAsia="Calibri"/>
                <w:b/>
                <w:bCs/>
                <w:sz w:val="18"/>
                <w:szCs w:val="18"/>
              </w:rPr>
              <w:t>Robežvērtība</w:t>
            </w:r>
          </w:p>
        </w:tc>
        <w:tc>
          <w:tcPr>
            <w:tcW w:w="595" w:type="dxa"/>
            <w:vAlign w:val="center"/>
          </w:tcPr>
          <w:p w14:paraId="402EDCC1" w14:textId="31C12338" w:rsidR="00BC1ED9" w:rsidRPr="00537EDC" w:rsidRDefault="00BC1ED9" w:rsidP="00BC1ED9">
            <w:pPr>
              <w:spacing w:after="0"/>
              <w:ind w:firstLine="0"/>
              <w:jc w:val="center"/>
              <w:rPr>
                <w:rFonts w:eastAsia="Calibri"/>
                <w:b/>
                <w:bCs/>
                <w:sz w:val="18"/>
                <w:szCs w:val="18"/>
              </w:rPr>
            </w:pPr>
            <w:r w:rsidRPr="00537EDC">
              <w:rPr>
                <w:rFonts w:eastAsia="Calibri"/>
                <w:b/>
                <w:bCs/>
                <w:sz w:val="18"/>
                <w:szCs w:val="18"/>
              </w:rPr>
              <w:t>2010</w:t>
            </w:r>
          </w:p>
        </w:tc>
        <w:tc>
          <w:tcPr>
            <w:tcW w:w="595" w:type="dxa"/>
            <w:vAlign w:val="center"/>
          </w:tcPr>
          <w:p w14:paraId="60D7AF1A" w14:textId="5970DE2E" w:rsidR="00BC1ED9" w:rsidRPr="00537EDC" w:rsidRDefault="00BC1ED9" w:rsidP="00BC1ED9">
            <w:pPr>
              <w:spacing w:after="0"/>
              <w:ind w:firstLine="0"/>
              <w:jc w:val="center"/>
              <w:rPr>
                <w:rFonts w:eastAsia="Calibri"/>
                <w:b/>
                <w:bCs/>
                <w:sz w:val="18"/>
                <w:szCs w:val="18"/>
              </w:rPr>
            </w:pPr>
            <w:r w:rsidRPr="00537EDC">
              <w:rPr>
                <w:rFonts w:eastAsia="Calibri"/>
                <w:b/>
                <w:bCs/>
                <w:sz w:val="18"/>
                <w:szCs w:val="18"/>
              </w:rPr>
              <w:t>2011</w:t>
            </w:r>
          </w:p>
        </w:tc>
        <w:tc>
          <w:tcPr>
            <w:tcW w:w="596" w:type="dxa"/>
            <w:vAlign w:val="center"/>
          </w:tcPr>
          <w:p w14:paraId="4D65743A" w14:textId="5A086573" w:rsidR="00BC1ED9" w:rsidRPr="00537EDC" w:rsidRDefault="00BC1ED9" w:rsidP="00BC1ED9">
            <w:pPr>
              <w:spacing w:after="0"/>
              <w:ind w:firstLine="0"/>
              <w:jc w:val="center"/>
              <w:rPr>
                <w:rFonts w:eastAsia="Calibri"/>
                <w:b/>
                <w:bCs/>
                <w:sz w:val="18"/>
                <w:szCs w:val="18"/>
              </w:rPr>
            </w:pPr>
            <w:r w:rsidRPr="00537EDC">
              <w:rPr>
                <w:rFonts w:eastAsia="Calibri"/>
                <w:b/>
                <w:bCs/>
                <w:sz w:val="18"/>
                <w:szCs w:val="18"/>
              </w:rPr>
              <w:t>2012</w:t>
            </w:r>
          </w:p>
        </w:tc>
        <w:tc>
          <w:tcPr>
            <w:tcW w:w="596" w:type="dxa"/>
            <w:vAlign w:val="center"/>
          </w:tcPr>
          <w:p w14:paraId="4828B19B" w14:textId="0F28C559" w:rsidR="00BC1ED9" w:rsidRPr="00537EDC" w:rsidRDefault="00BC1ED9" w:rsidP="00BC1ED9">
            <w:pPr>
              <w:spacing w:after="0"/>
              <w:ind w:firstLine="0"/>
              <w:jc w:val="center"/>
              <w:rPr>
                <w:rFonts w:eastAsia="Calibri"/>
                <w:b/>
                <w:bCs/>
                <w:sz w:val="18"/>
                <w:szCs w:val="18"/>
              </w:rPr>
            </w:pPr>
            <w:r w:rsidRPr="00537EDC">
              <w:rPr>
                <w:rFonts w:eastAsia="Calibri"/>
                <w:b/>
                <w:bCs/>
                <w:sz w:val="18"/>
                <w:szCs w:val="18"/>
              </w:rPr>
              <w:t>2013</w:t>
            </w:r>
          </w:p>
        </w:tc>
        <w:tc>
          <w:tcPr>
            <w:tcW w:w="596" w:type="dxa"/>
            <w:vAlign w:val="center"/>
          </w:tcPr>
          <w:p w14:paraId="5C326DA9" w14:textId="2A278F45" w:rsidR="00BC1ED9" w:rsidRPr="00537EDC" w:rsidRDefault="00BC1ED9" w:rsidP="00BC1ED9">
            <w:pPr>
              <w:spacing w:after="0"/>
              <w:ind w:firstLine="0"/>
              <w:jc w:val="center"/>
              <w:rPr>
                <w:rFonts w:eastAsia="Calibri"/>
                <w:b/>
                <w:bCs/>
                <w:sz w:val="18"/>
                <w:szCs w:val="18"/>
              </w:rPr>
            </w:pPr>
            <w:r w:rsidRPr="00537EDC">
              <w:rPr>
                <w:rFonts w:eastAsia="Calibri"/>
                <w:b/>
                <w:bCs/>
                <w:sz w:val="18"/>
                <w:szCs w:val="18"/>
              </w:rPr>
              <w:t>2014</w:t>
            </w:r>
          </w:p>
        </w:tc>
        <w:tc>
          <w:tcPr>
            <w:tcW w:w="596" w:type="dxa"/>
            <w:vAlign w:val="center"/>
          </w:tcPr>
          <w:p w14:paraId="15A5CAE2" w14:textId="4AB01CC9" w:rsidR="00BC1ED9" w:rsidRPr="00537EDC" w:rsidRDefault="00BC1ED9" w:rsidP="00BC1ED9">
            <w:pPr>
              <w:spacing w:after="0"/>
              <w:ind w:firstLine="0"/>
              <w:jc w:val="center"/>
              <w:rPr>
                <w:rFonts w:eastAsia="Calibri"/>
                <w:b/>
                <w:bCs/>
                <w:sz w:val="18"/>
                <w:szCs w:val="18"/>
              </w:rPr>
            </w:pPr>
            <w:r w:rsidRPr="00537EDC">
              <w:rPr>
                <w:rFonts w:eastAsia="Calibri"/>
                <w:b/>
                <w:bCs/>
                <w:sz w:val="18"/>
                <w:szCs w:val="18"/>
              </w:rPr>
              <w:t>2015</w:t>
            </w:r>
          </w:p>
        </w:tc>
        <w:tc>
          <w:tcPr>
            <w:tcW w:w="596" w:type="dxa"/>
            <w:vAlign w:val="center"/>
          </w:tcPr>
          <w:p w14:paraId="1464F574" w14:textId="614D393D" w:rsidR="00BC1ED9" w:rsidRPr="00537EDC" w:rsidRDefault="00BC1ED9" w:rsidP="00BC1ED9">
            <w:pPr>
              <w:spacing w:after="0"/>
              <w:ind w:firstLine="0"/>
              <w:jc w:val="center"/>
              <w:rPr>
                <w:rFonts w:eastAsia="Calibri"/>
                <w:b/>
                <w:bCs/>
                <w:sz w:val="18"/>
                <w:szCs w:val="18"/>
              </w:rPr>
            </w:pPr>
            <w:r w:rsidRPr="00537EDC">
              <w:rPr>
                <w:rFonts w:eastAsia="Calibri"/>
                <w:b/>
                <w:bCs/>
                <w:sz w:val="18"/>
                <w:szCs w:val="18"/>
              </w:rPr>
              <w:t>2016</w:t>
            </w:r>
          </w:p>
        </w:tc>
        <w:tc>
          <w:tcPr>
            <w:tcW w:w="596" w:type="dxa"/>
            <w:vAlign w:val="center"/>
          </w:tcPr>
          <w:p w14:paraId="00292335" w14:textId="6A99BA6A" w:rsidR="00BC1ED9" w:rsidRPr="00537EDC" w:rsidRDefault="00BC1ED9" w:rsidP="00BC1ED9">
            <w:pPr>
              <w:spacing w:after="0"/>
              <w:ind w:firstLine="0"/>
              <w:jc w:val="center"/>
              <w:rPr>
                <w:rFonts w:eastAsia="Calibri"/>
                <w:b/>
                <w:bCs/>
                <w:sz w:val="18"/>
                <w:szCs w:val="18"/>
              </w:rPr>
            </w:pPr>
            <w:r w:rsidRPr="00537EDC">
              <w:rPr>
                <w:rFonts w:eastAsia="Calibri"/>
                <w:b/>
                <w:bCs/>
                <w:sz w:val="18"/>
                <w:szCs w:val="18"/>
              </w:rPr>
              <w:t>2017</w:t>
            </w:r>
          </w:p>
        </w:tc>
        <w:tc>
          <w:tcPr>
            <w:tcW w:w="597" w:type="dxa"/>
            <w:vAlign w:val="center"/>
          </w:tcPr>
          <w:p w14:paraId="45386758" w14:textId="26916BDF" w:rsidR="00BC1ED9" w:rsidRPr="00537EDC" w:rsidRDefault="00BC1ED9" w:rsidP="00BC1ED9">
            <w:pPr>
              <w:spacing w:after="0"/>
              <w:ind w:firstLine="0"/>
              <w:jc w:val="center"/>
              <w:rPr>
                <w:rFonts w:eastAsia="Calibri"/>
                <w:b/>
                <w:bCs/>
                <w:sz w:val="18"/>
                <w:szCs w:val="18"/>
              </w:rPr>
            </w:pPr>
            <w:r w:rsidRPr="00537EDC">
              <w:rPr>
                <w:rFonts w:eastAsia="Calibri"/>
                <w:b/>
                <w:bCs/>
                <w:sz w:val="18"/>
                <w:szCs w:val="18"/>
              </w:rPr>
              <w:t>2018</w:t>
            </w:r>
          </w:p>
        </w:tc>
        <w:tc>
          <w:tcPr>
            <w:tcW w:w="597" w:type="dxa"/>
            <w:vAlign w:val="center"/>
          </w:tcPr>
          <w:p w14:paraId="1FE17290" w14:textId="33E40B0D" w:rsidR="00BC1ED9" w:rsidRPr="00537EDC" w:rsidRDefault="00BC1ED9" w:rsidP="00BC1ED9">
            <w:pPr>
              <w:spacing w:after="0"/>
              <w:ind w:firstLine="0"/>
              <w:jc w:val="center"/>
              <w:rPr>
                <w:rFonts w:eastAsia="Calibri"/>
                <w:b/>
                <w:bCs/>
                <w:sz w:val="18"/>
                <w:szCs w:val="18"/>
              </w:rPr>
            </w:pPr>
            <w:r w:rsidRPr="00537EDC">
              <w:rPr>
                <w:rFonts w:eastAsia="Calibri"/>
                <w:b/>
                <w:bCs/>
                <w:sz w:val="18"/>
                <w:szCs w:val="18"/>
              </w:rPr>
              <w:t>2019</w:t>
            </w:r>
          </w:p>
        </w:tc>
        <w:tc>
          <w:tcPr>
            <w:tcW w:w="597" w:type="dxa"/>
            <w:vAlign w:val="center"/>
          </w:tcPr>
          <w:p w14:paraId="26F4CD24" w14:textId="4E88BEAC" w:rsidR="00BC1ED9" w:rsidRPr="00537EDC" w:rsidRDefault="00BC1ED9" w:rsidP="00BC1ED9">
            <w:pPr>
              <w:spacing w:after="0"/>
              <w:ind w:firstLine="0"/>
              <w:jc w:val="center"/>
              <w:rPr>
                <w:rFonts w:eastAsia="Calibri"/>
                <w:b/>
                <w:bCs/>
                <w:sz w:val="18"/>
                <w:szCs w:val="18"/>
              </w:rPr>
            </w:pPr>
            <w:r w:rsidRPr="00537EDC">
              <w:rPr>
                <w:rFonts w:eastAsia="Calibri"/>
                <w:b/>
                <w:bCs/>
                <w:sz w:val="18"/>
                <w:szCs w:val="18"/>
              </w:rPr>
              <w:t>2020</w:t>
            </w:r>
          </w:p>
        </w:tc>
      </w:tr>
      <w:tr w:rsidR="00BC1ED9" w:rsidRPr="00BC1ED9" w14:paraId="6465583E" w14:textId="77777777" w:rsidTr="00FD756D">
        <w:tc>
          <w:tcPr>
            <w:tcW w:w="1050" w:type="dxa"/>
            <w:vAlign w:val="center"/>
          </w:tcPr>
          <w:p w14:paraId="65514091" w14:textId="12407630" w:rsidR="00BC1ED9" w:rsidRPr="00537EDC" w:rsidRDefault="00BC1ED9" w:rsidP="00BC1ED9">
            <w:pPr>
              <w:spacing w:after="0"/>
              <w:ind w:firstLine="0"/>
              <w:jc w:val="center"/>
              <w:rPr>
                <w:rFonts w:eastAsia="Calibri"/>
                <w:sz w:val="16"/>
                <w:szCs w:val="16"/>
              </w:rPr>
            </w:pPr>
            <w:r w:rsidRPr="00537EDC">
              <w:rPr>
                <w:rFonts w:eastAsia="Calibri"/>
                <w:sz w:val="16"/>
                <w:szCs w:val="16"/>
              </w:rPr>
              <w:t>Tekošā konta bilance % no IKP</w:t>
            </w:r>
          </w:p>
        </w:tc>
        <w:tc>
          <w:tcPr>
            <w:tcW w:w="740" w:type="dxa"/>
            <w:vAlign w:val="center"/>
          </w:tcPr>
          <w:p w14:paraId="7926DE8D" w14:textId="695B3516" w:rsidR="00BC1ED9" w:rsidRPr="00537EDC" w:rsidRDefault="002C52ED" w:rsidP="002C52ED">
            <w:pPr>
              <w:spacing w:after="0"/>
              <w:ind w:firstLine="0"/>
              <w:jc w:val="center"/>
              <w:rPr>
                <w:rFonts w:eastAsia="Calibri"/>
                <w:sz w:val="16"/>
                <w:szCs w:val="16"/>
              </w:rPr>
            </w:pPr>
            <w:r w:rsidRPr="00537EDC">
              <w:rPr>
                <w:rFonts w:eastAsia="Calibri"/>
                <w:sz w:val="16"/>
                <w:szCs w:val="16"/>
              </w:rPr>
              <w:t>3 gadu vidējais</w:t>
            </w:r>
          </w:p>
        </w:tc>
        <w:tc>
          <w:tcPr>
            <w:tcW w:w="714" w:type="dxa"/>
            <w:vAlign w:val="center"/>
          </w:tcPr>
          <w:p w14:paraId="6334CC4B" w14:textId="03E3AD6B" w:rsidR="00BC1ED9" w:rsidRPr="00537EDC" w:rsidRDefault="00F51A70" w:rsidP="00F51A70">
            <w:pPr>
              <w:spacing w:after="0"/>
              <w:ind w:firstLine="0"/>
              <w:jc w:val="center"/>
              <w:rPr>
                <w:rFonts w:eastAsia="Calibri"/>
                <w:sz w:val="16"/>
                <w:szCs w:val="16"/>
              </w:rPr>
            </w:pPr>
            <w:r w:rsidRPr="00537EDC">
              <w:rPr>
                <w:rFonts w:eastAsia="Calibri"/>
                <w:sz w:val="16"/>
                <w:szCs w:val="16"/>
              </w:rPr>
              <w:t>-4%</w:t>
            </w:r>
          </w:p>
        </w:tc>
        <w:tc>
          <w:tcPr>
            <w:tcW w:w="595" w:type="dxa"/>
            <w:vAlign w:val="center"/>
          </w:tcPr>
          <w:p w14:paraId="7B8E49DC" w14:textId="3B063C04" w:rsidR="00BC1ED9" w:rsidRPr="00537EDC" w:rsidRDefault="00F84C32" w:rsidP="00FD756D">
            <w:pPr>
              <w:spacing w:after="0"/>
              <w:ind w:firstLine="0"/>
              <w:jc w:val="right"/>
              <w:rPr>
                <w:rFonts w:eastAsia="Calibri"/>
                <w:sz w:val="16"/>
                <w:szCs w:val="16"/>
              </w:rPr>
            </w:pPr>
            <w:r w:rsidRPr="00537EDC">
              <w:rPr>
                <w:rFonts w:eastAsia="Calibri"/>
                <w:sz w:val="16"/>
                <w:szCs w:val="16"/>
              </w:rPr>
              <w:t>-0,9</w:t>
            </w:r>
          </w:p>
        </w:tc>
        <w:tc>
          <w:tcPr>
            <w:tcW w:w="595" w:type="dxa"/>
            <w:vAlign w:val="center"/>
          </w:tcPr>
          <w:p w14:paraId="1CB47D5A" w14:textId="3438A0CC" w:rsidR="00BC1ED9" w:rsidRPr="00537EDC" w:rsidRDefault="00F84C32" w:rsidP="00FD756D">
            <w:pPr>
              <w:spacing w:after="0"/>
              <w:ind w:firstLine="0"/>
              <w:jc w:val="right"/>
              <w:rPr>
                <w:rFonts w:eastAsia="Calibri"/>
                <w:sz w:val="16"/>
                <w:szCs w:val="16"/>
              </w:rPr>
            </w:pPr>
            <w:r w:rsidRPr="00537EDC">
              <w:rPr>
                <w:rFonts w:eastAsia="Calibri"/>
                <w:sz w:val="16"/>
                <w:szCs w:val="16"/>
              </w:rPr>
              <w:t>2</w:t>
            </w:r>
          </w:p>
        </w:tc>
        <w:tc>
          <w:tcPr>
            <w:tcW w:w="596" w:type="dxa"/>
            <w:vAlign w:val="center"/>
          </w:tcPr>
          <w:p w14:paraId="5339A60F" w14:textId="733D5D83" w:rsidR="00BC1ED9" w:rsidRPr="00537EDC" w:rsidRDefault="00F84C32" w:rsidP="00FD756D">
            <w:pPr>
              <w:spacing w:after="0"/>
              <w:ind w:firstLine="0"/>
              <w:jc w:val="right"/>
              <w:rPr>
                <w:rFonts w:eastAsia="Calibri"/>
                <w:sz w:val="16"/>
                <w:szCs w:val="16"/>
              </w:rPr>
            </w:pPr>
            <w:r w:rsidRPr="00537EDC">
              <w:rPr>
                <w:rFonts w:eastAsia="Calibri"/>
                <w:sz w:val="16"/>
                <w:szCs w:val="16"/>
              </w:rPr>
              <w:t>-1,8</w:t>
            </w:r>
          </w:p>
        </w:tc>
        <w:tc>
          <w:tcPr>
            <w:tcW w:w="596" w:type="dxa"/>
            <w:vAlign w:val="center"/>
          </w:tcPr>
          <w:p w14:paraId="65A46869" w14:textId="4FA76EDE" w:rsidR="00BC1ED9" w:rsidRPr="00537EDC" w:rsidRDefault="0091397B" w:rsidP="00FD756D">
            <w:pPr>
              <w:spacing w:after="0"/>
              <w:ind w:firstLine="0"/>
              <w:jc w:val="right"/>
              <w:rPr>
                <w:rFonts w:eastAsia="Calibri"/>
                <w:sz w:val="16"/>
                <w:szCs w:val="16"/>
              </w:rPr>
            </w:pPr>
            <w:r w:rsidRPr="00537EDC">
              <w:rPr>
                <w:rFonts w:eastAsia="Calibri"/>
                <w:sz w:val="16"/>
                <w:szCs w:val="16"/>
              </w:rPr>
              <w:t>-3,3</w:t>
            </w:r>
          </w:p>
        </w:tc>
        <w:tc>
          <w:tcPr>
            <w:tcW w:w="596" w:type="dxa"/>
            <w:vAlign w:val="center"/>
          </w:tcPr>
          <w:p w14:paraId="6F46719D" w14:textId="567E4754" w:rsidR="00BC1ED9" w:rsidRPr="00537EDC" w:rsidRDefault="0091397B" w:rsidP="00FD756D">
            <w:pPr>
              <w:spacing w:after="0"/>
              <w:ind w:firstLine="0"/>
              <w:jc w:val="right"/>
              <w:rPr>
                <w:rFonts w:eastAsia="Calibri"/>
                <w:sz w:val="16"/>
                <w:szCs w:val="16"/>
              </w:rPr>
            </w:pPr>
            <w:r w:rsidRPr="00537EDC">
              <w:rPr>
                <w:rFonts w:eastAsia="Calibri"/>
                <w:sz w:val="16"/>
                <w:szCs w:val="16"/>
              </w:rPr>
              <w:t>-2,7</w:t>
            </w:r>
          </w:p>
        </w:tc>
        <w:tc>
          <w:tcPr>
            <w:tcW w:w="596" w:type="dxa"/>
            <w:vAlign w:val="center"/>
          </w:tcPr>
          <w:p w14:paraId="7C817C55" w14:textId="5BBE407D" w:rsidR="00BC1ED9" w:rsidRPr="00537EDC" w:rsidRDefault="0091397B" w:rsidP="00FD756D">
            <w:pPr>
              <w:spacing w:after="0"/>
              <w:ind w:firstLine="0"/>
              <w:jc w:val="right"/>
              <w:rPr>
                <w:rFonts w:eastAsia="Calibri"/>
                <w:sz w:val="16"/>
                <w:szCs w:val="16"/>
              </w:rPr>
            </w:pPr>
            <w:r w:rsidRPr="00537EDC">
              <w:rPr>
                <w:rFonts w:eastAsia="Calibri"/>
                <w:sz w:val="16"/>
                <w:szCs w:val="16"/>
              </w:rPr>
              <w:t>-1,7</w:t>
            </w:r>
          </w:p>
        </w:tc>
        <w:tc>
          <w:tcPr>
            <w:tcW w:w="596" w:type="dxa"/>
            <w:vAlign w:val="center"/>
          </w:tcPr>
          <w:p w14:paraId="0E8BC317" w14:textId="7CD07F37" w:rsidR="00BC1ED9" w:rsidRPr="00537EDC" w:rsidRDefault="008218D6" w:rsidP="00FD756D">
            <w:pPr>
              <w:spacing w:after="0"/>
              <w:ind w:firstLine="0"/>
              <w:jc w:val="right"/>
              <w:rPr>
                <w:rFonts w:eastAsia="Calibri"/>
                <w:sz w:val="16"/>
                <w:szCs w:val="16"/>
              </w:rPr>
            </w:pPr>
            <w:r w:rsidRPr="00537EDC">
              <w:rPr>
                <w:rFonts w:eastAsia="Calibri"/>
                <w:sz w:val="16"/>
                <w:szCs w:val="16"/>
              </w:rPr>
              <w:t>-0,2</w:t>
            </w:r>
          </w:p>
        </w:tc>
        <w:tc>
          <w:tcPr>
            <w:tcW w:w="596" w:type="dxa"/>
            <w:vAlign w:val="center"/>
          </w:tcPr>
          <w:p w14:paraId="22C806B9" w14:textId="091BCC95" w:rsidR="00BC1ED9" w:rsidRPr="00537EDC" w:rsidRDefault="000502AC" w:rsidP="00FD756D">
            <w:pPr>
              <w:spacing w:after="0"/>
              <w:ind w:firstLine="0"/>
              <w:jc w:val="right"/>
              <w:rPr>
                <w:rFonts w:eastAsia="Calibri"/>
                <w:sz w:val="16"/>
                <w:szCs w:val="16"/>
              </w:rPr>
            </w:pPr>
            <w:r w:rsidRPr="00537EDC">
              <w:rPr>
                <w:rFonts w:eastAsia="Calibri"/>
                <w:sz w:val="16"/>
                <w:szCs w:val="16"/>
              </w:rPr>
              <w:t>0,7</w:t>
            </w:r>
          </w:p>
        </w:tc>
        <w:tc>
          <w:tcPr>
            <w:tcW w:w="597" w:type="dxa"/>
            <w:vAlign w:val="center"/>
          </w:tcPr>
          <w:p w14:paraId="6EB6B7FA" w14:textId="528C54FE" w:rsidR="00BC1ED9" w:rsidRPr="00537EDC" w:rsidRDefault="000502AC" w:rsidP="00FD756D">
            <w:pPr>
              <w:spacing w:after="0"/>
              <w:ind w:firstLine="0"/>
              <w:jc w:val="right"/>
              <w:rPr>
                <w:rFonts w:eastAsia="Calibri"/>
                <w:sz w:val="16"/>
                <w:szCs w:val="16"/>
              </w:rPr>
            </w:pPr>
            <w:r w:rsidRPr="00537EDC">
              <w:rPr>
                <w:rFonts w:eastAsia="Calibri"/>
                <w:sz w:val="16"/>
                <w:szCs w:val="16"/>
              </w:rPr>
              <w:t>0,9</w:t>
            </w:r>
          </w:p>
        </w:tc>
        <w:tc>
          <w:tcPr>
            <w:tcW w:w="597" w:type="dxa"/>
            <w:vAlign w:val="center"/>
          </w:tcPr>
          <w:p w14:paraId="72BCEAAD" w14:textId="6FFBB974" w:rsidR="00BC1ED9" w:rsidRPr="00537EDC" w:rsidRDefault="00F366B0" w:rsidP="00FD756D">
            <w:pPr>
              <w:spacing w:after="0"/>
              <w:ind w:firstLine="0"/>
              <w:jc w:val="right"/>
              <w:rPr>
                <w:rFonts w:eastAsia="Calibri"/>
                <w:sz w:val="16"/>
                <w:szCs w:val="16"/>
              </w:rPr>
            </w:pPr>
            <w:r w:rsidRPr="00537EDC">
              <w:rPr>
                <w:rFonts w:eastAsia="Calibri"/>
                <w:sz w:val="16"/>
                <w:szCs w:val="16"/>
              </w:rPr>
              <w:t>0,1</w:t>
            </w:r>
          </w:p>
        </w:tc>
        <w:tc>
          <w:tcPr>
            <w:tcW w:w="597" w:type="dxa"/>
            <w:vAlign w:val="center"/>
          </w:tcPr>
          <w:p w14:paraId="5483EE99" w14:textId="7B10F093" w:rsidR="00BC1ED9" w:rsidRPr="00537EDC" w:rsidRDefault="00F366B0" w:rsidP="00FD756D">
            <w:pPr>
              <w:spacing w:after="0"/>
              <w:ind w:firstLine="0"/>
              <w:jc w:val="right"/>
              <w:rPr>
                <w:rFonts w:eastAsia="Calibri"/>
                <w:sz w:val="16"/>
                <w:szCs w:val="16"/>
              </w:rPr>
            </w:pPr>
            <w:r w:rsidRPr="00537EDC">
              <w:rPr>
                <w:rFonts w:eastAsia="Calibri"/>
                <w:sz w:val="16"/>
                <w:szCs w:val="16"/>
              </w:rPr>
              <w:t>0,7</w:t>
            </w:r>
          </w:p>
        </w:tc>
      </w:tr>
      <w:tr w:rsidR="00BC1ED9" w:rsidRPr="00BC1ED9" w14:paraId="46D5BBFA" w14:textId="77777777" w:rsidTr="0030100C">
        <w:tc>
          <w:tcPr>
            <w:tcW w:w="1050" w:type="dxa"/>
            <w:vAlign w:val="center"/>
          </w:tcPr>
          <w:p w14:paraId="1EF73B9C" w14:textId="476008DD" w:rsidR="00BC1ED9" w:rsidRPr="00537EDC" w:rsidRDefault="00BC1ED9" w:rsidP="00BC1ED9">
            <w:pPr>
              <w:spacing w:after="0"/>
              <w:ind w:firstLine="0"/>
              <w:jc w:val="center"/>
              <w:rPr>
                <w:rFonts w:eastAsia="Calibri"/>
                <w:sz w:val="16"/>
                <w:szCs w:val="16"/>
              </w:rPr>
            </w:pPr>
            <w:r w:rsidRPr="00537EDC">
              <w:rPr>
                <w:rFonts w:eastAsia="Calibri"/>
                <w:sz w:val="16"/>
                <w:szCs w:val="16"/>
              </w:rPr>
              <w:t>Neto starptautiskā investīciju pozīcija</w:t>
            </w:r>
          </w:p>
        </w:tc>
        <w:tc>
          <w:tcPr>
            <w:tcW w:w="740" w:type="dxa"/>
            <w:vAlign w:val="center"/>
          </w:tcPr>
          <w:p w14:paraId="0DB69788" w14:textId="494A3735" w:rsidR="00BC1ED9" w:rsidRPr="00537EDC" w:rsidRDefault="002C52ED" w:rsidP="002C52ED">
            <w:pPr>
              <w:spacing w:after="0"/>
              <w:ind w:firstLine="0"/>
              <w:jc w:val="center"/>
              <w:rPr>
                <w:rFonts w:eastAsia="Calibri"/>
                <w:sz w:val="16"/>
                <w:szCs w:val="16"/>
              </w:rPr>
            </w:pPr>
            <w:r w:rsidRPr="00537EDC">
              <w:rPr>
                <w:rFonts w:eastAsia="Calibri"/>
                <w:sz w:val="16"/>
                <w:szCs w:val="16"/>
              </w:rPr>
              <w:t>% no IKP</w:t>
            </w:r>
          </w:p>
        </w:tc>
        <w:tc>
          <w:tcPr>
            <w:tcW w:w="714" w:type="dxa"/>
            <w:vAlign w:val="center"/>
          </w:tcPr>
          <w:p w14:paraId="30DFF74D" w14:textId="7D6E2C80" w:rsidR="00BC1ED9" w:rsidRPr="00537EDC" w:rsidRDefault="00F51A70" w:rsidP="00F51A70">
            <w:pPr>
              <w:spacing w:after="0"/>
              <w:ind w:firstLine="0"/>
              <w:jc w:val="center"/>
              <w:rPr>
                <w:rFonts w:eastAsia="Calibri"/>
                <w:sz w:val="16"/>
                <w:szCs w:val="16"/>
              </w:rPr>
            </w:pPr>
            <w:r w:rsidRPr="00537EDC">
              <w:rPr>
                <w:rFonts w:eastAsia="Calibri"/>
                <w:sz w:val="16"/>
                <w:szCs w:val="16"/>
              </w:rPr>
              <w:t>35%</w:t>
            </w:r>
          </w:p>
        </w:tc>
        <w:tc>
          <w:tcPr>
            <w:tcW w:w="595" w:type="dxa"/>
            <w:shd w:val="clear" w:color="auto" w:fill="FBD4B4" w:themeFill="accent6" w:themeFillTint="66"/>
            <w:vAlign w:val="center"/>
          </w:tcPr>
          <w:p w14:paraId="1B1F15F9" w14:textId="400DFA47" w:rsidR="00BC1ED9" w:rsidRPr="00537EDC" w:rsidRDefault="00F84C32" w:rsidP="00FD756D">
            <w:pPr>
              <w:spacing w:after="0"/>
              <w:ind w:firstLine="0"/>
              <w:jc w:val="right"/>
              <w:rPr>
                <w:rFonts w:eastAsia="Calibri"/>
                <w:sz w:val="16"/>
                <w:szCs w:val="16"/>
              </w:rPr>
            </w:pPr>
            <w:r w:rsidRPr="00537EDC">
              <w:rPr>
                <w:rFonts w:eastAsia="Calibri"/>
                <w:sz w:val="16"/>
                <w:szCs w:val="16"/>
              </w:rPr>
              <w:t>-83,0</w:t>
            </w:r>
          </w:p>
        </w:tc>
        <w:tc>
          <w:tcPr>
            <w:tcW w:w="595" w:type="dxa"/>
            <w:vAlign w:val="center"/>
          </w:tcPr>
          <w:p w14:paraId="129AB27F" w14:textId="3A69B642" w:rsidR="00BC1ED9" w:rsidRPr="00537EDC" w:rsidRDefault="00F84C32" w:rsidP="00FD756D">
            <w:pPr>
              <w:spacing w:after="0"/>
              <w:ind w:firstLine="0"/>
              <w:jc w:val="right"/>
              <w:rPr>
                <w:rFonts w:eastAsia="Calibri"/>
                <w:sz w:val="16"/>
                <w:szCs w:val="16"/>
              </w:rPr>
            </w:pPr>
            <w:r w:rsidRPr="00537EDC">
              <w:rPr>
                <w:rFonts w:eastAsia="Calibri"/>
                <w:sz w:val="16"/>
                <w:szCs w:val="16"/>
              </w:rPr>
              <w:t>-75,6</w:t>
            </w:r>
          </w:p>
        </w:tc>
        <w:tc>
          <w:tcPr>
            <w:tcW w:w="596" w:type="dxa"/>
            <w:shd w:val="clear" w:color="auto" w:fill="FBD4B4" w:themeFill="accent6" w:themeFillTint="66"/>
            <w:vAlign w:val="center"/>
          </w:tcPr>
          <w:p w14:paraId="53BE7F16" w14:textId="6ED0585F" w:rsidR="00BC1ED9" w:rsidRPr="00537EDC" w:rsidRDefault="00F84C32" w:rsidP="00FD756D">
            <w:pPr>
              <w:spacing w:after="0"/>
              <w:ind w:firstLine="0"/>
              <w:jc w:val="right"/>
              <w:rPr>
                <w:rFonts w:eastAsia="Calibri"/>
                <w:sz w:val="16"/>
                <w:szCs w:val="16"/>
              </w:rPr>
            </w:pPr>
            <w:r w:rsidRPr="00537EDC">
              <w:rPr>
                <w:rFonts w:eastAsia="Calibri"/>
                <w:sz w:val="16"/>
                <w:szCs w:val="16"/>
              </w:rPr>
              <w:t>-68</w:t>
            </w:r>
          </w:p>
        </w:tc>
        <w:tc>
          <w:tcPr>
            <w:tcW w:w="596" w:type="dxa"/>
            <w:shd w:val="clear" w:color="auto" w:fill="FBD4B4" w:themeFill="accent6" w:themeFillTint="66"/>
            <w:vAlign w:val="center"/>
          </w:tcPr>
          <w:p w14:paraId="4E1E5DBC" w14:textId="0C18FF3E" w:rsidR="00BC1ED9" w:rsidRPr="00537EDC" w:rsidRDefault="0091397B" w:rsidP="00FD756D">
            <w:pPr>
              <w:spacing w:after="0"/>
              <w:ind w:firstLine="0"/>
              <w:jc w:val="right"/>
              <w:rPr>
                <w:rFonts w:eastAsia="Calibri"/>
                <w:sz w:val="16"/>
                <w:szCs w:val="16"/>
              </w:rPr>
            </w:pPr>
            <w:r w:rsidRPr="00537EDC">
              <w:rPr>
                <w:rFonts w:eastAsia="Calibri"/>
                <w:sz w:val="16"/>
                <w:szCs w:val="16"/>
              </w:rPr>
              <w:t>-67,3</w:t>
            </w:r>
          </w:p>
        </w:tc>
        <w:tc>
          <w:tcPr>
            <w:tcW w:w="596" w:type="dxa"/>
            <w:shd w:val="clear" w:color="auto" w:fill="FBD4B4" w:themeFill="accent6" w:themeFillTint="66"/>
            <w:vAlign w:val="center"/>
          </w:tcPr>
          <w:p w14:paraId="7DFEE0F7" w14:textId="10F29616" w:rsidR="00BC1ED9" w:rsidRPr="00537EDC" w:rsidRDefault="0091397B" w:rsidP="00FD756D">
            <w:pPr>
              <w:spacing w:after="0"/>
              <w:ind w:firstLine="0"/>
              <w:jc w:val="right"/>
              <w:rPr>
                <w:rFonts w:eastAsia="Calibri"/>
                <w:sz w:val="16"/>
                <w:szCs w:val="16"/>
              </w:rPr>
            </w:pPr>
            <w:r w:rsidRPr="00537EDC">
              <w:rPr>
                <w:rFonts w:eastAsia="Calibri"/>
                <w:sz w:val="16"/>
                <w:szCs w:val="16"/>
              </w:rPr>
              <w:t>-65,5</w:t>
            </w:r>
          </w:p>
        </w:tc>
        <w:tc>
          <w:tcPr>
            <w:tcW w:w="596" w:type="dxa"/>
            <w:shd w:val="clear" w:color="auto" w:fill="FBD4B4" w:themeFill="accent6" w:themeFillTint="66"/>
            <w:vAlign w:val="center"/>
          </w:tcPr>
          <w:p w14:paraId="3609649C" w14:textId="5EDCAACE" w:rsidR="00BC1ED9" w:rsidRPr="00537EDC" w:rsidRDefault="0091397B" w:rsidP="00FD756D">
            <w:pPr>
              <w:spacing w:after="0"/>
              <w:ind w:firstLine="0"/>
              <w:jc w:val="right"/>
              <w:rPr>
                <w:rFonts w:eastAsia="Calibri"/>
                <w:sz w:val="16"/>
                <w:szCs w:val="16"/>
              </w:rPr>
            </w:pPr>
            <w:r w:rsidRPr="00537EDC">
              <w:rPr>
                <w:rFonts w:eastAsia="Calibri"/>
                <w:sz w:val="16"/>
                <w:szCs w:val="16"/>
              </w:rPr>
              <w:t>-61,7</w:t>
            </w:r>
          </w:p>
        </w:tc>
        <w:tc>
          <w:tcPr>
            <w:tcW w:w="596" w:type="dxa"/>
            <w:shd w:val="clear" w:color="auto" w:fill="FBD4B4" w:themeFill="accent6" w:themeFillTint="66"/>
            <w:vAlign w:val="center"/>
          </w:tcPr>
          <w:p w14:paraId="21657856" w14:textId="282A3CC0" w:rsidR="00BC1ED9" w:rsidRPr="00537EDC" w:rsidRDefault="008218D6" w:rsidP="00FD756D">
            <w:pPr>
              <w:spacing w:after="0"/>
              <w:ind w:firstLine="0"/>
              <w:jc w:val="right"/>
              <w:rPr>
                <w:rFonts w:eastAsia="Calibri"/>
                <w:sz w:val="16"/>
                <w:szCs w:val="16"/>
              </w:rPr>
            </w:pPr>
            <w:r w:rsidRPr="00537EDC">
              <w:rPr>
                <w:rFonts w:eastAsia="Calibri"/>
                <w:sz w:val="16"/>
                <w:szCs w:val="16"/>
              </w:rPr>
              <w:t>-55,8</w:t>
            </w:r>
          </w:p>
        </w:tc>
        <w:tc>
          <w:tcPr>
            <w:tcW w:w="596" w:type="dxa"/>
            <w:shd w:val="clear" w:color="auto" w:fill="FBD4B4" w:themeFill="accent6" w:themeFillTint="66"/>
            <w:vAlign w:val="center"/>
          </w:tcPr>
          <w:p w14:paraId="4CC62F8B" w14:textId="2548B544" w:rsidR="00BC1ED9" w:rsidRPr="00537EDC" w:rsidRDefault="000502AC" w:rsidP="00FD756D">
            <w:pPr>
              <w:spacing w:after="0"/>
              <w:ind w:firstLine="0"/>
              <w:jc w:val="right"/>
              <w:rPr>
                <w:rFonts w:eastAsia="Calibri"/>
                <w:sz w:val="16"/>
                <w:szCs w:val="16"/>
              </w:rPr>
            </w:pPr>
            <w:r w:rsidRPr="00537EDC">
              <w:rPr>
                <w:rFonts w:eastAsia="Calibri"/>
                <w:sz w:val="16"/>
                <w:szCs w:val="16"/>
              </w:rPr>
              <w:t>-53,1</w:t>
            </w:r>
          </w:p>
        </w:tc>
        <w:tc>
          <w:tcPr>
            <w:tcW w:w="597" w:type="dxa"/>
            <w:shd w:val="clear" w:color="auto" w:fill="FBD4B4" w:themeFill="accent6" w:themeFillTint="66"/>
            <w:vAlign w:val="center"/>
          </w:tcPr>
          <w:p w14:paraId="6A1AB917" w14:textId="3BEA2C66" w:rsidR="00BC1ED9" w:rsidRPr="00537EDC" w:rsidRDefault="000502AC" w:rsidP="00FD756D">
            <w:pPr>
              <w:spacing w:after="0"/>
              <w:ind w:firstLine="0"/>
              <w:jc w:val="right"/>
              <w:rPr>
                <w:rFonts w:eastAsia="Calibri"/>
                <w:sz w:val="16"/>
                <w:szCs w:val="16"/>
              </w:rPr>
            </w:pPr>
            <w:r w:rsidRPr="00537EDC">
              <w:rPr>
                <w:rFonts w:eastAsia="Calibri"/>
                <w:sz w:val="16"/>
                <w:szCs w:val="16"/>
              </w:rPr>
              <w:t>-46,5</w:t>
            </w:r>
          </w:p>
        </w:tc>
        <w:tc>
          <w:tcPr>
            <w:tcW w:w="597" w:type="dxa"/>
            <w:shd w:val="clear" w:color="auto" w:fill="FBD4B4" w:themeFill="accent6" w:themeFillTint="66"/>
            <w:vAlign w:val="center"/>
          </w:tcPr>
          <w:p w14:paraId="1E3BA024" w14:textId="7C7E1D8B" w:rsidR="00BC1ED9" w:rsidRPr="00537EDC" w:rsidRDefault="00F366B0" w:rsidP="00FD756D">
            <w:pPr>
              <w:spacing w:after="0"/>
              <w:ind w:firstLine="0"/>
              <w:jc w:val="right"/>
              <w:rPr>
                <w:rFonts w:eastAsia="Calibri"/>
                <w:sz w:val="16"/>
                <w:szCs w:val="16"/>
              </w:rPr>
            </w:pPr>
            <w:r w:rsidRPr="00537EDC">
              <w:rPr>
                <w:rFonts w:eastAsia="Calibri"/>
                <w:sz w:val="16"/>
                <w:szCs w:val="16"/>
              </w:rPr>
              <w:t>-41,7</w:t>
            </w:r>
          </w:p>
        </w:tc>
        <w:tc>
          <w:tcPr>
            <w:tcW w:w="597" w:type="dxa"/>
            <w:shd w:val="clear" w:color="auto" w:fill="FBD4B4" w:themeFill="accent6" w:themeFillTint="66"/>
            <w:vAlign w:val="center"/>
          </w:tcPr>
          <w:p w14:paraId="707B576C" w14:textId="60ADB126" w:rsidR="00BC1ED9" w:rsidRPr="00537EDC" w:rsidRDefault="00F366B0" w:rsidP="00FD756D">
            <w:pPr>
              <w:spacing w:after="0"/>
              <w:ind w:firstLine="0"/>
              <w:jc w:val="right"/>
              <w:rPr>
                <w:rFonts w:eastAsia="Calibri"/>
                <w:sz w:val="16"/>
                <w:szCs w:val="16"/>
              </w:rPr>
            </w:pPr>
            <w:r w:rsidRPr="00537EDC">
              <w:rPr>
                <w:rFonts w:eastAsia="Calibri"/>
                <w:sz w:val="16"/>
                <w:szCs w:val="16"/>
              </w:rPr>
              <w:t>-36,6</w:t>
            </w:r>
          </w:p>
        </w:tc>
      </w:tr>
      <w:tr w:rsidR="00BC1ED9" w:rsidRPr="00BC1ED9" w14:paraId="701DBACB" w14:textId="77777777" w:rsidTr="0030100C">
        <w:tc>
          <w:tcPr>
            <w:tcW w:w="1050" w:type="dxa"/>
            <w:vAlign w:val="center"/>
          </w:tcPr>
          <w:p w14:paraId="10993579" w14:textId="2359A53A" w:rsidR="00BC1ED9" w:rsidRPr="00537EDC" w:rsidRDefault="00BC1ED9" w:rsidP="00BC1ED9">
            <w:pPr>
              <w:spacing w:after="0"/>
              <w:ind w:firstLine="0"/>
              <w:jc w:val="center"/>
              <w:rPr>
                <w:rFonts w:eastAsia="Calibri"/>
                <w:sz w:val="16"/>
                <w:szCs w:val="16"/>
              </w:rPr>
            </w:pPr>
            <w:r w:rsidRPr="00537EDC">
              <w:rPr>
                <w:rFonts w:eastAsia="Calibri"/>
                <w:sz w:val="16"/>
                <w:szCs w:val="16"/>
              </w:rPr>
              <w:t>Reālais efektīvais valūtas maiņas kurss – 42 tirdzniecības partneri</w:t>
            </w:r>
          </w:p>
        </w:tc>
        <w:tc>
          <w:tcPr>
            <w:tcW w:w="740" w:type="dxa"/>
            <w:vAlign w:val="center"/>
          </w:tcPr>
          <w:p w14:paraId="60A519A7" w14:textId="1D03955C" w:rsidR="00BC1ED9" w:rsidRPr="00537EDC" w:rsidRDefault="002C52ED" w:rsidP="002C52ED">
            <w:pPr>
              <w:spacing w:after="0"/>
              <w:ind w:firstLine="0"/>
              <w:jc w:val="center"/>
              <w:rPr>
                <w:rFonts w:eastAsia="Calibri"/>
                <w:sz w:val="16"/>
                <w:szCs w:val="16"/>
              </w:rPr>
            </w:pPr>
            <w:r w:rsidRPr="00537EDC">
              <w:rPr>
                <w:rFonts w:eastAsia="Calibri"/>
                <w:sz w:val="16"/>
                <w:szCs w:val="16"/>
              </w:rPr>
              <w:t>3 gadu % izmaiņas</w:t>
            </w:r>
          </w:p>
        </w:tc>
        <w:tc>
          <w:tcPr>
            <w:tcW w:w="714" w:type="dxa"/>
            <w:vAlign w:val="center"/>
          </w:tcPr>
          <w:p w14:paraId="6C669AD3" w14:textId="4C0920FE" w:rsidR="00BC1ED9" w:rsidRPr="00537EDC" w:rsidRDefault="00F51A70" w:rsidP="00F51A70">
            <w:pPr>
              <w:spacing w:after="0"/>
              <w:ind w:firstLine="0"/>
              <w:jc w:val="center"/>
              <w:rPr>
                <w:rFonts w:eastAsia="Calibri"/>
                <w:sz w:val="16"/>
                <w:szCs w:val="16"/>
              </w:rPr>
            </w:pPr>
            <w:r w:rsidRPr="00537EDC">
              <w:rPr>
                <w:rFonts w:eastAsia="Calibri"/>
                <w:sz w:val="16"/>
                <w:szCs w:val="16"/>
                <w:u w:val="single"/>
              </w:rPr>
              <w:t>+</w:t>
            </w:r>
            <w:r w:rsidR="003109B8" w:rsidRPr="00537EDC">
              <w:rPr>
                <w:rFonts w:eastAsia="Calibri"/>
                <w:sz w:val="16"/>
                <w:szCs w:val="16"/>
              </w:rPr>
              <w:t>5%</w:t>
            </w:r>
          </w:p>
          <w:p w14:paraId="38D60C70" w14:textId="121B7E6D" w:rsidR="00F51A70" w:rsidRPr="00537EDC" w:rsidRDefault="00F51A70" w:rsidP="00F51A70">
            <w:pPr>
              <w:spacing w:after="0"/>
              <w:ind w:firstLine="0"/>
              <w:jc w:val="center"/>
              <w:rPr>
                <w:rFonts w:eastAsia="Calibri"/>
                <w:sz w:val="16"/>
                <w:szCs w:val="16"/>
              </w:rPr>
            </w:pPr>
          </w:p>
        </w:tc>
        <w:tc>
          <w:tcPr>
            <w:tcW w:w="595" w:type="dxa"/>
            <w:shd w:val="clear" w:color="auto" w:fill="FBD4B4" w:themeFill="accent6" w:themeFillTint="66"/>
            <w:vAlign w:val="center"/>
          </w:tcPr>
          <w:p w14:paraId="06A7E654" w14:textId="7963C0FD" w:rsidR="00BC1ED9" w:rsidRPr="00537EDC" w:rsidRDefault="00F84C32" w:rsidP="00FD756D">
            <w:pPr>
              <w:spacing w:after="0"/>
              <w:ind w:firstLine="0"/>
              <w:jc w:val="right"/>
              <w:rPr>
                <w:rFonts w:eastAsia="Calibri"/>
                <w:sz w:val="16"/>
                <w:szCs w:val="16"/>
              </w:rPr>
            </w:pPr>
            <w:r w:rsidRPr="00537EDC">
              <w:rPr>
                <w:rFonts w:eastAsia="Calibri"/>
                <w:sz w:val="16"/>
                <w:szCs w:val="16"/>
              </w:rPr>
              <w:t>6,7</w:t>
            </w:r>
          </w:p>
        </w:tc>
        <w:tc>
          <w:tcPr>
            <w:tcW w:w="595" w:type="dxa"/>
            <w:vAlign w:val="center"/>
          </w:tcPr>
          <w:p w14:paraId="723BDC7C" w14:textId="36D904EF" w:rsidR="00BC1ED9" w:rsidRPr="00537EDC" w:rsidRDefault="00F84C32" w:rsidP="00FD756D">
            <w:pPr>
              <w:spacing w:after="0"/>
              <w:ind w:firstLine="0"/>
              <w:jc w:val="right"/>
              <w:rPr>
                <w:rFonts w:eastAsia="Calibri"/>
                <w:sz w:val="16"/>
                <w:szCs w:val="16"/>
              </w:rPr>
            </w:pPr>
            <w:r w:rsidRPr="00537EDC">
              <w:rPr>
                <w:rFonts w:eastAsia="Calibri"/>
                <w:sz w:val="16"/>
                <w:szCs w:val="16"/>
              </w:rPr>
              <w:t>-2,4</w:t>
            </w:r>
          </w:p>
        </w:tc>
        <w:tc>
          <w:tcPr>
            <w:tcW w:w="596" w:type="dxa"/>
            <w:shd w:val="clear" w:color="auto" w:fill="FBD4B4" w:themeFill="accent6" w:themeFillTint="66"/>
            <w:vAlign w:val="center"/>
          </w:tcPr>
          <w:p w14:paraId="7D86752F" w14:textId="2AAB983D" w:rsidR="00BC1ED9" w:rsidRPr="00537EDC" w:rsidRDefault="00F84C32" w:rsidP="00FD756D">
            <w:pPr>
              <w:spacing w:after="0"/>
              <w:ind w:firstLine="0"/>
              <w:jc w:val="right"/>
              <w:rPr>
                <w:rFonts w:eastAsia="Calibri"/>
                <w:sz w:val="16"/>
                <w:szCs w:val="16"/>
              </w:rPr>
            </w:pPr>
            <w:r w:rsidRPr="00537EDC">
              <w:rPr>
                <w:rFonts w:eastAsia="Calibri"/>
                <w:sz w:val="16"/>
                <w:szCs w:val="16"/>
              </w:rPr>
              <w:t>-8,6</w:t>
            </w:r>
          </w:p>
        </w:tc>
        <w:tc>
          <w:tcPr>
            <w:tcW w:w="596" w:type="dxa"/>
            <w:vAlign w:val="center"/>
          </w:tcPr>
          <w:p w14:paraId="2A4A7AE5" w14:textId="307FA095" w:rsidR="00BC1ED9" w:rsidRPr="00537EDC" w:rsidRDefault="0091397B" w:rsidP="00FD756D">
            <w:pPr>
              <w:spacing w:after="0"/>
              <w:ind w:firstLine="0"/>
              <w:jc w:val="right"/>
              <w:rPr>
                <w:rFonts w:eastAsia="Calibri"/>
                <w:sz w:val="16"/>
                <w:szCs w:val="16"/>
              </w:rPr>
            </w:pPr>
            <w:r w:rsidRPr="00537EDC">
              <w:rPr>
                <w:rFonts w:eastAsia="Calibri"/>
                <w:sz w:val="16"/>
                <w:szCs w:val="16"/>
              </w:rPr>
              <w:t>-1,7</w:t>
            </w:r>
          </w:p>
        </w:tc>
        <w:tc>
          <w:tcPr>
            <w:tcW w:w="596" w:type="dxa"/>
            <w:vAlign w:val="center"/>
          </w:tcPr>
          <w:p w14:paraId="06596F8C" w14:textId="3DAF0FA4" w:rsidR="00BC1ED9" w:rsidRPr="00537EDC" w:rsidRDefault="0091397B" w:rsidP="00FD756D">
            <w:pPr>
              <w:spacing w:after="0"/>
              <w:ind w:firstLine="0"/>
              <w:jc w:val="right"/>
              <w:rPr>
                <w:rFonts w:eastAsia="Calibri"/>
                <w:sz w:val="16"/>
                <w:szCs w:val="16"/>
              </w:rPr>
            </w:pPr>
            <w:r w:rsidRPr="00537EDC">
              <w:rPr>
                <w:rFonts w:eastAsia="Calibri"/>
                <w:sz w:val="16"/>
                <w:szCs w:val="16"/>
              </w:rPr>
              <w:t>0,4</w:t>
            </w:r>
          </w:p>
        </w:tc>
        <w:tc>
          <w:tcPr>
            <w:tcW w:w="596" w:type="dxa"/>
            <w:vAlign w:val="center"/>
          </w:tcPr>
          <w:p w14:paraId="301904DC" w14:textId="0927F26F" w:rsidR="00BC1ED9" w:rsidRPr="00537EDC" w:rsidRDefault="0091397B" w:rsidP="00FD756D">
            <w:pPr>
              <w:spacing w:after="0"/>
              <w:ind w:firstLine="0"/>
              <w:jc w:val="right"/>
              <w:rPr>
                <w:rFonts w:eastAsia="Calibri"/>
                <w:sz w:val="16"/>
                <w:szCs w:val="16"/>
              </w:rPr>
            </w:pPr>
            <w:r w:rsidRPr="00537EDC">
              <w:rPr>
                <w:rFonts w:eastAsia="Calibri"/>
                <w:sz w:val="16"/>
                <w:szCs w:val="16"/>
              </w:rPr>
              <w:t>2,5</w:t>
            </w:r>
          </w:p>
        </w:tc>
        <w:tc>
          <w:tcPr>
            <w:tcW w:w="596" w:type="dxa"/>
            <w:vAlign w:val="center"/>
          </w:tcPr>
          <w:p w14:paraId="4ADC2BD6" w14:textId="77FA1B41" w:rsidR="00BC1ED9" w:rsidRPr="00537EDC" w:rsidRDefault="008218D6" w:rsidP="00FD756D">
            <w:pPr>
              <w:spacing w:after="0"/>
              <w:ind w:firstLine="0"/>
              <w:jc w:val="right"/>
              <w:rPr>
                <w:rFonts w:eastAsia="Calibri"/>
                <w:sz w:val="16"/>
                <w:szCs w:val="16"/>
              </w:rPr>
            </w:pPr>
            <w:r w:rsidRPr="00537EDC">
              <w:rPr>
                <w:rFonts w:eastAsia="Calibri"/>
                <w:sz w:val="16"/>
                <w:szCs w:val="16"/>
              </w:rPr>
              <w:t>4,8</w:t>
            </w:r>
          </w:p>
        </w:tc>
        <w:tc>
          <w:tcPr>
            <w:tcW w:w="596" w:type="dxa"/>
            <w:vAlign w:val="center"/>
          </w:tcPr>
          <w:p w14:paraId="7B8A8841" w14:textId="42979946" w:rsidR="00BC1ED9" w:rsidRPr="00537EDC" w:rsidRDefault="000502AC" w:rsidP="00FD756D">
            <w:pPr>
              <w:spacing w:after="0"/>
              <w:ind w:firstLine="0"/>
              <w:jc w:val="right"/>
              <w:rPr>
                <w:rFonts w:eastAsia="Calibri"/>
                <w:sz w:val="16"/>
                <w:szCs w:val="16"/>
              </w:rPr>
            </w:pPr>
            <w:r w:rsidRPr="00537EDC">
              <w:rPr>
                <w:rFonts w:eastAsia="Calibri"/>
                <w:sz w:val="16"/>
                <w:szCs w:val="16"/>
              </w:rPr>
              <w:t>1,7</w:t>
            </w:r>
          </w:p>
        </w:tc>
        <w:tc>
          <w:tcPr>
            <w:tcW w:w="597" w:type="dxa"/>
            <w:vAlign w:val="center"/>
          </w:tcPr>
          <w:p w14:paraId="0C9A2BD0" w14:textId="48C692F8" w:rsidR="00BC1ED9" w:rsidRPr="00537EDC" w:rsidRDefault="000502AC" w:rsidP="00FD756D">
            <w:pPr>
              <w:spacing w:after="0"/>
              <w:ind w:firstLine="0"/>
              <w:jc w:val="right"/>
              <w:rPr>
                <w:rFonts w:eastAsia="Calibri"/>
                <w:sz w:val="16"/>
                <w:szCs w:val="16"/>
              </w:rPr>
            </w:pPr>
            <w:r w:rsidRPr="00537EDC">
              <w:rPr>
                <w:rFonts w:eastAsia="Calibri"/>
                <w:sz w:val="16"/>
                <w:szCs w:val="16"/>
              </w:rPr>
              <w:t>5,1</w:t>
            </w:r>
          </w:p>
        </w:tc>
        <w:tc>
          <w:tcPr>
            <w:tcW w:w="597" w:type="dxa"/>
            <w:shd w:val="clear" w:color="auto" w:fill="C2D69B" w:themeFill="accent3" w:themeFillTint="99"/>
            <w:vAlign w:val="center"/>
          </w:tcPr>
          <w:p w14:paraId="118F8A54" w14:textId="5935E41A" w:rsidR="00BC1ED9" w:rsidRPr="00537EDC" w:rsidRDefault="00F366B0" w:rsidP="00FD756D">
            <w:pPr>
              <w:spacing w:after="0"/>
              <w:ind w:firstLine="0"/>
              <w:jc w:val="right"/>
              <w:rPr>
                <w:rFonts w:eastAsia="Calibri"/>
                <w:sz w:val="16"/>
                <w:szCs w:val="16"/>
              </w:rPr>
            </w:pPr>
            <w:r w:rsidRPr="00537EDC">
              <w:rPr>
                <w:rFonts w:eastAsia="Calibri"/>
                <w:sz w:val="16"/>
                <w:szCs w:val="16"/>
              </w:rPr>
              <w:t>3,8</w:t>
            </w:r>
          </w:p>
        </w:tc>
        <w:tc>
          <w:tcPr>
            <w:tcW w:w="597" w:type="dxa"/>
            <w:shd w:val="clear" w:color="auto" w:fill="C2D69B" w:themeFill="accent3" w:themeFillTint="99"/>
            <w:vAlign w:val="center"/>
          </w:tcPr>
          <w:p w14:paraId="4ABA8218" w14:textId="3FCBD5AA" w:rsidR="00BC1ED9" w:rsidRPr="00537EDC" w:rsidRDefault="00F366B0" w:rsidP="00FD756D">
            <w:pPr>
              <w:spacing w:after="0"/>
              <w:ind w:firstLine="0"/>
              <w:jc w:val="right"/>
              <w:rPr>
                <w:rFonts w:eastAsia="Calibri"/>
                <w:sz w:val="16"/>
                <w:szCs w:val="16"/>
              </w:rPr>
            </w:pPr>
            <w:r w:rsidRPr="00537EDC">
              <w:rPr>
                <w:rFonts w:eastAsia="Calibri"/>
                <w:sz w:val="16"/>
                <w:szCs w:val="16"/>
              </w:rPr>
              <w:t>5,9</w:t>
            </w:r>
          </w:p>
        </w:tc>
      </w:tr>
      <w:tr w:rsidR="002C52ED" w:rsidRPr="00BC1ED9" w14:paraId="2CD55524" w14:textId="77777777" w:rsidTr="0030100C">
        <w:tc>
          <w:tcPr>
            <w:tcW w:w="1050" w:type="dxa"/>
            <w:vAlign w:val="center"/>
          </w:tcPr>
          <w:p w14:paraId="3F93E30D" w14:textId="04E63ECF" w:rsidR="002C52ED" w:rsidRPr="00537EDC" w:rsidRDefault="002C52ED" w:rsidP="002C52ED">
            <w:pPr>
              <w:spacing w:after="0"/>
              <w:ind w:firstLine="0"/>
              <w:jc w:val="center"/>
              <w:rPr>
                <w:rFonts w:eastAsia="Calibri"/>
                <w:sz w:val="16"/>
                <w:szCs w:val="16"/>
              </w:rPr>
            </w:pPr>
            <w:r w:rsidRPr="00537EDC">
              <w:rPr>
                <w:rFonts w:eastAsia="Calibri"/>
                <w:sz w:val="16"/>
                <w:szCs w:val="16"/>
              </w:rPr>
              <w:t>Eksporta tirgus daļa % no pasaules eksporta</w:t>
            </w:r>
          </w:p>
        </w:tc>
        <w:tc>
          <w:tcPr>
            <w:tcW w:w="740" w:type="dxa"/>
            <w:vAlign w:val="center"/>
          </w:tcPr>
          <w:p w14:paraId="277A3361" w14:textId="6B7CBC62" w:rsidR="002C52ED" w:rsidRPr="00537EDC" w:rsidRDefault="002C52ED" w:rsidP="002C52ED">
            <w:pPr>
              <w:spacing w:after="0"/>
              <w:ind w:firstLine="0"/>
              <w:jc w:val="center"/>
              <w:rPr>
                <w:rFonts w:eastAsia="Calibri"/>
                <w:sz w:val="16"/>
                <w:szCs w:val="16"/>
              </w:rPr>
            </w:pPr>
            <w:r w:rsidRPr="00537EDC">
              <w:rPr>
                <w:rFonts w:eastAsia="Calibri"/>
                <w:sz w:val="16"/>
                <w:szCs w:val="16"/>
              </w:rPr>
              <w:t>5 gadu % izmaiņas</w:t>
            </w:r>
          </w:p>
        </w:tc>
        <w:tc>
          <w:tcPr>
            <w:tcW w:w="714" w:type="dxa"/>
            <w:vAlign w:val="center"/>
          </w:tcPr>
          <w:p w14:paraId="1611D8EC" w14:textId="300F7F0A" w:rsidR="002C52ED" w:rsidRPr="00537EDC" w:rsidRDefault="003109B8" w:rsidP="00F51A70">
            <w:pPr>
              <w:spacing w:after="0"/>
              <w:ind w:firstLine="0"/>
              <w:jc w:val="center"/>
              <w:rPr>
                <w:rFonts w:eastAsia="Calibri"/>
                <w:sz w:val="16"/>
                <w:szCs w:val="16"/>
              </w:rPr>
            </w:pPr>
            <w:r w:rsidRPr="00537EDC">
              <w:rPr>
                <w:rFonts w:eastAsia="Calibri"/>
                <w:sz w:val="16"/>
                <w:szCs w:val="16"/>
              </w:rPr>
              <w:t>-6%</w:t>
            </w:r>
          </w:p>
        </w:tc>
        <w:tc>
          <w:tcPr>
            <w:tcW w:w="595" w:type="dxa"/>
            <w:vAlign w:val="center"/>
          </w:tcPr>
          <w:p w14:paraId="45BB908E" w14:textId="537E06E4" w:rsidR="002C52ED" w:rsidRPr="00537EDC" w:rsidRDefault="00F84C32" w:rsidP="00FD756D">
            <w:pPr>
              <w:spacing w:after="0"/>
              <w:ind w:firstLine="0"/>
              <w:jc w:val="right"/>
              <w:rPr>
                <w:rFonts w:eastAsia="Calibri"/>
                <w:sz w:val="16"/>
                <w:szCs w:val="16"/>
              </w:rPr>
            </w:pPr>
            <w:r w:rsidRPr="00537EDC">
              <w:rPr>
                <w:rFonts w:eastAsia="Calibri"/>
                <w:sz w:val="16"/>
                <w:szCs w:val="16"/>
              </w:rPr>
              <w:t>21,65</w:t>
            </w:r>
          </w:p>
        </w:tc>
        <w:tc>
          <w:tcPr>
            <w:tcW w:w="595" w:type="dxa"/>
            <w:vAlign w:val="center"/>
          </w:tcPr>
          <w:p w14:paraId="47A5619D" w14:textId="79C71A48" w:rsidR="002C52ED" w:rsidRPr="00537EDC" w:rsidRDefault="00F84C32" w:rsidP="00FD756D">
            <w:pPr>
              <w:spacing w:after="0"/>
              <w:ind w:firstLine="0"/>
              <w:jc w:val="right"/>
              <w:rPr>
                <w:rFonts w:eastAsia="Calibri"/>
                <w:sz w:val="16"/>
                <w:szCs w:val="16"/>
              </w:rPr>
            </w:pPr>
            <w:r w:rsidRPr="00537EDC">
              <w:rPr>
                <w:rFonts w:eastAsia="Calibri"/>
                <w:sz w:val="16"/>
                <w:szCs w:val="16"/>
              </w:rPr>
              <w:t>27,36</w:t>
            </w:r>
          </w:p>
        </w:tc>
        <w:tc>
          <w:tcPr>
            <w:tcW w:w="596" w:type="dxa"/>
            <w:vAlign w:val="center"/>
          </w:tcPr>
          <w:p w14:paraId="2E9EAF8F" w14:textId="00677D70" w:rsidR="002C52ED" w:rsidRPr="00537EDC" w:rsidRDefault="00F84C32" w:rsidP="00FD756D">
            <w:pPr>
              <w:spacing w:after="0"/>
              <w:ind w:firstLine="0"/>
              <w:jc w:val="right"/>
              <w:rPr>
                <w:rFonts w:eastAsia="Calibri"/>
                <w:sz w:val="16"/>
                <w:szCs w:val="16"/>
              </w:rPr>
            </w:pPr>
            <w:r w:rsidRPr="00537EDC">
              <w:rPr>
                <w:rFonts w:eastAsia="Calibri"/>
                <w:sz w:val="16"/>
                <w:szCs w:val="16"/>
              </w:rPr>
              <w:t>8,22</w:t>
            </w:r>
          </w:p>
        </w:tc>
        <w:tc>
          <w:tcPr>
            <w:tcW w:w="596" w:type="dxa"/>
            <w:vAlign w:val="center"/>
          </w:tcPr>
          <w:p w14:paraId="18C1CD87" w14:textId="0C2A057C" w:rsidR="002C52ED" w:rsidRPr="00537EDC" w:rsidRDefault="0091397B" w:rsidP="00FD756D">
            <w:pPr>
              <w:spacing w:after="0"/>
              <w:ind w:firstLine="0"/>
              <w:jc w:val="right"/>
              <w:rPr>
                <w:rFonts w:eastAsia="Calibri"/>
                <w:sz w:val="16"/>
                <w:szCs w:val="16"/>
              </w:rPr>
            </w:pPr>
            <w:r w:rsidRPr="00537EDC">
              <w:rPr>
                <w:rFonts w:eastAsia="Calibri"/>
                <w:sz w:val="16"/>
                <w:szCs w:val="16"/>
              </w:rPr>
              <w:t>5,64</w:t>
            </w:r>
          </w:p>
        </w:tc>
        <w:tc>
          <w:tcPr>
            <w:tcW w:w="596" w:type="dxa"/>
            <w:vAlign w:val="center"/>
          </w:tcPr>
          <w:p w14:paraId="5DF67FF2" w14:textId="474AD1D2" w:rsidR="002C52ED" w:rsidRPr="00537EDC" w:rsidRDefault="0091397B" w:rsidP="00FD756D">
            <w:pPr>
              <w:spacing w:after="0"/>
              <w:ind w:firstLine="0"/>
              <w:jc w:val="right"/>
              <w:rPr>
                <w:rFonts w:eastAsia="Calibri"/>
                <w:sz w:val="16"/>
                <w:szCs w:val="16"/>
              </w:rPr>
            </w:pPr>
            <w:r w:rsidRPr="00537EDC">
              <w:rPr>
                <w:rFonts w:eastAsia="Calibri"/>
                <w:sz w:val="16"/>
                <w:szCs w:val="16"/>
              </w:rPr>
              <w:t>11,5</w:t>
            </w:r>
          </w:p>
        </w:tc>
        <w:tc>
          <w:tcPr>
            <w:tcW w:w="596" w:type="dxa"/>
            <w:vAlign w:val="center"/>
          </w:tcPr>
          <w:p w14:paraId="549740D4" w14:textId="63E75A72" w:rsidR="002C52ED" w:rsidRPr="00537EDC" w:rsidRDefault="0091397B" w:rsidP="00FD756D">
            <w:pPr>
              <w:spacing w:after="0"/>
              <w:ind w:firstLine="0"/>
              <w:jc w:val="right"/>
              <w:rPr>
                <w:rFonts w:eastAsia="Calibri"/>
                <w:sz w:val="16"/>
                <w:szCs w:val="16"/>
              </w:rPr>
            </w:pPr>
            <w:r w:rsidRPr="00537EDC">
              <w:rPr>
                <w:rFonts w:eastAsia="Calibri"/>
                <w:sz w:val="16"/>
                <w:szCs w:val="16"/>
              </w:rPr>
              <w:t>13,04</w:t>
            </w:r>
          </w:p>
        </w:tc>
        <w:tc>
          <w:tcPr>
            <w:tcW w:w="596" w:type="dxa"/>
            <w:vAlign w:val="center"/>
          </w:tcPr>
          <w:p w14:paraId="499EDDA8" w14:textId="0AD38CF1" w:rsidR="002C52ED" w:rsidRPr="00537EDC" w:rsidRDefault="008218D6" w:rsidP="00FD756D">
            <w:pPr>
              <w:spacing w:after="0"/>
              <w:ind w:firstLine="0"/>
              <w:jc w:val="right"/>
              <w:rPr>
                <w:rFonts w:eastAsia="Calibri"/>
                <w:sz w:val="16"/>
                <w:szCs w:val="16"/>
              </w:rPr>
            </w:pPr>
            <w:r w:rsidRPr="00537EDC">
              <w:rPr>
                <w:rFonts w:eastAsia="Calibri"/>
                <w:sz w:val="16"/>
                <w:szCs w:val="16"/>
              </w:rPr>
              <w:t>9,14</w:t>
            </w:r>
          </w:p>
        </w:tc>
        <w:tc>
          <w:tcPr>
            <w:tcW w:w="596" w:type="dxa"/>
            <w:vAlign w:val="center"/>
          </w:tcPr>
          <w:p w14:paraId="6EAA4B4C" w14:textId="6449332D" w:rsidR="002C52ED" w:rsidRPr="00537EDC" w:rsidRDefault="000502AC" w:rsidP="00FD756D">
            <w:pPr>
              <w:spacing w:after="0"/>
              <w:ind w:firstLine="0"/>
              <w:jc w:val="right"/>
              <w:rPr>
                <w:rFonts w:eastAsia="Calibri"/>
                <w:sz w:val="16"/>
                <w:szCs w:val="16"/>
              </w:rPr>
            </w:pPr>
            <w:r w:rsidRPr="00537EDC">
              <w:rPr>
                <w:rFonts w:eastAsia="Calibri"/>
                <w:sz w:val="16"/>
                <w:szCs w:val="16"/>
              </w:rPr>
              <w:t>7,39</w:t>
            </w:r>
          </w:p>
        </w:tc>
        <w:tc>
          <w:tcPr>
            <w:tcW w:w="597" w:type="dxa"/>
            <w:vAlign w:val="center"/>
          </w:tcPr>
          <w:p w14:paraId="16179793" w14:textId="3521DFDA" w:rsidR="002C52ED" w:rsidRPr="00537EDC" w:rsidRDefault="000502AC" w:rsidP="00FD756D">
            <w:pPr>
              <w:spacing w:after="0"/>
              <w:ind w:firstLine="0"/>
              <w:jc w:val="right"/>
              <w:rPr>
                <w:rFonts w:eastAsia="Calibri"/>
                <w:sz w:val="16"/>
                <w:szCs w:val="16"/>
              </w:rPr>
            </w:pPr>
            <w:r w:rsidRPr="00537EDC">
              <w:rPr>
                <w:rFonts w:eastAsia="Calibri"/>
                <w:sz w:val="16"/>
                <w:szCs w:val="16"/>
              </w:rPr>
              <w:t>8,34</w:t>
            </w:r>
          </w:p>
        </w:tc>
        <w:tc>
          <w:tcPr>
            <w:tcW w:w="597" w:type="dxa"/>
            <w:shd w:val="clear" w:color="auto" w:fill="C2D69B" w:themeFill="accent3" w:themeFillTint="99"/>
            <w:vAlign w:val="center"/>
          </w:tcPr>
          <w:p w14:paraId="221EAAB6" w14:textId="470A8F03" w:rsidR="002C52ED" w:rsidRPr="00537EDC" w:rsidRDefault="00F366B0" w:rsidP="00FD756D">
            <w:pPr>
              <w:spacing w:after="0"/>
              <w:ind w:firstLine="0"/>
              <w:jc w:val="right"/>
              <w:rPr>
                <w:rFonts w:eastAsia="Calibri"/>
                <w:sz w:val="16"/>
                <w:szCs w:val="16"/>
              </w:rPr>
            </w:pPr>
            <w:r w:rsidRPr="00537EDC">
              <w:rPr>
                <w:rFonts w:eastAsia="Calibri"/>
                <w:sz w:val="16"/>
                <w:szCs w:val="16"/>
              </w:rPr>
              <w:t>3,33</w:t>
            </w:r>
          </w:p>
        </w:tc>
        <w:tc>
          <w:tcPr>
            <w:tcW w:w="597" w:type="dxa"/>
            <w:shd w:val="clear" w:color="auto" w:fill="C2D69B" w:themeFill="accent3" w:themeFillTint="99"/>
            <w:vAlign w:val="center"/>
          </w:tcPr>
          <w:p w14:paraId="0D87C676" w14:textId="32DD19C4" w:rsidR="002C52ED" w:rsidRPr="00537EDC" w:rsidRDefault="00F366B0" w:rsidP="00FD756D">
            <w:pPr>
              <w:spacing w:after="0"/>
              <w:ind w:firstLine="0"/>
              <w:jc w:val="right"/>
              <w:rPr>
                <w:rFonts w:eastAsia="Calibri"/>
                <w:sz w:val="16"/>
                <w:szCs w:val="16"/>
              </w:rPr>
            </w:pPr>
            <w:r w:rsidRPr="00537EDC">
              <w:rPr>
                <w:rFonts w:eastAsia="Calibri"/>
                <w:sz w:val="16"/>
                <w:szCs w:val="16"/>
              </w:rPr>
              <w:t>17,76</w:t>
            </w:r>
          </w:p>
        </w:tc>
      </w:tr>
      <w:tr w:rsidR="002C52ED" w:rsidRPr="00BC1ED9" w14:paraId="7EF02AFF" w14:textId="77777777" w:rsidTr="0030100C">
        <w:tc>
          <w:tcPr>
            <w:tcW w:w="1050" w:type="dxa"/>
            <w:vAlign w:val="center"/>
          </w:tcPr>
          <w:p w14:paraId="0F30095E" w14:textId="6ECB3A5F" w:rsidR="002C52ED" w:rsidRPr="00537EDC" w:rsidRDefault="002C52ED" w:rsidP="002C52ED">
            <w:pPr>
              <w:spacing w:after="0"/>
              <w:ind w:firstLine="0"/>
              <w:jc w:val="center"/>
              <w:rPr>
                <w:rFonts w:eastAsia="Calibri"/>
                <w:sz w:val="16"/>
                <w:szCs w:val="16"/>
              </w:rPr>
            </w:pPr>
            <w:r w:rsidRPr="00537EDC">
              <w:rPr>
                <w:rFonts w:eastAsia="Calibri"/>
                <w:sz w:val="16"/>
                <w:szCs w:val="16"/>
              </w:rPr>
              <w:t>Nominālās darbaspēka vienības izmaksu indekss (2010=100)</w:t>
            </w:r>
          </w:p>
        </w:tc>
        <w:tc>
          <w:tcPr>
            <w:tcW w:w="740" w:type="dxa"/>
            <w:vAlign w:val="center"/>
          </w:tcPr>
          <w:p w14:paraId="40E412F8" w14:textId="2C12373E" w:rsidR="002C52ED" w:rsidRPr="00537EDC" w:rsidRDefault="002C52ED" w:rsidP="002C52ED">
            <w:pPr>
              <w:spacing w:after="0"/>
              <w:ind w:firstLine="0"/>
              <w:jc w:val="center"/>
              <w:rPr>
                <w:rFonts w:eastAsia="Calibri"/>
                <w:sz w:val="16"/>
                <w:szCs w:val="16"/>
              </w:rPr>
            </w:pPr>
            <w:r w:rsidRPr="00537EDC">
              <w:rPr>
                <w:rFonts w:eastAsia="Calibri"/>
                <w:sz w:val="16"/>
                <w:szCs w:val="16"/>
              </w:rPr>
              <w:t>3 gadu % izmaiņas</w:t>
            </w:r>
          </w:p>
        </w:tc>
        <w:tc>
          <w:tcPr>
            <w:tcW w:w="714" w:type="dxa"/>
            <w:vAlign w:val="center"/>
          </w:tcPr>
          <w:p w14:paraId="08B89A4D" w14:textId="7DC107E7" w:rsidR="002C52ED" w:rsidRPr="00537EDC" w:rsidRDefault="003109B8" w:rsidP="00F51A70">
            <w:pPr>
              <w:spacing w:after="0"/>
              <w:ind w:firstLine="0"/>
              <w:jc w:val="center"/>
              <w:rPr>
                <w:rFonts w:eastAsia="Calibri"/>
                <w:sz w:val="16"/>
                <w:szCs w:val="16"/>
              </w:rPr>
            </w:pPr>
            <w:r w:rsidRPr="00537EDC">
              <w:rPr>
                <w:rFonts w:eastAsia="Calibri"/>
                <w:sz w:val="16"/>
                <w:szCs w:val="16"/>
              </w:rPr>
              <w:t>9%</w:t>
            </w:r>
          </w:p>
        </w:tc>
        <w:tc>
          <w:tcPr>
            <w:tcW w:w="595" w:type="dxa"/>
            <w:vAlign w:val="center"/>
          </w:tcPr>
          <w:p w14:paraId="2D042629" w14:textId="57924CE7" w:rsidR="002C52ED" w:rsidRPr="00537EDC" w:rsidRDefault="00F84C32" w:rsidP="00FD756D">
            <w:pPr>
              <w:spacing w:after="0"/>
              <w:ind w:firstLine="0"/>
              <w:jc w:val="right"/>
              <w:rPr>
                <w:rFonts w:eastAsia="Calibri"/>
                <w:sz w:val="16"/>
                <w:szCs w:val="16"/>
              </w:rPr>
            </w:pPr>
            <w:r w:rsidRPr="00537EDC">
              <w:rPr>
                <w:rFonts w:eastAsia="Calibri"/>
                <w:sz w:val="16"/>
                <w:szCs w:val="16"/>
              </w:rPr>
              <w:t>-2,0</w:t>
            </w:r>
          </w:p>
        </w:tc>
        <w:tc>
          <w:tcPr>
            <w:tcW w:w="595" w:type="dxa"/>
            <w:vAlign w:val="center"/>
          </w:tcPr>
          <w:p w14:paraId="1338B07D" w14:textId="14E58C1B" w:rsidR="002C52ED" w:rsidRPr="00537EDC" w:rsidRDefault="00F84C32" w:rsidP="00FD756D">
            <w:pPr>
              <w:spacing w:after="0"/>
              <w:ind w:firstLine="0"/>
              <w:jc w:val="right"/>
              <w:rPr>
                <w:rFonts w:eastAsia="Calibri"/>
                <w:sz w:val="16"/>
                <w:szCs w:val="16"/>
              </w:rPr>
            </w:pPr>
            <w:r w:rsidRPr="00537EDC">
              <w:rPr>
                <w:rFonts w:eastAsia="Calibri"/>
                <w:sz w:val="16"/>
                <w:szCs w:val="16"/>
              </w:rPr>
              <w:t>-20,8</w:t>
            </w:r>
          </w:p>
        </w:tc>
        <w:tc>
          <w:tcPr>
            <w:tcW w:w="596" w:type="dxa"/>
            <w:vAlign w:val="center"/>
          </w:tcPr>
          <w:p w14:paraId="00D76ABB" w14:textId="3CC5FB31" w:rsidR="002C52ED" w:rsidRPr="00537EDC" w:rsidRDefault="00F84C32" w:rsidP="00FD756D">
            <w:pPr>
              <w:spacing w:after="0"/>
              <w:ind w:firstLine="0"/>
              <w:jc w:val="right"/>
              <w:rPr>
                <w:rFonts w:eastAsia="Calibri"/>
                <w:sz w:val="16"/>
                <w:szCs w:val="16"/>
              </w:rPr>
            </w:pPr>
            <w:r w:rsidRPr="00537EDC">
              <w:rPr>
                <w:rFonts w:eastAsia="Calibri"/>
                <w:sz w:val="16"/>
                <w:szCs w:val="16"/>
              </w:rPr>
              <w:t>-6,8</w:t>
            </w:r>
          </w:p>
        </w:tc>
        <w:tc>
          <w:tcPr>
            <w:tcW w:w="596" w:type="dxa"/>
            <w:vAlign w:val="center"/>
          </w:tcPr>
          <w:p w14:paraId="632627B4" w14:textId="6883DC59" w:rsidR="002C52ED" w:rsidRPr="00537EDC" w:rsidRDefault="0091397B" w:rsidP="00FD756D">
            <w:pPr>
              <w:spacing w:after="0"/>
              <w:ind w:firstLine="0"/>
              <w:jc w:val="right"/>
              <w:rPr>
                <w:rFonts w:eastAsia="Calibri"/>
                <w:sz w:val="16"/>
                <w:szCs w:val="16"/>
              </w:rPr>
            </w:pPr>
            <w:r w:rsidRPr="00537EDC">
              <w:rPr>
                <w:rFonts w:eastAsia="Calibri"/>
                <w:sz w:val="16"/>
                <w:szCs w:val="16"/>
              </w:rPr>
              <w:t>7,7</w:t>
            </w:r>
          </w:p>
        </w:tc>
        <w:tc>
          <w:tcPr>
            <w:tcW w:w="596" w:type="dxa"/>
            <w:shd w:val="clear" w:color="auto" w:fill="FBD4B4" w:themeFill="accent6" w:themeFillTint="66"/>
            <w:vAlign w:val="center"/>
          </w:tcPr>
          <w:p w14:paraId="49CDFED4" w14:textId="30E4835F" w:rsidR="002C52ED" w:rsidRPr="00537EDC" w:rsidRDefault="0091397B" w:rsidP="00FD756D">
            <w:pPr>
              <w:spacing w:after="0"/>
              <w:ind w:firstLine="0"/>
              <w:jc w:val="right"/>
              <w:rPr>
                <w:rFonts w:eastAsia="Calibri"/>
                <w:sz w:val="16"/>
                <w:szCs w:val="16"/>
              </w:rPr>
            </w:pPr>
            <w:r w:rsidRPr="00537EDC">
              <w:rPr>
                <w:rFonts w:eastAsia="Calibri"/>
                <w:sz w:val="16"/>
                <w:szCs w:val="16"/>
              </w:rPr>
              <w:t>17</w:t>
            </w:r>
          </w:p>
        </w:tc>
        <w:tc>
          <w:tcPr>
            <w:tcW w:w="596" w:type="dxa"/>
            <w:shd w:val="clear" w:color="auto" w:fill="FBD4B4" w:themeFill="accent6" w:themeFillTint="66"/>
            <w:vAlign w:val="center"/>
          </w:tcPr>
          <w:p w14:paraId="7EB5F988" w14:textId="3493E5E4" w:rsidR="002C52ED" w:rsidRPr="00537EDC" w:rsidRDefault="0091397B" w:rsidP="00FD756D">
            <w:pPr>
              <w:spacing w:after="0"/>
              <w:ind w:firstLine="0"/>
              <w:jc w:val="right"/>
              <w:rPr>
                <w:rFonts w:eastAsia="Calibri"/>
                <w:sz w:val="16"/>
                <w:szCs w:val="16"/>
              </w:rPr>
            </w:pPr>
            <w:r w:rsidRPr="00537EDC">
              <w:rPr>
                <w:rFonts w:eastAsia="Calibri"/>
                <w:sz w:val="16"/>
                <w:szCs w:val="16"/>
              </w:rPr>
              <w:t>17,3</w:t>
            </w:r>
          </w:p>
        </w:tc>
        <w:tc>
          <w:tcPr>
            <w:tcW w:w="596" w:type="dxa"/>
            <w:shd w:val="clear" w:color="auto" w:fill="FBD4B4" w:themeFill="accent6" w:themeFillTint="66"/>
            <w:vAlign w:val="center"/>
          </w:tcPr>
          <w:p w14:paraId="2632D38A" w14:textId="37C7D6A8" w:rsidR="002C52ED" w:rsidRPr="00537EDC" w:rsidRDefault="008218D6" w:rsidP="00FD756D">
            <w:pPr>
              <w:spacing w:after="0"/>
              <w:ind w:firstLine="0"/>
              <w:jc w:val="right"/>
              <w:rPr>
                <w:rFonts w:eastAsia="Calibri"/>
                <w:sz w:val="16"/>
                <w:szCs w:val="16"/>
              </w:rPr>
            </w:pPr>
            <w:r w:rsidRPr="00537EDC">
              <w:rPr>
                <w:rFonts w:eastAsia="Calibri"/>
                <w:sz w:val="16"/>
                <w:szCs w:val="16"/>
              </w:rPr>
              <w:t>16,2</w:t>
            </w:r>
          </w:p>
        </w:tc>
        <w:tc>
          <w:tcPr>
            <w:tcW w:w="596" w:type="dxa"/>
            <w:shd w:val="clear" w:color="auto" w:fill="FBD4B4" w:themeFill="accent6" w:themeFillTint="66"/>
            <w:vAlign w:val="center"/>
          </w:tcPr>
          <w:p w14:paraId="06EA15CD" w14:textId="2B644839" w:rsidR="002C52ED" w:rsidRPr="00537EDC" w:rsidRDefault="000502AC" w:rsidP="00FD756D">
            <w:pPr>
              <w:spacing w:after="0"/>
              <w:ind w:firstLine="0"/>
              <w:jc w:val="right"/>
              <w:rPr>
                <w:rFonts w:eastAsia="Calibri"/>
                <w:sz w:val="16"/>
                <w:szCs w:val="16"/>
              </w:rPr>
            </w:pPr>
            <w:r w:rsidRPr="00537EDC">
              <w:rPr>
                <w:rFonts w:eastAsia="Calibri"/>
                <w:sz w:val="16"/>
                <w:szCs w:val="16"/>
              </w:rPr>
              <w:t>14,2</w:t>
            </w:r>
          </w:p>
        </w:tc>
        <w:tc>
          <w:tcPr>
            <w:tcW w:w="597" w:type="dxa"/>
            <w:shd w:val="clear" w:color="auto" w:fill="FBD4B4" w:themeFill="accent6" w:themeFillTint="66"/>
            <w:vAlign w:val="center"/>
          </w:tcPr>
          <w:p w14:paraId="5D530395" w14:textId="328951C9" w:rsidR="002C52ED" w:rsidRPr="00537EDC" w:rsidRDefault="000502AC" w:rsidP="00FD756D">
            <w:pPr>
              <w:spacing w:after="0"/>
              <w:ind w:firstLine="0"/>
              <w:jc w:val="right"/>
              <w:rPr>
                <w:rFonts w:eastAsia="Calibri"/>
                <w:sz w:val="16"/>
                <w:szCs w:val="16"/>
              </w:rPr>
            </w:pPr>
            <w:r w:rsidRPr="00537EDC">
              <w:rPr>
                <w:rFonts w:eastAsia="Calibri"/>
                <w:sz w:val="16"/>
                <w:szCs w:val="16"/>
              </w:rPr>
              <w:t>14,7</w:t>
            </w:r>
          </w:p>
        </w:tc>
        <w:tc>
          <w:tcPr>
            <w:tcW w:w="597" w:type="dxa"/>
            <w:shd w:val="clear" w:color="auto" w:fill="FBD4B4" w:themeFill="accent6" w:themeFillTint="66"/>
            <w:vAlign w:val="center"/>
          </w:tcPr>
          <w:p w14:paraId="54BD481D" w14:textId="2D2753C1" w:rsidR="002C52ED" w:rsidRPr="00537EDC" w:rsidRDefault="00F366B0" w:rsidP="00FD756D">
            <w:pPr>
              <w:spacing w:after="0"/>
              <w:ind w:firstLine="0"/>
              <w:jc w:val="right"/>
              <w:rPr>
                <w:rFonts w:eastAsia="Calibri"/>
                <w:sz w:val="16"/>
                <w:szCs w:val="16"/>
              </w:rPr>
            </w:pPr>
            <w:r w:rsidRPr="00537EDC">
              <w:rPr>
                <w:rFonts w:eastAsia="Calibri"/>
                <w:sz w:val="16"/>
                <w:szCs w:val="16"/>
              </w:rPr>
              <w:t>17</w:t>
            </w:r>
          </w:p>
        </w:tc>
        <w:tc>
          <w:tcPr>
            <w:tcW w:w="597" w:type="dxa"/>
            <w:shd w:val="clear" w:color="auto" w:fill="FBD4B4" w:themeFill="accent6" w:themeFillTint="66"/>
            <w:vAlign w:val="center"/>
          </w:tcPr>
          <w:p w14:paraId="7C846A55" w14:textId="090DF3A9" w:rsidR="002C52ED" w:rsidRPr="00537EDC" w:rsidRDefault="00F366B0" w:rsidP="00FD756D">
            <w:pPr>
              <w:spacing w:after="0"/>
              <w:ind w:firstLine="0"/>
              <w:jc w:val="right"/>
              <w:rPr>
                <w:rFonts w:eastAsia="Calibri"/>
                <w:sz w:val="16"/>
                <w:szCs w:val="16"/>
              </w:rPr>
            </w:pPr>
            <w:r w:rsidRPr="00537EDC">
              <w:rPr>
                <w:rFonts w:eastAsia="Calibri"/>
                <w:sz w:val="16"/>
                <w:szCs w:val="16"/>
              </w:rPr>
              <w:t>19,9</w:t>
            </w:r>
          </w:p>
        </w:tc>
      </w:tr>
      <w:tr w:rsidR="002C52ED" w:rsidRPr="00BC1ED9" w14:paraId="6EE798C7" w14:textId="77777777" w:rsidTr="0030100C">
        <w:tc>
          <w:tcPr>
            <w:tcW w:w="1050" w:type="dxa"/>
            <w:vAlign w:val="center"/>
          </w:tcPr>
          <w:p w14:paraId="5EAE7D09" w14:textId="0DCF44E7" w:rsidR="002C52ED" w:rsidRPr="00537EDC" w:rsidRDefault="002C52ED" w:rsidP="002C52ED">
            <w:pPr>
              <w:spacing w:after="0"/>
              <w:ind w:firstLine="0"/>
              <w:jc w:val="center"/>
              <w:rPr>
                <w:rFonts w:eastAsia="Calibri"/>
                <w:sz w:val="16"/>
                <w:szCs w:val="16"/>
              </w:rPr>
            </w:pPr>
            <w:r w:rsidRPr="00537EDC">
              <w:rPr>
                <w:rFonts w:eastAsia="Calibri"/>
                <w:sz w:val="16"/>
                <w:szCs w:val="16"/>
              </w:rPr>
              <w:t>Mājokļu cenu indekss (2015=100)</w:t>
            </w:r>
          </w:p>
        </w:tc>
        <w:tc>
          <w:tcPr>
            <w:tcW w:w="740" w:type="dxa"/>
            <w:vAlign w:val="center"/>
          </w:tcPr>
          <w:p w14:paraId="66FF9A9C" w14:textId="6E1CDF9D" w:rsidR="002C52ED" w:rsidRPr="00537EDC" w:rsidRDefault="002C52ED" w:rsidP="002C52ED">
            <w:pPr>
              <w:spacing w:after="0"/>
              <w:ind w:firstLine="0"/>
              <w:jc w:val="center"/>
              <w:rPr>
                <w:rFonts w:eastAsia="Calibri"/>
                <w:sz w:val="16"/>
                <w:szCs w:val="16"/>
              </w:rPr>
            </w:pPr>
            <w:r w:rsidRPr="00537EDC">
              <w:rPr>
                <w:rFonts w:eastAsia="Calibri"/>
                <w:sz w:val="16"/>
                <w:szCs w:val="16"/>
              </w:rPr>
              <w:t>1 gada % izmaiņas</w:t>
            </w:r>
          </w:p>
        </w:tc>
        <w:tc>
          <w:tcPr>
            <w:tcW w:w="714" w:type="dxa"/>
            <w:vAlign w:val="center"/>
          </w:tcPr>
          <w:p w14:paraId="76DB326D" w14:textId="03C22511" w:rsidR="002C52ED" w:rsidRPr="00537EDC" w:rsidRDefault="003109B8" w:rsidP="00F51A70">
            <w:pPr>
              <w:spacing w:after="0"/>
              <w:ind w:firstLine="0"/>
              <w:jc w:val="center"/>
              <w:rPr>
                <w:rFonts w:eastAsia="Calibri"/>
                <w:sz w:val="16"/>
                <w:szCs w:val="16"/>
              </w:rPr>
            </w:pPr>
            <w:r w:rsidRPr="00537EDC">
              <w:rPr>
                <w:rFonts w:eastAsia="Calibri"/>
                <w:sz w:val="16"/>
                <w:szCs w:val="16"/>
              </w:rPr>
              <w:t>6%</w:t>
            </w:r>
          </w:p>
        </w:tc>
        <w:tc>
          <w:tcPr>
            <w:tcW w:w="595" w:type="dxa"/>
            <w:vAlign w:val="center"/>
          </w:tcPr>
          <w:p w14:paraId="522A850B" w14:textId="09AAF4E7" w:rsidR="002C52ED" w:rsidRPr="00537EDC" w:rsidRDefault="00F84C32" w:rsidP="00FD756D">
            <w:pPr>
              <w:spacing w:after="0"/>
              <w:ind w:firstLine="0"/>
              <w:jc w:val="right"/>
              <w:rPr>
                <w:rFonts w:eastAsia="Calibri"/>
                <w:sz w:val="16"/>
                <w:szCs w:val="16"/>
              </w:rPr>
            </w:pPr>
            <w:r w:rsidRPr="00537EDC">
              <w:rPr>
                <w:rFonts w:eastAsia="Calibri"/>
                <w:sz w:val="16"/>
                <w:szCs w:val="16"/>
              </w:rPr>
              <w:t>-8,7</w:t>
            </w:r>
          </w:p>
        </w:tc>
        <w:tc>
          <w:tcPr>
            <w:tcW w:w="595" w:type="dxa"/>
            <w:vAlign w:val="center"/>
          </w:tcPr>
          <w:p w14:paraId="443EE42B" w14:textId="2BF7E788" w:rsidR="002C52ED" w:rsidRPr="00537EDC" w:rsidRDefault="00F84C32" w:rsidP="00FD756D">
            <w:pPr>
              <w:spacing w:after="0"/>
              <w:ind w:firstLine="0"/>
              <w:jc w:val="right"/>
              <w:rPr>
                <w:rFonts w:eastAsia="Calibri"/>
                <w:sz w:val="16"/>
                <w:szCs w:val="16"/>
              </w:rPr>
            </w:pPr>
            <w:r w:rsidRPr="00537EDC">
              <w:rPr>
                <w:rFonts w:eastAsia="Calibri"/>
                <w:sz w:val="16"/>
                <w:szCs w:val="16"/>
              </w:rPr>
              <w:t>4,1</w:t>
            </w:r>
          </w:p>
        </w:tc>
        <w:tc>
          <w:tcPr>
            <w:tcW w:w="596" w:type="dxa"/>
            <w:vAlign w:val="center"/>
          </w:tcPr>
          <w:p w14:paraId="3BC4120C" w14:textId="6C54C059" w:rsidR="002C52ED" w:rsidRPr="00537EDC" w:rsidRDefault="00F84C32" w:rsidP="00FD756D">
            <w:pPr>
              <w:spacing w:after="0"/>
              <w:ind w:firstLine="0"/>
              <w:jc w:val="right"/>
              <w:rPr>
                <w:rFonts w:eastAsia="Calibri"/>
                <w:sz w:val="16"/>
                <w:szCs w:val="16"/>
              </w:rPr>
            </w:pPr>
            <w:r w:rsidRPr="00537EDC">
              <w:rPr>
                <w:rFonts w:eastAsia="Calibri"/>
                <w:sz w:val="16"/>
                <w:szCs w:val="16"/>
              </w:rPr>
              <w:t>-0,2</w:t>
            </w:r>
          </w:p>
        </w:tc>
        <w:tc>
          <w:tcPr>
            <w:tcW w:w="596" w:type="dxa"/>
            <w:shd w:val="clear" w:color="auto" w:fill="FBD4B4" w:themeFill="accent6" w:themeFillTint="66"/>
            <w:vAlign w:val="center"/>
          </w:tcPr>
          <w:p w14:paraId="6BF53AB0" w14:textId="42CF86B8" w:rsidR="002C52ED" w:rsidRPr="00537EDC" w:rsidRDefault="0091397B" w:rsidP="00FD756D">
            <w:pPr>
              <w:spacing w:after="0"/>
              <w:ind w:firstLine="0"/>
              <w:jc w:val="right"/>
              <w:rPr>
                <w:rFonts w:eastAsia="Calibri"/>
                <w:sz w:val="16"/>
                <w:szCs w:val="16"/>
              </w:rPr>
            </w:pPr>
            <w:r w:rsidRPr="00537EDC">
              <w:rPr>
                <w:rFonts w:eastAsia="Calibri"/>
                <w:sz w:val="16"/>
                <w:szCs w:val="16"/>
              </w:rPr>
              <w:t>6,8</w:t>
            </w:r>
          </w:p>
        </w:tc>
        <w:tc>
          <w:tcPr>
            <w:tcW w:w="596" w:type="dxa"/>
            <w:vAlign w:val="center"/>
          </w:tcPr>
          <w:p w14:paraId="39D95418" w14:textId="51735BB9" w:rsidR="002C52ED" w:rsidRPr="00537EDC" w:rsidRDefault="0091397B" w:rsidP="00FD756D">
            <w:pPr>
              <w:spacing w:after="0"/>
              <w:ind w:firstLine="0"/>
              <w:jc w:val="right"/>
              <w:rPr>
                <w:rFonts w:eastAsia="Calibri"/>
                <w:sz w:val="16"/>
                <w:szCs w:val="16"/>
              </w:rPr>
            </w:pPr>
            <w:r w:rsidRPr="00537EDC">
              <w:rPr>
                <w:rFonts w:eastAsia="Calibri"/>
                <w:sz w:val="16"/>
                <w:szCs w:val="16"/>
              </w:rPr>
              <w:t>4,6</w:t>
            </w:r>
          </w:p>
        </w:tc>
        <w:tc>
          <w:tcPr>
            <w:tcW w:w="596" w:type="dxa"/>
            <w:vAlign w:val="center"/>
          </w:tcPr>
          <w:p w14:paraId="617BF4C2" w14:textId="764967F9" w:rsidR="002C52ED" w:rsidRPr="00537EDC" w:rsidRDefault="0091397B" w:rsidP="00FD756D">
            <w:pPr>
              <w:spacing w:after="0"/>
              <w:ind w:firstLine="0"/>
              <w:jc w:val="right"/>
              <w:rPr>
                <w:rFonts w:eastAsia="Calibri"/>
                <w:sz w:val="16"/>
                <w:szCs w:val="16"/>
              </w:rPr>
            </w:pPr>
            <w:r w:rsidRPr="00537EDC">
              <w:rPr>
                <w:rFonts w:eastAsia="Calibri"/>
                <w:sz w:val="16"/>
                <w:szCs w:val="16"/>
              </w:rPr>
              <w:t>-2,8</w:t>
            </w:r>
          </w:p>
        </w:tc>
        <w:tc>
          <w:tcPr>
            <w:tcW w:w="596" w:type="dxa"/>
            <w:shd w:val="clear" w:color="auto" w:fill="FBD4B4" w:themeFill="accent6" w:themeFillTint="66"/>
            <w:vAlign w:val="center"/>
          </w:tcPr>
          <w:p w14:paraId="6B69A0B9" w14:textId="2676430C" w:rsidR="002C52ED" w:rsidRPr="00537EDC" w:rsidRDefault="008218D6" w:rsidP="00FD756D">
            <w:pPr>
              <w:spacing w:after="0"/>
              <w:ind w:firstLine="0"/>
              <w:jc w:val="right"/>
              <w:rPr>
                <w:rFonts w:eastAsia="Calibri"/>
                <w:sz w:val="16"/>
                <w:szCs w:val="16"/>
              </w:rPr>
            </w:pPr>
            <w:r w:rsidRPr="00537EDC">
              <w:rPr>
                <w:rFonts w:eastAsia="Calibri"/>
                <w:sz w:val="16"/>
                <w:szCs w:val="16"/>
              </w:rPr>
              <w:t>7,2</w:t>
            </w:r>
          </w:p>
        </w:tc>
        <w:tc>
          <w:tcPr>
            <w:tcW w:w="596" w:type="dxa"/>
            <w:vAlign w:val="center"/>
          </w:tcPr>
          <w:p w14:paraId="4E47C8C6" w14:textId="3CED8535" w:rsidR="002C52ED" w:rsidRPr="00537EDC" w:rsidRDefault="000502AC" w:rsidP="00FD756D">
            <w:pPr>
              <w:spacing w:after="0"/>
              <w:ind w:firstLine="0"/>
              <w:jc w:val="right"/>
              <w:rPr>
                <w:rFonts w:eastAsia="Calibri"/>
                <w:sz w:val="16"/>
                <w:szCs w:val="16"/>
              </w:rPr>
            </w:pPr>
            <w:r w:rsidRPr="00537EDC">
              <w:rPr>
                <w:rFonts w:eastAsia="Calibri"/>
                <w:sz w:val="16"/>
                <w:szCs w:val="16"/>
              </w:rPr>
              <w:t>5,6</w:t>
            </w:r>
          </w:p>
        </w:tc>
        <w:tc>
          <w:tcPr>
            <w:tcW w:w="597" w:type="dxa"/>
            <w:shd w:val="clear" w:color="auto" w:fill="FBD4B4" w:themeFill="accent6" w:themeFillTint="66"/>
            <w:vAlign w:val="center"/>
          </w:tcPr>
          <w:p w14:paraId="32EE3F9A" w14:textId="6772F4F3" w:rsidR="002C52ED" w:rsidRPr="00537EDC" w:rsidRDefault="000502AC" w:rsidP="00FD756D">
            <w:pPr>
              <w:spacing w:after="0"/>
              <w:ind w:firstLine="0"/>
              <w:jc w:val="right"/>
              <w:rPr>
                <w:rFonts w:eastAsia="Calibri"/>
                <w:sz w:val="16"/>
                <w:szCs w:val="16"/>
              </w:rPr>
            </w:pPr>
            <w:r w:rsidRPr="00537EDC">
              <w:rPr>
                <w:rFonts w:eastAsia="Calibri"/>
                <w:sz w:val="16"/>
                <w:szCs w:val="16"/>
              </w:rPr>
              <w:t>6,4</w:t>
            </w:r>
          </w:p>
        </w:tc>
        <w:tc>
          <w:tcPr>
            <w:tcW w:w="597" w:type="dxa"/>
            <w:shd w:val="clear" w:color="auto" w:fill="C2D69B" w:themeFill="accent3" w:themeFillTint="99"/>
            <w:vAlign w:val="center"/>
          </w:tcPr>
          <w:p w14:paraId="790AD175" w14:textId="50851E41" w:rsidR="002C52ED" w:rsidRPr="00537EDC" w:rsidRDefault="00F366B0" w:rsidP="00FD756D">
            <w:pPr>
              <w:spacing w:after="0"/>
              <w:ind w:firstLine="0"/>
              <w:jc w:val="right"/>
              <w:rPr>
                <w:rFonts w:eastAsia="Calibri"/>
                <w:sz w:val="16"/>
                <w:szCs w:val="16"/>
              </w:rPr>
            </w:pPr>
            <w:r w:rsidRPr="00537EDC">
              <w:rPr>
                <w:rFonts w:eastAsia="Calibri"/>
                <w:sz w:val="16"/>
                <w:szCs w:val="16"/>
              </w:rPr>
              <w:t>5,8</w:t>
            </w:r>
          </w:p>
        </w:tc>
        <w:tc>
          <w:tcPr>
            <w:tcW w:w="597" w:type="dxa"/>
            <w:shd w:val="clear" w:color="auto" w:fill="C2D69B" w:themeFill="accent3" w:themeFillTint="99"/>
            <w:vAlign w:val="center"/>
          </w:tcPr>
          <w:p w14:paraId="2F125F87" w14:textId="14D0E1E1" w:rsidR="002C52ED" w:rsidRPr="00537EDC" w:rsidRDefault="00F366B0" w:rsidP="00FD756D">
            <w:pPr>
              <w:spacing w:after="0"/>
              <w:ind w:firstLine="0"/>
              <w:jc w:val="right"/>
              <w:rPr>
                <w:rFonts w:eastAsia="Calibri"/>
                <w:sz w:val="16"/>
                <w:szCs w:val="16"/>
              </w:rPr>
            </w:pPr>
            <w:r w:rsidRPr="00537EDC">
              <w:rPr>
                <w:rFonts w:eastAsia="Calibri"/>
                <w:sz w:val="16"/>
                <w:szCs w:val="16"/>
              </w:rPr>
              <w:t>2,6</w:t>
            </w:r>
          </w:p>
        </w:tc>
      </w:tr>
      <w:tr w:rsidR="002C52ED" w:rsidRPr="00BC1ED9" w14:paraId="1D768FB1" w14:textId="77777777" w:rsidTr="0030100C">
        <w:tc>
          <w:tcPr>
            <w:tcW w:w="1050" w:type="dxa"/>
            <w:vAlign w:val="center"/>
          </w:tcPr>
          <w:p w14:paraId="25ED671E" w14:textId="47D4AED3" w:rsidR="002C52ED" w:rsidRPr="00537EDC" w:rsidRDefault="002C52ED" w:rsidP="002C52ED">
            <w:pPr>
              <w:spacing w:after="0"/>
              <w:ind w:firstLine="0"/>
              <w:jc w:val="center"/>
              <w:rPr>
                <w:rFonts w:eastAsia="Calibri"/>
                <w:sz w:val="16"/>
                <w:szCs w:val="16"/>
              </w:rPr>
            </w:pPr>
            <w:r w:rsidRPr="00537EDC">
              <w:rPr>
                <w:rFonts w:eastAsia="Calibri"/>
                <w:sz w:val="16"/>
                <w:szCs w:val="16"/>
              </w:rPr>
              <w:t xml:space="preserve">Privātā sektora </w:t>
            </w:r>
            <w:proofErr w:type="spellStart"/>
            <w:r w:rsidRPr="00537EDC">
              <w:rPr>
                <w:rFonts w:eastAsia="Calibri"/>
                <w:sz w:val="16"/>
                <w:szCs w:val="16"/>
              </w:rPr>
              <w:t>kredītplūsma</w:t>
            </w:r>
            <w:proofErr w:type="spellEnd"/>
            <w:r w:rsidRPr="00537EDC">
              <w:rPr>
                <w:rFonts w:eastAsia="Calibri"/>
                <w:sz w:val="16"/>
                <w:szCs w:val="16"/>
              </w:rPr>
              <w:t xml:space="preserve"> - konsolidēta</w:t>
            </w:r>
          </w:p>
        </w:tc>
        <w:tc>
          <w:tcPr>
            <w:tcW w:w="740" w:type="dxa"/>
            <w:vAlign w:val="center"/>
          </w:tcPr>
          <w:p w14:paraId="1F99C0BE" w14:textId="091ABED7" w:rsidR="002C52ED" w:rsidRPr="00537EDC" w:rsidRDefault="002C52ED" w:rsidP="002C52ED">
            <w:pPr>
              <w:spacing w:after="0"/>
              <w:ind w:firstLine="0"/>
              <w:jc w:val="center"/>
              <w:rPr>
                <w:rFonts w:eastAsia="Calibri"/>
                <w:sz w:val="16"/>
                <w:szCs w:val="16"/>
              </w:rPr>
            </w:pPr>
            <w:r w:rsidRPr="00537EDC">
              <w:rPr>
                <w:rFonts w:eastAsia="Calibri"/>
                <w:sz w:val="16"/>
                <w:szCs w:val="16"/>
              </w:rPr>
              <w:t>% no IKP</w:t>
            </w:r>
          </w:p>
        </w:tc>
        <w:tc>
          <w:tcPr>
            <w:tcW w:w="714" w:type="dxa"/>
            <w:vAlign w:val="center"/>
          </w:tcPr>
          <w:p w14:paraId="68840081" w14:textId="46A23045" w:rsidR="002C52ED" w:rsidRPr="00537EDC" w:rsidRDefault="003109B8" w:rsidP="00F51A70">
            <w:pPr>
              <w:spacing w:after="0"/>
              <w:ind w:firstLine="0"/>
              <w:jc w:val="center"/>
              <w:rPr>
                <w:rFonts w:eastAsia="Calibri"/>
                <w:sz w:val="16"/>
                <w:szCs w:val="16"/>
              </w:rPr>
            </w:pPr>
            <w:r w:rsidRPr="00537EDC">
              <w:rPr>
                <w:rFonts w:eastAsia="Calibri"/>
                <w:sz w:val="16"/>
                <w:szCs w:val="16"/>
              </w:rPr>
              <w:t>14%</w:t>
            </w:r>
          </w:p>
        </w:tc>
        <w:tc>
          <w:tcPr>
            <w:tcW w:w="595" w:type="dxa"/>
            <w:vAlign w:val="center"/>
          </w:tcPr>
          <w:p w14:paraId="2B1439A5" w14:textId="21F6AB97" w:rsidR="002C52ED" w:rsidRPr="00537EDC" w:rsidRDefault="00F84C32" w:rsidP="00FD756D">
            <w:pPr>
              <w:spacing w:after="0"/>
              <w:ind w:firstLine="0"/>
              <w:jc w:val="right"/>
              <w:rPr>
                <w:rFonts w:eastAsia="Calibri"/>
                <w:sz w:val="16"/>
                <w:szCs w:val="16"/>
              </w:rPr>
            </w:pPr>
            <w:r w:rsidRPr="00537EDC">
              <w:rPr>
                <w:rFonts w:eastAsia="Calibri"/>
                <w:sz w:val="16"/>
                <w:szCs w:val="16"/>
              </w:rPr>
              <w:t>-9,1</w:t>
            </w:r>
          </w:p>
        </w:tc>
        <w:tc>
          <w:tcPr>
            <w:tcW w:w="595" w:type="dxa"/>
            <w:vAlign w:val="center"/>
          </w:tcPr>
          <w:p w14:paraId="41F42E2E" w14:textId="5DF2EF87" w:rsidR="002C52ED" w:rsidRPr="00537EDC" w:rsidRDefault="00F84C32" w:rsidP="00FD756D">
            <w:pPr>
              <w:spacing w:after="0"/>
              <w:ind w:firstLine="0"/>
              <w:jc w:val="right"/>
              <w:rPr>
                <w:rFonts w:eastAsia="Calibri"/>
                <w:sz w:val="16"/>
                <w:szCs w:val="16"/>
              </w:rPr>
            </w:pPr>
            <w:r w:rsidRPr="00537EDC">
              <w:rPr>
                <w:rFonts w:eastAsia="Calibri"/>
                <w:sz w:val="16"/>
                <w:szCs w:val="16"/>
              </w:rPr>
              <w:t>-2,2</w:t>
            </w:r>
          </w:p>
        </w:tc>
        <w:tc>
          <w:tcPr>
            <w:tcW w:w="596" w:type="dxa"/>
            <w:vAlign w:val="center"/>
          </w:tcPr>
          <w:p w14:paraId="4F9C803D" w14:textId="0A9F1470" w:rsidR="002C52ED" w:rsidRPr="00537EDC" w:rsidRDefault="00F84C32" w:rsidP="00FD756D">
            <w:pPr>
              <w:spacing w:after="0"/>
              <w:ind w:firstLine="0"/>
              <w:jc w:val="right"/>
              <w:rPr>
                <w:rFonts w:eastAsia="Calibri"/>
                <w:sz w:val="16"/>
                <w:szCs w:val="16"/>
              </w:rPr>
            </w:pPr>
            <w:r w:rsidRPr="00537EDC">
              <w:rPr>
                <w:rFonts w:eastAsia="Calibri"/>
                <w:sz w:val="16"/>
                <w:szCs w:val="16"/>
              </w:rPr>
              <w:t>-2,4</w:t>
            </w:r>
          </w:p>
        </w:tc>
        <w:tc>
          <w:tcPr>
            <w:tcW w:w="596" w:type="dxa"/>
            <w:vAlign w:val="center"/>
          </w:tcPr>
          <w:p w14:paraId="41F082B8" w14:textId="302852FE" w:rsidR="002C52ED" w:rsidRPr="00537EDC" w:rsidRDefault="0091397B" w:rsidP="00FD756D">
            <w:pPr>
              <w:spacing w:after="0"/>
              <w:ind w:firstLine="0"/>
              <w:jc w:val="right"/>
              <w:rPr>
                <w:rFonts w:eastAsia="Calibri"/>
                <w:sz w:val="16"/>
                <w:szCs w:val="16"/>
              </w:rPr>
            </w:pPr>
            <w:r w:rsidRPr="00537EDC">
              <w:rPr>
                <w:rFonts w:eastAsia="Calibri"/>
                <w:sz w:val="16"/>
                <w:szCs w:val="16"/>
              </w:rPr>
              <w:t>-0,6</w:t>
            </w:r>
          </w:p>
        </w:tc>
        <w:tc>
          <w:tcPr>
            <w:tcW w:w="596" w:type="dxa"/>
            <w:vAlign w:val="center"/>
          </w:tcPr>
          <w:p w14:paraId="42D3AF86" w14:textId="4CC00910" w:rsidR="002C52ED" w:rsidRPr="00537EDC" w:rsidRDefault="0091397B" w:rsidP="00FD756D">
            <w:pPr>
              <w:spacing w:after="0"/>
              <w:ind w:firstLine="0"/>
              <w:jc w:val="right"/>
              <w:rPr>
                <w:rFonts w:eastAsia="Calibri"/>
                <w:sz w:val="16"/>
                <w:szCs w:val="16"/>
              </w:rPr>
            </w:pPr>
            <w:r w:rsidRPr="00537EDC">
              <w:rPr>
                <w:rFonts w:eastAsia="Calibri"/>
                <w:sz w:val="16"/>
                <w:szCs w:val="16"/>
              </w:rPr>
              <w:t>-4,6</w:t>
            </w:r>
          </w:p>
        </w:tc>
        <w:tc>
          <w:tcPr>
            <w:tcW w:w="596" w:type="dxa"/>
            <w:vAlign w:val="center"/>
          </w:tcPr>
          <w:p w14:paraId="4E0189FC" w14:textId="485A346B" w:rsidR="002C52ED" w:rsidRPr="00537EDC" w:rsidRDefault="0091397B" w:rsidP="00FD756D">
            <w:pPr>
              <w:spacing w:after="0"/>
              <w:ind w:firstLine="0"/>
              <w:jc w:val="right"/>
              <w:rPr>
                <w:rFonts w:eastAsia="Calibri"/>
                <w:sz w:val="16"/>
                <w:szCs w:val="16"/>
              </w:rPr>
            </w:pPr>
            <w:r w:rsidRPr="00537EDC">
              <w:rPr>
                <w:rFonts w:eastAsia="Calibri"/>
                <w:sz w:val="16"/>
                <w:szCs w:val="16"/>
              </w:rPr>
              <w:t>-0,8</w:t>
            </w:r>
          </w:p>
        </w:tc>
        <w:tc>
          <w:tcPr>
            <w:tcW w:w="596" w:type="dxa"/>
            <w:vAlign w:val="center"/>
          </w:tcPr>
          <w:p w14:paraId="2C176E60" w14:textId="61BFBC54" w:rsidR="002C52ED" w:rsidRPr="00537EDC" w:rsidRDefault="008218D6" w:rsidP="00FD756D">
            <w:pPr>
              <w:spacing w:after="0"/>
              <w:ind w:firstLine="0"/>
              <w:jc w:val="right"/>
              <w:rPr>
                <w:rFonts w:eastAsia="Calibri"/>
                <w:sz w:val="16"/>
                <w:szCs w:val="16"/>
              </w:rPr>
            </w:pPr>
            <w:r w:rsidRPr="00537EDC">
              <w:rPr>
                <w:rFonts w:eastAsia="Calibri"/>
                <w:sz w:val="16"/>
                <w:szCs w:val="16"/>
              </w:rPr>
              <w:t>2,5</w:t>
            </w:r>
          </w:p>
        </w:tc>
        <w:tc>
          <w:tcPr>
            <w:tcW w:w="596" w:type="dxa"/>
            <w:vAlign w:val="center"/>
          </w:tcPr>
          <w:p w14:paraId="19F22CF2" w14:textId="7B6EDAEA" w:rsidR="002C52ED" w:rsidRPr="00537EDC" w:rsidRDefault="000502AC" w:rsidP="00FD756D">
            <w:pPr>
              <w:spacing w:after="0"/>
              <w:ind w:firstLine="0"/>
              <w:jc w:val="right"/>
              <w:rPr>
                <w:rFonts w:eastAsia="Calibri"/>
                <w:sz w:val="16"/>
                <w:szCs w:val="16"/>
              </w:rPr>
            </w:pPr>
            <w:r w:rsidRPr="00537EDC">
              <w:rPr>
                <w:rFonts w:eastAsia="Calibri"/>
                <w:sz w:val="16"/>
                <w:szCs w:val="16"/>
              </w:rPr>
              <w:t>2,7</w:t>
            </w:r>
          </w:p>
        </w:tc>
        <w:tc>
          <w:tcPr>
            <w:tcW w:w="597" w:type="dxa"/>
            <w:vAlign w:val="center"/>
          </w:tcPr>
          <w:p w14:paraId="7AB3121B" w14:textId="7A1331C5" w:rsidR="002C52ED" w:rsidRPr="00537EDC" w:rsidRDefault="000502AC" w:rsidP="00FD756D">
            <w:pPr>
              <w:spacing w:after="0"/>
              <w:ind w:firstLine="0"/>
              <w:jc w:val="right"/>
              <w:rPr>
                <w:rFonts w:eastAsia="Calibri"/>
                <w:sz w:val="16"/>
                <w:szCs w:val="16"/>
              </w:rPr>
            </w:pPr>
            <w:r w:rsidRPr="00537EDC">
              <w:rPr>
                <w:rFonts w:eastAsia="Calibri"/>
                <w:sz w:val="16"/>
                <w:szCs w:val="16"/>
              </w:rPr>
              <w:t>-0,2</w:t>
            </w:r>
          </w:p>
        </w:tc>
        <w:tc>
          <w:tcPr>
            <w:tcW w:w="597" w:type="dxa"/>
            <w:shd w:val="clear" w:color="auto" w:fill="C2D69B" w:themeFill="accent3" w:themeFillTint="99"/>
            <w:vAlign w:val="center"/>
          </w:tcPr>
          <w:p w14:paraId="42CA9FFA" w14:textId="6D40D4F9" w:rsidR="002C52ED" w:rsidRPr="00537EDC" w:rsidRDefault="00F366B0" w:rsidP="00FD756D">
            <w:pPr>
              <w:spacing w:after="0"/>
              <w:ind w:firstLine="0"/>
              <w:jc w:val="right"/>
              <w:rPr>
                <w:rFonts w:eastAsia="Calibri"/>
                <w:sz w:val="16"/>
                <w:szCs w:val="16"/>
              </w:rPr>
            </w:pPr>
            <w:r w:rsidRPr="00537EDC">
              <w:rPr>
                <w:rFonts w:eastAsia="Calibri"/>
                <w:sz w:val="16"/>
                <w:szCs w:val="16"/>
              </w:rPr>
              <w:t>1,5</w:t>
            </w:r>
          </w:p>
        </w:tc>
        <w:tc>
          <w:tcPr>
            <w:tcW w:w="597" w:type="dxa"/>
            <w:shd w:val="clear" w:color="auto" w:fill="C2D69B" w:themeFill="accent3" w:themeFillTint="99"/>
            <w:vAlign w:val="center"/>
          </w:tcPr>
          <w:p w14:paraId="7268118F" w14:textId="142CC503" w:rsidR="002C52ED" w:rsidRPr="00537EDC" w:rsidRDefault="00F366B0" w:rsidP="00FD756D">
            <w:pPr>
              <w:spacing w:after="0"/>
              <w:ind w:firstLine="0"/>
              <w:jc w:val="right"/>
              <w:rPr>
                <w:rFonts w:eastAsia="Calibri"/>
                <w:sz w:val="16"/>
                <w:szCs w:val="16"/>
              </w:rPr>
            </w:pPr>
            <w:r w:rsidRPr="00537EDC">
              <w:rPr>
                <w:rFonts w:eastAsia="Calibri"/>
                <w:sz w:val="16"/>
                <w:szCs w:val="16"/>
              </w:rPr>
              <w:t>(:)</w:t>
            </w:r>
          </w:p>
        </w:tc>
      </w:tr>
      <w:tr w:rsidR="002C52ED" w:rsidRPr="00BC1ED9" w14:paraId="65090DDB" w14:textId="77777777" w:rsidTr="0030100C">
        <w:tc>
          <w:tcPr>
            <w:tcW w:w="1050" w:type="dxa"/>
            <w:vAlign w:val="center"/>
          </w:tcPr>
          <w:p w14:paraId="45DD0939" w14:textId="7D6992A3" w:rsidR="002C52ED" w:rsidRPr="00537EDC" w:rsidRDefault="002C52ED" w:rsidP="002C52ED">
            <w:pPr>
              <w:spacing w:after="0"/>
              <w:ind w:firstLine="0"/>
              <w:jc w:val="center"/>
              <w:rPr>
                <w:rFonts w:eastAsia="Calibri"/>
                <w:sz w:val="16"/>
                <w:szCs w:val="16"/>
              </w:rPr>
            </w:pPr>
            <w:r w:rsidRPr="00537EDC">
              <w:rPr>
                <w:rFonts w:eastAsia="Calibri"/>
                <w:sz w:val="16"/>
                <w:szCs w:val="16"/>
              </w:rPr>
              <w:t>Privātā sektora konsolidētais parāds</w:t>
            </w:r>
          </w:p>
        </w:tc>
        <w:tc>
          <w:tcPr>
            <w:tcW w:w="740" w:type="dxa"/>
            <w:vAlign w:val="center"/>
          </w:tcPr>
          <w:p w14:paraId="4BB79E28" w14:textId="6217F34E" w:rsidR="002C52ED" w:rsidRPr="00537EDC" w:rsidRDefault="002C52ED" w:rsidP="002C52ED">
            <w:pPr>
              <w:spacing w:after="0"/>
              <w:ind w:firstLine="0"/>
              <w:jc w:val="center"/>
              <w:rPr>
                <w:rFonts w:eastAsia="Calibri"/>
                <w:sz w:val="16"/>
                <w:szCs w:val="16"/>
              </w:rPr>
            </w:pPr>
            <w:r w:rsidRPr="00537EDC">
              <w:rPr>
                <w:rFonts w:eastAsia="Calibri"/>
                <w:sz w:val="16"/>
                <w:szCs w:val="16"/>
              </w:rPr>
              <w:t>% no IKP</w:t>
            </w:r>
          </w:p>
        </w:tc>
        <w:tc>
          <w:tcPr>
            <w:tcW w:w="714" w:type="dxa"/>
            <w:vAlign w:val="center"/>
          </w:tcPr>
          <w:p w14:paraId="5E3B4530" w14:textId="1B546027" w:rsidR="002C52ED" w:rsidRPr="00537EDC" w:rsidRDefault="003109B8" w:rsidP="00F51A70">
            <w:pPr>
              <w:spacing w:after="0"/>
              <w:ind w:firstLine="0"/>
              <w:jc w:val="center"/>
              <w:rPr>
                <w:rFonts w:eastAsia="Calibri"/>
                <w:sz w:val="16"/>
                <w:szCs w:val="16"/>
              </w:rPr>
            </w:pPr>
            <w:r w:rsidRPr="00537EDC">
              <w:rPr>
                <w:rFonts w:eastAsia="Calibri"/>
                <w:sz w:val="16"/>
                <w:szCs w:val="16"/>
              </w:rPr>
              <w:t>133%</w:t>
            </w:r>
          </w:p>
        </w:tc>
        <w:tc>
          <w:tcPr>
            <w:tcW w:w="595" w:type="dxa"/>
            <w:shd w:val="clear" w:color="auto" w:fill="FBD4B4" w:themeFill="accent6" w:themeFillTint="66"/>
            <w:vAlign w:val="center"/>
          </w:tcPr>
          <w:p w14:paraId="22DA286B" w14:textId="6776181C" w:rsidR="002C52ED" w:rsidRPr="00537EDC" w:rsidRDefault="00F84C32" w:rsidP="00FD756D">
            <w:pPr>
              <w:spacing w:after="0"/>
              <w:ind w:firstLine="0"/>
              <w:jc w:val="right"/>
              <w:rPr>
                <w:rFonts w:eastAsia="Calibri"/>
                <w:sz w:val="16"/>
                <w:szCs w:val="16"/>
              </w:rPr>
            </w:pPr>
            <w:r w:rsidRPr="00537EDC">
              <w:rPr>
                <w:rFonts w:eastAsia="Calibri"/>
                <w:sz w:val="16"/>
                <w:szCs w:val="16"/>
              </w:rPr>
              <w:t>134</w:t>
            </w:r>
          </w:p>
        </w:tc>
        <w:tc>
          <w:tcPr>
            <w:tcW w:w="595" w:type="dxa"/>
            <w:vAlign w:val="center"/>
          </w:tcPr>
          <w:p w14:paraId="264D4C84" w14:textId="0439DF33" w:rsidR="002C52ED" w:rsidRPr="00537EDC" w:rsidRDefault="00F84C32" w:rsidP="00FD756D">
            <w:pPr>
              <w:spacing w:after="0"/>
              <w:ind w:firstLine="0"/>
              <w:jc w:val="right"/>
              <w:rPr>
                <w:rFonts w:eastAsia="Calibri"/>
                <w:sz w:val="16"/>
                <w:szCs w:val="16"/>
              </w:rPr>
            </w:pPr>
            <w:r w:rsidRPr="00537EDC">
              <w:rPr>
                <w:rFonts w:eastAsia="Calibri"/>
                <w:sz w:val="16"/>
                <w:szCs w:val="16"/>
              </w:rPr>
              <w:t>110,9</w:t>
            </w:r>
          </w:p>
        </w:tc>
        <w:tc>
          <w:tcPr>
            <w:tcW w:w="596" w:type="dxa"/>
            <w:vAlign w:val="center"/>
          </w:tcPr>
          <w:p w14:paraId="7E7D2DE7" w14:textId="34BEA17E" w:rsidR="002C52ED" w:rsidRPr="00537EDC" w:rsidRDefault="00F84C32" w:rsidP="00FD756D">
            <w:pPr>
              <w:spacing w:after="0"/>
              <w:ind w:firstLine="0"/>
              <w:jc w:val="right"/>
              <w:rPr>
                <w:rFonts w:eastAsia="Calibri"/>
                <w:sz w:val="16"/>
                <w:szCs w:val="16"/>
              </w:rPr>
            </w:pPr>
            <w:r w:rsidRPr="00537EDC">
              <w:rPr>
                <w:rFonts w:eastAsia="Calibri"/>
                <w:sz w:val="16"/>
                <w:szCs w:val="16"/>
              </w:rPr>
              <w:t>95,8</w:t>
            </w:r>
          </w:p>
        </w:tc>
        <w:tc>
          <w:tcPr>
            <w:tcW w:w="596" w:type="dxa"/>
            <w:vAlign w:val="center"/>
          </w:tcPr>
          <w:p w14:paraId="235701D6" w14:textId="4B5F46A6" w:rsidR="002C52ED" w:rsidRPr="00537EDC" w:rsidRDefault="0091397B" w:rsidP="00FD756D">
            <w:pPr>
              <w:spacing w:after="0"/>
              <w:ind w:firstLine="0"/>
              <w:jc w:val="right"/>
              <w:rPr>
                <w:rFonts w:eastAsia="Calibri"/>
                <w:sz w:val="16"/>
                <w:szCs w:val="16"/>
              </w:rPr>
            </w:pPr>
            <w:r w:rsidRPr="00537EDC">
              <w:rPr>
                <w:rFonts w:eastAsia="Calibri"/>
                <w:sz w:val="16"/>
                <w:szCs w:val="16"/>
              </w:rPr>
              <w:t>90</w:t>
            </w:r>
          </w:p>
        </w:tc>
        <w:tc>
          <w:tcPr>
            <w:tcW w:w="596" w:type="dxa"/>
            <w:vAlign w:val="center"/>
          </w:tcPr>
          <w:p w14:paraId="5BEE3F97" w14:textId="4742403B" w:rsidR="002C52ED" w:rsidRPr="00537EDC" w:rsidRDefault="0091397B" w:rsidP="00FD756D">
            <w:pPr>
              <w:spacing w:after="0"/>
              <w:ind w:firstLine="0"/>
              <w:jc w:val="right"/>
              <w:rPr>
                <w:rFonts w:eastAsia="Calibri"/>
                <w:sz w:val="16"/>
                <w:szCs w:val="16"/>
              </w:rPr>
            </w:pPr>
            <w:r w:rsidRPr="00537EDC">
              <w:rPr>
                <w:rFonts w:eastAsia="Calibri"/>
                <w:sz w:val="16"/>
                <w:szCs w:val="16"/>
              </w:rPr>
              <w:t>82,3</w:t>
            </w:r>
          </w:p>
        </w:tc>
        <w:tc>
          <w:tcPr>
            <w:tcW w:w="596" w:type="dxa"/>
            <w:vAlign w:val="center"/>
          </w:tcPr>
          <w:p w14:paraId="5E0A5D51" w14:textId="3C9F8E0B" w:rsidR="002C52ED" w:rsidRPr="00537EDC" w:rsidRDefault="0091397B" w:rsidP="00FD756D">
            <w:pPr>
              <w:spacing w:after="0"/>
              <w:ind w:firstLine="0"/>
              <w:jc w:val="right"/>
              <w:rPr>
                <w:rFonts w:eastAsia="Calibri"/>
                <w:sz w:val="16"/>
                <w:szCs w:val="16"/>
              </w:rPr>
            </w:pPr>
            <w:r w:rsidRPr="00537EDC">
              <w:rPr>
                <w:rFonts w:eastAsia="Calibri"/>
                <w:sz w:val="16"/>
                <w:szCs w:val="16"/>
              </w:rPr>
              <w:t>78,4</w:t>
            </w:r>
          </w:p>
        </w:tc>
        <w:tc>
          <w:tcPr>
            <w:tcW w:w="596" w:type="dxa"/>
            <w:vAlign w:val="center"/>
          </w:tcPr>
          <w:p w14:paraId="4EAAE7FB" w14:textId="055C48AE" w:rsidR="002C52ED" w:rsidRPr="00537EDC" w:rsidRDefault="008218D6" w:rsidP="00FD756D">
            <w:pPr>
              <w:spacing w:after="0"/>
              <w:ind w:firstLine="0"/>
              <w:jc w:val="right"/>
              <w:rPr>
                <w:rFonts w:eastAsia="Calibri"/>
                <w:sz w:val="16"/>
                <w:szCs w:val="16"/>
              </w:rPr>
            </w:pPr>
            <w:r w:rsidRPr="00537EDC">
              <w:rPr>
                <w:rFonts w:eastAsia="Calibri"/>
                <w:sz w:val="16"/>
                <w:szCs w:val="16"/>
              </w:rPr>
              <w:t>78,4</w:t>
            </w:r>
          </w:p>
        </w:tc>
        <w:tc>
          <w:tcPr>
            <w:tcW w:w="596" w:type="dxa"/>
            <w:vAlign w:val="center"/>
          </w:tcPr>
          <w:p w14:paraId="0D92762F" w14:textId="18AC838F" w:rsidR="002C52ED" w:rsidRPr="00537EDC" w:rsidRDefault="000502AC" w:rsidP="00FD756D">
            <w:pPr>
              <w:spacing w:after="0"/>
              <w:ind w:firstLine="0"/>
              <w:jc w:val="right"/>
              <w:rPr>
                <w:rFonts w:eastAsia="Calibri"/>
                <w:sz w:val="16"/>
                <w:szCs w:val="16"/>
              </w:rPr>
            </w:pPr>
            <w:r w:rsidRPr="00537EDC">
              <w:rPr>
                <w:rFonts w:eastAsia="Calibri"/>
                <w:sz w:val="16"/>
                <w:szCs w:val="16"/>
              </w:rPr>
              <w:t>75,7</w:t>
            </w:r>
          </w:p>
        </w:tc>
        <w:tc>
          <w:tcPr>
            <w:tcW w:w="597" w:type="dxa"/>
            <w:vAlign w:val="center"/>
          </w:tcPr>
          <w:p w14:paraId="46CC8F10" w14:textId="08D28F80" w:rsidR="002C52ED" w:rsidRPr="00537EDC" w:rsidRDefault="000502AC" w:rsidP="00FD756D">
            <w:pPr>
              <w:spacing w:after="0"/>
              <w:ind w:firstLine="0"/>
              <w:jc w:val="right"/>
              <w:rPr>
                <w:rFonts w:eastAsia="Calibri"/>
                <w:sz w:val="16"/>
                <w:szCs w:val="16"/>
              </w:rPr>
            </w:pPr>
            <w:r w:rsidRPr="00537EDC">
              <w:rPr>
                <w:rFonts w:eastAsia="Calibri"/>
                <w:sz w:val="16"/>
                <w:szCs w:val="16"/>
              </w:rPr>
              <w:t>69,8</w:t>
            </w:r>
          </w:p>
        </w:tc>
        <w:tc>
          <w:tcPr>
            <w:tcW w:w="597" w:type="dxa"/>
            <w:shd w:val="clear" w:color="auto" w:fill="C2D69B" w:themeFill="accent3" w:themeFillTint="99"/>
            <w:vAlign w:val="center"/>
          </w:tcPr>
          <w:p w14:paraId="3099362D" w14:textId="0C1BB162" w:rsidR="002C52ED" w:rsidRPr="00537EDC" w:rsidRDefault="00F366B0" w:rsidP="00FD756D">
            <w:pPr>
              <w:spacing w:after="0"/>
              <w:ind w:firstLine="0"/>
              <w:jc w:val="right"/>
              <w:rPr>
                <w:rFonts w:eastAsia="Calibri"/>
                <w:sz w:val="16"/>
                <w:szCs w:val="16"/>
              </w:rPr>
            </w:pPr>
            <w:r w:rsidRPr="00537EDC">
              <w:rPr>
                <w:rFonts w:eastAsia="Calibri"/>
                <w:sz w:val="16"/>
                <w:szCs w:val="16"/>
              </w:rPr>
              <w:t>67,2</w:t>
            </w:r>
          </w:p>
        </w:tc>
        <w:tc>
          <w:tcPr>
            <w:tcW w:w="597" w:type="dxa"/>
            <w:shd w:val="clear" w:color="auto" w:fill="C2D69B" w:themeFill="accent3" w:themeFillTint="99"/>
            <w:vAlign w:val="center"/>
          </w:tcPr>
          <w:p w14:paraId="00C01C44" w14:textId="56A55FF1" w:rsidR="002C52ED" w:rsidRPr="00537EDC" w:rsidRDefault="00F366B0" w:rsidP="00FD756D">
            <w:pPr>
              <w:spacing w:after="0"/>
              <w:ind w:firstLine="0"/>
              <w:jc w:val="right"/>
              <w:rPr>
                <w:rFonts w:eastAsia="Calibri"/>
                <w:sz w:val="16"/>
                <w:szCs w:val="16"/>
              </w:rPr>
            </w:pPr>
            <w:r w:rsidRPr="00537EDC">
              <w:rPr>
                <w:rFonts w:eastAsia="Calibri"/>
                <w:sz w:val="16"/>
                <w:szCs w:val="16"/>
              </w:rPr>
              <w:t>(:)</w:t>
            </w:r>
          </w:p>
        </w:tc>
      </w:tr>
      <w:tr w:rsidR="002C52ED" w:rsidRPr="00BC1ED9" w14:paraId="670C1293" w14:textId="77777777" w:rsidTr="0030100C">
        <w:tc>
          <w:tcPr>
            <w:tcW w:w="1050" w:type="dxa"/>
            <w:vAlign w:val="center"/>
          </w:tcPr>
          <w:p w14:paraId="6BB91E69" w14:textId="679952F4" w:rsidR="002C52ED" w:rsidRPr="00537EDC" w:rsidRDefault="002C52ED" w:rsidP="002C52ED">
            <w:pPr>
              <w:spacing w:after="0"/>
              <w:ind w:firstLine="0"/>
              <w:jc w:val="center"/>
              <w:rPr>
                <w:rFonts w:eastAsia="Calibri"/>
                <w:sz w:val="16"/>
                <w:szCs w:val="16"/>
              </w:rPr>
            </w:pPr>
            <w:r w:rsidRPr="00537EDC">
              <w:rPr>
                <w:rFonts w:eastAsia="Calibri"/>
                <w:sz w:val="16"/>
                <w:szCs w:val="16"/>
              </w:rPr>
              <w:t>Vispārējās valdības parāds</w:t>
            </w:r>
          </w:p>
        </w:tc>
        <w:tc>
          <w:tcPr>
            <w:tcW w:w="740" w:type="dxa"/>
            <w:vAlign w:val="center"/>
          </w:tcPr>
          <w:p w14:paraId="37D08C78" w14:textId="28A7AB2A" w:rsidR="002C52ED" w:rsidRPr="00537EDC" w:rsidRDefault="002C52ED" w:rsidP="002C52ED">
            <w:pPr>
              <w:spacing w:after="0"/>
              <w:ind w:firstLine="0"/>
              <w:jc w:val="center"/>
              <w:rPr>
                <w:rFonts w:eastAsia="Calibri"/>
                <w:sz w:val="16"/>
                <w:szCs w:val="16"/>
              </w:rPr>
            </w:pPr>
            <w:r w:rsidRPr="00537EDC">
              <w:rPr>
                <w:rFonts w:eastAsia="Calibri"/>
                <w:sz w:val="16"/>
                <w:szCs w:val="16"/>
              </w:rPr>
              <w:t>% no IKP</w:t>
            </w:r>
          </w:p>
        </w:tc>
        <w:tc>
          <w:tcPr>
            <w:tcW w:w="714" w:type="dxa"/>
            <w:vAlign w:val="center"/>
          </w:tcPr>
          <w:p w14:paraId="56A9A7D7" w14:textId="3326F4FF" w:rsidR="002C52ED" w:rsidRPr="00537EDC" w:rsidRDefault="003109B8" w:rsidP="00F51A70">
            <w:pPr>
              <w:spacing w:after="0"/>
              <w:ind w:firstLine="0"/>
              <w:jc w:val="center"/>
              <w:rPr>
                <w:rFonts w:eastAsia="Calibri"/>
                <w:sz w:val="16"/>
                <w:szCs w:val="16"/>
              </w:rPr>
            </w:pPr>
            <w:r w:rsidRPr="00537EDC">
              <w:rPr>
                <w:rFonts w:eastAsia="Calibri"/>
                <w:sz w:val="16"/>
                <w:szCs w:val="16"/>
              </w:rPr>
              <w:t>60%</w:t>
            </w:r>
          </w:p>
        </w:tc>
        <w:tc>
          <w:tcPr>
            <w:tcW w:w="595" w:type="dxa"/>
            <w:vAlign w:val="center"/>
          </w:tcPr>
          <w:p w14:paraId="4598D18D" w14:textId="5D8D607D" w:rsidR="002C52ED" w:rsidRPr="00537EDC" w:rsidRDefault="00F84C32" w:rsidP="00FD756D">
            <w:pPr>
              <w:spacing w:after="0"/>
              <w:ind w:firstLine="0"/>
              <w:jc w:val="right"/>
              <w:rPr>
                <w:rFonts w:eastAsia="Calibri"/>
                <w:sz w:val="16"/>
                <w:szCs w:val="16"/>
              </w:rPr>
            </w:pPr>
            <w:r w:rsidRPr="00537EDC">
              <w:rPr>
                <w:rFonts w:eastAsia="Calibri"/>
                <w:sz w:val="16"/>
                <w:szCs w:val="16"/>
              </w:rPr>
              <w:t>48,1</w:t>
            </w:r>
          </w:p>
        </w:tc>
        <w:tc>
          <w:tcPr>
            <w:tcW w:w="595" w:type="dxa"/>
            <w:vAlign w:val="center"/>
          </w:tcPr>
          <w:p w14:paraId="12ABDE06" w14:textId="7876FB35" w:rsidR="002C52ED" w:rsidRPr="00537EDC" w:rsidRDefault="00F84C32" w:rsidP="00FD756D">
            <w:pPr>
              <w:spacing w:after="0"/>
              <w:ind w:firstLine="0"/>
              <w:jc w:val="right"/>
              <w:rPr>
                <w:rFonts w:eastAsia="Calibri"/>
                <w:sz w:val="16"/>
                <w:szCs w:val="16"/>
              </w:rPr>
            </w:pPr>
            <w:r w:rsidRPr="00537EDC">
              <w:rPr>
                <w:rFonts w:eastAsia="Calibri"/>
                <w:sz w:val="16"/>
                <w:szCs w:val="16"/>
              </w:rPr>
              <w:t>43,7</w:t>
            </w:r>
          </w:p>
        </w:tc>
        <w:tc>
          <w:tcPr>
            <w:tcW w:w="596" w:type="dxa"/>
            <w:vAlign w:val="center"/>
          </w:tcPr>
          <w:p w14:paraId="667150D0" w14:textId="2B1FCA15" w:rsidR="002C52ED" w:rsidRPr="00537EDC" w:rsidRDefault="00F84C32" w:rsidP="00FD756D">
            <w:pPr>
              <w:spacing w:after="0"/>
              <w:ind w:firstLine="0"/>
              <w:jc w:val="right"/>
              <w:rPr>
                <w:rFonts w:eastAsia="Calibri"/>
                <w:sz w:val="16"/>
                <w:szCs w:val="16"/>
              </w:rPr>
            </w:pPr>
            <w:r w:rsidRPr="00537EDC">
              <w:rPr>
                <w:rFonts w:eastAsia="Calibri"/>
                <w:sz w:val="16"/>
                <w:szCs w:val="16"/>
              </w:rPr>
              <w:t>42,2</w:t>
            </w:r>
          </w:p>
        </w:tc>
        <w:tc>
          <w:tcPr>
            <w:tcW w:w="596" w:type="dxa"/>
            <w:vAlign w:val="center"/>
          </w:tcPr>
          <w:p w14:paraId="24362417" w14:textId="518B31D8" w:rsidR="002C52ED" w:rsidRPr="00537EDC" w:rsidRDefault="0091397B" w:rsidP="00FD756D">
            <w:pPr>
              <w:spacing w:after="0"/>
              <w:ind w:firstLine="0"/>
              <w:jc w:val="right"/>
              <w:rPr>
                <w:rFonts w:eastAsia="Calibri"/>
                <w:sz w:val="16"/>
                <w:szCs w:val="16"/>
              </w:rPr>
            </w:pPr>
            <w:r w:rsidRPr="00537EDC">
              <w:rPr>
                <w:rFonts w:eastAsia="Calibri"/>
                <w:sz w:val="16"/>
                <w:szCs w:val="16"/>
              </w:rPr>
              <w:t>40</w:t>
            </w:r>
          </w:p>
        </w:tc>
        <w:tc>
          <w:tcPr>
            <w:tcW w:w="596" w:type="dxa"/>
            <w:vAlign w:val="center"/>
          </w:tcPr>
          <w:p w14:paraId="4C1348BE" w14:textId="372CCCE6" w:rsidR="002C52ED" w:rsidRPr="00537EDC" w:rsidRDefault="0091397B" w:rsidP="00FD756D">
            <w:pPr>
              <w:spacing w:after="0"/>
              <w:ind w:firstLine="0"/>
              <w:jc w:val="right"/>
              <w:rPr>
                <w:rFonts w:eastAsia="Calibri"/>
                <w:sz w:val="16"/>
                <w:szCs w:val="16"/>
              </w:rPr>
            </w:pPr>
            <w:r w:rsidRPr="00537EDC">
              <w:rPr>
                <w:rFonts w:eastAsia="Calibri"/>
                <w:sz w:val="16"/>
                <w:szCs w:val="16"/>
              </w:rPr>
              <w:t>41,6</w:t>
            </w:r>
          </w:p>
        </w:tc>
        <w:tc>
          <w:tcPr>
            <w:tcW w:w="596" w:type="dxa"/>
            <w:vAlign w:val="center"/>
          </w:tcPr>
          <w:p w14:paraId="1ADA7851" w14:textId="61BF2F65" w:rsidR="002C52ED" w:rsidRPr="00537EDC" w:rsidRDefault="0091397B" w:rsidP="00FD756D">
            <w:pPr>
              <w:spacing w:after="0"/>
              <w:ind w:firstLine="0"/>
              <w:jc w:val="right"/>
              <w:rPr>
                <w:rFonts w:eastAsia="Calibri"/>
                <w:sz w:val="16"/>
                <w:szCs w:val="16"/>
              </w:rPr>
            </w:pPr>
            <w:r w:rsidRPr="00537EDC">
              <w:rPr>
                <w:rFonts w:eastAsia="Calibri"/>
                <w:sz w:val="16"/>
                <w:szCs w:val="16"/>
              </w:rPr>
              <w:t>37,1</w:t>
            </w:r>
          </w:p>
        </w:tc>
        <w:tc>
          <w:tcPr>
            <w:tcW w:w="596" w:type="dxa"/>
            <w:vAlign w:val="center"/>
          </w:tcPr>
          <w:p w14:paraId="4A46865B" w14:textId="579C071A" w:rsidR="002C52ED" w:rsidRPr="00537EDC" w:rsidRDefault="008218D6" w:rsidP="00FD756D">
            <w:pPr>
              <w:spacing w:after="0"/>
              <w:ind w:firstLine="0"/>
              <w:jc w:val="right"/>
              <w:rPr>
                <w:rFonts w:eastAsia="Calibri"/>
                <w:sz w:val="16"/>
                <w:szCs w:val="16"/>
              </w:rPr>
            </w:pPr>
            <w:r w:rsidRPr="00537EDC">
              <w:rPr>
                <w:rFonts w:eastAsia="Calibri"/>
                <w:sz w:val="16"/>
                <w:szCs w:val="16"/>
              </w:rPr>
              <w:t>40,4</w:t>
            </w:r>
          </w:p>
        </w:tc>
        <w:tc>
          <w:tcPr>
            <w:tcW w:w="596" w:type="dxa"/>
            <w:vAlign w:val="center"/>
          </w:tcPr>
          <w:p w14:paraId="0E9D1D1D" w14:textId="00E67287" w:rsidR="002C52ED" w:rsidRPr="00537EDC" w:rsidRDefault="000502AC" w:rsidP="00FD756D">
            <w:pPr>
              <w:spacing w:after="0"/>
              <w:ind w:firstLine="0"/>
              <w:jc w:val="right"/>
              <w:rPr>
                <w:rFonts w:eastAsia="Calibri"/>
                <w:sz w:val="16"/>
                <w:szCs w:val="16"/>
              </w:rPr>
            </w:pPr>
            <w:r w:rsidRPr="00537EDC">
              <w:rPr>
                <w:rFonts w:eastAsia="Calibri"/>
                <w:sz w:val="16"/>
                <w:szCs w:val="16"/>
              </w:rPr>
              <w:t>39</w:t>
            </w:r>
          </w:p>
        </w:tc>
        <w:tc>
          <w:tcPr>
            <w:tcW w:w="597" w:type="dxa"/>
            <w:vAlign w:val="center"/>
          </w:tcPr>
          <w:p w14:paraId="3C72A306" w14:textId="668E4240" w:rsidR="002C52ED" w:rsidRPr="00537EDC" w:rsidRDefault="000502AC" w:rsidP="00FD756D">
            <w:pPr>
              <w:spacing w:after="0"/>
              <w:ind w:firstLine="0"/>
              <w:jc w:val="right"/>
              <w:rPr>
                <w:rFonts w:eastAsia="Calibri"/>
                <w:sz w:val="16"/>
                <w:szCs w:val="16"/>
              </w:rPr>
            </w:pPr>
            <w:r w:rsidRPr="00537EDC">
              <w:rPr>
                <w:rFonts w:eastAsia="Calibri"/>
                <w:sz w:val="16"/>
                <w:szCs w:val="16"/>
              </w:rPr>
              <w:t>37,1</w:t>
            </w:r>
          </w:p>
        </w:tc>
        <w:tc>
          <w:tcPr>
            <w:tcW w:w="597" w:type="dxa"/>
            <w:shd w:val="clear" w:color="auto" w:fill="C2D69B" w:themeFill="accent3" w:themeFillTint="99"/>
            <w:vAlign w:val="center"/>
          </w:tcPr>
          <w:p w14:paraId="14E4ED95" w14:textId="0A0B1F51" w:rsidR="002C52ED" w:rsidRPr="00537EDC" w:rsidRDefault="00F366B0" w:rsidP="00FD756D">
            <w:pPr>
              <w:spacing w:after="0"/>
              <w:ind w:firstLine="0"/>
              <w:jc w:val="right"/>
              <w:rPr>
                <w:rFonts w:eastAsia="Calibri"/>
                <w:sz w:val="16"/>
                <w:szCs w:val="16"/>
              </w:rPr>
            </w:pPr>
            <w:r w:rsidRPr="00537EDC">
              <w:rPr>
                <w:rFonts w:eastAsia="Calibri"/>
                <w:sz w:val="16"/>
                <w:szCs w:val="16"/>
              </w:rPr>
              <w:t>37</w:t>
            </w:r>
          </w:p>
        </w:tc>
        <w:tc>
          <w:tcPr>
            <w:tcW w:w="597" w:type="dxa"/>
            <w:shd w:val="clear" w:color="auto" w:fill="C2D69B" w:themeFill="accent3" w:themeFillTint="99"/>
            <w:vAlign w:val="center"/>
          </w:tcPr>
          <w:p w14:paraId="2D7B1CC9" w14:textId="5C444EFB" w:rsidR="002C52ED" w:rsidRPr="00537EDC" w:rsidRDefault="00F366B0" w:rsidP="00FD756D">
            <w:pPr>
              <w:spacing w:after="0"/>
              <w:ind w:firstLine="0"/>
              <w:jc w:val="right"/>
              <w:rPr>
                <w:rFonts w:eastAsia="Calibri"/>
                <w:sz w:val="16"/>
                <w:szCs w:val="16"/>
              </w:rPr>
            </w:pPr>
            <w:r w:rsidRPr="00537EDC">
              <w:rPr>
                <w:rFonts w:eastAsia="Calibri"/>
                <w:sz w:val="16"/>
                <w:szCs w:val="16"/>
              </w:rPr>
              <w:t>43,5</w:t>
            </w:r>
          </w:p>
        </w:tc>
      </w:tr>
      <w:tr w:rsidR="002C52ED" w:rsidRPr="00BC1ED9" w14:paraId="5A0D9F3B" w14:textId="77777777" w:rsidTr="0030100C">
        <w:tc>
          <w:tcPr>
            <w:tcW w:w="1050" w:type="dxa"/>
            <w:vAlign w:val="center"/>
          </w:tcPr>
          <w:p w14:paraId="27656A65" w14:textId="4C6CC00F" w:rsidR="002C52ED" w:rsidRPr="00537EDC" w:rsidRDefault="002C52ED" w:rsidP="002C52ED">
            <w:pPr>
              <w:spacing w:after="0"/>
              <w:ind w:firstLine="0"/>
              <w:jc w:val="center"/>
              <w:rPr>
                <w:rFonts w:eastAsia="Calibri"/>
                <w:sz w:val="16"/>
                <w:szCs w:val="16"/>
              </w:rPr>
            </w:pPr>
            <w:r w:rsidRPr="00537EDC">
              <w:rPr>
                <w:rFonts w:eastAsia="Calibri"/>
                <w:sz w:val="16"/>
                <w:szCs w:val="16"/>
              </w:rPr>
              <w:t>Bezdarba līmenis</w:t>
            </w:r>
          </w:p>
        </w:tc>
        <w:tc>
          <w:tcPr>
            <w:tcW w:w="740" w:type="dxa"/>
            <w:vAlign w:val="center"/>
          </w:tcPr>
          <w:p w14:paraId="78AF6FD7" w14:textId="7B9849BB" w:rsidR="002C52ED" w:rsidRPr="00537EDC" w:rsidRDefault="002C52ED" w:rsidP="002C52ED">
            <w:pPr>
              <w:spacing w:after="0"/>
              <w:ind w:firstLine="0"/>
              <w:jc w:val="center"/>
              <w:rPr>
                <w:rFonts w:eastAsia="Calibri"/>
                <w:sz w:val="16"/>
                <w:szCs w:val="16"/>
              </w:rPr>
            </w:pPr>
            <w:r w:rsidRPr="00537EDC">
              <w:rPr>
                <w:rFonts w:eastAsia="Calibri"/>
                <w:sz w:val="16"/>
                <w:szCs w:val="16"/>
              </w:rPr>
              <w:t>3 gadu vidējais</w:t>
            </w:r>
          </w:p>
        </w:tc>
        <w:tc>
          <w:tcPr>
            <w:tcW w:w="714" w:type="dxa"/>
            <w:vAlign w:val="center"/>
          </w:tcPr>
          <w:p w14:paraId="7D62926C" w14:textId="62C3027E" w:rsidR="002C52ED" w:rsidRPr="00537EDC" w:rsidRDefault="003109B8" w:rsidP="00F51A70">
            <w:pPr>
              <w:spacing w:after="0"/>
              <w:ind w:firstLine="0"/>
              <w:jc w:val="center"/>
              <w:rPr>
                <w:rFonts w:eastAsia="Calibri"/>
                <w:sz w:val="16"/>
                <w:szCs w:val="16"/>
              </w:rPr>
            </w:pPr>
            <w:r w:rsidRPr="00537EDC">
              <w:rPr>
                <w:rFonts w:eastAsia="Calibri"/>
                <w:sz w:val="16"/>
                <w:szCs w:val="16"/>
              </w:rPr>
              <w:t>10%</w:t>
            </w:r>
          </w:p>
        </w:tc>
        <w:tc>
          <w:tcPr>
            <w:tcW w:w="595" w:type="dxa"/>
            <w:shd w:val="clear" w:color="auto" w:fill="FBD4B4" w:themeFill="accent6" w:themeFillTint="66"/>
            <w:vAlign w:val="center"/>
          </w:tcPr>
          <w:p w14:paraId="49983B3C" w14:textId="7904B819" w:rsidR="002C52ED" w:rsidRPr="00537EDC" w:rsidRDefault="00F84C32" w:rsidP="00FD756D">
            <w:pPr>
              <w:spacing w:after="0"/>
              <w:ind w:firstLine="0"/>
              <w:jc w:val="right"/>
              <w:rPr>
                <w:rFonts w:eastAsia="Calibri"/>
                <w:sz w:val="16"/>
                <w:szCs w:val="16"/>
              </w:rPr>
            </w:pPr>
            <w:r w:rsidRPr="00537EDC">
              <w:rPr>
                <w:rFonts w:eastAsia="Calibri"/>
                <w:sz w:val="16"/>
                <w:szCs w:val="16"/>
              </w:rPr>
              <w:t>14,9</w:t>
            </w:r>
          </w:p>
        </w:tc>
        <w:tc>
          <w:tcPr>
            <w:tcW w:w="595" w:type="dxa"/>
            <w:shd w:val="clear" w:color="auto" w:fill="FBD4B4" w:themeFill="accent6" w:themeFillTint="66"/>
            <w:vAlign w:val="center"/>
          </w:tcPr>
          <w:p w14:paraId="70254C54" w14:textId="2C700739" w:rsidR="002C52ED" w:rsidRPr="00537EDC" w:rsidRDefault="00F84C32" w:rsidP="00FD756D">
            <w:pPr>
              <w:spacing w:after="0"/>
              <w:ind w:firstLine="0"/>
              <w:jc w:val="right"/>
              <w:rPr>
                <w:rFonts w:eastAsia="Calibri"/>
                <w:sz w:val="16"/>
                <w:szCs w:val="16"/>
              </w:rPr>
            </w:pPr>
            <w:r w:rsidRPr="00537EDC">
              <w:rPr>
                <w:rFonts w:eastAsia="Calibri"/>
                <w:sz w:val="16"/>
                <w:szCs w:val="16"/>
              </w:rPr>
              <w:t>17,7</w:t>
            </w:r>
          </w:p>
        </w:tc>
        <w:tc>
          <w:tcPr>
            <w:tcW w:w="596" w:type="dxa"/>
            <w:shd w:val="clear" w:color="auto" w:fill="FBD4B4" w:themeFill="accent6" w:themeFillTint="66"/>
            <w:vAlign w:val="center"/>
          </w:tcPr>
          <w:p w14:paraId="61EE230E" w14:textId="762DD6F5" w:rsidR="002C52ED" w:rsidRPr="00537EDC" w:rsidRDefault="00F84C32" w:rsidP="00FD756D">
            <w:pPr>
              <w:spacing w:after="0"/>
              <w:ind w:firstLine="0"/>
              <w:jc w:val="right"/>
              <w:rPr>
                <w:rFonts w:eastAsia="Calibri"/>
                <w:sz w:val="16"/>
                <w:szCs w:val="16"/>
              </w:rPr>
            </w:pPr>
            <w:r w:rsidRPr="00537EDC">
              <w:rPr>
                <w:rFonts w:eastAsia="Calibri"/>
                <w:sz w:val="16"/>
                <w:szCs w:val="16"/>
              </w:rPr>
              <w:t>16,9</w:t>
            </w:r>
          </w:p>
        </w:tc>
        <w:tc>
          <w:tcPr>
            <w:tcW w:w="596" w:type="dxa"/>
            <w:shd w:val="clear" w:color="auto" w:fill="FBD4B4" w:themeFill="accent6" w:themeFillTint="66"/>
            <w:vAlign w:val="center"/>
          </w:tcPr>
          <w:p w14:paraId="07C3C9B3" w14:textId="64D53C51" w:rsidR="002C52ED" w:rsidRPr="00537EDC" w:rsidRDefault="0091397B" w:rsidP="00FD756D">
            <w:pPr>
              <w:spacing w:after="0"/>
              <w:ind w:firstLine="0"/>
              <w:jc w:val="right"/>
              <w:rPr>
                <w:rFonts w:eastAsia="Calibri"/>
                <w:sz w:val="16"/>
                <w:szCs w:val="16"/>
              </w:rPr>
            </w:pPr>
            <w:r w:rsidRPr="00537EDC">
              <w:rPr>
                <w:rFonts w:eastAsia="Calibri"/>
                <w:sz w:val="16"/>
                <w:szCs w:val="16"/>
              </w:rPr>
              <w:t>14,4</w:t>
            </w:r>
          </w:p>
        </w:tc>
        <w:tc>
          <w:tcPr>
            <w:tcW w:w="596" w:type="dxa"/>
            <w:shd w:val="clear" w:color="auto" w:fill="FBD4B4" w:themeFill="accent6" w:themeFillTint="66"/>
            <w:vAlign w:val="center"/>
          </w:tcPr>
          <w:p w14:paraId="7D1D83EF" w14:textId="3F8EAF12" w:rsidR="002C52ED" w:rsidRPr="00537EDC" w:rsidRDefault="0091397B" w:rsidP="00FD756D">
            <w:pPr>
              <w:spacing w:after="0"/>
              <w:ind w:firstLine="0"/>
              <w:jc w:val="right"/>
              <w:rPr>
                <w:rFonts w:eastAsia="Calibri"/>
                <w:sz w:val="16"/>
                <w:szCs w:val="16"/>
              </w:rPr>
            </w:pPr>
            <w:r w:rsidRPr="00537EDC">
              <w:rPr>
                <w:rFonts w:eastAsia="Calibri"/>
                <w:sz w:val="16"/>
                <w:szCs w:val="16"/>
              </w:rPr>
              <w:t>12,6</w:t>
            </w:r>
          </w:p>
        </w:tc>
        <w:tc>
          <w:tcPr>
            <w:tcW w:w="596" w:type="dxa"/>
            <w:shd w:val="clear" w:color="auto" w:fill="FBD4B4" w:themeFill="accent6" w:themeFillTint="66"/>
            <w:vAlign w:val="center"/>
          </w:tcPr>
          <w:p w14:paraId="705B5298" w14:textId="606AB897" w:rsidR="002C52ED" w:rsidRPr="00537EDC" w:rsidRDefault="0091397B" w:rsidP="00FD756D">
            <w:pPr>
              <w:spacing w:after="0"/>
              <w:ind w:firstLine="0"/>
              <w:jc w:val="right"/>
              <w:rPr>
                <w:rFonts w:eastAsia="Calibri"/>
                <w:sz w:val="16"/>
                <w:szCs w:val="16"/>
              </w:rPr>
            </w:pPr>
            <w:r w:rsidRPr="00537EDC">
              <w:rPr>
                <w:rFonts w:eastAsia="Calibri"/>
                <w:sz w:val="16"/>
                <w:szCs w:val="16"/>
              </w:rPr>
              <w:t>10,9</w:t>
            </w:r>
          </w:p>
        </w:tc>
        <w:tc>
          <w:tcPr>
            <w:tcW w:w="596" w:type="dxa"/>
            <w:shd w:val="clear" w:color="auto" w:fill="FBD4B4" w:themeFill="accent6" w:themeFillTint="66"/>
            <w:vAlign w:val="center"/>
          </w:tcPr>
          <w:p w14:paraId="7A7C8B46" w14:textId="19818CED" w:rsidR="002C52ED" w:rsidRPr="00537EDC" w:rsidRDefault="008218D6" w:rsidP="00FD756D">
            <w:pPr>
              <w:spacing w:after="0"/>
              <w:ind w:firstLine="0"/>
              <w:jc w:val="right"/>
              <w:rPr>
                <w:rFonts w:eastAsia="Calibri"/>
                <w:sz w:val="16"/>
                <w:szCs w:val="16"/>
              </w:rPr>
            </w:pPr>
            <w:r w:rsidRPr="00537EDC">
              <w:rPr>
                <w:rFonts w:eastAsia="Calibri"/>
                <w:sz w:val="16"/>
                <w:szCs w:val="16"/>
              </w:rPr>
              <w:t>10,1</w:t>
            </w:r>
          </w:p>
        </w:tc>
        <w:tc>
          <w:tcPr>
            <w:tcW w:w="596" w:type="dxa"/>
            <w:vAlign w:val="center"/>
          </w:tcPr>
          <w:p w14:paraId="16F7F897" w14:textId="656A5A23" w:rsidR="002C52ED" w:rsidRPr="00537EDC" w:rsidRDefault="000502AC" w:rsidP="00FD756D">
            <w:pPr>
              <w:spacing w:after="0"/>
              <w:ind w:firstLine="0"/>
              <w:jc w:val="right"/>
              <w:rPr>
                <w:rFonts w:eastAsia="Calibri"/>
                <w:sz w:val="16"/>
                <w:szCs w:val="16"/>
              </w:rPr>
            </w:pPr>
            <w:r w:rsidRPr="00537EDC">
              <w:rPr>
                <w:rFonts w:eastAsia="Calibri"/>
                <w:sz w:val="16"/>
                <w:szCs w:val="16"/>
              </w:rPr>
              <w:t>9,4</w:t>
            </w:r>
          </w:p>
        </w:tc>
        <w:tc>
          <w:tcPr>
            <w:tcW w:w="597" w:type="dxa"/>
            <w:vAlign w:val="center"/>
          </w:tcPr>
          <w:p w14:paraId="42086B95" w14:textId="30361CDA" w:rsidR="002C52ED" w:rsidRPr="00537EDC" w:rsidRDefault="000502AC" w:rsidP="00FD756D">
            <w:pPr>
              <w:spacing w:after="0"/>
              <w:ind w:firstLine="0"/>
              <w:jc w:val="right"/>
              <w:rPr>
                <w:rFonts w:eastAsia="Calibri"/>
                <w:sz w:val="16"/>
                <w:szCs w:val="16"/>
              </w:rPr>
            </w:pPr>
            <w:r w:rsidRPr="00537EDC">
              <w:rPr>
                <w:rFonts w:eastAsia="Calibri"/>
                <w:sz w:val="16"/>
                <w:szCs w:val="16"/>
              </w:rPr>
              <w:t>8,6</w:t>
            </w:r>
          </w:p>
        </w:tc>
        <w:tc>
          <w:tcPr>
            <w:tcW w:w="597" w:type="dxa"/>
            <w:shd w:val="clear" w:color="auto" w:fill="C2D69B" w:themeFill="accent3" w:themeFillTint="99"/>
            <w:vAlign w:val="center"/>
          </w:tcPr>
          <w:p w14:paraId="58140BD8" w14:textId="2806D6F7" w:rsidR="002C52ED" w:rsidRPr="00537EDC" w:rsidRDefault="00F366B0" w:rsidP="00FD756D">
            <w:pPr>
              <w:spacing w:after="0"/>
              <w:ind w:firstLine="0"/>
              <w:jc w:val="right"/>
              <w:rPr>
                <w:rFonts w:eastAsia="Calibri"/>
                <w:sz w:val="16"/>
                <w:szCs w:val="16"/>
              </w:rPr>
            </w:pPr>
            <w:r w:rsidRPr="00537EDC">
              <w:rPr>
                <w:rFonts w:eastAsia="Calibri"/>
                <w:sz w:val="16"/>
                <w:szCs w:val="16"/>
              </w:rPr>
              <w:t>7,5</w:t>
            </w:r>
          </w:p>
        </w:tc>
        <w:tc>
          <w:tcPr>
            <w:tcW w:w="597" w:type="dxa"/>
            <w:shd w:val="clear" w:color="auto" w:fill="C2D69B" w:themeFill="accent3" w:themeFillTint="99"/>
            <w:vAlign w:val="center"/>
          </w:tcPr>
          <w:p w14:paraId="141739B5" w14:textId="7D0293F3" w:rsidR="002C52ED" w:rsidRPr="00537EDC" w:rsidRDefault="00F366B0" w:rsidP="00FD756D">
            <w:pPr>
              <w:spacing w:after="0"/>
              <w:ind w:firstLine="0"/>
              <w:jc w:val="right"/>
              <w:rPr>
                <w:rFonts w:eastAsia="Calibri"/>
                <w:sz w:val="16"/>
                <w:szCs w:val="16"/>
              </w:rPr>
            </w:pPr>
            <w:r w:rsidRPr="00537EDC">
              <w:rPr>
                <w:rFonts w:eastAsia="Calibri"/>
                <w:sz w:val="16"/>
                <w:szCs w:val="16"/>
              </w:rPr>
              <w:t>7,3</w:t>
            </w:r>
          </w:p>
        </w:tc>
      </w:tr>
      <w:tr w:rsidR="002C52ED" w:rsidRPr="00BC1ED9" w14:paraId="39867006" w14:textId="77777777" w:rsidTr="0030100C">
        <w:tc>
          <w:tcPr>
            <w:tcW w:w="1050" w:type="dxa"/>
            <w:vAlign w:val="center"/>
          </w:tcPr>
          <w:p w14:paraId="57A28967" w14:textId="7C80718A" w:rsidR="002C52ED" w:rsidRPr="00537EDC" w:rsidRDefault="002C52ED" w:rsidP="002C52ED">
            <w:pPr>
              <w:spacing w:after="0"/>
              <w:ind w:firstLine="0"/>
              <w:jc w:val="center"/>
              <w:rPr>
                <w:rFonts w:eastAsia="Calibri"/>
                <w:sz w:val="16"/>
                <w:szCs w:val="16"/>
              </w:rPr>
            </w:pPr>
            <w:r w:rsidRPr="00537EDC">
              <w:rPr>
                <w:rFonts w:eastAsia="Calibri"/>
                <w:sz w:val="16"/>
                <w:szCs w:val="16"/>
              </w:rPr>
              <w:t>Finanšu sektora saistības kopā - nekonsolidētas</w:t>
            </w:r>
          </w:p>
        </w:tc>
        <w:tc>
          <w:tcPr>
            <w:tcW w:w="740" w:type="dxa"/>
            <w:vAlign w:val="center"/>
          </w:tcPr>
          <w:p w14:paraId="117E0EA3" w14:textId="5EB3249E" w:rsidR="002C52ED" w:rsidRPr="00537EDC" w:rsidRDefault="00F51A70" w:rsidP="002C52ED">
            <w:pPr>
              <w:spacing w:after="0"/>
              <w:ind w:firstLine="0"/>
              <w:jc w:val="center"/>
              <w:rPr>
                <w:rFonts w:eastAsia="Calibri"/>
                <w:sz w:val="16"/>
                <w:szCs w:val="16"/>
              </w:rPr>
            </w:pPr>
            <w:r w:rsidRPr="00537EDC">
              <w:rPr>
                <w:rFonts w:eastAsia="Calibri"/>
                <w:sz w:val="16"/>
                <w:szCs w:val="16"/>
              </w:rPr>
              <w:t>1 gada % izmaiņas</w:t>
            </w:r>
          </w:p>
        </w:tc>
        <w:tc>
          <w:tcPr>
            <w:tcW w:w="714" w:type="dxa"/>
            <w:vAlign w:val="center"/>
          </w:tcPr>
          <w:p w14:paraId="2C042B01" w14:textId="4488A3BD" w:rsidR="002C52ED" w:rsidRPr="00537EDC" w:rsidRDefault="003109B8" w:rsidP="00F51A70">
            <w:pPr>
              <w:spacing w:after="0"/>
              <w:ind w:firstLine="0"/>
              <w:jc w:val="center"/>
              <w:rPr>
                <w:rFonts w:eastAsia="Calibri"/>
                <w:sz w:val="16"/>
                <w:szCs w:val="16"/>
              </w:rPr>
            </w:pPr>
            <w:r w:rsidRPr="00537EDC">
              <w:rPr>
                <w:rFonts w:eastAsia="Calibri"/>
                <w:sz w:val="16"/>
                <w:szCs w:val="16"/>
              </w:rPr>
              <w:t>16,50%</w:t>
            </w:r>
          </w:p>
        </w:tc>
        <w:tc>
          <w:tcPr>
            <w:tcW w:w="595" w:type="dxa"/>
            <w:vAlign w:val="center"/>
          </w:tcPr>
          <w:p w14:paraId="36F28A26" w14:textId="17F3E945" w:rsidR="002C52ED" w:rsidRPr="00537EDC" w:rsidRDefault="00F84C32" w:rsidP="00FD756D">
            <w:pPr>
              <w:spacing w:after="0"/>
              <w:ind w:firstLine="0"/>
              <w:jc w:val="right"/>
              <w:rPr>
                <w:rFonts w:eastAsia="Calibri"/>
                <w:sz w:val="16"/>
                <w:szCs w:val="16"/>
              </w:rPr>
            </w:pPr>
            <w:r w:rsidRPr="00537EDC">
              <w:rPr>
                <w:rFonts w:eastAsia="Calibri"/>
                <w:sz w:val="16"/>
                <w:szCs w:val="16"/>
              </w:rPr>
              <w:t>0,5</w:t>
            </w:r>
          </w:p>
        </w:tc>
        <w:tc>
          <w:tcPr>
            <w:tcW w:w="595" w:type="dxa"/>
            <w:vAlign w:val="center"/>
          </w:tcPr>
          <w:p w14:paraId="11AAA3E8" w14:textId="411C99B0" w:rsidR="002C52ED" w:rsidRPr="00537EDC" w:rsidRDefault="00F84C32" w:rsidP="00FD756D">
            <w:pPr>
              <w:spacing w:after="0"/>
              <w:ind w:firstLine="0"/>
              <w:jc w:val="right"/>
              <w:rPr>
                <w:rFonts w:eastAsia="Calibri"/>
                <w:sz w:val="16"/>
                <w:szCs w:val="16"/>
              </w:rPr>
            </w:pPr>
            <w:r w:rsidRPr="00537EDC">
              <w:rPr>
                <w:rFonts w:eastAsia="Calibri"/>
                <w:sz w:val="16"/>
                <w:szCs w:val="16"/>
              </w:rPr>
              <w:t>-4,3</w:t>
            </w:r>
          </w:p>
        </w:tc>
        <w:tc>
          <w:tcPr>
            <w:tcW w:w="596" w:type="dxa"/>
            <w:vAlign w:val="center"/>
          </w:tcPr>
          <w:p w14:paraId="5A5EB56D" w14:textId="3D29BE3C" w:rsidR="002C52ED" w:rsidRPr="00537EDC" w:rsidRDefault="00F84C32" w:rsidP="00FD756D">
            <w:pPr>
              <w:spacing w:after="0"/>
              <w:ind w:firstLine="0"/>
              <w:jc w:val="right"/>
              <w:rPr>
                <w:rFonts w:eastAsia="Calibri"/>
                <w:sz w:val="16"/>
                <w:szCs w:val="16"/>
              </w:rPr>
            </w:pPr>
            <w:r w:rsidRPr="00537EDC">
              <w:rPr>
                <w:rFonts w:eastAsia="Calibri"/>
                <w:sz w:val="16"/>
                <w:szCs w:val="16"/>
              </w:rPr>
              <w:t>5,4</w:t>
            </w:r>
          </w:p>
        </w:tc>
        <w:tc>
          <w:tcPr>
            <w:tcW w:w="596" w:type="dxa"/>
            <w:vAlign w:val="center"/>
          </w:tcPr>
          <w:p w14:paraId="7E62EEA3" w14:textId="051E6577" w:rsidR="002C52ED" w:rsidRPr="00537EDC" w:rsidRDefault="0091397B" w:rsidP="00FD756D">
            <w:pPr>
              <w:spacing w:after="0"/>
              <w:ind w:firstLine="0"/>
              <w:jc w:val="right"/>
              <w:rPr>
                <w:rFonts w:eastAsia="Calibri"/>
                <w:sz w:val="16"/>
                <w:szCs w:val="16"/>
              </w:rPr>
            </w:pPr>
            <w:r w:rsidRPr="00537EDC">
              <w:rPr>
                <w:rFonts w:eastAsia="Calibri"/>
                <w:sz w:val="16"/>
                <w:szCs w:val="16"/>
              </w:rPr>
              <w:t>5,7</w:t>
            </w:r>
          </w:p>
        </w:tc>
        <w:tc>
          <w:tcPr>
            <w:tcW w:w="596" w:type="dxa"/>
            <w:vAlign w:val="center"/>
          </w:tcPr>
          <w:p w14:paraId="3469CD77" w14:textId="2078538A" w:rsidR="002C52ED" w:rsidRPr="00537EDC" w:rsidRDefault="0091397B" w:rsidP="00FD756D">
            <w:pPr>
              <w:spacing w:after="0"/>
              <w:ind w:firstLine="0"/>
              <w:jc w:val="right"/>
              <w:rPr>
                <w:rFonts w:eastAsia="Calibri"/>
                <w:sz w:val="16"/>
                <w:szCs w:val="16"/>
              </w:rPr>
            </w:pPr>
            <w:r w:rsidRPr="00537EDC">
              <w:rPr>
                <w:rFonts w:eastAsia="Calibri"/>
                <w:sz w:val="16"/>
                <w:szCs w:val="16"/>
              </w:rPr>
              <w:t>10,9</w:t>
            </w:r>
          </w:p>
        </w:tc>
        <w:tc>
          <w:tcPr>
            <w:tcW w:w="596" w:type="dxa"/>
            <w:vAlign w:val="center"/>
          </w:tcPr>
          <w:p w14:paraId="59FC1796" w14:textId="2B4AB937" w:rsidR="0091397B" w:rsidRPr="00537EDC" w:rsidRDefault="0091397B" w:rsidP="0091397B">
            <w:pPr>
              <w:spacing w:after="0"/>
              <w:ind w:firstLine="0"/>
              <w:jc w:val="right"/>
              <w:rPr>
                <w:rFonts w:eastAsia="Calibri"/>
                <w:sz w:val="16"/>
                <w:szCs w:val="16"/>
              </w:rPr>
            </w:pPr>
            <w:r w:rsidRPr="00537EDC">
              <w:rPr>
                <w:rFonts w:eastAsia="Calibri"/>
                <w:sz w:val="16"/>
                <w:szCs w:val="16"/>
              </w:rPr>
              <w:t>13,3</w:t>
            </w:r>
          </w:p>
        </w:tc>
        <w:tc>
          <w:tcPr>
            <w:tcW w:w="596" w:type="dxa"/>
            <w:vAlign w:val="center"/>
          </w:tcPr>
          <w:p w14:paraId="3721A8AA" w14:textId="3B84AA0E" w:rsidR="002C52ED" w:rsidRPr="00537EDC" w:rsidRDefault="008218D6" w:rsidP="00FD756D">
            <w:pPr>
              <w:spacing w:after="0"/>
              <w:ind w:firstLine="0"/>
              <w:jc w:val="right"/>
              <w:rPr>
                <w:rFonts w:eastAsia="Calibri"/>
                <w:sz w:val="16"/>
                <w:szCs w:val="16"/>
              </w:rPr>
            </w:pPr>
            <w:r w:rsidRPr="00537EDC">
              <w:rPr>
                <w:rFonts w:eastAsia="Calibri"/>
                <w:sz w:val="16"/>
                <w:szCs w:val="16"/>
              </w:rPr>
              <w:t>4,7</w:t>
            </w:r>
          </w:p>
        </w:tc>
        <w:tc>
          <w:tcPr>
            <w:tcW w:w="596" w:type="dxa"/>
            <w:vAlign w:val="center"/>
          </w:tcPr>
          <w:p w14:paraId="21504D10" w14:textId="71A2439A" w:rsidR="002C52ED" w:rsidRPr="00537EDC" w:rsidRDefault="000502AC" w:rsidP="00FD756D">
            <w:pPr>
              <w:spacing w:after="0"/>
              <w:ind w:firstLine="0"/>
              <w:jc w:val="right"/>
              <w:rPr>
                <w:rFonts w:eastAsia="Calibri"/>
                <w:sz w:val="16"/>
                <w:szCs w:val="16"/>
              </w:rPr>
            </w:pPr>
            <w:r w:rsidRPr="00537EDC">
              <w:rPr>
                <w:rFonts w:eastAsia="Calibri"/>
                <w:sz w:val="16"/>
                <w:szCs w:val="16"/>
              </w:rPr>
              <w:t>6,2</w:t>
            </w:r>
          </w:p>
        </w:tc>
        <w:tc>
          <w:tcPr>
            <w:tcW w:w="597" w:type="dxa"/>
            <w:vAlign w:val="center"/>
          </w:tcPr>
          <w:p w14:paraId="20A92758" w14:textId="1AA2E077" w:rsidR="002C52ED" w:rsidRPr="00537EDC" w:rsidRDefault="000502AC" w:rsidP="00FD756D">
            <w:pPr>
              <w:spacing w:after="0"/>
              <w:ind w:firstLine="0"/>
              <w:jc w:val="right"/>
              <w:rPr>
                <w:rFonts w:eastAsia="Calibri"/>
                <w:sz w:val="16"/>
                <w:szCs w:val="16"/>
              </w:rPr>
            </w:pPr>
            <w:r w:rsidRPr="00537EDC">
              <w:rPr>
                <w:rFonts w:eastAsia="Calibri"/>
                <w:sz w:val="16"/>
                <w:szCs w:val="16"/>
              </w:rPr>
              <w:t>-3,5</w:t>
            </w:r>
          </w:p>
        </w:tc>
        <w:tc>
          <w:tcPr>
            <w:tcW w:w="597" w:type="dxa"/>
            <w:shd w:val="clear" w:color="auto" w:fill="C2D69B" w:themeFill="accent3" w:themeFillTint="99"/>
            <w:vAlign w:val="center"/>
          </w:tcPr>
          <w:p w14:paraId="14572E38" w14:textId="04706B0F" w:rsidR="002C52ED" w:rsidRPr="00537EDC" w:rsidRDefault="00F366B0" w:rsidP="00FD756D">
            <w:pPr>
              <w:spacing w:after="0"/>
              <w:ind w:firstLine="0"/>
              <w:jc w:val="right"/>
              <w:rPr>
                <w:rFonts w:eastAsia="Calibri"/>
                <w:sz w:val="16"/>
                <w:szCs w:val="16"/>
              </w:rPr>
            </w:pPr>
            <w:r w:rsidRPr="00537EDC">
              <w:rPr>
                <w:rFonts w:eastAsia="Calibri"/>
                <w:sz w:val="16"/>
                <w:szCs w:val="16"/>
              </w:rPr>
              <w:t>4,6</w:t>
            </w:r>
          </w:p>
        </w:tc>
        <w:tc>
          <w:tcPr>
            <w:tcW w:w="597" w:type="dxa"/>
            <w:shd w:val="clear" w:color="auto" w:fill="C2D69B" w:themeFill="accent3" w:themeFillTint="99"/>
            <w:vAlign w:val="center"/>
          </w:tcPr>
          <w:p w14:paraId="6F94C640" w14:textId="66F2C6B0" w:rsidR="002C52ED" w:rsidRPr="00537EDC" w:rsidRDefault="00F366B0" w:rsidP="00FD756D">
            <w:pPr>
              <w:spacing w:after="0"/>
              <w:ind w:firstLine="0"/>
              <w:jc w:val="right"/>
              <w:rPr>
                <w:rFonts w:eastAsia="Calibri"/>
                <w:sz w:val="16"/>
                <w:szCs w:val="16"/>
              </w:rPr>
            </w:pPr>
            <w:r w:rsidRPr="00537EDC">
              <w:rPr>
                <w:rFonts w:eastAsia="Calibri"/>
                <w:sz w:val="16"/>
                <w:szCs w:val="16"/>
              </w:rPr>
              <w:t>(:)</w:t>
            </w:r>
          </w:p>
        </w:tc>
      </w:tr>
      <w:tr w:rsidR="002C52ED" w:rsidRPr="00BC1ED9" w14:paraId="6D709471" w14:textId="77777777" w:rsidTr="0030100C">
        <w:tc>
          <w:tcPr>
            <w:tcW w:w="1050" w:type="dxa"/>
            <w:vAlign w:val="center"/>
          </w:tcPr>
          <w:p w14:paraId="758469DF" w14:textId="3DF77B56" w:rsidR="002C52ED" w:rsidRPr="00537EDC" w:rsidRDefault="002C52ED" w:rsidP="002C52ED">
            <w:pPr>
              <w:spacing w:after="0"/>
              <w:ind w:firstLine="0"/>
              <w:jc w:val="center"/>
              <w:rPr>
                <w:rFonts w:eastAsia="Calibri"/>
                <w:sz w:val="16"/>
                <w:szCs w:val="16"/>
              </w:rPr>
            </w:pPr>
            <w:r w:rsidRPr="00537EDC">
              <w:rPr>
                <w:rFonts w:eastAsia="Calibri"/>
                <w:sz w:val="16"/>
                <w:szCs w:val="16"/>
              </w:rPr>
              <w:lastRenderedPageBreak/>
              <w:t>Ekonomiski aktīvo iedzīvotāju īpatsvars % no visiem iedzīvotājiem vecuma grupā no 15-64 gadiem</w:t>
            </w:r>
          </w:p>
        </w:tc>
        <w:tc>
          <w:tcPr>
            <w:tcW w:w="740" w:type="dxa"/>
            <w:vAlign w:val="center"/>
          </w:tcPr>
          <w:p w14:paraId="73DE8C17" w14:textId="20F10979" w:rsidR="002C52ED" w:rsidRPr="00537EDC" w:rsidRDefault="00F51A70" w:rsidP="00F51A70">
            <w:pPr>
              <w:spacing w:after="0"/>
              <w:ind w:firstLine="0"/>
              <w:jc w:val="center"/>
              <w:rPr>
                <w:rFonts w:eastAsia="Calibri"/>
                <w:sz w:val="16"/>
                <w:szCs w:val="16"/>
              </w:rPr>
            </w:pPr>
            <w:r w:rsidRPr="00537EDC">
              <w:rPr>
                <w:rFonts w:eastAsia="Calibri"/>
                <w:sz w:val="16"/>
                <w:szCs w:val="16"/>
              </w:rPr>
              <w:t>3 gadu izmaiņas procentu punktos</w:t>
            </w:r>
          </w:p>
        </w:tc>
        <w:tc>
          <w:tcPr>
            <w:tcW w:w="714" w:type="dxa"/>
            <w:vAlign w:val="center"/>
          </w:tcPr>
          <w:p w14:paraId="3BB146C4" w14:textId="75345D7C" w:rsidR="002C52ED" w:rsidRPr="00537EDC" w:rsidRDefault="003109B8" w:rsidP="00F51A70">
            <w:pPr>
              <w:spacing w:after="0"/>
              <w:ind w:firstLine="0"/>
              <w:jc w:val="center"/>
              <w:rPr>
                <w:rFonts w:eastAsia="Calibri"/>
                <w:sz w:val="16"/>
                <w:szCs w:val="16"/>
              </w:rPr>
            </w:pPr>
            <w:r w:rsidRPr="00537EDC">
              <w:rPr>
                <w:rFonts w:eastAsia="Calibri"/>
                <w:sz w:val="16"/>
                <w:szCs w:val="16"/>
              </w:rPr>
              <w:t>-0,2pp</w:t>
            </w:r>
          </w:p>
        </w:tc>
        <w:tc>
          <w:tcPr>
            <w:tcW w:w="595" w:type="dxa"/>
            <w:vAlign w:val="center"/>
          </w:tcPr>
          <w:p w14:paraId="1AF4A326" w14:textId="79EB4F15" w:rsidR="002C52ED" w:rsidRPr="00537EDC" w:rsidRDefault="00F84C32" w:rsidP="00FD756D">
            <w:pPr>
              <w:spacing w:after="0"/>
              <w:ind w:firstLine="0"/>
              <w:jc w:val="right"/>
              <w:rPr>
                <w:rFonts w:eastAsia="Calibri"/>
                <w:sz w:val="16"/>
                <w:szCs w:val="16"/>
              </w:rPr>
            </w:pPr>
            <w:r w:rsidRPr="00537EDC">
              <w:rPr>
                <w:rFonts w:eastAsia="Calibri"/>
                <w:sz w:val="16"/>
                <w:szCs w:val="16"/>
              </w:rPr>
              <w:t>0,4</w:t>
            </w:r>
          </w:p>
        </w:tc>
        <w:tc>
          <w:tcPr>
            <w:tcW w:w="595" w:type="dxa"/>
            <w:vAlign w:val="center"/>
          </w:tcPr>
          <w:p w14:paraId="3623A965" w14:textId="1E666F0E" w:rsidR="002C52ED" w:rsidRPr="00537EDC" w:rsidRDefault="00F84C32" w:rsidP="00FD756D">
            <w:pPr>
              <w:spacing w:after="0"/>
              <w:ind w:firstLine="0"/>
              <w:jc w:val="right"/>
              <w:rPr>
                <w:rFonts w:eastAsia="Calibri"/>
                <w:sz w:val="16"/>
                <w:szCs w:val="16"/>
              </w:rPr>
            </w:pPr>
            <w:r w:rsidRPr="00537EDC">
              <w:rPr>
                <w:rFonts w:eastAsia="Calibri"/>
                <w:sz w:val="16"/>
                <w:szCs w:val="16"/>
              </w:rPr>
              <w:t>-1,4</w:t>
            </w:r>
          </w:p>
        </w:tc>
        <w:tc>
          <w:tcPr>
            <w:tcW w:w="596" w:type="dxa"/>
            <w:vAlign w:val="center"/>
          </w:tcPr>
          <w:p w14:paraId="11265133" w14:textId="5B4CDD33" w:rsidR="002C52ED" w:rsidRPr="00537EDC" w:rsidRDefault="00F84C32" w:rsidP="00FD756D">
            <w:pPr>
              <w:spacing w:after="0"/>
              <w:ind w:firstLine="0"/>
              <w:jc w:val="right"/>
              <w:rPr>
                <w:rFonts w:eastAsia="Calibri"/>
                <w:sz w:val="16"/>
                <w:szCs w:val="16"/>
              </w:rPr>
            </w:pPr>
            <w:r w:rsidRPr="00537EDC">
              <w:rPr>
                <w:rFonts w:eastAsia="Calibri"/>
                <w:sz w:val="16"/>
                <w:szCs w:val="16"/>
              </w:rPr>
              <w:t>0,9</w:t>
            </w:r>
          </w:p>
        </w:tc>
        <w:tc>
          <w:tcPr>
            <w:tcW w:w="596" w:type="dxa"/>
            <w:vAlign w:val="center"/>
          </w:tcPr>
          <w:p w14:paraId="0605CC46" w14:textId="7A2739C7" w:rsidR="002C52ED" w:rsidRPr="00537EDC" w:rsidRDefault="0091397B" w:rsidP="00FD756D">
            <w:pPr>
              <w:spacing w:after="0"/>
              <w:ind w:firstLine="0"/>
              <w:jc w:val="right"/>
              <w:rPr>
                <w:rFonts w:eastAsia="Calibri"/>
                <w:sz w:val="16"/>
                <w:szCs w:val="16"/>
              </w:rPr>
            </w:pPr>
            <w:r w:rsidRPr="00537EDC">
              <w:rPr>
                <w:rFonts w:eastAsia="Calibri"/>
                <w:sz w:val="16"/>
                <w:szCs w:val="16"/>
              </w:rPr>
              <w:t>1</w:t>
            </w:r>
          </w:p>
        </w:tc>
        <w:tc>
          <w:tcPr>
            <w:tcW w:w="596" w:type="dxa"/>
            <w:vAlign w:val="center"/>
          </w:tcPr>
          <w:p w14:paraId="277A5C7E" w14:textId="21B82B0A" w:rsidR="002C52ED" w:rsidRPr="00537EDC" w:rsidRDefault="0091397B" w:rsidP="00FD756D">
            <w:pPr>
              <w:spacing w:after="0"/>
              <w:ind w:firstLine="0"/>
              <w:jc w:val="right"/>
              <w:rPr>
                <w:rFonts w:eastAsia="Calibri"/>
                <w:sz w:val="16"/>
                <w:szCs w:val="16"/>
              </w:rPr>
            </w:pPr>
            <w:r w:rsidRPr="00537EDC">
              <w:rPr>
                <w:rFonts w:eastAsia="Calibri"/>
                <w:sz w:val="16"/>
                <w:szCs w:val="16"/>
              </w:rPr>
              <w:t>1,8</w:t>
            </w:r>
          </w:p>
        </w:tc>
        <w:tc>
          <w:tcPr>
            <w:tcW w:w="596" w:type="dxa"/>
            <w:vAlign w:val="center"/>
          </w:tcPr>
          <w:p w14:paraId="1C3B170E" w14:textId="692B178F" w:rsidR="002C52ED" w:rsidRPr="00537EDC" w:rsidRDefault="0091397B" w:rsidP="00FD756D">
            <w:pPr>
              <w:spacing w:after="0"/>
              <w:ind w:firstLine="0"/>
              <w:jc w:val="right"/>
              <w:rPr>
                <w:rFonts w:eastAsia="Calibri"/>
                <w:sz w:val="16"/>
                <w:szCs w:val="16"/>
              </w:rPr>
            </w:pPr>
            <w:r w:rsidRPr="00537EDC">
              <w:rPr>
                <w:rFonts w:eastAsia="Calibri"/>
                <w:sz w:val="16"/>
                <w:szCs w:val="16"/>
              </w:rPr>
              <w:t>1,3</w:t>
            </w:r>
          </w:p>
        </w:tc>
        <w:tc>
          <w:tcPr>
            <w:tcW w:w="596" w:type="dxa"/>
            <w:vAlign w:val="center"/>
          </w:tcPr>
          <w:p w14:paraId="21F0404A" w14:textId="192035BE" w:rsidR="002C52ED" w:rsidRPr="00537EDC" w:rsidRDefault="008218D6" w:rsidP="00FD756D">
            <w:pPr>
              <w:spacing w:after="0"/>
              <w:ind w:firstLine="0"/>
              <w:jc w:val="right"/>
              <w:rPr>
                <w:rFonts w:eastAsia="Calibri"/>
                <w:sz w:val="16"/>
                <w:szCs w:val="16"/>
              </w:rPr>
            </w:pPr>
            <w:r w:rsidRPr="00537EDC">
              <w:rPr>
                <w:rFonts w:eastAsia="Calibri"/>
                <w:sz w:val="16"/>
                <w:szCs w:val="16"/>
              </w:rPr>
              <w:t>2,3</w:t>
            </w:r>
          </w:p>
        </w:tc>
        <w:tc>
          <w:tcPr>
            <w:tcW w:w="596" w:type="dxa"/>
            <w:vAlign w:val="center"/>
          </w:tcPr>
          <w:p w14:paraId="18DF264F" w14:textId="361BEAC8" w:rsidR="002C52ED" w:rsidRPr="00537EDC" w:rsidRDefault="000502AC" w:rsidP="00FD756D">
            <w:pPr>
              <w:spacing w:after="0"/>
              <w:ind w:firstLine="0"/>
              <w:jc w:val="right"/>
              <w:rPr>
                <w:rFonts w:eastAsia="Calibri"/>
                <w:sz w:val="16"/>
                <w:szCs w:val="16"/>
              </w:rPr>
            </w:pPr>
            <w:r w:rsidRPr="00537EDC">
              <w:rPr>
                <w:rFonts w:eastAsia="Calibri"/>
                <w:sz w:val="16"/>
                <w:szCs w:val="16"/>
              </w:rPr>
              <w:t>2,4</w:t>
            </w:r>
          </w:p>
        </w:tc>
        <w:tc>
          <w:tcPr>
            <w:tcW w:w="597" w:type="dxa"/>
            <w:vAlign w:val="center"/>
          </w:tcPr>
          <w:p w14:paraId="43CD6CDB" w14:textId="2E246C2F" w:rsidR="002C52ED" w:rsidRPr="00537EDC" w:rsidRDefault="00F366B0" w:rsidP="00FD756D">
            <w:pPr>
              <w:spacing w:after="0"/>
              <w:ind w:firstLine="0"/>
              <w:jc w:val="right"/>
              <w:rPr>
                <w:rFonts w:eastAsia="Calibri"/>
                <w:sz w:val="16"/>
                <w:szCs w:val="16"/>
              </w:rPr>
            </w:pPr>
            <w:r w:rsidRPr="00537EDC">
              <w:rPr>
                <w:rFonts w:eastAsia="Calibri"/>
                <w:sz w:val="16"/>
                <w:szCs w:val="16"/>
              </w:rPr>
              <w:t>2</w:t>
            </w:r>
          </w:p>
        </w:tc>
        <w:tc>
          <w:tcPr>
            <w:tcW w:w="597" w:type="dxa"/>
            <w:shd w:val="clear" w:color="auto" w:fill="C2D69B" w:themeFill="accent3" w:themeFillTint="99"/>
            <w:vAlign w:val="center"/>
          </w:tcPr>
          <w:p w14:paraId="3AD5E454" w14:textId="67C7C470" w:rsidR="002C52ED" w:rsidRPr="00537EDC" w:rsidRDefault="00F366B0" w:rsidP="00FD756D">
            <w:pPr>
              <w:spacing w:after="0"/>
              <w:ind w:firstLine="0"/>
              <w:jc w:val="right"/>
              <w:rPr>
                <w:rFonts w:eastAsia="Calibri"/>
                <w:sz w:val="16"/>
                <w:szCs w:val="16"/>
              </w:rPr>
            </w:pPr>
            <w:r w:rsidRPr="00537EDC">
              <w:rPr>
                <w:rFonts w:eastAsia="Calibri"/>
                <w:sz w:val="16"/>
                <w:szCs w:val="16"/>
              </w:rPr>
              <w:t>1</w:t>
            </w:r>
          </w:p>
        </w:tc>
        <w:tc>
          <w:tcPr>
            <w:tcW w:w="597" w:type="dxa"/>
            <w:shd w:val="clear" w:color="auto" w:fill="C2D69B" w:themeFill="accent3" w:themeFillTint="99"/>
            <w:vAlign w:val="center"/>
          </w:tcPr>
          <w:p w14:paraId="3AA52B08" w14:textId="0C4DB7B3" w:rsidR="002C52ED" w:rsidRPr="00537EDC" w:rsidRDefault="00F366B0" w:rsidP="00FD756D">
            <w:pPr>
              <w:spacing w:after="0"/>
              <w:ind w:firstLine="0"/>
              <w:jc w:val="right"/>
              <w:rPr>
                <w:rFonts w:eastAsia="Calibri"/>
                <w:sz w:val="16"/>
                <w:szCs w:val="16"/>
              </w:rPr>
            </w:pPr>
            <w:r w:rsidRPr="00537EDC">
              <w:rPr>
                <w:rFonts w:eastAsia="Calibri"/>
                <w:sz w:val="16"/>
                <w:szCs w:val="16"/>
              </w:rPr>
              <w:t>1,2</w:t>
            </w:r>
          </w:p>
        </w:tc>
      </w:tr>
      <w:tr w:rsidR="00F51A70" w:rsidRPr="00BC1ED9" w14:paraId="6B604004" w14:textId="77777777" w:rsidTr="0030100C">
        <w:tc>
          <w:tcPr>
            <w:tcW w:w="1050" w:type="dxa"/>
            <w:vAlign w:val="center"/>
          </w:tcPr>
          <w:p w14:paraId="12FB9848" w14:textId="73B2BA4D" w:rsidR="00F51A70" w:rsidRPr="00537EDC" w:rsidRDefault="00F51A70" w:rsidP="00F51A70">
            <w:pPr>
              <w:spacing w:after="0"/>
              <w:ind w:firstLine="0"/>
              <w:jc w:val="center"/>
              <w:rPr>
                <w:rFonts w:eastAsia="Calibri"/>
                <w:sz w:val="16"/>
                <w:szCs w:val="16"/>
              </w:rPr>
            </w:pPr>
            <w:r w:rsidRPr="00537EDC">
              <w:rPr>
                <w:rFonts w:eastAsia="Calibri"/>
                <w:sz w:val="16"/>
                <w:szCs w:val="16"/>
              </w:rPr>
              <w:t>Ilgtermiņa bezdarba līmenis % no ekonomiski aktīvajiem iedzīvotājiem vecuma grupā no 15-74 gadiem</w:t>
            </w:r>
          </w:p>
        </w:tc>
        <w:tc>
          <w:tcPr>
            <w:tcW w:w="740" w:type="dxa"/>
            <w:vAlign w:val="center"/>
          </w:tcPr>
          <w:p w14:paraId="590DC4EB" w14:textId="580AE6DD" w:rsidR="00F51A70" w:rsidRPr="00537EDC" w:rsidRDefault="00F51A70" w:rsidP="00F51A70">
            <w:pPr>
              <w:spacing w:after="0"/>
              <w:ind w:firstLine="0"/>
              <w:jc w:val="center"/>
              <w:rPr>
                <w:rFonts w:eastAsia="Calibri"/>
                <w:sz w:val="16"/>
                <w:szCs w:val="16"/>
              </w:rPr>
            </w:pPr>
            <w:r w:rsidRPr="00537EDC">
              <w:rPr>
                <w:rFonts w:eastAsia="Calibri"/>
                <w:sz w:val="16"/>
                <w:szCs w:val="16"/>
              </w:rPr>
              <w:t>3 gadu izmaiņas procentu punktos</w:t>
            </w:r>
          </w:p>
        </w:tc>
        <w:tc>
          <w:tcPr>
            <w:tcW w:w="714" w:type="dxa"/>
            <w:vAlign w:val="center"/>
          </w:tcPr>
          <w:p w14:paraId="00483F25" w14:textId="7656DC16" w:rsidR="00F51A70" w:rsidRPr="00537EDC" w:rsidRDefault="003109B8" w:rsidP="00F51A70">
            <w:pPr>
              <w:spacing w:after="0"/>
              <w:ind w:firstLine="0"/>
              <w:jc w:val="center"/>
              <w:rPr>
                <w:rFonts w:eastAsia="Calibri"/>
                <w:sz w:val="16"/>
                <w:szCs w:val="16"/>
              </w:rPr>
            </w:pPr>
            <w:r w:rsidRPr="00537EDC">
              <w:rPr>
                <w:rFonts w:eastAsia="Calibri"/>
                <w:sz w:val="16"/>
                <w:szCs w:val="16"/>
              </w:rPr>
              <w:t>0,5pp</w:t>
            </w:r>
          </w:p>
        </w:tc>
        <w:tc>
          <w:tcPr>
            <w:tcW w:w="595" w:type="dxa"/>
            <w:shd w:val="clear" w:color="auto" w:fill="FBD4B4" w:themeFill="accent6" w:themeFillTint="66"/>
            <w:vAlign w:val="center"/>
          </w:tcPr>
          <w:p w14:paraId="6EAB24C3" w14:textId="1D91FFAA" w:rsidR="00F51A70" w:rsidRPr="00537EDC" w:rsidRDefault="00F84C32" w:rsidP="00F84C32">
            <w:pPr>
              <w:spacing w:after="0"/>
              <w:ind w:firstLine="0"/>
              <w:jc w:val="right"/>
              <w:rPr>
                <w:rFonts w:eastAsia="Calibri"/>
                <w:sz w:val="16"/>
                <w:szCs w:val="16"/>
              </w:rPr>
            </w:pPr>
            <w:r w:rsidRPr="00537EDC">
              <w:rPr>
                <w:rFonts w:eastAsia="Calibri"/>
                <w:sz w:val="16"/>
                <w:szCs w:val="16"/>
              </w:rPr>
              <w:t>7,2</w:t>
            </w:r>
          </w:p>
        </w:tc>
        <w:tc>
          <w:tcPr>
            <w:tcW w:w="595" w:type="dxa"/>
            <w:shd w:val="clear" w:color="auto" w:fill="FBD4B4" w:themeFill="accent6" w:themeFillTint="66"/>
            <w:vAlign w:val="center"/>
          </w:tcPr>
          <w:p w14:paraId="36AE4122" w14:textId="56F86E2E" w:rsidR="00F51A70" w:rsidRPr="00537EDC" w:rsidRDefault="00F84C32" w:rsidP="00F84C32">
            <w:pPr>
              <w:spacing w:after="0"/>
              <w:ind w:firstLine="0"/>
              <w:jc w:val="right"/>
              <w:rPr>
                <w:rFonts w:eastAsia="Calibri"/>
                <w:sz w:val="16"/>
                <w:szCs w:val="16"/>
              </w:rPr>
            </w:pPr>
            <w:r w:rsidRPr="00537EDC">
              <w:rPr>
                <w:rFonts w:eastAsia="Calibri"/>
                <w:sz w:val="16"/>
                <w:szCs w:val="16"/>
              </w:rPr>
              <w:t>6,9</w:t>
            </w:r>
          </w:p>
        </w:tc>
        <w:tc>
          <w:tcPr>
            <w:tcW w:w="596" w:type="dxa"/>
            <w:shd w:val="clear" w:color="auto" w:fill="FBD4B4" w:themeFill="accent6" w:themeFillTint="66"/>
            <w:vAlign w:val="center"/>
          </w:tcPr>
          <w:p w14:paraId="5605739E" w14:textId="5424245B" w:rsidR="00F51A70" w:rsidRPr="00537EDC" w:rsidRDefault="00F84C32" w:rsidP="00F84C32">
            <w:pPr>
              <w:spacing w:after="0"/>
              <w:ind w:firstLine="0"/>
              <w:jc w:val="right"/>
              <w:rPr>
                <w:rFonts w:eastAsia="Calibri"/>
                <w:sz w:val="16"/>
                <w:szCs w:val="16"/>
              </w:rPr>
            </w:pPr>
            <w:r w:rsidRPr="00537EDC">
              <w:rPr>
                <w:rFonts w:eastAsia="Calibri"/>
                <w:sz w:val="16"/>
                <w:szCs w:val="16"/>
              </w:rPr>
              <w:t>3,3</w:t>
            </w:r>
          </w:p>
        </w:tc>
        <w:tc>
          <w:tcPr>
            <w:tcW w:w="596" w:type="dxa"/>
            <w:vAlign w:val="center"/>
          </w:tcPr>
          <w:p w14:paraId="2A314C11" w14:textId="20997FBB" w:rsidR="00F51A70" w:rsidRPr="00537EDC" w:rsidRDefault="0091397B" w:rsidP="00F84C32">
            <w:pPr>
              <w:spacing w:after="0"/>
              <w:ind w:firstLine="0"/>
              <w:jc w:val="right"/>
              <w:rPr>
                <w:rFonts w:eastAsia="Calibri"/>
                <w:sz w:val="16"/>
                <w:szCs w:val="16"/>
              </w:rPr>
            </w:pPr>
            <w:r w:rsidRPr="00537EDC">
              <w:rPr>
                <w:rFonts w:eastAsia="Calibri"/>
                <w:sz w:val="16"/>
                <w:szCs w:val="16"/>
              </w:rPr>
              <w:t>-3,1</w:t>
            </w:r>
          </w:p>
        </w:tc>
        <w:tc>
          <w:tcPr>
            <w:tcW w:w="596" w:type="dxa"/>
            <w:vAlign w:val="center"/>
          </w:tcPr>
          <w:p w14:paraId="403FEF95" w14:textId="3E8A73B7" w:rsidR="00F51A70" w:rsidRPr="00537EDC" w:rsidRDefault="0091397B" w:rsidP="00F84C32">
            <w:pPr>
              <w:spacing w:after="0"/>
              <w:ind w:firstLine="0"/>
              <w:jc w:val="right"/>
              <w:rPr>
                <w:rFonts w:eastAsia="Calibri"/>
                <w:sz w:val="16"/>
                <w:szCs w:val="16"/>
              </w:rPr>
            </w:pPr>
            <w:r w:rsidRPr="00537EDC">
              <w:rPr>
                <w:rFonts w:eastAsia="Calibri"/>
                <w:sz w:val="16"/>
                <w:szCs w:val="16"/>
              </w:rPr>
              <w:t>-4,2</w:t>
            </w:r>
          </w:p>
        </w:tc>
        <w:tc>
          <w:tcPr>
            <w:tcW w:w="596" w:type="dxa"/>
            <w:vAlign w:val="center"/>
          </w:tcPr>
          <w:p w14:paraId="6FD704F0" w14:textId="2108D9FA" w:rsidR="00F51A70" w:rsidRPr="00537EDC" w:rsidRDefault="000502AC" w:rsidP="00F84C32">
            <w:pPr>
              <w:spacing w:after="0"/>
              <w:ind w:firstLine="0"/>
              <w:jc w:val="right"/>
              <w:rPr>
                <w:rFonts w:eastAsia="Calibri"/>
                <w:sz w:val="16"/>
                <w:szCs w:val="16"/>
              </w:rPr>
            </w:pPr>
            <w:r w:rsidRPr="00537EDC">
              <w:rPr>
                <w:rFonts w:eastAsia="Calibri"/>
                <w:sz w:val="16"/>
                <w:szCs w:val="16"/>
              </w:rPr>
              <w:t>-3,3</w:t>
            </w:r>
          </w:p>
        </w:tc>
        <w:tc>
          <w:tcPr>
            <w:tcW w:w="596" w:type="dxa"/>
            <w:vAlign w:val="center"/>
          </w:tcPr>
          <w:p w14:paraId="26E554EA" w14:textId="43BC8810" w:rsidR="00F51A70" w:rsidRPr="00537EDC" w:rsidRDefault="000502AC" w:rsidP="00F84C32">
            <w:pPr>
              <w:spacing w:after="0"/>
              <w:ind w:firstLine="0"/>
              <w:jc w:val="right"/>
              <w:rPr>
                <w:rFonts w:eastAsia="Calibri"/>
                <w:sz w:val="16"/>
                <w:szCs w:val="16"/>
              </w:rPr>
            </w:pPr>
            <w:r w:rsidRPr="00537EDC">
              <w:rPr>
                <w:rFonts w:eastAsia="Calibri"/>
                <w:sz w:val="16"/>
                <w:szCs w:val="16"/>
              </w:rPr>
              <w:t>-1,7</w:t>
            </w:r>
          </w:p>
        </w:tc>
        <w:tc>
          <w:tcPr>
            <w:tcW w:w="596" w:type="dxa"/>
            <w:vAlign w:val="center"/>
          </w:tcPr>
          <w:p w14:paraId="46F753DF" w14:textId="6F1F7A77" w:rsidR="00F51A70" w:rsidRPr="00537EDC" w:rsidRDefault="000502AC" w:rsidP="00F84C32">
            <w:pPr>
              <w:spacing w:after="0"/>
              <w:ind w:firstLine="0"/>
              <w:jc w:val="right"/>
              <w:rPr>
                <w:rFonts w:eastAsia="Calibri"/>
                <w:sz w:val="16"/>
                <w:szCs w:val="16"/>
              </w:rPr>
            </w:pPr>
            <w:r w:rsidRPr="00537EDC">
              <w:rPr>
                <w:rFonts w:eastAsia="Calibri"/>
                <w:sz w:val="16"/>
                <w:szCs w:val="16"/>
              </w:rPr>
              <w:t>-1,3</w:t>
            </w:r>
          </w:p>
        </w:tc>
        <w:tc>
          <w:tcPr>
            <w:tcW w:w="597" w:type="dxa"/>
            <w:vAlign w:val="center"/>
          </w:tcPr>
          <w:p w14:paraId="19597B10" w14:textId="2BDBE597" w:rsidR="00F51A70" w:rsidRPr="00537EDC" w:rsidRDefault="00F366B0" w:rsidP="00F84C32">
            <w:pPr>
              <w:spacing w:after="0"/>
              <w:ind w:firstLine="0"/>
              <w:jc w:val="right"/>
              <w:rPr>
                <w:rFonts w:eastAsia="Calibri"/>
                <w:sz w:val="16"/>
                <w:szCs w:val="16"/>
              </w:rPr>
            </w:pPr>
            <w:r w:rsidRPr="00537EDC">
              <w:rPr>
                <w:rFonts w:eastAsia="Calibri"/>
                <w:sz w:val="16"/>
                <w:szCs w:val="16"/>
              </w:rPr>
              <w:t>-1,4</w:t>
            </w:r>
          </w:p>
        </w:tc>
        <w:tc>
          <w:tcPr>
            <w:tcW w:w="597" w:type="dxa"/>
            <w:shd w:val="clear" w:color="auto" w:fill="C2D69B" w:themeFill="accent3" w:themeFillTint="99"/>
            <w:vAlign w:val="center"/>
          </w:tcPr>
          <w:p w14:paraId="18D2E19E" w14:textId="02F87DA4" w:rsidR="00F51A70" w:rsidRPr="00537EDC" w:rsidRDefault="00F366B0" w:rsidP="00F84C32">
            <w:pPr>
              <w:spacing w:after="0"/>
              <w:ind w:firstLine="0"/>
              <w:jc w:val="right"/>
              <w:rPr>
                <w:rFonts w:eastAsia="Calibri"/>
                <w:sz w:val="16"/>
                <w:szCs w:val="16"/>
              </w:rPr>
            </w:pPr>
            <w:r w:rsidRPr="00537EDC">
              <w:rPr>
                <w:rFonts w:eastAsia="Calibri"/>
                <w:sz w:val="16"/>
                <w:szCs w:val="16"/>
              </w:rPr>
              <w:t>-1,6</w:t>
            </w:r>
          </w:p>
        </w:tc>
        <w:tc>
          <w:tcPr>
            <w:tcW w:w="597" w:type="dxa"/>
            <w:shd w:val="clear" w:color="auto" w:fill="C2D69B" w:themeFill="accent3" w:themeFillTint="99"/>
            <w:vAlign w:val="center"/>
          </w:tcPr>
          <w:p w14:paraId="6D2624D7" w14:textId="6D43CCB9" w:rsidR="00F51A70" w:rsidRPr="00537EDC" w:rsidRDefault="00F366B0" w:rsidP="00F84C32">
            <w:pPr>
              <w:spacing w:after="0"/>
              <w:ind w:firstLine="0"/>
              <w:jc w:val="right"/>
              <w:rPr>
                <w:rFonts w:eastAsia="Calibri"/>
                <w:sz w:val="16"/>
                <w:szCs w:val="16"/>
              </w:rPr>
            </w:pPr>
            <w:r w:rsidRPr="00537EDC">
              <w:rPr>
                <w:rFonts w:eastAsia="Calibri"/>
                <w:sz w:val="16"/>
                <w:szCs w:val="16"/>
              </w:rPr>
              <w:t>-1,1</w:t>
            </w:r>
          </w:p>
        </w:tc>
      </w:tr>
      <w:tr w:rsidR="00F51A70" w:rsidRPr="00BC1ED9" w14:paraId="62CF3878" w14:textId="77777777" w:rsidTr="0030100C">
        <w:tc>
          <w:tcPr>
            <w:tcW w:w="1050" w:type="dxa"/>
            <w:vAlign w:val="center"/>
          </w:tcPr>
          <w:p w14:paraId="6684D9A7" w14:textId="2E0D4031" w:rsidR="00F51A70" w:rsidRPr="00537EDC" w:rsidRDefault="00F51A70" w:rsidP="00F51A70">
            <w:pPr>
              <w:spacing w:after="0"/>
              <w:ind w:firstLine="0"/>
              <w:jc w:val="center"/>
              <w:rPr>
                <w:rFonts w:eastAsia="Calibri"/>
                <w:sz w:val="16"/>
                <w:szCs w:val="16"/>
              </w:rPr>
            </w:pPr>
            <w:r w:rsidRPr="00537EDC">
              <w:rPr>
                <w:rFonts w:eastAsia="Calibri"/>
                <w:sz w:val="16"/>
                <w:szCs w:val="16"/>
              </w:rPr>
              <w:t>Jauniešu bezdarba līmenis % no ekonomiski aktīvajiem iedzīvotājiem vecuma grupā no 15-24 gadiem</w:t>
            </w:r>
          </w:p>
        </w:tc>
        <w:tc>
          <w:tcPr>
            <w:tcW w:w="740" w:type="dxa"/>
            <w:vAlign w:val="center"/>
          </w:tcPr>
          <w:p w14:paraId="119ED3C8" w14:textId="198B79FB" w:rsidR="00F51A70" w:rsidRPr="00537EDC" w:rsidRDefault="00F51A70" w:rsidP="00F51A70">
            <w:pPr>
              <w:spacing w:after="0"/>
              <w:ind w:firstLine="0"/>
              <w:jc w:val="center"/>
              <w:rPr>
                <w:rFonts w:eastAsia="Calibri"/>
                <w:sz w:val="16"/>
                <w:szCs w:val="16"/>
              </w:rPr>
            </w:pPr>
            <w:r w:rsidRPr="00537EDC">
              <w:rPr>
                <w:rFonts w:eastAsia="Calibri"/>
                <w:sz w:val="16"/>
                <w:szCs w:val="16"/>
              </w:rPr>
              <w:t>3 gadu izmaiņas procentu punktos</w:t>
            </w:r>
          </w:p>
        </w:tc>
        <w:tc>
          <w:tcPr>
            <w:tcW w:w="714" w:type="dxa"/>
            <w:vAlign w:val="center"/>
          </w:tcPr>
          <w:p w14:paraId="152F59A7" w14:textId="08359841" w:rsidR="00F51A70" w:rsidRPr="00537EDC" w:rsidRDefault="003109B8" w:rsidP="00F51A70">
            <w:pPr>
              <w:spacing w:after="0"/>
              <w:ind w:firstLine="0"/>
              <w:jc w:val="center"/>
              <w:rPr>
                <w:rFonts w:eastAsia="Calibri"/>
                <w:sz w:val="16"/>
                <w:szCs w:val="16"/>
              </w:rPr>
            </w:pPr>
            <w:r w:rsidRPr="00537EDC">
              <w:rPr>
                <w:rFonts w:eastAsia="Calibri"/>
                <w:sz w:val="16"/>
                <w:szCs w:val="16"/>
              </w:rPr>
              <w:t>2pp</w:t>
            </w:r>
          </w:p>
        </w:tc>
        <w:tc>
          <w:tcPr>
            <w:tcW w:w="595" w:type="dxa"/>
            <w:shd w:val="clear" w:color="auto" w:fill="FBD4B4" w:themeFill="accent6" w:themeFillTint="66"/>
            <w:vAlign w:val="center"/>
          </w:tcPr>
          <w:p w14:paraId="548F25C5" w14:textId="691A6243" w:rsidR="00F51A70" w:rsidRPr="00537EDC" w:rsidRDefault="00F84C32" w:rsidP="00F84C32">
            <w:pPr>
              <w:spacing w:after="0"/>
              <w:ind w:firstLine="0"/>
              <w:jc w:val="right"/>
              <w:rPr>
                <w:rFonts w:eastAsia="Calibri"/>
                <w:sz w:val="16"/>
                <w:szCs w:val="16"/>
              </w:rPr>
            </w:pPr>
            <w:r w:rsidRPr="00537EDC">
              <w:rPr>
                <w:rFonts w:eastAsia="Calibri"/>
                <w:sz w:val="16"/>
                <w:szCs w:val="16"/>
              </w:rPr>
              <w:t>25,6</w:t>
            </w:r>
          </w:p>
        </w:tc>
        <w:tc>
          <w:tcPr>
            <w:tcW w:w="595" w:type="dxa"/>
            <w:shd w:val="clear" w:color="auto" w:fill="FBD4B4" w:themeFill="accent6" w:themeFillTint="66"/>
            <w:vAlign w:val="center"/>
          </w:tcPr>
          <w:p w14:paraId="12A8E90F" w14:textId="6A4385EE" w:rsidR="00F51A70" w:rsidRPr="00537EDC" w:rsidRDefault="00F84C32" w:rsidP="00F84C32">
            <w:pPr>
              <w:spacing w:after="0"/>
              <w:ind w:firstLine="0"/>
              <w:jc w:val="right"/>
              <w:rPr>
                <w:rFonts w:eastAsia="Calibri"/>
                <w:sz w:val="16"/>
                <w:szCs w:val="16"/>
              </w:rPr>
            </w:pPr>
            <w:r w:rsidRPr="00537EDC">
              <w:rPr>
                <w:rFonts w:eastAsia="Calibri"/>
                <w:sz w:val="16"/>
                <w:szCs w:val="16"/>
              </w:rPr>
              <w:t>17,4</w:t>
            </w:r>
          </w:p>
        </w:tc>
        <w:tc>
          <w:tcPr>
            <w:tcW w:w="596" w:type="dxa"/>
            <w:vAlign w:val="center"/>
          </w:tcPr>
          <w:p w14:paraId="7501ACE7" w14:textId="7CA53E8B" w:rsidR="00F51A70" w:rsidRPr="00537EDC" w:rsidRDefault="00F84C32" w:rsidP="00F84C32">
            <w:pPr>
              <w:spacing w:after="0"/>
              <w:ind w:firstLine="0"/>
              <w:jc w:val="right"/>
              <w:rPr>
                <w:rFonts w:eastAsia="Calibri"/>
                <w:sz w:val="16"/>
                <w:szCs w:val="16"/>
              </w:rPr>
            </w:pPr>
            <w:r w:rsidRPr="00537EDC">
              <w:rPr>
                <w:rFonts w:eastAsia="Calibri"/>
                <w:sz w:val="16"/>
                <w:szCs w:val="16"/>
              </w:rPr>
              <w:t>-4,8</w:t>
            </w:r>
          </w:p>
        </w:tc>
        <w:tc>
          <w:tcPr>
            <w:tcW w:w="596" w:type="dxa"/>
            <w:vAlign w:val="center"/>
          </w:tcPr>
          <w:p w14:paraId="5C530C8F" w14:textId="53331DF9" w:rsidR="00F51A70" w:rsidRPr="00537EDC" w:rsidRDefault="0091397B" w:rsidP="00F84C32">
            <w:pPr>
              <w:spacing w:after="0"/>
              <w:ind w:firstLine="0"/>
              <w:jc w:val="right"/>
              <w:rPr>
                <w:rFonts w:eastAsia="Calibri"/>
                <w:sz w:val="16"/>
                <w:szCs w:val="16"/>
              </w:rPr>
            </w:pPr>
            <w:r w:rsidRPr="00537EDC">
              <w:rPr>
                <w:rFonts w:eastAsia="Calibri"/>
                <w:sz w:val="16"/>
                <w:szCs w:val="16"/>
              </w:rPr>
              <w:t>-13</w:t>
            </w:r>
          </w:p>
        </w:tc>
        <w:tc>
          <w:tcPr>
            <w:tcW w:w="596" w:type="dxa"/>
            <w:vAlign w:val="center"/>
          </w:tcPr>
          <w:p w14:paraId="7915A07D" w14:textId="5AEEC275" w:rsidR="00F51A70" w:rsidRPr="00537EDC" w:rsidRDefault="0091397B" w:rsidP="00F84C32">
            <w:pPr>
              <w:spacing w:after="0"/>
              <w:ind w:firstLine="0"/>
              <w:jc w:val="right"/>
              <w:rPr>
                <w:rFonts w:eastAsia="Calibri"/>
                <w:sz w:val="16"/>
                <w:szCs w:val="16"/>
              </w:rPr>
            </w:pPr>
            <w:r w:rsidRPr="00537EDC">
              <w:rPr>
                <w:rFonts w:eastAsia="Calibri"/>
                <w:sz w:val="16"/>
                <w:szCs w:val="16"/>
              </w:rPr>
              <w:t>-11,4</w:t>
            </w:r>
          </w:p>
        </w:tc>
        <w:tc>
          <w:tcPr>
            <w:tcW w:w="596" w:type="dxa"/>
            <w:vAlign w:val="center"/>
          </w:tcPr>
          <w:p w14:paraId="4DBAD3BF" w14:textId="4EC133F9" w:rsidR="00F51A70" w:rsidRPr="00537EDC" w:rsidRDefault="000502AC" w:rsidP="00F84C32">
            <w:pPr>
              <w:spacing w:after="0"/>
              <w:ind w:firstLine="0"/>
              <w:jc w:val="right"/>
              <w:rPr>
                <w:rFonts w:eastAsia="Calibri"/>
                <w:sz w:val="16"/>
                <w:szCs w:val="16"/>
              </w:rPr>
            </w:pPr>
            <w:r w:rsidRPr="00537EDC">
              <w:rPr>
                <w:rFonts w:eastAsia="Calibri"/>
                <w:sz w:val="16"/>
                <w:szCs w:val="16"/>
              </w:rPr>
              <w:t>-12,2</w:t>
            </w:r>
          </w:p>
        </w:tc>
        <w:tc>
          <w:tcPr>
            <w:tcW w:w="596" w:type="dxa"/>
            <w:vAlign w:val="center"/>
          </w:tcPr>
          <w:p w14:paraId="135A1570" w14:textId="75D5847E" w:rsidR="00F51A70" w:rsidRPr="00537EDC" w:rsidRDefault="000502AC" w:rsidP="00F84C32">
            <w:pPr>
              <w:spacing w:after="0"/>
              <w:ind w:firstLine="0"/>
              <w:jc w:val="right"/>
              <w:rPr>
                <w:rFonts w:eastAsia="Calibri"/>
                <w:sz w:val="16"/>
                <w:szCs w:val="16"/>
              </w:rPr>
            </w:pPr>
            <w:r w:rsidRPr="00537EDC">
              <w:rPr>
                <w:rFonts w:eastAsia="Calibri"/>
                <w:sz w:val="16"/>
                <w:szCs w:val="16"/>
              </w:rPr>
              <w:t>-5,9</w:t>
            </w:r>
          </w:p>
        </w:tc>
        <w:tc>
          <w:tcPr>
            <w:tcW w:w="596" w:type="dxa"/>
            <w:vAlign w:val="center"/>
          </w:tcPr>
          <w:p w14:paraId="01F5355F" w14:textId="241222A9" w:rsidR="00F51A70" w:rsidRPr="00537EDC" w:rsidRDefault="000502AC" w:rsidP="00F84C32">
            <w:pPr>
              <w:spacing w:after="0"/>
              <w:ind w:firstLine="0"/>
              <w:jc w:val="right"/>
              <w:rPr>
                <w:rFonts w:eastAsia="Calibri"/>
                <w:sz w:val="16"/>
                <w:szCs w:val="16"/>
              </w:rPr>
            </w:pPr>
            <w:r w:rsidRPr="00537EDC">
              <w:rPr>
                <w:rFonts w:eastAsia="Calibri"/>
                <w:sz w:val="16"/>
                <w:szCs w:val="16"/>
              </w:rPr>
              <w:t>-2,6</w:t>
            </w:r>
          </w:p>
        </w:tc>
        <w:tc>
          <w:tcPr>
            <w:tcW w:w="597" w:type="dxa"/>
            <w:vAlign w:val="center"/>
          </w:tcPr>
          <w:p w14:paraId="370D1C29" w14:textId="5E623CBF" w:rsidR="00F51A70" w:rsidRPr="00537EDC" w:rsidRDefault="00F366B0" w:rsidP="00F84C32">
            <w:pPr>
              <w:spacing w:after="0"/>
              <w:ind w:firstLine="0"/>
              <w:jc w:val="right"/>
              <w:rPr>
                <w:rFonts w:eastAsia="Calibri"/>
                <w:sz w:val="16"/>
                <w:szCs w:val="16"/>
              </w:rPr>
            </w:pPr>
            <w:r w:rsidRPr="00537EDC">
              <w:rPr>
                <w:rFonts w:eastAsia="Calibri"/>
                <w:sz w:val="16"/>
                <w:szCs w:val="16"/>
              </w:rPr>
              <w:t>-4,1</w:t>
            </w:r>
          </w:p>
        </w:tc>
        <w:tc>
          <w:tcPr>
            <w:tcW w:w="597" w:type="dxa"/>
            <w:shd w:val="clear" w:color="auto" w:fill="C2D69B" w:themeFill="accent3" w:themeFillTint="99"/>
            <w:vAlign w:val="center"/>
          </w:tcPr>
          <w:p w14:paraId="0CFE0F8A" w14:textId="24C1EA12" w:rsidR="00F51A70" w:rsidRPr="00537EDC" w:rsidRDefault="00F366B0" w:rsidP="00F84C32">
            <w:pPr>
              <w:spacing w:after="0"/>
              <w:ind w:firstLine="0"/>
              <w:jc w:val="right"/>
              <w:rPr>
                <w:rFonts w:eastAsia="Calibri"/>
                <w:sz w:val="16"/>
                <w:szCs w:val="16"/>
              </w:rPr>
            </w:pPr>
            <w:r w:rsidRPr="00537EDC">
              <w:rPr>
                <w:rFonts w:eastAsia="Calibri"/>
                <w:sz w:val="16"/>
                <w:szCs w:val="16"/>
              </w:rPr>
              <w:t>-4,9</w:t>
            </w:r>
          </w:p>
        </w:tc>
        <w:tc>
          <w:tcPr>
            <w:tcW w:w="597" w:type="dxa"/>
            <w:shd w:val="clear" w:color="auto" w:fill="C2D69B" w:themeFill="accent3" w:themeFillTint="99"/>
            <w:vAlign w:val="center"/>
          </w:tcPr>
          <w:p w14:paraId="09A6E5EC" w14:textId="4D1F2672" w:rsidR="00F51A70" w:rsidRPr="00537EDC" w:rsidRDefault="00F366B0" w:rsidP="00F84C32">
            <w:pPr>
              <w:spacing w:after="0"/>
              <w:ind w:firstLine="0"/>
              <w:jc w:val="right"/>
              <w:rPr>
                <w:rFonts w:eastAsia="Calibri"/>
                <w:sz w:val="16"/>
                <w:szCs w:val="16"/>
              </w:rPr>
            </w:pPr>
            <w:r w:rsidRPr="00537EDC">
              <w:rPr>
                <w:rFonts w:eastAsia="Calibri"/>
                <w:sz w:val="16"/>
                <w:szCs w:val="16"/>
              </w:rPr>
              <w:t>-2,1</w:t>
            </w:r>
          </w:p>
        </w:tc>
      </w:tr>
    </w:tbl>
    <w:p w14:paraId="6B9D6182" w14:textId="0118B05C" w:rsidR="00EF1D74" w:rsidRDefault="00EF1D74" w:rsidP="00EF1D74">
      <w:pPr>
        <w:keepNext/>
        <w:keepLines/>
        <w:spacing w:before="240" w:after="240"/>
        <w:ind w:firstLine="0"/>
        <w:jc w:val="center"/>
        <w:outlineLvl w:val="1"/>
        <w:rPr>
          <w:b/>
          <w:sz w:val="36"/>
          <w:szCs w:val="36"/>
        </w:rPr>
      </w:pPr>
      <w:r w:rsidRPr="00EF1D74">
        <w:rPr>
          <w:b/>
          <w:sz w:val="36"/>
          <w:szCs w:val="36"/>
        </w:rPr>
        <w:t>1.4. Makroekonomiskās attīstības scenārijs</w:t>
      </w:r>
    </w:p>
    <w:p w14:paraId="6B4D1B0B" w14:textId="77777777" w:rsidR="00537EDC" w:rsidRPr="00DF1711" w:rsidRDefault="00537EDC" w:rsidP="00537EDC">
      <w:pPr>
        <w:spacing w:before="120"/>
        <w:ind w:firstLine="567"/>
        <w:rPr>
          <w:rFonts w:eastAsia="Calibri"/>
          <w:szCs w:val="22"/>
        </w:rPr>
      </w:pPr>
      <w:r w:rsidRPr="00DF1711">
        <w:rPr>
          <w:rFonts w:eastAsia="Calibri"/>
          <w:szCs w:val="22"/>
        </w:rPr>
        <w:t>Vidēja termiņa makroekonomiskās attīstības scenārijs 2021.</w:t>
      </w:r>
      <w:r w:rsidRPr="00DF1711">
        <w:rPr>
          <w:rFonts w:eastAsia="Calibri"/>
          <w:szCs w:val="22"/>
        </w:rPr>
        <w:noBreakHyphen/>
        <w:t>2024</w:t>
      </w:r>
      <w:r>
        <w:rPr>
          <w:rFonts w:eastAsia="Calibri"/>
          <w:szCs w:val="22"/>
        </w:rPr>
        <w:t>. gad</w:t>
      </w:r>
      <w:r w:rsidRPr="00DF1711">
        <w:rPr>
          <w:rFonts w:eastAsia="Calibri"/>
          <w:szCs w:val="22"/>
        </w:rPr>
        <w:t>am izstrādāts 2021</w:t>
      </w:r>
      <w:r>
        <w:rPr>
          <w:rFonts w:eastAsia="Calibri"/>
          <w:szCs w:val="22"/>
        </w:rPr>
        <w:t>. gad</w:t>
      </w:r>
      <w:r w:rsidRPr="00DF1711">
        <w:rPr>
          <w:rFonts w:eastAsia="Calibri"/>
          <w:szCs w:val="22"/>
        </w:rPr>
        <w:t>a jūnijā, balstoties uz 2021</w:t>
      </w:r>
      <w:r>
        <w:rPr>
          <w:rFonts w:eastAsia="Calibri"/>
          <w:szCs w:val="22"/>
        </w:rPr>
        <w:t>. gad</w:t>
      </w:r>
      <w:r w:rsidRPr="00DF1711">
        <w:rPr>
          <w:rFonts w:eastAsia="Calibri"/>
          <w:szCs w:val="22"/>
        </w:rPr>
        <w:t xml:space="preserve">a pirmā ceturkšņa IKP datiem, kā arī līdz šā gada jūnijam pieejamo īstermiņa makroekonomisko informāciju un valdības apstiprinātajiem atbalsta pasākumiem </w:t>
      </w:r>
      <w:r>
        <w:rPr>
          <w:rFonts w:eastAsia="Calibri"/>
          <w:szCs w:val="22"/>
        </w:rPr>
        <w:t>Covid</w:t>
      </w:r>
      <w:r>
        <w:rPr>
          <w:rFonts w:eastAsia="Calibri"/>
          <w:szCs w:val="22"/>
        </w:rPr>
        <w:noBreakHyphen/>
        <w:t>19</w:t>
      </w:r>
      <w:r w:rsidRPr="00DF1711">
        <w:rPr>
          <w:rFonts w:eastAsia="Calibri"/>
          <w:szCs w:val="22"/>
        </w:rPr>
        <w:t xml:space="preserve"> izraisītās krīzes seku mazināšanai tautsaimniecībā. Izstrādājot vidēja termiņa makroekonomiskās attīstības scenāriju, FM ir konsultējusies ar SVF un EK ekspertiem. Makroekonomisko rādītāju prognozes ir saskaņotas ar Latvijas Banku un Ekonomikas ministriju, kā arī tās 2021</w:t>
      </w:r>
      <w:r>
        <w:rPr>
          <w:rFonts w:eastAsia="Calibri"/>
          <w:szCs w:val="22"/>
        </w:rPr>
        <w:t>. gad</w:t>
      </w:r>
      <w:r w:rsidRPr="00DF1711">
        <w:rPr>
          <w:rFonts w:eastAsia="Calibri"/>
          <w:szCs w:val="22"/>
        </w:rPr>
        <w:t>a 14. jūnijā ir apstiprinājusi Fiskālās disciplīnas padome.</w:t>
      </w:r>
    </w:p>
    <w:p w14:paraId="08136E4F" w14:textId="77777777" w:rsidR="00537EDC" w:rsidRPr="00DF1711" w:rsidRDefault="00537EDC" w:rsidP="00537EDC">
      <w:pPr>
        <w:spacing w:before="120"/>
        <w:ind w:firstLine="567"/>
        <w:rPr>
          <w:rFonts w:eastAsia="Calibri"/>
          <w:szCs w:val="22"/>
        </w:rPr>
      </w:pPr>
      <w:r w:rsidRPr="00DF1711">
        <w:rPr>
          <w:rFonts w:eastAsia="Calibri"/>
          <w:szCs w:val="22"/>
        </w:rPr>
        <w:t>Atbilstoši scenārijam Latvijas iekšzemes kopprodukta pieaugums 2021</w:t>
      </w:r>
      <w:r>
        <w:rPr>
          <w:rFonts w:eastAsia="Calibri"/>
          <w:szCs w:val="22"/>
        </w:rPr>
        <w:t>. gad</w:t>
      </w:r>
      <w:r w:rsidRPr="00DF1711">
        <w:rPr>
          <w:rFonts w:eastAsia="Calibri"/>
          <w:szCs w:val="22"/>
        </w:rPr>
        <w:t>ā sasniegs 3,7% un 2022</w:t>
      </w:r>
      <w:r>
        <w:rPr>
          <w:rFonts w:eastAsia="Calibri"/>
          <w:szCs w:val="22"/>
        </w:rPr>
        <w:t>. gad</w:t>
      </w:r>
      <w:r w:rsidRPr="00DF1711">
        <w:rPr>
          <w:rFonts w:eastAsia="Calibri"/>
          <w:szCs w:val="22"/>
        </w:rPr>
        <w:t>ā – 5,0%, kas ir attiecīgi par 0,7 procentpunktiem un 0,5 procentpunktiem straujāk nekā prognozēts šā gada februārī, sagatavojot Latvijas Stabilitātes programmu 2021.-2024</w:t>
      </w:r>
      <w:r>
        <w:rPr>
          <w:rFonts w:eastAsia="Calibri"/>
          <w:szCs w:val="22"/>
        </w:rPr>
        <w:t>. gad</w:t>
      </w:r>
      <w:r w:rsidRPr="00DF1711">
        <w:rPr>
          <w:rFonts w:eastAsia="Calibri"/>
          <w:szCs w:val="22"/>
        </w:rPr>
        <w:t>am. Savukārt 2023. un 2024</w:t>
      </w:r>
      <w:r>
        <w:rPr>
          <w:rFonts w:eastAsia="Calibri"/>
          <w:szCs w:val="22"/>
        </w:rPr>
        <w:t>. gad</w:t>
      </w:r>
      <w:r w:rsidRPr="00DF1711">
        <w:rPr>
          <w:rFonts w:eastAsia="Calibri"/>
          <w:szCs w:val="22"/>
        </w:rPr>
        <w:t xml:space="preserve">ā IKP palielināsies attiecīgi par 3,5% un 3,4%, kas attiecīgi ir par 0,3 un 0,7 procentpunktiem vairāk nekā februāra prognozēs. Makroekonomisko prognožu uzlabošanās pamatā </w:t>
      </w:r>
      <w:r>
        <w:rPr>
          <w:rFonts w:eastAsia="Calibri"/>
          <w:szCs w:val="22"/>
        </w:rPr>
        <w:t>ir</w:t>
      </w:r>
      <w:r w:rsidRPr="00DF1711">
        <w:rPr>
          <w:rFonts w:eastAsia="Calibri"/>
          <w:szCs w:val="22"/>
        </w:rPr>
        <w:t xml:space="preserve"> labāka ekonomikas reakcija uz pandēmijas izaicinājumiem.</w:t>
      </w:r>
    </w:p>
    <w:p w14:paraId="6C7B832B" w14:textId="77777777" w:rsidR="00537EDC" w:rsidRPr="00DF1711" w:rsidRDefault="00537EDC" w:rsidP="00537EDC">
      <w:pPr>
        <w:spacing w:before="120"/>
        <w:ind w:firstLine="567"/>
        <w:rPr>
          <w:rFonts w:eastAsia="Calibri"/>
          <w:szCs w:val="22"/>
        </w:rPr>
      </w:pPr>
      <w:r w:rsidRPr="00DF1711">
        <w:rPr>
          <w:rFonts w:eastAsia="Calibri"/>
          <w:szCs w:val="22"/>
        </w:rPr>
        <w:t>Makroekonomiskās attīstības scen</w:t>
      </w:r>
      <w:r>
        <w:rPr>
          <w:rFonts w:eastAsia="Calibri"/>
          <w:szCs w:val="22"/>
        </w:rPr>
        <w:t>ārijs balstās uz pieņēmumu, ka e</w:t>
      </w:r>
      <w:r w:rsidRPr="00DF1711">
        <w:rPr>
          <w:rFonts w:eastAsia="Calibri"/>
          <w:szCs w:val="22"/>
        </w:rPr>
        <w:t>konomikas izaugsmi 2021. un 2022</w:t>
      </w:r>
      <w:r>
        <w:rPr>
          <w:rFonts w:eastAsia="Calibri"/>
          <w:szCs w:val="22"/>
        </w:rPr>
        <w:t>. gad</w:t>
      </w:r>
      <w:r w:rsidRPr="00DF1711">
        <w:rPr>
          <w:rFonts w:eastAsia="Calibri"/>
          <w:szCs w:val="22"/>
        </w:rPr>
        <w:t xml:space="preserve">ā noteiks </w:t>
      </w:r>
      <w:r>
        <w:rPr>
          <w:rFonts w:eastAsia="Calibri"/>
          <w:szCs w:val="22"/>
        </w:rPr>
        <w:t>Covid</w:t>
      </w:r>
      <w:r>
        <w:rPr>
          <w:rFonts w:eastAsia="Calibri"/>
          <w:szCs w:val="22"/>
        </w:rPr>
        <w:noBreakHyphen/>
        <w:t>19</w:t>
      </w:r>
      <w:r w:rsidRPr="00DF1711">
        <w:rPr>
          <w:rFonts w:eastAsia="Calibri"/>
          <w:szCs w:val="22"/>
        </w:rPr>
        <w:t xml:space="preserve"> uzliesmojuma ierobežošana gan Latvijā, gan veiksmīga krīzes pārvarēšana pasaulē un galvenajās Latvijas ārējās tirdzniecības partnervalstīs, veicinot iekšējo un ārējo pieprasījumu. Līdzīgs pieņēmums ir pamatā arī visu starptautisko institūciju makroekonomikas prognozēm, balstoties uz </w:t>
      </w:r>
      <w:r>
        <w:rPr>
          <w:rFonts w:eastAsia="Calibri"/>
          <w:szCs w:val="22"/>
        </w:rPr>
        <w:t>Covid</w:t>
      </w:r>
      <w:r>
        <w:rPr>
          <w:rFonts w:eastAsia="Calibri"/>
          <w:szCs w:val="22"/>
        </w:rPr>
        <w:noBreakHyphen/>
        <w:t>19</w:t>
      </w:r>
      <w:r w:rsidRPr="00DF1711">
        <w:rPr>
          <w:rFonts w:eastAsia="Calibri"/>
          <w:szCs w:val="22"/>
        </w:rPr>
        <w:t xml:space="preserve"> izplatības dinamikas pēdējiem datiem prognožu veikšanas brīdī.</w:t>
      </w:r>
    </w:p>
    <w:p w14:paraId="59640AD8" w14:textId="77777777" w:rsidR="00537EDC" w:rsidRPr="00DF1711" w:rsidRDefault="00537EDC" w:rsidP="00537EDC">
      <w:pPr>
        <w:spacing w:before="120"/>
        <w:ind w:firstLine="567"/>
        <w:rPr>
          <w:rFonts w:eastAsia="Calibri"/>
          <w:szCs w:val="22"/>
        </w:rPr>
      </w:pPr>
      <w:r w:rsidRPr="00DF1711">
        <w:rPr>
          <w:rFonts w:eastAsia="Calibri"/>
          <w:szCs w:val="22"/>
        </w:rPr>
        <w:t xml:space="preserve">Atbilstoši scenārijam līdz šā gada rudenim būtu sasniegts pietiekams vakcinācijas līmenis, lai izvairītos no </w:t>
      </w:r>
      <w:r>
        <w:rPr>
          <w:rFonts w:eastAsia="Calibri"/>
          <w:szCs w:val="22"/>
        </w:rPr>
        <w:t>Covid</w:t>
      </w:r>
      <w:r>
        <w:rPr>
          <w:rFonts w:eastAsia="Calibri"/>
          <w:szCs w:val="22"/>
        </w:rPr>
        <w:noBreakHyphen/>
        <w:t>19</w:t>
      </w:r>
      <w:r w:rsidRPr="00DF1711">
        <w:rPr>
          <w:rFonts w:eastAsia="Calibri"/>
          <w:szCs w:val="22"/>
        </w:rPr>
        <w:t xml:space="preserve"> trešā viļņa, un tāpēc nav nepieciešams atjaunot ierobežojumus slimības izplatības mazināšanai. Papildus tam, ekonomiku stiprinās šogad paredzētie valsts atbalsta pasākumi un pieaugošais Eiropas Savienības finanšu līdzekļu apjoms, t.sk. no Atveseļošanās un noturības fonda. Tomēr šie atbalsta pasākumi nespēs pilnībā atjaunot krīzes smagāk skartās nozares – transportā, izmitināšanā un ēdināšanā, mākslas, izklaides un atpūtas nozarē, profesionālo pakalpojumu nozarē izlaides apjomi līdz 2021</w:t>
      </w:r>
      <w:r>
        <w:rPr>
          <w:rFonts w:eastAsia="Calibri"/>
          <w:szCs w:val="22"/>
        </w:rPr>
        <w:t>. gad</w:t>
      </w:r>
      <w:r w:rsidRPr="00DF1711">
        <w:rPr>
          <w:rFonts w:eastAsia="Calibri"/>
          <w:szCs w:val="22"/>
        </w:rPr>
        <w:t>a beigām vēl joprojām būtiski atpaliks no 2019</w:t>
      </w:r>
      <w:r>
        <w:rPr>
          <w:rFonts w:eastAsia="Calibri"/>
          <w:szCs w:val="22"/>
        </w:rPr>
        <w:t>. gad</w:t>
      </w:r>
      <w:r w:rsidRPr="00DF1711">
        <w:rPr>
          <w:rFonts w:eastAsia="Calibri"/>
          <w:szCs w:val="22"/>
        </w:rPr>
        <w:t>a līmeņa.</w:t>
      </w:r>
    </w:p>
    <w:p w14:paraId="6E00F4FB" w14:textId="77777777" w:rsidR="00537EDC" w:rsidRPr="00DF1711" w:rsidRDefault="00537EDC" w:rsidP="00537EDC">
      <w:pPr>
        <w:spacing w:before="120"/>
        <w:ind w:firstLine="567"/>
        <w:rPr>
          <w:rFonts w:eastAsia="Calibri"/>
          <w:szCs w:val="22"/>
        </w:rPr>
      </w:pPr>
      <w:r w:rsidRPr="00DF1711">
        <w:rPr>
          <w:rFonts w:eastAsia="Calibri"/>
          <w:szCs w:val="22"/>
        </w:rPr>
        <w:lastRenderedPageBreak/>
        <w:t>Latvijas ekonomikas izaugsmes galvenais virzītājspēks šogad būs privātā patēriņa pieaugums, kas pēc ierobežojumu atcelšanas un patērētāju noskaņojuma uzlabošanās š</w:t>
      </w:r>
      <w:r>
        <w:rPr>
          <w:rFonts w:eastAsia="Calibri"/>
          <w:szCs w:val="22"/>
        </w:rPr>
        <w:t>ā</w:t>
      </w:r>
      <w:r w:rsidRPr="00DF1711">
        <w:rPr>
          <w:rFonts w:eastAsia="Calibri"/>
          <w:szCs w:val="22"/>
        </w:rPr>
        <w:t xml:space="preserve"> gada otrajā ceturksnī ir strauji atjaunojies. Tāpēc </w:t>
      </w:r>
      <w:r>
        <w:rPr>
          <w:rFonts w:eastAsia="Calibri"/>
          <w:szCs w:val="22"/>
        </w:rPr>
        <w:t xml:space="preserve">2021. </w:t>
      </w:r>
      <w:r w:rsidRPr="00DF1711">
        <w:rPr>
          <w:rFonts w:eastAsia="Calibri"/>
          <w:szCs w:val="22"/>
        </w:rPr>
        <w:t xml:space="preserve">gadā kopumā </w:t>
      </w:r>
      <w:r>
        <w:rPr>
          <w:rFonts w:eastAsia="Calibri"/>
          <w:szCs w:val="22"/>
        </w:rPr>
        <w:t>privātais patēriņš</w:t>
      </w:r>
      <w:r w:rsidRPr="00DF1711">
        <w:rPr>
          <w:rFonts w:eastAsia="Calibri"/>
          <w:szCs w:val="22"/>
        </w:rPr>
        <w:t xml:space="preserve"> varētu palielināties par 6,3%. Ņemot vērā zemo bāzi, 2022</w:t>
      </w:r>
      <w:r>
        <w:rPr>
          <w:rFonts w:eastAsia="Calibri"/>
          <w:szCs w:val="22"/>
        </w:rPr>
        <w:t>. gad</w:t>
      </w:r>
      <w:r w:rsidRPr="00DF1711">
        <w:rPr>
          <w:rFonts w:eastAsia="Calibri"/>
          <w:szCs w:val="22"/>
        </w:rPr>
        <w:t>ā privātā patēriņa pieaugum</w:t>
      </w:r>
      <w:r>
        <w:rPr>
          <w:rFonts w:eastAsia="Calibri"/>
          <w:szCs w:val="22"/>
        </w:rPr>
        <w:t xml:space="preserve">s varētu sasniegt 10,4%, tomēr </w:t>
      </w:r>
      <w:r w:rsidRPr="00DF1711">
        <w:rPr>
          <w:rFonts w:eastAsia="Calibri"/>
          <w:szCs w:val="22"/>
        </w:rPr>
        <w:t>patēriņš būtu tikai par 5,5% lielāks nekā 2019</w:t>
      </w:r>
      <w:r>
        <w:rPr>
          <w:rFonts w:eastAsia="Calibri"/>
          <w:szCs w:val="22"/>
        </w:rPr>
        <w:t>. gad</w:t>
      </w:r>
      <w:r w:rsidRPr="00DF1711">
        <w:rPr>
          <w:rFonts w:eastAsia="Calibri"/>
          <w:szCs w:val="22"/>
        </w:rPr>
        <w:t xml:space="preserve">ā. </w:t>
      </w:r>
      <w:r>
        <w:rPr>
          <w:rFonts w:eastAsia="Calibri"/>
          <w:szCs w:val="22"/>
        </w:rPr>
        <w:t xml:space="preserve">2023. un 2024. gadā privātā patēriņa pieaugumi mazināsies līdz attiecīgi 4% un 3,5%. </w:t>
      </w:r>
      <w:r w:rsidRPr="00DF1711">
        <w:rPr>
          <w:rFonts w:eastAsia="Calibri"/>
          <w:szCs w:val="22"/>
        </w:rPr>
        <w:t xml:space="preserve">Papildus šogad iekšzemes patēriņu balstīs sabiedriskā patēriņa pieaugums par 3,5%, ko nosaka </w:t>
      </w:r>
      <w:r>
        <w:rPr>
          <w:rFonts w:eastAsia="Calibri"/>
          <w:szCs w:val="22"/>
        </w:rPr>
        <w:t>Covid</w:t>
      </w:r>
      <w:r>
        <w:rPr>
          <w:rFonts w:eastAsia="Calibri"/>
          <w:szCs w:val="22"/>
        </w:rPr>
        <w:noBreakHyphen/>
        <w:t xml:space="preserve">19 atbalsta pasākumi, savukārt nākamajos gados </w:t>
      </w:r>
      <w:r w:rsidRPr="00DF1711">
        <w:rPr>
          <w:rFonts w:eastAsia="Calibri"/>
          <w:szCs w:val="22"/>
        </w:rPr>
        <w:t>sabiedriskā patēriņa pieaugums</w:t>
      </w:r>
      <w:r>
        <w:rPr>
          <w:rFonts w:eastAsia="Calibri"/>
          <w:szCs w:val="22"/>
        </w:rPr>
        <w:t xml:space="preserve"> vidēji būs 1,4% apmērā.</w:t>
      </w:r>
    </w:p>
    <w:p w14:paraId="35C32C55" w14:textId="77777777" w:rsidR="00537EDC" w:rsidRPr="00DF1711" w:rsidRDefault="00537EDC" w:rsidP="00537EDC">
      <w:pPr>
        <w:spacing w:before="120"/>
        <w:ind w:firstLine="567"/>
        <w:rPr>
          <w:rFonts w:eastAsia="Calibri"/>
          <w:szCs w:val="22"/>
        </w:rPr>
      </w:pPr>
      <w:r w:rsidRPr="00DF1711">
        <w:rPr>
          <w:rFonts w:eastAsia="Calibri"/>
          <w:szCs w:val="22"/>
        </w:rPr>
        <w:t>Investīciju (bruto pamatkapitāla veidošanas) apjoms šogad varētu palielināties par 4,1%, bet 2022</w:t>
      </w:r>
      <w:r>
        <w:rPr>
          <w:rFonts w:eastAsia="Calibri"/>
          <w:szCs w:val="22"/>
        </w:rPr>
        <w:t>. gad</w:t>
      </w:r>
      <w:r w:rsidRPr="00DF1711">
        <w:rPr>
          <w:rFonts w:eastAsia="Calibri"/>
          <w:szCs w:val="22"/>
        </w:rPr>
        <w:t>ā sasniegt jau 8,5% kāpumu</w:t>
      </w:r>
      <w:r>
        <w:rPr>
          <w:rFonts w:eastAsia="Calibri"/>
          <w:szCs w:val="22"/>
        </w:rPr>
        <w:t>, kamēr vidējā termiņā pieaugums būs ap 4,5%</w:t>
      </w:r>
      <w:r w:rsidRPr="00DF1711">
        <w:rPr>
          <w:rFonts w:eastAsia="Calibri"/>
          <w:szCs w:val="22"/>
        </w:rPr>
        <w:t xml:space="preserve">. </w:t>
      </w:r>
      <w:r>
        <w:rPr>
          <w:rFonts w:eastAsia="Calibri"/>
          <w:szCs w:val="22"/>
        </w:rPr>
        <w:t>2022. gada relatīvi lielāko pieaugumu</w:t>
      </w:r>
      <w:r w:rsidRPr="00DF1711">
        <w:rPr>
          <w:rFonts w:eastAsia="Calibri"/>
          <w:szCs w:val="22"/>
        </w:rPr>
        <w:t xml:space="preserve"> nodrošinās ES fondu un Atveseļošanās un noturības mehānisma finansējama pieejamība, kā arī </w:t>
      </w:r>
      <w:proofErr w:type="spellStart"/>
      <w:r w:rsidRPr="007C2E86">
        <w:rPr>
          <w:rFonts w:eastAsia="Calibri"/>
          <w:i/>
          <w:szCs w:val="22"/>
        </w:rPr>
        <w:t>RailBaltica</w:t>
      </w:r>
      <w:proofErr w:type="spellEnd"/>
      <w:r w:rsidRPr="00DF1711">
        <w:rPr>
          <w:rFonts w:eastAsia="Calibri"/>
          <w:szCs w:val="22"/>
        </w:rPr>
        <w:t xml:space="preserve"> projekta realizācija.</w:t>
      </w:r>
    </w:p>
    <w:p w14:paraId="1B888921" w14:textId="77777777" w:rsidR="00537EDC" w:rsidRPr="00DF1711" w:rsidRDefault="00537EDC" w:rsidP="00537EDC">
      <w:pPr>
        <w:spacing w:before="120"/>
        <w:ind w:firstLine="567"/>
        <w:rPr>
          <w:rFonts w:eastAsia="Calibri"/>
          <w:szCs w:val="22"/>
        </w:rPr>
      </w:pPr>
      <w:r w:rsidRPr="00DF1711">
        <w:rPr>
          <w:rFonts w:eastAsia="Calibri"/>
          <w:szCs w:val="22"/>
        </w:rPr>
        <w:t>Eksporta pieaugums 2021. un 2022</w:t>
      </w:r>
      <w:r>
        <w:rPr>
          <w:rFonts w:eastAsia="Calibri"/>
          <w:szCs w:val="22"/>
        </w:rPr>
        <w:t>. gad</w:t>
      </w:r>
      <w:r w:rsidRPr="00DF1711">
        <w:rPr>
          <w:rFonts w:eastAsia="Calibri"/>
          <w:szCs w:val="22"/>
        </w:rPr>
        <w:t>ā varētu attiecīgi s</w:t>
      </w:r>
      <w:r>
        <w:rPr>
          <w:rFonts w:eastAsia="Calibri"/>
          <w:szCs w:val="22"/>
        </w:rPr>
        <w:t>asniegt  attiecīgi 6,5% un 5,8%, bet turpmākajos gados samazināties līdz 4,1%.</w:t>
      </w:r>
      <w:r w:rsidRPr="00DF1711">
        <w:rPr>
          <w:rFonts w:eastAsia="Calibri"/>
          <w:szCs w:val="22"/>
        </w:rPr>
        <w:t xml:space="preserve"> Atbilstoši Eiropas Komisijas prognozēm Latvijas ārējais pieprasījums būs spēcīgs. Turklāt š</w:t>
      </w:r>
      <w:r>
        <w:rPr>
          <w:rFonts w:eastAsia="Calibri"/>
          <w:szCs w:val="22"/>
        </w:rPr>
        <w:t>ā</w:t>
      </w:r>
      <w:r w:rsidRPr="00DF1711">
        <w:rPr>
          <w:rFonts w:eastAsia="Calibri"/>
          <w:szCs w:val="22"/>
        </w:rPr>
        <w:t xml:space="preserve"> gada otrajā pusē izzudīs pakalpojumu eksporta negatīvais devums, ko izraisīja </w:t>
      </w:r>
      <w:r>
        <w:rPr>
          <w:rFonts w:eastAsia="Calibri"/>
          <w:szCs w:val="22"/>
        </w:rPr>
        <w:t>Covid</w:t>
      </w:r>
      <w:r>
        <w:rPr>
          <w:rFonts w:eastAsia="Calibri"/>
          <w:szCs w:val="22"/>
        </w:rPr>
        <w:noBreakHyphen/>
        <w:t>19</w:t>
      </w:r>
      <w:r w:rsidRPr="00DF1711">
        <w:rPr>
          <w:rFonts w:eastAsia="Calibri"/>
          <w:szCs w:val="22"/>
        </w:rPr>
        <w:t xml:space="preserve"> ierobežojumi, kamēr preču eksport</w:t>
      </w:r>
      <w:r>
        <w:rPr>
          <w:rFonts w:eastAsia="Calibri"/>
          <w:szCs w:val="22"/>
        </w:rPr>
        <w:t>u</w:t>
      </w:r>
      <w:r w:rsidRPr="00DF1711">
        <w:rPr>
          <w:rFonts w:eastAsia="Calibri"/>
          <w:szCs w:val="22"/>
        </w:rPr>
        <w:t xml:space="preserve"> š</w:t>
      </w:r>
      <w:r>
        <w:rPr>
          <w:rFonts w:eastAsia="Calibri"/>
          <w:szCs w:val="22"/>
        </w:rPr>
        <w:t>ie</w:t>
      </w:r>
      <w:r w:rsidRPr="00DF1711">
        <w:rPr>
          <w:rFonts w:eastAsia="Calibri"/>
          <w:szCs w:val="22"/>
        </w:rPr>
        <w:t xml:space="preserve"> ierobežojumi </w:t>
      </w:r>
      <w:r>
        <w:rPr>
          <w:rFonts w:eastAsia="Calibri"/>
          <w:szCs w:val="22"/>
        </w:rPr>
        <w:t>neskāra.</w:t>
      </w:r>
    </w:p>
    <w:p w14:paraId="60017F11" w14:textId="77777777" w:rsidR="00537EDC" w:rsidRPr="003C4828" w:rsidRDefault="00537EDC" w:rsidP="006A5E95">
      <w:pPr>
        <w:pStyle w:val="Tabulasvirsraksts"/>
        <w:keepNext/>
        <w:spacing w:before="120" w:after="120"/>
      </w:pPr>
      <w:r w:rsidRPr="00DF1711">
        <w:rPr>
          <w:i/>
        </w:rPr>
        <w:t>1.7. tabula</w:t>
      </w:r>
      <w:r w:rsidRPr="003C4828">
        <w:t xml:space="preserve"> Makroekonomisko prognožu kopsavilkums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22"/>
        <w:gridCol w:w="1088"/>
        <w:gridCol w:w="1088"/>
        <w:gridCol w:w="1087"/>
        <w:gridCol w:w="1088"/>
        <w:gridCol w:w="1088"/>
      </w:tblGrid>
      <w:tr w:rsidR="00537EDC" w:rsidRPr="003C4828" w14:paraId="198BB43A" w14:textId="77777777" w:rsidTr="000065DF">
        <w:trPr>
          <w:trHeight w:val="300"/>
          <w:jc w:val="center"/>
        </w:trPr>
        <w:tc>
          <w:tcPr>
            <w:tcW w:w="3397" w:type="dxa"/>
            <w:vMerge w:val="restart"/>
            <w:shd w:val="clear" w:color="auto" w:fill="auto"/>
            <w:noWrap/>
            <w:vAlign w:val="center"/>
            <w:hideMark/>
          </w:tcPr>
          <w:p w14:paraId="3474A557" w14:textId="77777777" w:rsidR="00537EDC" w:rsidRPr="00A56A8F" w:rsidRDefault="00537EDC" w:rsidP="000065DF">
            <w:pPr>
              <w:spacing w:after="0"/>
              <w:rPr>
                <w:sz w:val="18"/>
                <w:szCs w:val="18"/>
                <w:lang w:eastAsia="lv-LV"/>
              </w:rPr>
            </w:pPr>
          </w:p>
        </w:tc>
        <w:tc>
          <w:tcPr>
            <w:tcW w:w="1020" w:type="dxa"/>
            <w:shd w:val="clear" w:color="auto" w:fill="auto"/>
            <w:noWrap/>
            <w:vAlign w:val="center"/>
            <w:hideMark/>
          </w:tcPr>
          <w:p w14:paraId="79F7BF3D" w14:textId="77777777" w:rsidR="00537EDC" w:rsidRPr="00A56A8F" w:rsidRDefault="00537EDC" w:rsidP="006A5E95">
            <w:pPr>
              <w:spacing w:after="0"/>
              <w:ind w:firstLine="91"/>
              <w:jc w:val="center"/>
              <w:rPr>
                <w:b/>
                <w:sz w:val="18"/>
                <w:szCs w:val="18"/>
                <w:lang w:eastAsia="lv-LV"/>
              </w:rPr>
            </w:pPr>
            <w:r w:rsidRPr="00A56A8F">
              <w:rPr>
                <w:b/>
                <w:sz w:val="18"/>
                <w:szCs w:val="18"/>
                <w:lang w:eastAsia="lv-LV"/>
              </w:rPr>
              <w:t>2020</w:t>
            </w:r>
          </w:p>
        </w:tc>
        <w:tc>
          <w:tcPr>
            <w:tcW w:w="1021" w:type="dxa"/>
            <w:shd w:val="clear" w:color="auto" w:fill="F2F2F2" w:themeFill="background1" w:themeFillShade="F2"/>
            <w:noWrap/>
            <w:vAlign w:val="center"/>
          </w:tcPr>
          <w:p w14:paraId="30706FB0" w14:textId="77777777" w:rsidR="00537EDC" w:rsidRPr="00A56A8F" w:rsidRDefault="00537EDC" w:rsidP="006A5E95">
            <w:pPr>
              <w:spacing w:after="0"/>
              <w:ind w:firstLine="91"/>
              <w:jc w:val="center"/>
              <w:rPr>
                <w:b/>
                <w:sz w:val="18"/>
                <w:szCs w:val="18"/>
                <w:lang w:eastAsia="lv-LV"/>
              </w:rPr>
            </w:pPr>
            <w:r w:rsidRPr="00A56A8F">
              <w:rPr>
                <w:b/>
                <w:sz w:val="18"/>
                <w:szCs w:val="18"/>
                <w:lang w:eastAsia="lv-LV"/>
              </w:rPr>
              <w:t>2021</w:t>
            </w:r>
          </w:p>
        </w:tc>
        <w:tc>
          <w:tcPr>
            <w:tcW w:w="1020" w:type="dxa"/>
            <w:shd w:val="clear" w:color="auto" w:fill="F2F2F2" w:themeFill="background1" w:themeFillShade="F2"/>
            <w:noWrap/>
            <w:vAlign w:val="center"/>
          </w:tcPr>
          <w:p w14:paraId="64797566" w14:textId="77777777" w:rsidR="00537EDC" w:rsidRPr="00A56A8F" w:rsidRDefault="00537EDC" w:rsidP="006A5E95">
            <w:pPr>
              <w:spacing w:after="0"/>
              <w:ind w:firstLine="91"/>
              <w:jc w:val="center"/>
              <w:rPr>
                <w:b/>
                <w:sz w:val="18"/>
                <w:szCs w:val="18"/>
                <w:lang w:eastAsia="lv-LV"/>
              </w:rPr>
            </w:pPr>
            <w:r w:rsidRPr="00A56A8F">
              <w:rPr>
                <w:b/>
                <w:sz w:val="18"/>
                <w:szCs w:val="18"/>
                <w:lang w:eastAsia="lv-LV"/>
              </w:rPr>
              <w:t>2022</w:t>
            </w:r>
          </w:p>
        </w:tc>
        <w:tc>
          <w:tcPr>
            <w:tcW w:w="1021" w:type="dxa"/>
            <w:shd w:val="clear" w:color="auto" w:fill="F2F2F2" w:themeFill="background1" w:themeFillShade="F2"/>
            <w:noWrap/>
            <w:vAlign w:val="center"/>
          </w:tcPr>
          <w:p w14:paraId="2299A851" w14:textId="77777777" w:rsidR="00537EDC" w:rsidRPr="00A56A8F" w:rsidRDefault="00537EDC" w:rsidP="006A5E95">
            <w:pPr>
              <w:spacing w:after="0"/>
              <w:ind w:firstLine="91"/>
              <w:jc w:val="center"/>
              <w:rPr>
                <w:b/>
                <w:sz w:val="18"/>
                <w:szCs w:val="18"/>
                <w:lang w:eastAsia="lv-LV"/>
              </w:rPr>
            </w:pPr>
            <w:r w:rsidRPr="00A56A8F">
              <w:rPr>
                <w:b/>
                <w:sz w:val="18"/>
                <w:szCs w:val="18"/>
                <w:lang w:eastAsia="lv-LV"/>
              </w:rPr>
              <w:t>2023</w:t>
            </w:r>
          </w:p>
        </w:tc>
        <w:tc>
          <w:tcPr>
            <w:tcW w:w="1021" w:type="dxa"/>
            <w:shd w:val="clear" w:color="auto" w:fill="F2F2F2" w:themeFill="background1" w:themeFillShade="F2"/>
            <w:noWrap/>
            <w:vAlign w:val="center"/>
          </w:tcPr>
          <w:p w14:paraId="7BDAF23B" w14:textId="77777777" w:rsidR="00537EDC" w:rsidRPr="00A56A8F" w:rsidRDefault="00537EDC" w:rsidP="006A5E95">
            <w:pPr>
              <w:spacing w:after="0"/>
              <w:ind w:firstLine="91"/>
              <w:jc w:val="center"/>
              <w:rPr>
                <w:b/>
                <w:sz w:val="18"/>
                <w:szCs w:val="18"/>
                <w:lang w:eastAsia="lv-LV"/>
              </w:rPr>
            </w:pPr>
            <w:r w:rsidRPr="00A56A8F">
              <w:rPr>
                <w:b/>
                <w:sz w:val="18"/>
                <w:szCs w:val="18"/>
                <w:lang w:eastAsia="lv-LV"/>
              </w:rPr>
              <w:t>2024</w:t>
            </w:r>
          </w:p>
        </w:tc>
      </w:tr>
      <w:tr w:rsidR="00537EDC" w:rsidRPr="003C4828" w14:paraId="61BF62B8" w14:textId="77777777" w:rsidTr="000065DF">
        <w:trPr>
          <w:trHeight w:val="300"/>
          <w:jc w:val="center"/>
        </w:trPr>
        <w:tc>
          <w:tcPr>
            <w:tcW w:w="3397" w:type="dxa"/>
            <w:vMerge/>
            <w:shd w:val="clear" w:color="auto" w:fill="auto"/>
            <w:noWrap/>
            <w:vAlign w:val="center"/>
          </w:tcPr>
          <w:p w14:paraId="1F8DD30A" w14:textId="77777777" w:rsidR="00537EDC" w:rsidRPr="00A56A8F" w:rsidRDefault="00537EDC" w:rsidP="000065DF">
            <w:pPr>
              <w:spacing w:after="0"/>
              <w:rPr>
                <w:sz w:val="18"/>
                <w:szCs w:val="18"/>
                <w:lang w:eastAsia="lv-LV"/>
              </w:rPr>
            </w:pPr>
          </w:p>
        </w:tc>
        <w:tc>
          <w:tcPr>
            <w:tcW w:w="1020" w:type="dxa"/>
            <w:shd w:val="clear" w:color="auto" w:fill="auto"/>
            <w:noWrap/>
            <w:vAlign w:val="center"/>
          </w:tcPr>
          <w:p w14:paraId="1EE5E26E" w14:textId="77777777" w:rsidR="00537EDC" w:rsidRPr="00A56A8F" w:rsidRDefault="00537EDC" w:rsidP="006A5E95">
            <w:pPr>
              <w:spacing w:after="0"/>
              <w:ind w:firstLine="91"/>
              <w:jc w:val="center"/>
              <w:rPr>
                <w:sz w:val="18"/>
                <w:szCs w:val="18"/>
                <w:lang w:eastAsia="lv-LV"/>
              </w:rPr>
            </w:pPr>
            <w:r w:rsidRPr="00A56A8F">
              <w:rPr>
                <w:sz w:val="18"/>
                <w:szCs w:val="18"/>
                <w:lang w:eastAsia="lv-LV"/>
              </w:rPr>
              <w:t>fakts</w:t>
            </w:r>
          </w:p>
        </w:tc>
        <w:tc>
          <w:tcPr>
            <w:tcW w:w="4083" w:type="dxa"/>
            <w:gridSpan w:val="4"/>
            <w:shd w:val="clear" w:color="auto" w:fill="F2F2F2" w:themeFill="background1" w:themeFillShade="F2"/>
            <w:noWrap/>
            <w:vAlign w:val="center"/>
          </w:tcPr>
          <w:p w14:paraId="742C477C" w14:textId="77777777" w:rsidR="00537EDC" w:rsidRPr="00A56A8F" w:rsidRDefault="00537EDC" w:rsidP="006A5E95">
            <w:pPr>
              <w:spacing w:after="0"/>
              <w:ind w:firstLine="91"/>
              <w:jc w:val="center"/>
              <w:rPr>
                <w:sz w:val="18"/>
                <w:szCs w:val="18"/>
                <w:lang w:eastAsia="lv-LV"/>
              </w:rPr>
            </w:pPr>
            <w:r w:rsidRPr="00A56A8F">
              <w:rPr>
                <w:sz w:val="18"/>
                <w:szCs w:val="18"/>
                <w:lang w:eastAsia="lv-LV"/>
              </w:rPr>
              <w:t>prognoze</w:t>
            </w:r>
          </w:p>
        </w:tc>
      </w:tr>
      <w:tr w:rsidR="00537EDC" w:rsidRPr="003C4828" w14:paraId="7A5EFCFC" w14:textId="77777777" w:rsidTr="000065DF">
        <w:trPr>
          <w:trHeight w:val="300"/>
          <w:jc w:val="center"/>
        </w:trPr>
        <w:tc>
          <w:tcPr>
            <w:tcW w:w="3397" w:type="dxa"/>
            <w:shd w:val="clear" w:color="auto" w:fill="auto"/>
            <w:noWrap/>
            <w:vAlign w:val="center"/>
            <w:hideMark/>
          </w:tcPr>
          <w:p w14:paraId="063B24A8" w14:textId="77777777" w:rsidR="00537EDC" w:rsidRPr="00A56A8F" w:rsidRDefault="00537EDC" w:rsidP="006A5E95">
            <w:pPr>
              <w:spacing w:after="0"/>
              <w:ind w:firstLine="0"/>
              <w:rPr>
                <w:noProof/>
                <w:sz w:val="18"/>
                <w:szCs w:val="18"/>
                <w:lang w:eastAsia="lv-LV"/>
              </w:rPr>
            </w:pPr>
            <w:r w:rsidRPr="00A56A8F">
              <w:rPr>
                <w:b/>
                <w:noProof/>
                <w:sz w:val="18"/>
                <w:szCs w:val="18"/>
                <w:lang w:eastAsia="lv-LV"/>
              </w:rPr>
              <w:t>Iekšzemes kopprodukts</w:t>
            </w:r>
            <w:r w:rsidRPr="00A56A8F">
              <w:rPr>
                <w:noProof/>
                <w:sz w:val="18"/>
                <w:szCs w:val="18"/>
                <w:lang w:eastAsia="lv-LV"/>
              </w:rPr>
              <w:t xml:space="preserve"> (milj. </w:t>
            </w:r>
            <w:r w:rsidRPr="00A56A8F">
              <w:rPr>
                <w:i/>
                <w:noProof/>
                <w:sz w:val="18"/>
                <w:szCs w:val="18"/>
                <w:lang w:eastAsia="lv-LV"/>
              </w:rPr>
              <w:t>euro</w:t>
            </w:r>
            <w:r w:rsidRPr="00A56A8F">
              <w:rPr>
                <w:noProof/>
                <w:sz w:val="18"/>
                <w:szCs w:val="18"/>
                <w:lang w:eastAsia="lv-LV"/>
              </w:rPr>
              <w:t>)</w:t>
            </w:r>
          </w:p>
        </w:tc>
        <w:tc>
          <w:tcPr>
            <w:tcW w:w="1020" w:type="dxa"/>
            <w:shd w:val="clear" w:color="auto" w:fill="auto"/>
            <w:noWrap/>
            <w:tcMar>
              <w:right w:w="170" w:type="dxa"/>
            </w:tcMar>
            <w:vAlign w:val="center"/>
          </w:tcPr>
          <w:p w14:paraId="25FA0585" w14:textId="77777777" w:rsidR="00537EDC" w:rsidRPr="00A56A8F" w:rsidRDefault="00537EDC" w:rsidP="006A5E95">
            <w:pPr>
              <w:spacing w:after="0"/>
              <w:ind w:hanging="51"/>
              <w:jc w:val="right"/>
              <w:rPr>
                <w:sz w:val="18"/>
                <w:szCs w:val="18"/>
                <w:lang w:eastAsia="lv-LV"/>
              </w:rPr>
            </w:pPr>
            <w:r w:rsidRPr="00A56A8F">
              <w:rPr>
                <w:sz w:val="18"/>
                <w:szCs w:val="18"/>
                <w:lang w:eastAsia="lv-LV"/>
              </w:rPr>
              <w:t>29 334</w:t>
            </w:r>
          </w:p>
        </w:tc>
        <w:tc>
          <w:tcPr>
            <w:tcW w:w="1021" w:type="dxa"/>
            <w:shd w:val="clear" w:color="auto" w:fill="F2F2F2" w:themeFill="background1" w:themeFillShade="F2"/>
            <w:noWrap/>
            <w:tcMar>
              <w:right w:w="170" w:type="dxa"/>
            </w:tcMar>
            <w:vAlign w:val="center"/>
          </w:tcPr>
          <w:p w14:paraId="03B2738C" w14:textId="77777777" w:rsidR="00537EDC" w:rsidRPr="00A56A8F" w:rsidRDefault="00537EDC" w:rsidP="006A5E95">
            <w:pPr>
              <w:spacing w:after="0"/>
              <w:ind w:hanging="51"/>
              <w:jc w:val="right"/>
              <w:rPr>
                <w:sz w:val="18"/>
                <w:szCs w:val="18"/>
                <w:lang w:eastAsia="lv-LV"/>
              </w:rPr>
            </w:pPr>
            <w:r w:rsidRPr="00A56A8F">
              <w:rPr>
                <w:sz w:val="18"/>
                <w:szCs w:val="18"/>
                <w:lang w:eastAsia="lv-LV"/>
              </w:rPr>
              <w:t>31 364</w:t>
            </w:r>
          </w:p>
        </w:tc>
        <w:tc>
          <w:tcPr>
            <w:tcW w:w="1020" w:type="dxa"/>
            <w:shd w:val="clear" w:color="auto" w:fill="F2F2F2" w:themeFill="background1" w:themeFillShade="F2"/>
            <w:noWrap/>
            <w:tcMar>
              <w:right w:w="170" w:type="dxa"/>
            </w:tcMar>
            <w:vAlign w:val="center"/>
          </w:tcPr>
          <w:p w14:paraId="7007661F" w14:textId="77777777" w:rsidR="00537EDC" w:rsidRPr="00A56A8F" w:rsidRDefault="00537EDC" w:rsidP="006A5E95">
            <w:pPr>
              <w:spacing w:after="0"/>
              <w:ind w:hanging="51"/>
              <w:jc w:val="right"/>
              <w:rPr>
                <w:sz w:val="18"/>
                <w:szCs w:val="18"/>
                <w:lang w:eastAsia="lv-LV"/>
              </w:rPr>
            </w:pPr>
            <w:r w:rsidRPr="00A56A8F">
              <w:rPr>
                <w:sz w:val="18"/>
                <w:szCs w:val="18"/>
                <w:lang w:eastAsia="lv-LV"/>
              </w:rPr>
              <w:t>34 022</w:t>
            </w:r>
          </w:p>
        </w:tc>
        <w:tc>
          <w:tcPr>
            <w:tcW w:w="1021" w:type="dxa"/>
            <w:shd w:val="clear" w:color="auto" w:fill="F2F2F2" w:themeFill="background1" w:themeFillShade="F2"/>
            <w:noWrap/>
            <w:tcMar>
              <w:right w:w="170" w:type="dxa"/>
            </w:tcMar>
            <w:vAlign w:val="center"/>
          </w:tcPr>
          <w:p w14:paraId="66E5B02A" w14:textId="77777777" w:rsidR="00537EDC" w:rsidRPr="00A56A8F" w:rsidRDefault="00537EDC" w:rsidP="006A5E95">
            <w:pPr>
              <w:spacing w:after="0"/>
              <w:ind w:hanging="51"/>
              <w:jc w:val="right"/>
              <w:rPr>
                <w:sz w:val="18"/>
                <w:szCs w:val="18"/>
                <w:lang w:eastAsia="lv-LV"/>
              </w:rPr>
            </w:pPr>
            <w:r w:rsidRPr="00A56A8F">
              <w:rPr>
                <w:sz w:val="18"/>
                <w:szCs w:val="18"/>
                <w:lang w:eastAsia="lv-LV"/>
              </w:rPr>
              <w:t>36 115</w:t>
            </w:r>
          </w:p>
        </w:tc>
        <w:tc>
          <w:tcPr>
            <w:tcW w:w="1021" w:type="dxa"/>
            <w:shd w:val="clear" w:color="auto" w:fill="F2F2F2" w:themeFill="background1" w:themeFillShade="F2"/>
            <w:noWrap/>
            <w:tcMar>
              <w:right w:w="170" w:type="dxa"/>
            </w:tcMar>
            <w:vAlign w:val="center"/>
          </w:tcPr>
          <w:p w14:paraId="14A433AC" w14:textId="77777777" w:rsidR="00537EDC" w:rsidRPr="00A56A8F" w:rsidRDefault="00537EDC" w:rsidP="006A5E95">
            <w:pPr>
              <w:spacing w:after="0"/>
              <w:ind w:hanging="51"/>
              <w:jc w:val="right"/>
              <w:rPr>
                <w:sz w:val="18"/>
                <w:szCs w:val="18"/>
                <w:lang w:eastAsia="lv-LV"/>
              </w:rPr>
            </w:pPr>
            <w:r w:rsidRPr="00A56A8F">
              <w:rPr>
                <w:sz w:val="18"/>
                <w:szCs w:val="18"/>
                <w:lang w:eastAsia="lv-LV"/>
              </w:rPr>
              <w:t>38 033</w:t>
            </w:r>
          </w:p>
        </w:tc>
      </w:tr>
      <w:tr w:rsidR="00537EDC" w:rsidRPr="003C4828" w14:paraId="5434614F" w14:textId="77777777" w:rsidTr="000065DF">
        <w:trPr>
          <w:trHeight w:val="300"/>
          <w:jc w:val="center"/>
        </w:trPr>
        <w:tc>
          <w:tcPr>
            <w:tcW w:w="3397" w:type="dxa"/>
            <w:shd w:val="clear" w:color="auto" w:fill="auto"/>
            <w:noWrap/>
            <w:vAlign w:val="center"/>
            <w:hideMark/>
          </w:tcPr>
          <w:p w14:paraId="291C55E5" w14:textId="77777777" w:rsidR="00537EDC" w:rsidRPr="00A56A8F" w:rsidRDefault="00537EDC" w:rsidP="000065DF">
            <w:pPr>
              <w:spacing w:after="0"/>
              <w:ind w:firstLine="316"/>
              <w:rPr>
                <w:noProof/>
                <w:sz w:val="18"/>
                <w:szCs w:val="18"/>
                <w:lang w:eastAsia="lv-LV"/>
              </w:rPr>
            </w:pPr>
            <w:r w:rsidRPr="00A56A8F">
              <w:rPr>
                <w:noProof/>
                <w:sz w:val="18"/>
                <w:szCs w:val="18"/>
                <w:lang w:eastAsia="lv-LV"/>
              </w:rPr>
              <w:t>pieaugums faktiskajās cenās (%)</w:t>
            </w:r>
          </w:p>
        </w:tc>
        <w:tc>
          <w:tcPr>
            <w:tcW w:w="1020" w:type="dxa"/>
            <w:shd w:val="clear" w:color="auto" w:fill="auto"/>
            <w:noWrap/>
            <w:tcMar>
              <w:right w:w="170" w:type="dxa"/>
            </w:tcMar>
            <w:vAlign w:val="center"/>
          </w:tcPr>
          <w:p w14:paraId="3F17FFE4" w14:textId="77777777" w:rsidR="00537EDC" w:rsidRPr="00A56A8F" w:rsidRDefault="00537EDC" w:rsidP="006A5E95">
            <w:pPr>
              <w:spacing w:after="0"/>
              <w:ind w:hanging="51"/>
              <w:jc w:val="right"/>
              <w:rPr>
                <w:sz w:val="18"/>
                <w:szCs w:val="18"/>
                <w:lang w:eastAsia="lv-LV"/>
              </w:rPr>
            </w:pPr>
            <w:r w:rsidRPr="00A56A8F">
              <w:rPr>
                <w:sz w:val="18"/>
                <w:szCs w:val="18"/>
                <w:lang w:eastAsia="lv-LV"/>
              </w:rPr>
              <w:t>-3,6</w:t>
            </w:r>
          </w:p>
        </w:tc>
        <w:tc>
          <w:tcPr>
            <w:tcW w:w="1021" w:type="dxa"/>
            <w:shd w:val="clear" w:color="auto" w:fill="F2F2F2" w:themeFill="background1" w:themeFillShade="F2"/>
            <w:noWrap/>
            <w:tcMar>
              <w:right w:w="170" w:type="dxa"/>
            </w:tcMar>
            <w:vAlign w:val="center"/>
          </w:tcPr>
          <w:p w14:paraId="16C0B588" w14:textId="77777777" w:rsidR="00537EDC" w:rsidRPr="00A56A8F" w:rsidRDefault="00537EDC" w:rsidP="006A5E95">
            <w:pPr>
              <w:spacing w:after="0"/>
              <w:ind w:hanging="51"/>
              <w:jc w:val="right"/>
              <w:rPr>
                <w:sz w:val="18"/>
                <w:szCs w:val="18"/>
                <w:lang w:eastAsia="lv-LV"/>
              </w:rPr>
            </w:pPr>
            <w:r w:rsidRPr="00A56A8F">
              <w:rPr>
                <w:sz w:val="18"/>
                <w:szCs w:val="18"/>
                <w:lang w:eastAsia="lv-LV"/>
              </w:rPr>
              <w:t>6,9</w:t>
            </w:r>
          </w:p>
        </w:tc>
        <w:tc>
          <w:tcPr>
            <w:tcW w:w="1020" w:type="dxa"/>
            <w:shd w:val="clear" w:color="auto" w:fill="F2F2F2" w:themeFill="background1" w:themeFillShade="F2"/>
            <w:noWrap/>
            <w:tcMar>
              <w:right w:w="170" w:type="dxa"/>
            </w:tcMar>
            <w:vAlign w:val="center"/>
          </w:tcPr>
          <w:p w14:paraId="7A00E4DD" w14:textId="77777777" w:rsidR="00537EDC" w:rsidRPr="00A56A8F" w:rsidRDefault="00537EDC" w:rsidP="006A5E95">
            <w:pPr>
              <w:spacing w:after="0"/>
              <w:ind w:hanging="51"/>
              <w:jc w:val="right"/>
              <w:rPr>
                <w:sz w:val="18"/>
                <w:szCs w:val="18"/>
                <w:lang w:eastAsia="lv-LV"/>
              </w:rPr>
            </w:pPr>
            <w:r w:rsidRPr="00A56A8F">
              <w:rPr>
                <w:sz w:val="18"/>
                <w:szCs w:val="18"/>
                <w:lang w:eastAsia="lv-LV"/>
              </w:rPr>
              <w:t>8,5</w:t>
            </w:r>
          </w:p>
        </w:tc>
        <w:tc>
          <w:tcPr>
            <w:tcW w:w="1021" w:type="dxa"/>
            <w:shd w:val="clear" w:color="auto" w:fill="F2F2F2" w:themeFill="background1" w:themeFillShade="F2"/>
            <w:noWrap/>
            <w:tcMar>
              <w:right w:w="170" w:type="dxa"/>
            </w:tcMar>
            <w:vAlign w:val="center"/>
          </w:tcPr>
          <w:p w14:paraId="0F58F6E9" w14:textId="77777777" w:rsidR="00537EDC" w:rsidRPr="00A56A8F" w:rsidRDefault="00537EDC" w:rsidP="006A5E95">
            <w:pPr>
              <w:spacing w:after="0"/>
              <w:ind w:hanging="51"/>
              <w:jc w:val="right"/>
              <w:rPr>
                <w:sz w:val="18"/>
                <w:szCs w:val="18"/>
                <w:lang w:eastAsia="lv-LV"/>
              </w:rPr>
            </w:pPr>
            <w:r w:rsidRPr="00A56A8F">
              <w:rPr>
                <w:sz w:val="18"/>
                <w:szCs w:val="18"/>
                <w:lang w:eastAsia="lv-LV"/>
              </w:rPr>
              <w:t>6,2</w:t>
            </w:r>
          </w:p>
        </w:tc>
        <w:tc>
          <w:tcPr>
            <w:tcW w:w="1021" w:type="dxa"/>
            <w:shd w:val="clear" w:color="auto" w:fill="F2F2F2" w:themeFill="background1" w:themeFillShade="F2"/>
            <w:noWrap/>
            <w:tcMar>
              <w:right w:w="170" w:type="dxa"/>
            </w:tcMar>
            <w:vAlign w:val="center"/>
          </w:tcPr>
          <w:p w14:paraId="63050F9A" w14:textId="77777777" w:rsidR="00537EDC" w:rsidRPr="00A56A8F" w:rsidRDefault="00537EDC" w:rsidP="006A5E95">
            <w:pPr>
              <w:spacing w:after="0"/>
              <w:ind w:hanging="51"/>
              <w:jc w:val="right"/>
              <w:rPr>
                <w:sz w:val="18"/>
                <w:szCs w:val="18"/>
                <w:lang w:eastAsia="lv-LV"/>
              </w:rPr>
            </w:pPr>
            <w:r w:rsidRPr="00A56A8F">
              <w:rPr>
                <w:sz w:val="18"/>
                <w:szCs w:val="18"/>
                <w:lang w:eastAsia="lv-LV"/>
              </w:rPr>
              <w:t>5,3</w:t>
            </w:r>
          </w:p>
        </w:tc>
      </w:tr>
      <w:tr w:rsidR="00537EDC" w:rsidRPr="003C4828" w14:paraId="0F0ABF3B" w14:textId="77777777" w:rsidTr="000065DF">
        <w:trPr>
          <w:trHeight w:val="300"/>
          <w:jc w:val="center"/>
        </w:trPr>
        <w:tc>
          <w:tcPr>
            <w:tcW w:w="3397" w:type="dxa"/>
            <w:shd w:val="clear" w:color="auto" w:fill="auto"/>
            <w:noWrap/>
            <w:vAlign w:val="center"/>
            <w:hideMark/>
          </w:tcPr>
          <w:p w14:paraId="7885EFC8" w14:textId="77777777" w:rsidR="00537EDC" w:rsidRPr="00A56A8F" w:rsidRDefault="00537EDC" w:rsidP="000065DF">
            <w:pPr>
              <w:spacing w:after="0"/>
              <w:ind w:firstLine="316"/>
              <w:rPr>
                <w:noProof/>
                <w:sz w:val="18"/>
                <w:szCs w:val="18"/>
                <w:lang w:eastAsia="lv-LV"/>
              </w:rPr>
            </w:pPr>
            <w:r w:rsidRPr="00A56A8F">
              <w:rPr>
                <w:noProof/>
                <w:sz w:val="18"/>
                <w:szCs w:val="18"/>
                <w:lang w:eastAsia="lv-LV"/>
              </w:rPr>
              <w:t>pieaugums salīdzināmās cenās (%)</w:t>
            </w:r>
          </w:p>
        </w:tc>
        <w:tc>
          <w:tcPr>
            <w:tcW w:w="1020" w:type="dxa"/>
            <w:shd w:val="clear" w:color="auto" w:fill="auto"/>
            <w:noWrap/>
            <w:tcMar>
              <w:right w:w="170" w:type="dxa"/>
            </w:tcMar>
            <w:vAlign w:val="center"/>
          </w:tcPr>
          <w:p w14:paraId="454CD4ED" w14:textId="77777777" w:rsidR="00537EDC" w:rsidRPr="00A56A8F" w:rsidRDefault="00537EDC" w:rsidP="006A5E95">
            <w:pPr>
              <w:spacing w:after="0"/>
              <w:ind w:hanging="51"/>
              <w:jc w:val="right"/>
              <w:rPr>
                <w:sz w:val="18"/>
                <w:szCs w:val="18"/>
                <w:lang w:eastAsia="lv-LV"/>
              </w:rPr>
            </w:pPr>
            <w:r w:rsidRPr="00A56A8F">
              <w:rPr>
                <w:sz w:val="18"/>
                <w:szCs w:val="18"/>
                <w:lang w:eastAsia="lv-LV"/>
              </w:rPr>
              <w:t>-3,6</w:t>
            </w:r>
          </w:p>
        </w:tc>
        <w:tc>
          <w:tcPr>
            <w:tcW w:w="1021" w:type="dxa"/>
            <w:shd w:val="clear" w:color="auto" w:fill="F2F2F2" w:themeFill="background1" w:themeFillShade="F2"/>
            <w:noWrap/>
            <w:tcMar>
              <w:right w:w="170" w:type="dxa"/>
            </w:tcMar>
            <w:vAlign w:val="center"/>
          </w:tcPr>
          <w:p w14:paraId="2F9158F2" w14:textId="77777777" w:rsidR="00537EDC" w:rsidRPr="00A56A8F" w:rsidRDefault="00537EDC" w:rsidP="006A5E95">
            <w:pPr>
              <w:spacing w:after="0"/>
              <w:ind w:hanging="51"/>
              <w:jc w:val="right"/>
              <w:rPr>
                <w:sz w:val="18"/>
                <w:szCs w:val="18"/>
                <w:lang w:eastAsia="lv-LV"/>
              </w:rPr>
            </w:pPr>
            <w:r w:rsidRPr="00A56A8F">
              <w:rPr>
                <w:sz w:val="18"/>
                <w:szCs w:val="18"/>
                <w:lang w:eastAsia="lv-LV"/>
              </w:rPr>
              <w:t>3,7</w:t>
            </w:r>
          </w:p>
        </w:tc>
        <w:tc>
          <w:tcPr>
            <w:tcW w:w="1020" w:type="dxa"/>
            <w:shd w:val="clear" w:color="auto" w:fill="F2F2F2" w:themeFill="background1" w:themeFillShade="F2"/>
            <w:noWrap/>
            <w:tcMar>
              <w:right w:w="170" w:type="dxa"/>
            </w:tcMar>
            <w:vAlign w:val="center"/>
          </w:tcPr>
          <w:p w14:paraId="760E1560" w14:textId="77777777" w:rsidR="00537EDC" w:rsidRPr="00A56A8F" w:rsidRDefault="00537EDC" w:rsidP="006A5E95">
            <w:pPr>
              <w:spacing w:after="0"/>
              <w:ind w:hanging="51"/>
              <w:jc w:val="right"/>
              <w:rPr>
                <w:sz w:val="18"/>
                <w:szCs w:val="18"/>
                <w:lang w:eastAsia="lv-LV"/>
              </w:rPr>
            </w:pPr>
            <w:r w:rsidRPr="00A56A8F">
              <w:rPr>
                <w:sz w:val="18"/>
                <w:szCs w:val="18"/>
                <w:lang w:eastAsia="lv-LV"/>
              </w:rPr>
              <w:t>5,0</w:t>
            </w:r>
          </w:p>
        </w:tc>
        <w:tc>
          <w:tcPr>
            <w:tcW w:w="1021" w:type="dxa"/>
            <w:shd w:val="clear" w:color="auto" w:fill="F2F2F2" w:themeFill="background1" w:themeFillShade="F2"/>
            <w:noWrap/>
            <w:tcMar>
              <w:right w:w="170" w:type="dxa"/>
            </w:tcMar>
            <w:vAlign w:val="center"/>
          </w:tcPr>
          <w:p w14:paraId="1556FF6F" w14:textId="77777777" w:rsidR="00537EDC" w:rsidRPr="00A56A8F" w:rsidRDefault="00537EDC" w:rsidP="006A5E95">
            <w:pPr>
              <w:spacing w:after="0"/>
              <w:ind w:hanging="51"/>
              <w:jc w:val="right"/>
              <w:rPr>
                <w:sz w:val="18"/>
                <w:szCs w:val="18"/>
                <w:lang w:eastAsia="lv-LV"/>
              </w:rPr>
            </w:pPr>
            <w:r w:rsidRPr="00A56A8F">
              <w:rPr>
                <w:sz w:val="18"/>
                <w:szCs w:val="18"/>
                <w:lang w:eastAsia="lv-LV"/>
              </w:rPr>
              <w:t>3,5</w:t>
            </w:r>
          </w:p>
        </w:tc>
        <w:tc>
          <w:tcPr>
            <w:tcW w:w="1021" w:type="dxa"/>
            <w:shd w:val="clear" w:color="auto" w:fill="F2F2F2" w:themeFill="background1" w:themeFillShade="F2"/>
            <w:noWrap/>
            <w:tcMar>
              <w:right w:w="170" w:type="dxa"/>
            </w:tcMar>
            <w:vAlign w:val="center"/>
          </w:tcPr>
          <w:p w14:paraId="45920D08" w14:textId="77777777" w:rsidR="00537EDC" w:rsidRPr="00A56A8F" w:rsidRDefault="00537EDC" w:rsidP="006A5E95">
            <w:pPr>
              <w:spacing w:after="0"/>
              <w:ind w:hanging="51"/>
              <w:jc w:val="right"/>
              <w:rPr>
                <w:sz w:val="18"/>
                <w:szCs w:val="18"/>
                <w:lang w:eastAsia="lv-LV"/>
              </w:rPr>
            </w:pPr>
            <w:r w:rsidRPr="00A56A8F">
              <w:rPr>
                <w:sz w:val="18"/>
                <w:szCs w:val="18"/>
                <w:lang w:eastAsia="lv-LV"/>
              </w:rPr>
              <w:t>3,4</w:t>
            </w:r>
          </w:p>
        </w:tc>
      </w:tr>
      <w:tr w:rsidR="00537EDC" w:rsidRPr="003C4828" w14:paraId="5D0772B5" w14:textId="77777777" w:rsidTr="000065DF">
        <w:trPr>
          <w:trHeight w:val="300"/>
          <w:jc w:val="center"/>
        </w:trPr>
        <w:tc>
          <w:tcPr>
            <w:tcW w:w="3397" w:type="dxa"/>
            <w:shd w:val="clear" w:color="auto" w:fill="auto"/>
            <w:noWrap/>
            <w:vAlign w:val="center"/>
            <w:hideMark/>
          </w:tcPr>
          <w:p w14:paraId="2A56ED50" w14:textId="77777777" w:rsidR="00537EDC" w:rsidRPr="00A56A8F" w:rsidRDefault="00537EDC" w:rsidP="006A5E95">
            <w:pPr>
              <w:spacing w:after="0"/>
              <w:ind w:firstLine="0"/>
              <w:rPr>
                <w:noProof/>
                <w:sz w:val="18"/>
                <w:szCs w:val="18"/>
                <w:lang w:eastAsia="lv-LV"/>
              </w:rPr>
            </w:pPr>
            <w:r w:rsidRPr="00A56A8F">
              <w:rPr>
                <w:b/>
                <w:noProof/>
                <w:sz w:val="18"/>
                <w:szCs w:val="18"/>
                <w:lang w:eastAsia="lv-LV"/>
              </w:rPr>
              <w:t>IKP deflators</w:t>
            </w:r>
            <w:r w:rsidRPr="00A56A8F">
              <w:rPr>
                <w:noProof/>
                <w:sz w:val="18"/>
                <w:szCs w:val="18"/>
                <w:lang w:eastAsia="lv-LV"/>
              </w:rPr>
              <w:t xml:space="preserve"> (gads pret gadu, %)</w:t>
            </w:r>
          </w:p>
        </w:tc>
        <w:tc>
          <w:tcPr>
            <w:tcW w:w="1020" w:type="dxa"/>
            <w:shd w:val="clear" w:color="auto" w:fill="auto"/>
            <w:noWrap/>
            <w:tcMar>
              <w:right w:w="170" w:type="dxa"/>
            </w:tcMar>
            <w:vAlign w:val="center"/>
          </w:tcPr>
          <w:p w14:paraId="63DAD659" w14:textId="77777777" w:rsidR="00537EDC" w:rsidRPr="00A56A8F" w:rsidRDefault="00537EDC" w:rsidP="006A5E95">
            <w:pPr>
              <w:spacing w:after="0"/>
              <w:ind w:hanging="51"/>
              <w:jc w:val="right"/>
              <w:rPr>
                <w:sz w:val="18"/>
                <w:szCs w:val="18"/>
                <w:lang w:eastAsia="lv-LV"/>
              </w:rPr>
            </w:pPr>
            <w:r w:rsidRPr="00A56A8F">
              <w:rPr>
                <w:sz w:val="18"/>
                <w:szCs w:val="18"/>
                <w:lang w:eastAsia="lv-LV"/>
              </w:rPr>
              <w:t>0,1</w:t>
            </w:r>
          </w:p>
        </w:tc>
        <w:tc>
          <w:tcPr>
            <w:tcW w:w="1021" w:type="dxa"/>
            <w:shd w:val="clear" w:color="auto" w:fill="F2F2F2" w:themeFill="background1" w:themeFillShade="F2"/>
            <w:noWrap/>
            <w:tcMar>
              <w:right w:w="170" w:type="dxa"/>
            </w:tcMar>
            <w:vAlign w:val="center"/>
          </w:tcPr>
          <w:p w14:paraId="5D5E0EB0" w14:textId="77777777" w:rsidR="00537EDC" w:rsidRPr="00A56A8F" w:rsidRDefault="00537EDC" w:rsidP="006A5E95">
            <w:pPr>
              <w:spacing w:after="0"/>
              <w:ind w:hanging="51"/>
              <w:jc w:val="right"/>
              <w:rPr>
                <w:sz w:val="18"/>
                <w:szCs w:val="18"/>
                <w:lang w:eastAsia="lv-LV"/>
              </w:rPr>
            </w:pPr>
            <w:r w:rsidRPr="00A56A8F">
              <w:rPr>
                <w:sz w:val="18"/>
                <w:szCs w:val="18"/>
                <w:lang w:eastAsia="lv-LV"/>
              </w:rPr>
              <w:t>3,1</w:t>
            </w:r>
          </w:p>
        </w:tc>
        <w:tc>
          <w:tcPr>
            <w:tcW w:w="1020" w:type="dxa"/>
            <w:shd w:val="clear" w:color="auto" w:fill="F2F2F2" w:themeFill="background1" w:themeFillShade="F2"/>
            <w:noWrap/>
            <w:tcMar>
              <w:right w:w="170" w:type="dxa"/>
            </w:tcMar>
            <w:vAlign w:val="center"/>
          </w:tcPr>
          <w:p w14:paraId="7C666787" w14:textId="77777777" w:rsidR="00537EDC" w:rsidRPr="00A56A8F" w:rsidRDefault="00537EDC" w:rsidP="006A5E95">
            <w:pPr>
              <w:spacing w:after="0"/>
              <w:ind w:hanging="51"/>
              <w:jc w:val="right"/>
              <w:rPr>
                <w:sz w:val="18"/>
                <w:szCs w:val="18"/>
                <w:lang w:eastAsia="lv-LV"/>
              </w:rPr>
            </w:pPr>
            <w:r w:rsidRPr="00A56A8F">
              <w:rPr>
                <w:sz w:val="18"/>
                <w:szCs w:val="18"/>
                <w:lang w:eastAsia="lv-LV"/>
              </w:rPr>
              <w:t>3,3</w:t>
            </w:r>
          </w:p>
        </w:tc>
        <w:tc>
          <w:tcPr>
            <w:tcW w:w="1021" w:type="dxa"/>
            <w:shd w:val="clear" w:color="auto" w:fill="F2F2F2" w:themeFill="background1" w:themeFillShade="F2"/>
            <w:noWrap/>
            <w:tcMar>
              <w:right w:w="170" w:type="dxa"/>
            </w:tcMar>
            <w:vAlign w:val="center"/>
          </w:tcPr>
          <w:p w14:paraId="7F9E8DF7" w14:textId="77777777" w:rsidR="00537EDC" w:rsidRPr="00A56A8F" w:rsidRDefault="00537EDC" w:rsidP="006A5E95">
            <w:pPr>
              <w:spacing w:after="0"/>
              <w:ind w:hanging="51"/>
              <w:jc w:val="right"/>
              <w:rPr>
                <w:sz w:val="18"/>
                <w:szCs w:val="18"/>
                <w:lang w:eastAsia="lv-LV"/>
              </w:rPr>
            </w:pPr>
            <w:r w:rsidRPr="00A56A8F">
              <w:rPr>
                <w:sz w:val="18"/>
                <w:szCs w:val="18"/>
                <w:lang w:eastAsia="lv-LV"/>
              </w:rPr>
              <w:t>2,6</w:t>
            </w:r>
          </w:p>
        </w:tc>
        <w:tc>
          <w:tcPr>
            <w:tcW w:w="1021" w:type="dxa"/>
            <w:shd w:val="clear" w:color="auto" w:fill="F2F2F2" w:themeFill="background1" w:themeFillShade="F2"/>
            <w:noWrap/>
            <w:tcMar>
              <w:right w:w="170" w:type="dxa"/>
            </w:tcMar>
            <w:vAlign w:val="center"/>
          </w:tcPr>
          <w:p w14:paraId="00B93A8A" w14:textId="77777777" w:rsidR="00537EDC" w:rsidRPr="00A56A8F" w:rsidRDefault="00537EDC" w:rsidP="006A5E95">
            <w:pPr>
              <w:spacing w:after="0"/>
              <w:ind w:hanging="51"/>
              <w:jc w:val="right"/>
              <w:rPr>
                <w:sz w:val="18"/>
                <w:szCs w:val="18"/>
                <w:lang w:eastAsia="lv-LV"/>
              </w:rPr>
            </w:pPr>
            <w:r w:rsidRPr="00A56A8F">
              <w:rPr>
                <w:sz w:val="18"/>
                <w:szCs w:val="18"/>
                <w:lang w:eastAsia="lv-LV"/>
              </w:rPr>
              <w:t>1,9</w:t>
            </w:r>
          </w:p>
        </w:tc>
      </w:tr>
      <w:tr w:rsidR="00537EDC" w:rsidRPr="003C4828" w14:paraId="38844E16" w14:textId="77777777" w:rsidTr="000065DF">
        <w:trPr>
          <w:trHeight w:val="301"/>
          <w:jc w:val="center"/>
        </w:trPr>
        <w:tc>
          <w:tcPr>
            <w:tcW w:w="3397" w:type="dxa"/>
            <w:shd w:val="clear" w:color="auto" w:fill="auto"/>
            <w:noWrap/>
            <w:vAlign w:val="center"/>
            <w:hideMark/>
          </w:tcPr>
          <w:p w14:paraId="01C87AE7" w14:textId="77777777" w:rsidR="00537EDC" w:rsidRPr="00A56A8F" w:rsidRDefault="00537EDC" w:rsidP="006A5E95">
            <w:pPr>
              <w:spacing w:after="0"/>
              <w:ind w:firstLine="0"/>
              <w:rPr>
                <w:noProof/>
                <w:sz w:val="18"/>
                <w:szCs w:val="18"/>
                <w:lang w:eastAsia="lv-LV"/>
              </w:rPr>
            </w:pPr>
            <w:r w:rsidRPr="00A56A8F">
              <w:rPr>
                <w:b/>
                <w:noProof/>
                <w:sz w:val="18"/>
                <w:szCs w:val="18"/>
                <w:lang w:eastAsia="lv-LV"/>
              </w:rPr>
              <w:t>PCI</w:t>
            </w:r>
            <w:r w:rsidRPr="00A56A8F">
              <w:rPr>
                <w:noProof/>
                <w:sz w:val="18"/>
                <w:szCs w:val="18"/>
                <w:lang w:eastAsia="lv-LV"/>
              </w:rPr>
              <w:t xml:space="preserve"> (gads pret gadu, %)</w:t>
            </w:r>
          </w:p>
        </w:tc>
        <w:tc>
          <w:tcPr>
            <w:tcW w:w="1020" w:type="dxa"/>
            <w:shd w:val="clear" w:color="auto" w:fill="auto"/>
            <w:noWrap/>
            <w:tcMar>
              <w:right w:w="170" w:type="dxa"/>
            </w:tcMar>
            <w:vAlign w:val="center"/>
          </w:tcPr>
          <w:p w14:paraId="031F9323" w14:textId="77777777" w:rsidR="00537EDC" w:rsidRPr="00A56A8F" w:rsidRDefault="00537EDC" w:rsidP="006A5E95">
            <w:pPr>
              <w:spacing w:after="0"/>
              <w:ind w:hanging="51"/>
              <w:jc w:val="right"/>
              <w:rPr>
                <w:sz w:val="18"/>
                <w:szCs w:val="18"/>
                <w:lang w:eastAsia="lv-LV"/>
              </w:rPr>
            </w:pPr>
            <w:r w:rsidRPr="00A56A8F">
              <w:rPr>
                <w:sz w:val="18"/>
                <w:szCs w:val="18"/>
                <w:lang w:eastAsia="lv-LV"/>
              </w:rPr>
              <w:t>0,2</w:t>
            </w:r>
          </w:p>
        </w:tc>
        <w:tc>
          <w:tcPr>
            <w:tcW w:w="1021" w:type="dxa"/>
            <w:shd w:val="clear" w:color="auto" w:fill="F2F2F2" w:themeFill="background1" w:themeFillShade="F2"/>
            <w:noWrap/>
            <w:tcMar>
              <w:right w:w="170" w:type="dxa"/>
            </w:tcMar>
            <w:vAlign w:val="center"/>
          </w:tcPr>
          <w:p w14:paraId="6D5C676D" w14:textId="77777777" w:rsidR="00537EDC" w:rsidRPr="00A56A8F" w:rsidRDefault="00537EDC" w:rsidP="006A5E95">
            <w:pPr>
              <w:spacing w:after="0"/>
              <w:ind w:hanging="51"/>
              <w:jc w:val="right"/>
              <w:rPr>
                <w:sz w:val="18"/>
                <w:szCs w:val="18"/>
                <w:lang w:eastAsia="lv-LV"/>
              </w:rPr>
            </w:pPr>
            <w:r w:rsidRPr="00A56A8F">
              <w:rPr>
                <w:sz w:val="18"/>
                <w:szCs w:val="18"/>
                <w:lang w:eastAsia="lv-LV"/>
              </w:rPr>
              <w:t>2,0</w:t>
            </w:r>
          </w:p>
        </w:tc>
        <w:tc>
          <w:tcPr>
            <w:tcW w:w="1020" w:type="dxa"/>
            <w:shd w:val="clear" w:color="auto" w:fill="F2F2F2" w:themeFill="background1" w:themeFillShade="F2"/>
            <w:noWrap/>
            <w:tcMar>
              <w:right w:w="170" w:type="dxa"/>
            </w:tcMar>
            <w:vAlign w:val="center"/>
          </w:tcPr>
          <w:p w14:paraId="0CF8BCE7" w14:textId="77777777" w:rsidR="00537EDC" w:rsidRPr="00A56A8F" w:rsidRDefault="00537EDC" w:rsidP="006A5E95">
            <w:pPr>
              <w:spacing w:after="0"/>
              <w:ind w:hanging="51"/>
              <w:jc w:val="right"/>
              <w:rPr>
                <w:sz w:val="18"/>
                <w:szCs w:val="18"/>
                <w:lang w:eastAsia="lv-LV"/>
              </w:rPr>
            </w:pPr>
            <w:r w:rsidRPr="00A56A8F">
              <w:rPr>
                <w:sz w:val="18"/>
                <w:szCs w:val="18"/>
                <w:lang w:eastAsia="lv-LV"/>
              </w:rPr>
              <w:t>2,4</w:t>
            </w:r>
          </w:p>
        </w:tc>
        <w:tc>
          <w:tcPr>
            <w:tcW w:w="1021" w:type="dxa"/>
            <w:shd w:val="clear" w:color="auto" w:fill="F2F2F2" w:themeFill="background1" w:themeFillShade="F2"/>
            <w:noWrap/>
            <w:tcMar>
              <w:right w:w="170" w:type="dxa"/>
            </w:tcMar>
            <w:vAlign w:val="center"/>
          </w:tcPr>
          <w:p w14:paraId="3D73A2F0" w14:textId="77777777" w:rsidR="00537EDC" w:rsidRPr="00A56A8F" w:rsidRDefault="00537EDC" w:rsidP="006A5E95">
            <w:pPr>
              <w:spacing w:after="0"/>
              <w:ind w:hanging="51"/>
              <w:jc w:val="right"/>
              <w:rPr>
                <w:sz w:val="18"/>
                <w:szCs w:val="18"/>
                <w:lang w:eastAsia="lv-LV"/>
              </w:rPr>
            </w:pPr>
            <w:r w:rsidRPr="00A56A8F">
              <w:rPr>
                <w:sz w:val="18"/>
                <w:szCs w:val="18"/>
                <w:lang w:eastAsia="lv-LV"/>
              </w:rPr>
              <w:t>2,2</w:t>
            </w:r>
          </w:p>
        </w:tc>
        <w:tc>
          <w:tcPr>
            <w:tcW w:w="1021" w:type="dxa"/>
            <w:shd w:val="clear" w:color="auto" w:fill="F2F2F2" w:themeFill="background1" w:themeFillShade="F2"/>
            <w:noWrap/>
            <w:tcMar>
              <w:right w:w="170" w:type="dxa"/>
            </w:tcMar>
            <w:vAlign w:val="center"/>
          </w:tcPr>
          <w:p w14:paraId="183EB3CC" w14:textId="77777777" w:rsidR="00537EDC" w:rsidRPr="00A56A8F" w:rsidRDefault="00537EDC" w:rsidP="006A5E95">
            <w:pPr>
              <w:spacing w:after="0"/>
              <w:ind w:hanging="51"/>
              <w:jc w:val="right"/>
              <w:rPr>
                <w:sz w:val="18"/>
                <w:szCs w:val="18"/>
                <w:lang w:eastAsia="lv-LV"/>
              </w:rPr>
            </w:pPr>
            <w:r w:rsidRPr="00A56A8F">
              <w:rPr>
                <w:sz w:val="18"/>
                <w:szCs w:val="18"/>
                <w:lang w:eastAsia="lv-LV"/>
              </w:rPr>
              <w:t>2,0</w:t>
            </w:r>
          </w:p>
        </w:tc>
      </w:tr>
      <w:tr w:rsidR="00537EDC" w:rsidRPr="003C4828" w14:paraId="7EAC01E9" w14:textId="77777777" w:rsidTr="000065DF">
        <w:trPr>
          <w:trHeight w:val="600"/>
          <w:jc w:val="center"/>
        </w:trPr>
        <w:tc>
          <w:tcPr>
            <w:tcW w:w="3397" w:type="dxa"/>
            <w:shd w:val="clear" w:color="auto" w:fill="auto"/>
            <w:noWrap/>
            <w:vAlign w:val="center"/>
            <w:hideMark/>
          </w:tcPr>
          <w:p w14:paraId="46B46594" w14:textId="77777777" w:rsidR="00537EDC" w:rsidRPr="00A56A8F" w:rsidRDefault="00537EDC" w:rsidP="006A5E95">
            <w:pPr>
              <w:spacing w:after="0"/>
              <w:ind w:firstLine="0"/>
              <w:rPr>
                <w:noProof/>
                <w:sz w:val="18"/>
                <w:szCs w:val="18"/>
                <w:lang w:eastAsia="lv-LV"/>
              </w:rPr>
            </w:pPr>
            <w:r w:rsidRPr="00A56A8F">
              <w:rPr>
                <w:b/>
                <w:noProof/>
                <w:sz w:val="18"/>
                <w:szCs w:val="18"/>
                <w:lang w:eastAsia="lv-LV"/>
              </w:rPr>
              <w:t xml:space="preserve">Tautsaimniecībā nodarbināto mēn. </w:t>
            </w:r>
            <w:r w:rsidRPr="00A56A8F">
              <w:rPr>
                <w:b/>
                <w:noProof/>
                <w:sz w:val="18"/>
                <w:szCs w:val="18"/>
                <w:lang w:eastAsia="lv-LV"/>
              </w:rPr>
              <w:br/>
              <w:t>vid. bruto darba samaksa</w:t>
            </w:r>
            <w:r w:rsidRPr="00A56A8F">
              <w:rPr>
                <w:noProof/>
                <w:sz w:val="18"/>
                <w:szCs w:val="18"/>
                <w:lang w:eastAsia="lv-LV"/>
              </w:rPr>
              <w:t xml:space="preserve"> (</w:t>
            </w:r>
            <w:r w:rsidRPr="00A56A8F">
              <w:rPr>
                <w:i/>
                <w:noProof/>
                <w:sz w:val="18"/>
                <w:szCs w:val="18"/>
                <w:lang w:eastAsia="lv-LV"/>
              </w:rPr>
              <w:t>euro</w:t>
            </w:r>
            <w:r w:rsidRPr="00A56A8F">
              <w:rPr>
                <w:noProof/>
                <w:sz w:val="18"/>
                <w:szCs w:val="18"/>
                <w:lang w:eastAsia="lv-LV"/>
              </w:rPr>
              <w:t>)</w:t>
            </w:r>
          </w:p>
        </w:tc>
        <w:tc>
          <w:tcPr>
            <w:tcW w:w="1020" w:type="dxa"/>
            <w:shd w:val="clear" w:color="auto" w:fill="auto"/>
            <w:noWrap/>
            <w:tcMar>
              <w:right w:w="170" w:type="dxa"/>
            </w:tcMar>
            <w:vAlign w:val="center"/>
          </w:tcPr>
          <w:p w14:paraId="11A9B277" w14:textId="77777777" w:rsidR="00537EDC" w:rsidRPr="00A56A8F" w:rsidRDefault="00537EDC" w:rsidP="006A5E95">
            <w:pPr>
              <w:spacing w:after="0"/>
              <w:ind w:hanging="51"/>
              <w:jc w:val="right"/>
              <w:rPr>
                <w:sz w:val="18"/>
                <w:szCs w:val="18"/>
                <w:lang w:eastAsia="lv-LV"/>
              </w:rPr>
            </w:pPr>
            <w:r w:rsidRPr="00A56A8F">
              <w:rPr>
                <w:sz w:val="18"/>
                <w:szCs w:val="18"/>
                <w:lang w:eastAsia="lv-LV"/>
              </w:rPr>
              <w:t>1 143</w:t>
            </w:r>
          </w:p>
        </w:tc>
        <w:tc>
          <w:tcPr>
            <w:tcW w:w="1021" w:type="dxa"/>
            <w:shd w:val="clear" w:color="auto" w:fill="F2F2F2" w:themeFill="background1" w:themeFillShade="F2"/>
            <w:noWrap/>
            <w:tcMar>
              <w:right w:w="170" w:type="dxa"/>
            </w:tcMar>
            <w:vAlign w:val="center"/>
          </w:tcPr>
          <w:p w14:paraId="36302E96" w14:textId="77777777" w:rsidR="00537EDC" w:rsidRPr="00A56A8F" w:rsidRDefault="00537EDC" w:rsidP="006A5E95">
            <w:pPr>
              <w:spacing w:after="0"/>
              <w:ind w:hanging="51"/>
              <w:jc w:val="right"/>
              <w:rPr>
                <w:sz w:val="18"/>
                <w:szCs w:val="18"/>
                <w:lang w:eastAsia="lv-LV"/>
              </w:rPr>
            </w:pPr>
            <w:r w:rsidRPr="00A56A8F">
              <w:rPr>
                <w:sz w:val="18"/>
                <w:szCs w:val="18"/>
                <w:lang w:eastAsia="lv-LV"/>
              </w:rPr>
              <w:t>1 234</w:t>
            </w:r>
          </w:p>
        </w:tc>
        <w:tc>
          <w:tcPr>
            <w:tcW w:w="1020" w:type="dxa"/>
            <w:shd w:val="clear" w:color="auto" w:fill="F2F2F2" w:themeFill="background1" w:themeFillShade="F2"/>
            <w:noWrap/>
            <w:tcMar>
              <w:right w:w="170" w:type="dxa"/>
            </w:tcMar>
            <w:vAlign w:val="center"/>
          </w:tcPr>
          <w:p w14:paraId="71780289" w14:textId="77777777" w:rsidR="00537EDC" w:rsidRPr="00A56A8F" w:rsidRDefault="00537EDC" w:rsidP="006A5E95">
            <w:pPr>
              <w:spacing w:after="0"/>
              <w:ind w:hanging="51"/>
              <w:jc w:val="right"/>
              <w:rPr>
                <w:sz w:val="18"/>
                <w:szCs w:val="18"/>
                <w:lang w:eastAsia="lv-LV"/>
              </w:rPr>
            </w:pPr>
            <w:r w:rsidRPr="00A56A8F">
              <w:rPr>
                <w:sz w:val="18"/>
                <w:szCs w:val="18"/>
                <w:lang w:eastAsia="lv-LV"/>
              </w:rPr>
              <w:t>1 309</w:t>
            </w:r>
          </w:p>
        </w:tc>
        <w:tc>
          <w:tcPr>
            <w:tcW w:w="1021" w:type="dxa"/>
            <w:shd w:val="clear" w:color="auto" w:fill="F2F2F2" w:themeFill="background1" w:themeFillShade="F2"/>
            <w:noWrap/>
            <w:tcMar>
              <w:right w:w="170" w:type="dxa"/>
            </w:tcMar>
            <w:vAlign w:val="center"/>
          </w:tcPr>
          <w:p w14:paraId="24063E01" w14:textId="77777777" w:rsidR="00537EDC" w:rsidRPr="00A56A8F" w:rsidRDefault="00537EDC" w:rsidP="006A5E95">
            <w:pPr>
              <w:spacing w:after="0"/>
              <w:ind w:hanging="51"/>
              <w:jc w:val="right"/>
              <w:rPr>
                <w:sz w:val="18"/>
                <w:szCs w:val="18"/>
                <w:lang w:eastAsia="lv-LV"/>
              </w:rPr>
            </w:pPr>
            <w:r w:rsidRPr="00A56A8F">
              <w:rPr>
                <w:sz w:val="18"/>
                <w:szCs w:val="18"/>
                <w:lang w:eastAsia="lv-LV"/>
              </w:rPr>
              <w:t>1 380</w:t>
            </w:r>
          </w:p>
        </w:tc>
        <w:tc>
          <w:tcPr>
            <w:tcW w:w="1021" w:type="dxa"/>
            <w:shd w:val="clear" w:color="auto" w:fill="F2F2F2" w:themeFill="background1" w:themeFillShade="F2"/>
            <w:noWrap/>
            <w:tcMar>
              <w:right w:w="170" w:type="dxa"/>
            </w:tcMar>
            <w:vAlign w:val="center"/>
          </w:tcPr>
          <w:p w14:paraId="1E856623" w14:textId="77777777" w:rsidR="00537EDC" w:rsidRPr="00A56A8F" w:rsidRDefault="00537EDC" w:rsidP="006A5E95">
            <w:pPr>
              <w:spacing w:after="0"/>
              <w:ind w:hanging="51"/>
              <w:jc w:val="right"/>
              <w:rPr>
                <w:sz w:val="18"/>
                <w:szCs w:val="18"/>
                <w:lang w:eastAsia="lv-LV"/>
              </w:rPr>
            </w:pPr>
            <w:r w:rsidRPr="00A56A8F">
              <w:rPr>
                <w:sz w:val="18"/>
                <w:szCs w:val="18"/>
                <w:lang w:eastAsia="lv-LV"/>
              </w:rPr>
              <w:t>1 454</w:t>
            </w:r>
          </w:p>
        </w:tc>
      </w:tr>
      <w:tr w:rsidR="00537EDC" w:rsidRPr="003C4828" w14:paraId="38B36653" w14:textId="77777777" w:rsidTr="000065DF">
        <w:trPr>
          <w:trHeight w:val="300"/>
          <w:jc w:val="center"/>
        </w:trPr>
        <w:tc>
          <w:tcPr>
            <w:tcW w:w="3397" w:type="dxa"/>
            <w:shd w:val="clear" w:color="auto" w:fill="auto"/>
            <w:noWrap/>
            <w:vAlign w:val="center"/>
            <w:hideMark/>
          </w:tcPr>
          <w:p w14:paraId="27D24680" w14:textId="77777777" w:rsidR="00537EDC" w:rsidRPr="00A56A8F" w:rsidRDefault="00537EDC" w:rsidP="000065DF">
            <w:pPr>
              <w:spacing w:after="0"/>
              <w:ind w:firstLine="316"/>
              <w:rPr>
                <w:noProof/>
                <w:sz w:val="18"/>
                <w:szCs w:val="18"/>
                <w:lang w:eastAsia="lv-LV"/>
              </w:rPr>
            </w:pPr>
            <w:r w:rsidRPr="00A56A8F">
              <w:rPr>
                <w:noProof/>
                <w:sz w:val="18"/>
                <w:szCs w:val="18"/>
                <w:lang w:eastAsia="lv-LV"/>
              </w:rPr>
              <w:t>pieaugums faktiskajās cenās (%)</w:t>
            </w:r>
          </w:p>
        </w:tc>
        <w:tc>
          <w:tcPr>
            <w:tcW w:w="1020" w:type="dxa"/>
            <w:shd w:val="clear" w:color="auto" w:fill="auto"/>
            <w:noWrap/>
            <w:tcMar>
              <w:right w:w="170" w:type="dxa"/>
            </w:tcMar>
            <w:vAlign w:val="center"/>
          </w:tcPr>
          <w:p w14:paraId="48E763E8" w14:textId="77777777" w:rsidR="00537EDC" w:rsidRPr="00A56A8F" w:rsidRDefault="00537EDC" w:rsidP="006A5E95">
            <w:pPr>
              <w:spacing w:after="0"/>
              <w:ind w:hanging="51"/>
              <w:jc w:val="right"/>
              <w:rPr>
                <w:sz w:val="18"/>
                <w:szCs w:val="18"/>
                <w:lang w:eastAsia="lv-LV"/>
              </w:rPr>
            </w:pPr>
            <w:r w:rsidRPr="00A56A8F">
              <w:rPr>
                <w:sz w:val="18"/>
                <w:szCs w:val="18"/>
                <w:lang w:eastAsia="lv-LV"/>
              </w:rPr>
              <w:t>6,2</w:t>
            </w:r>
          </w:p>
        </w:tc>
        <w:tc>
          <w:tcPr>
            <w:tcW w:w="1021" w:type="dxa"/>
            <w:shd w:val="clear" w:color="auto" w:fill="F2F2F2" w:themeFill="background1" w:themeFillShade="F2"/>
            <w:noWrap/>
            <w:tcMar>
              <w:right w:w="170" w:type="dxa"/>
            </w:tcMar>
            <w:vAlign w:val="center"/>
          </w:tcPr>
          <w:p w14:paraId="6FF09917" w14:textId="77777777" w:rsidR="00537EDC" w:rsidRPr="00A56A8F" w:rsidRDefault="00537EDC" w:rsidP="006A5E95">
            <w:pPr>
              <w:spacing w:after="0"/>
              <w:ind w:hanging="51"/>
              <w:jc w:val="right"/>
              <w:rPr>
                <w:sz w:val="18"/>
                <w:szCs w:val="18"/>
                <w:lang w:eastAsia="lv-LV"/>
              </w:rPr>
            </w:pPr>
            <w:r w:rsidRPr="00A56A8F">
              <w:rPr>
                <w:sz w:val="18"/>
                <w:szCs w:val="18"/>
                <w:lang w:eastAsia="lv-LV"/>
              </w:rPr>
              <w:t>8,0</w:t>
            </w:r>
          </w:p>
        </w:tc>
        <w:tc>
          <w:tcPr>
            <w:tcW w:w="1020" w:type="dxa"/>
            <w:shd w:val="clear" w:color="auto" w:fill="F2F2F2" w:themeFill="background1" w:themeFillShade="F2"/>
            <w:noWrap/>
            <w:tcMar>
              <w:right w:w="170" w:type="dxa"/>
            </w:tcMar>
            <w:vAlign w:val="center"/>
          </w:tcPr>
          <w:p w14:paraId="7C2DF113" w14:textId="77777777" w:rsidR="00537EDC" w:rsidRPr="00A56A8F" w:rsidRDefault="00537EDC" w:rsidP="006A5E95">
            <w:pPr>
              <w:spacing w:after="0"/>
              <w:ind w:hanging="51"/>
              <w:jc w:val="right"/>
              <w:rPr>
                <w:sz w:val="18"/>
                <w:szCs w:val="18"/>
                <w:lang w:eastAsia="lv-LV"/>
              </w:rPr>
            </w:pPr>
            <w:r w:rsidRPr="00A56A8F">
              <w:rPr>
                <w:sz w:val="18"/>
                <w:szCs w:val="18"/>
                <w:lang w:eastAsia="lv-LV"/>
              </w:rPr>
              <w:t>6,0</w:t>
            </w:r>
          </w:p>
        </w:tc>
        <w:tc>
          <w:tcPr>
            <w:tcW w:w="1021" w:type="dxa"/>
            <w:shd w:val="clear" w:color="auto" w:fill="F2F2F2" w:themeFill="background1" w:themeFillShade="F2"/>
            <w:noWrap/>
            <w:tcMar>
              <w:right w:w="170" w:type="dxa"/>
            </w:tcMar>
            <w:vAlign w:val="center"/>
          </w:tcPr>
          <w:p w14:paraId="0986717F" w14:textId="77777777" w:rsidR="00537EDC" w:rsidRPr="00A56A8F" w:rsidRDefault="00537EDC" w:rsidP="006A5E95">
            <w:pPr>
              <w:spacing w:after="0"/>
              <w:ind w:hanging="51"/>
              <w:jc w:val="right"/>
              <w:rPr>
                <w:sz w:val="18"/>
                <w:szCs w:val="18"/>
                <w:lang w:eastAsia="lv-LV"/>
              </w:rPr>
            </w:pPr>
            <w:r w:rsidRPr="00A56A8F">
              <w:rPr>
                <w:sz w:val="18"/>
                <w:szCs w:val="18"/>
                <w:lang w:eastAsia="lv-LV"/>
              </w:rPr>
              <w:t>5,5</w:t>
            </w:r>
          </w:p>
        </w:tc>
        <w:tc>
          <w:tcPr>
            <w:tcW w:w="1021" w:type="dxa"/>
            <w:shd w:val="clear" w:color="auto" w:fill="F2F2F2" w:themeFill="background1" w:themeFillShade="F2"/>
            <w:noWrap/>
            <w:tcMar>
              <w:right w:w="170" w:type="dxa"/>
            </w:tcMar>
            <w:vAlign w:val="center"/>
          </w:tcPr>
          <w:p w14:paraId="05BCD7E7" w14:textId="77777777" w:rsidR="00537EDC" w:rsidRPr="00A56A8F" w:rsidRDefault="00537EDC" w:rsidP="006A5E95">
            <w:pPr>
              <w:spacing w:after="0"/>
              <w:ind w:hanging="51"/>
              <w:jc w:val="right"/>
              <w:rPr>
                <w:sz w:val="18"/>
                <w:szCs w:val="18"/>
                <w:lang w:eastAsia="lv-LV"/>
              </w:rPr>
            </w:pPr>
            <w:r w:rsidRPr="00A56A8F">
              <w:rPr>
                <w:sz w:val="18"/>
                <w:szCs w:val="18"/>
                <w:lang w:eastAsia="lv-LV"/>
              </w:rPr>
              <w:t>5,3</w:t>
            </w:r>
          </w:p>
        </w:tc>
      </w:tr>
      <w:tr w:rsidR="00537EDC" w:rsidRPr="003C4828" w14:paraId="7EA585EB" w14:textId="77777777" w:rsidTr="000065DF">
        <w:trPr>
          <w:trHeight w:val="300"/>
          <w:jc w:val="center"/>
        </w:trPr>
        <w:tc>
          <w:tcPr>
            <w:tcW w:w="3397" w:type="dxa"/>
            <w:shd w:val="clear" w:color="auto" w:fill="auto"/>
            <w:noWrap/>
            <w:vAlign w:val="center"/>
            <w:hideMark/>
          </w:tcPr>
          <w:p w14:paraId="55695AD6" w14:textId="77777777" w:rsidR="00537EDC" w:rsidRPr="00A56A8F" w:rsidRDefault="00537EDC" w:rsidP="000065DF">
            <w:pPr>
              <w:spacing w:after="0"/>
              <w:ind w:firstLine="316"/>
              <w:rPr>
                <w:noProof/>
                <w:sz w:val="18"/>
                <w:szCs w:val="18"/>
                <w:lang w:eastAsia="lv-LV"/>
              </w:rPr>
            </w:pPr>
            <w:r w:rsidRPr="00A56A8F">
              <w:rPr>
                <w:noProof/>
                <w:sz w:val="18"/>
                <w:szCs w:val="18"/>
                <w:lang w:eastAsia="lv-LV"/>
              </w:rPr>
              <w:t>pieaugums salīdzināmās cenās (%)</w:t>
            </w:r>
          </w:p>
        </w:tc>
        <w:tc>
          <w:tcPr>
            <w:tcW w:w="1020" w:type="dxa"/>
            <w:shd w:val="clear" w:color="auto" w:fill="auto"/>
            <w:noWrap/>
            <w:tcMar>
              <w:right w:w="170" w:type="dxa"/>
            </w:tcMar>
            <w:vAlign w:val="center"/>
          </w:tcPr>
          <w:p w14:paraId="45CEB808" w14:textId="77777777" w:rsidR="00537EDC" w:rsidRPr="00A56A8F" w:rsidRDefault="00537EDC" w:rsidP="006A5E95">
            <w:pPr>
              <w:spacing w:after="0"/>
              <w:ind w:hanging="51"/>
              <w:jc w:val="right"/>
              <w:rPr>
                <w:sz w:val="18"/>
                <w:szCs w:val="18"/>
                <w:lang w:eastAsia="lv-LV"/>
              </w:rPr>
            </w:pPr>
            <w:r w:rsidRPr="00A56A8F">
              <w:rPr>
                <w:sz w:val="18"/>
                <w:szCs w:val="18"/>
                <w:lang w:eastAsia="lv-LV"/>
              </w:rPr>
              <w:t>6,0</w:t>
            </w:r>
          </w:p>
        </w:tc>
        <w:tc>
          <w:tcPr>
            <w:tcW w:w="1021" w:type="dxa"/>
            <w:shd w:val="clear" w:color="auto" w:fill="F2F2F2" w:themeFill="background1" w:themeFillShade="F2"/>
            <w:noWrap/>
            <w:tcMar>
              <w:right w:w="170" w:type="dxa"/>
            </w:tcMar>
            <w:vAlign w:val="center"/>
          </w:tcPr>
          <w:p w14:paraId="2676E127" w14:textId="77777777" w:rsidR="00537EDC" w:rsidRPr="00A56A8F" w:rsidRDefault="00537EDC" w:rsidP="006A5E95">
            <w:pPr>
              <w:spacing w:after="0"/>
              <w:ind w:hanging="51"/>
              <w:jc w:val="right"/>
              <w:rPr>
                <w:sz w:val="18"/>
                <w:szCs w:val="18"/>
                <w:lang w:eastAsia="lv-LV"/>
              </w:rPr>
            </w:pPr>
            <w:r w:rsidRPr="00A56A8F">
              <w:rPr>
                <w:sz w:val="18"/>
                <w:szCs w:val="18"/>
                <w:lang w:eastAsia="lv-LV"/>
              </w:rPr>
              <w:t>5,9</w:t>
            </w:r>
          </w:p>
        </w:tc>
        <w:tc>
          <w:tcPr>
            <w:tcW w:w="1020" w:type="dxa"/>
            <w:shd w:val="clear" w:color="auto" w:fill="F2F2F2" w:themeFill="background1" w:themeFillShade="F2"/>
            <w:noWrap/>
            <w:tcMar>
              <w:right w:w="170" w:type="dxa"/>
            </w:tcMar>
            <w:vAlign w:val="center"/>
          </w:tcPr>
          <w:p w14:paraId="39A84B44" w14:textId="77777777" w:rsidR="00537EDC" w:rsidRPr="00A56A8F" w:rsidRDefault="00537EDC" w:rsidP="006A5E95">
            <w:pPr>
              <w:spacing w:after="0"/>
              <w:ind w:hanging="51"/>
              <w:jc w:val="right"/>
              <w:rPr>
                <w:sz w:val="18"/>
                <w:szCs w:val="18"/>
                <w:lang w:eastAsia="lv-LV"/>
              </w:rPr>
            </w:pPr>
            <w:r w:rsidRPr="00A56A8F">
              <w:rPr>
                <w:sz w:val="18"/>
                <w:szCs w:val="18"/>
                <w:lang w:eastAsia="lv-LV"/>
              </w:rPr>
              <w:t>3,5</w:t>
            </w:r>
          </w:p>
        </w:tc>
        <w:tc>
          <w:tcPr>
            <w:tcW w:w="1021" w:type="dxa"/>
            <w:shd w:val="clear" w:color="auto" w:fill="F2F2F2" w:themeFill="background1" w:themeFillShade="F2"/>
            <w:noWrap/>
            <w:tcMar>
              <w:right w:w="170" w:type="dxa"/>
            </w:tcMar>
            <w:vAlign w:val="center"/>
          </w:tcPr>
          <w:p w14:paraId="085C4F17" w14:textId="77777777" w:rsidR="00537EDC" w:rsidRPr="00A56A8F" w:rsidRDefault="00537EDC" w:rsidP="006A5E95">
            <w:pPr>
              <w:spacing w:after="0"/>
              <w:ind w:hanging="51"/>
              <w:jc w:val="right"/>
              <w:rPr>
                <w:sz w:val="18"/>
                <w:szCs w:val="18"/>
                <w:lang w:eastAsia="lv-LV"/>
              </w:rPr>
            </w:pPr>
            <w:r w:rsidRPr="00A56A8F">
              <w:rPr>
                <w:sz w:val="18"/>
                <w:szCs w:val="18"/>
                <w:lang w:eastAsia="lv-LV"/>
              </w:rPr>
              <w:t>3,2</w:t>
            </w:r>
          </w:p>
        </w:tc>
        <w:tc>
          <w:tcPr>
            <w:tcW w:w="1021" w:type="dxa"/>
            <w:shd w:val="clear" w:color="auto" w:fill="F2F2F2" w:themeFill="background1" w:themeFillShade="F2"/>
            <w:noWrap/>
            <w:tcMar>
              <w:right w:w="170" w:type="dxa"/>
            </w:tcMar>
            <w:vAlign w:val="center"/>
          </w:tcPr>
          <w:p w14:paraId="5852E199" w14:textId="77777777" w:rsidR="00537EDC" w:rsidRPr="00A56A8F" w:rsidRDefault="00537EDC" w:rsidP="006A5E95">
            <w:pPr>
              <w:spacing w:after="0"/>
              <w:ind w:hanging="51"/>
              <w:jc w:val="right"/>
              <w:rPr>
                <w:sz w:val="18"/>
                <w:szCs w:val="18"/>
                <w:lang w:eastAsia="lv-LV"/>
              </w:rPr>
            </w:pPr>
            <w:r w:rsidRPr="00A56A8F">
              <w:rPr>
                <w:sz w:val="18"/>
                <w:szCs w:val="18"/>
                <w:lang w:eastAsia="lv-LV"/>
              </w:rPr>
              <w:t>3,2</w:t>
            </w:r>
          </w:p>
        </w:tc>
      </w:tr>
      <w:tr w:rsidR="00537EDC" w:rsidRPr="003C4828" w14:paraId="480006F2" w14:textId="77777777" w:rsidTr="000065DF">
        <w:trPr>
          <w:trHeight w:val="600"/>
          <w:jc w:val="center"/>
        </w:trPr>
        <w:tc>
          <w:tcPr>
            <w:tcW w:w="3397" w:type="dxa"/>
            <w:shd w:val="clear" w:color="auto" w:fill="auto"/>
            <w:noWrap/>
            <w:vAlign w:val="center"/>
            <w:hideMark/>
          </w:tcPr>
          <w:p w14:paraId="2F0F7252" w14:textId="77777777" w:rsidR="00537EDC" w:rsidRPr="00A56A8F" w:rsidRDefault="00537EDC" w:rsidP="006A5E95">
            <w:pPr>
              <w:spacing w:after="0"/>
              <w:ind w:firstLine="0"/>
              <w:rPr>
                <w:noProof/>
                <w:sz w:val="18"/>
                <w:szCs w:val="18"/>
                <w:lang w:eastAsia="lv-LV"/>
              </w:rPr>
            </w:pPr>
            <w:r w:rsidRPr="00A56A8F">
              <w:rPr>
                <w:b/>
                <w:noProof/>
                <w:sz w:val="18"/>
                <w:szCs w:val="18"/>
                <w:lang w:eastAsia="lv-LV"/>
              </w:rPr>
              <w:t>Nodarbinātība</w:t>
            </w:r>
            <w:r w:rsidRPr="00A56A8F">
              <w:rPr>
                <w:noProof/>
                <w:sz w:val="18"/>
                <w:szCs w:val="18"/>
                <w:lang w:eastAsia="lv-LV"/>
              </w:rPr>
              <w:t xml:space="preserve"> (tūkst. iedzīvotāju</w:t>
            </w:r>
            <w:r w:rsidRPr="00A56A8F">
              <w:rPr>
                <w:noProof/>
                <w:sz w:val="18"/>
                <w:szCs w:val="18"/>
                <w:lang w:eastAsia="lv-LV"/>
              </w:rPr>
              <w:br/>
              <w:t>atbilstoši darbaspēka apsekojumiem)</w:t>
            </w:r>
          </w:p>
        </w:tc>
        <w:tc>
          <w:tcPr>
            <w:tcW w:w="1020" w:type="dxa"/>
            <w:shd w:val="clear" w:color="auto" w:fill="auto"/>
            <w:noWrap/>
            <w:tcMar>
              <w:right w:w="170" w:type="dxa"/>
            </w:tcMar>
            <w:vAlign w:val="center"/>
          </w:tcPr>
          <w:p w14:paraId="7EA187A1" w14:textId="77777777" w:rsidR="00537EDC" w:rsidRPr="00A56A8F" w:rsidRDefault="00537EDC" w:rsidP="006A5E95">
            <w:pPr>
              <w:spacing w:after="0"/>
              <w:ind w:hanging="51"/>
              <w:jc w:val="right"/>
              <w:rPr>
                <w:sz w:val="18"/>
                <w:szCs w:val="18"/>
                <w:lang w:eastAsia="lv-LV"/>
              </w:rPr>
            </w:pPr>
            <w:r w:rsidRPr="00A56A8F">
              <w:rPr>
                <w:sz w:val="18"/>
                <w:szCs w:val="18"/>
                <w:lang w:eastAsia="lv-LV"/>
              </w:rPr>
              <w:t>893</w:t>
            </w:r>
          </w:p>
        </w:tc>
        <w:tc>
          <w:tcPr>
            <w:tcW w:w="1021" w:type="dxa"/>
            <w:shd w:val="clear" w:color="auto" w:fill="F2F2F2" w:themeFill="background1" w:themeFillShade="F2"/>
            <w:noWrap/>
            <w:tcMar>
              <w:right w:w="170" w:type="dxa"/>
            </w:tcMar>
            <w:vAlign w:val="center"/>
          </w:tcPr>
          <w:p w14:paraId="15DD3582" w14:textId="77777777" w:rsidR="00537EDC" w:rsidRPr="00A56A8F" w:rsidRDefault="00537EDC" w:rsidP="006A5E95">
            <w:pPr>
              <w:spacing w:after="0"/>
              <w:ind w:hanging="51"/>
              <w:jc w:val="right"/>
              <w:rPr>
                <w:sz w:val="18"/>
                <w:szCs w:val="18"/>
                <w:lang w:eastAsia="lv-LV"/>
              </w:rPr>
            </w:pPr>
            <w:r w:rsidRPr="00A56A8F">
              <w:rPr>
                <w:sz w:val="18"/>
                <w:szCs w:val="18"/>
                <w:lang w:eastAsia="lv-LV"/>
              </w:rPr>
              <w:t>883</w:t>
            </w:r>
          </w:p>
        </w:tc>
        <w:tc>
          <w:tcPr>
            <w:tcW w:w="1020" w:type="dxa"/>
            <w:shd w:val="clear" w:color="auto" w:fill="F2F2F2" w:themeFill="background1" w:themeFillShade="F2"/>
            <w:noWrap/>
            <w:tcMar>
              <w:right w:w="170" w:type="dxa"/>
            </w:tcMar>
            <w:vAlign w:val="center"/>
          </w:tcPr>
          <w:p w14:paraId="625A862E" w14:textId="77777777" w:rsidR="00537EDC" w:rsidRPr="00A56A8F" w:rsidRDefault="00537EDC" w:rsidP="006A5E95">
            <w:pPr>
              <w:spacing w:after="0"/>
              <w:ind w:hanging="51"/>
              <w:jc w:val="right"/>
              <w:rPr>
                <w:sz w:val="18"/>
                <w:szCs w:val="18"/>
                <w:lang w:eastAsia="lv-LV"/>
              </w:rPr>
            </w:pPr>
            <w:r w:rsidRPr="00A56A8F">
              <w:rPr>
                <w:sz w:val="18"/>
                <w:szCs w:val="18"/>
                <w:lang w:eastAsia="lv-LV"/>
              </w:rPr>
              <w:t>899</w:t>
            </w:r>
          </w:p>
        </w:tc>
        <w:tc>
          <w:tcPr>
            <w:tcW w:w="1021" w:type="dxa"/>
            <w:shd w:val="clear" w:color="auto" w:fill="F2F2F2" w:themeFill="background1" w:themeFillShade="F2"/>
            <w:noWrap/>
            <w:tcMar>
              <w:right w:w="170" w:type="dxa"/>
            </w:tcMar>
            <w:vAlign w:val="center"/>
          </w:tcPr>
          <w:p w14:paraId="45DA7744" w14:textId="77777777" w:rsidR="00537EDC" w:rsidRPr="00A56A8F" w:rsidRDefault="00537EDC" w:rsidP="006A5E95">
            <w:pPr>
              <w:spacing w:after="0"/>
              <w:ind w:hanging="51"/>
              <w:jc w:val="right"/>
              <w:rPr>
                <w:sz w:val="18"/>
                <w:szCs w:val="18"/>
                <w:lang w:eastAsia="lv-LV"/>
              </w:rPr>
            </w:pPr>
            <w:r w:rsidRPr="00A56A8F">
              <w:rPr>
                <w:sz w:val="18"/>
                <w:szCs w:val="18"/>
                <w:lang w:eastAsia="lv-LV"/>
              </w:rPr>
              <w:t>902</w:t>
            </w:r>
          </w:p>
        </w:tc>
        <w:tc>
          <w:tcPr>
            <w:tcW w:w="1021" w:type="dxa"/>
            <w:shd w:val="clear" w:color="auto" w:fill="F2F2F2" w:themeFill="background1" w:themeFillShade="F2"/>
            <w:noWrap/>
            <w:tcMar>
              <w:right w:w="170" w:type="dxa"/>
            </w:tcMar>
            <w:vAlign w:val="center"/>
          </w:tcPr>
          <w:p w14:paraId="691E3C66" w14:textId="77777777" w:rsidR="00537EDC" w:rsidRPr="00A56A8F" w:rsidRDefault="00537EDC" w:rsidP="006A5E95">
            <w:pPr>
              <w:spacing w:after="0"/>
              <w:ind w:hanging="51"/>
              <w:jc w:val="right"/>
              <w:rPr>
                <w:sz w:val="18"/>
                <w:szCs w:val="18"/>
                <w:lang w:eastAsia="lv-LV"/>
              </w:rPr>
            </w:pPr>
            <w:r w:rsidRPr="00A56A8F">
              <w:rPr>
                <w:sz w:val="18"/>
                <w:szCs w:val="18"/>
                <w:lang w:eastAsia="lv-LV"/>
              </w:rPr>
              <w:t>902</w:t>
            </w:r>
          </w:p>
        </w:tc>
      </w:tr>
      <w:tr w:rsidR="00537EDC" w:rsidRPr="003C4828" w14:paraId="7AD22560" w14:textId="77777777" w:rsidTr="000065DF">
        <w:trPr>
          <w:trHeight w:val="300"/>
          <w:jc w:val="center"/>
        </w:trPr>
        <w:tc>
          <w:tcPr>
            <w:tcW w:w="3397" w:type="dxa"/>
            <w:shd w:val="clear" w:color="auto" w:fill="auto"/>
            <w:noWrap/>
            <w:vAlign w:val="center"/>
            <w:hideMark/>
          </w:tcPr>
          <w:p w14:paraId="44174F5A" w14:textId="77777777" w:rsidR="00537EDC" w:rsidRPr="00A56A8F" w:rsidRDefault="00537EDC" w:rsidP="000065DF">
            <w:pPr>
              <w:spacing w:after="0"/>
              <w:ind w:firstLine="316"/>
              <w:rPr>
                <w:noProof/>
                <w:sz w:val="18"/>
                <w:szCs w:val="18"/>
                <w:lang w:eastAsia="lv-LV"/>
              </w:rPr>
            </w:pPr>
            <w:r w:rsidRPr="00A56A8F">
              <w:rPr>
                <w:noProof/>
                <w:sz w:val="18"/>
                <w:szCs w:val="18"/>
                <w:lang w:eastAsia="lv-LV"/>
              </w:rPr>
              <w:t>pieaugums (%)</w:t>
            </w:r>
          </w:p>
        </w:tc>
        <w:tc>
          <w:tcPr>
            <w:tcW w:w="1020" w:type="dxa"/>
            <w:shd w:val="clear" w:color="auto" w:fill="auto"/>
            <w:noWrap/>
            <w:tcMar>
              <w:right w:w="170" w:type="dxa"/>
            </w:tcMar>
            <w:vAlign w:val="center"/>
          </w:tcPr>
          <w:p w14:paraId="4D4BF694" w14:textId="77777777" w:rsidR="00537EDC" w:rsidRPr="00A56A8F" w:rsidRDefault="00537EDC" w:rsidP="006A5E95">
            <w:pPr>
              <w:spacing w:after="0"/>
              <w:ind w:hanging="51"/>
              <w:jc w:val="right"/>
              <w:rPr>
                <w:sz w:val="18"/>
                <w:szCs w:val="18"/>
                <w:lang w:eastAsia="lv-LV"/>
              </w:rPr>
            </w:pPr>
            <w:r w:rsidRPr="00A56A8F">
              <w:rPr>
                <w:sz w:val="18"/>
                <w:szCs w:val="18"/>
                <w:lang w:eastAsia="lv-LV"/>
              </w:rPr>
              <w:t>-1,9</w:t>
            </w:r>
          </w:p>
        </w:tc>
        <w:tc>
          <w:tcPr>
            <w:tcW w:w="1021" w:type="dxa"/>
            <w:shd w:val="clear" w:color="auto" w:fill="F2F2F2" w:themeFill="background1" w:themeFillShade="F2"/>
            <w:noWrap/>
            <w:tcMar>
              <w:right w:w="170" w:type="dxa"/>
            </w:tcMar>
            <w:vAlign w:val="center"/>
          </w:tcPr>
          <w:p w14:paraId="763F5F28" w14:textId="77777777" w:rsidR="00537EDC" w:rsidRPr="00A56A8F" w:rsidRDefault="00537EDC" w:rsidP="006A5E95">
            <w:pPr>
              <w:spacing w:after="0"/>
              <w:ind w:hanging="51"/>
              <w:jc w:val="right"/>
              <w:rPr>
                <w:sz w:val="18"/>
                <w:szCs w:val="18"/>
                <w:lang w:eastAsia="lv-LV"/>
              </w:rPr>
            </w:pPr>
            <w:r w:rsidRPr="00A56A8F">
              <w:rPr>
                <w:sz w:val="18"/>
                <w:szCs w:val="18"/>
                <w:lang w:eastAsia="lv-LV"/>
              </w:rPr>
              <w:t>-1,1</w:t>
            </w:r>
          </w:p>
        </w:tc>
        <w:tc>
          <w:tcPr>
            <w:tcW w:w="1020" w:type="dxa"/>
            <w:shd w:val="clear" w:color="auto" w:fill="F2F2F2" w:themeFill="background1" w:themeFillShade="F2"/>
            <w:noWrap/>
            <w:tcMar>
              <w:right w:w="170" w:type="dxa"/>
            </w:tcMar>
            <w:vAlign w:val="center"/>
          </w:tcPr>
          <w:p w14:paraId="78328819" w14:textId="77777777" w:rsidR="00537EDC" w:rsidRPr="00A56A8F" w:rsidRDefault="00537EDC" w:rsidP="006A5E95">
            <w:pPr>
              <w:spacing w:after="0"/>
              <w:ind w:hanging="51"/>
              <w:jc w:val="right"/>
              <w:rPr>
                <w:sz w:val="18"/>
                <w:szCs w:val="18"/>
                <w:lang w:eastAsia="lv-LV"/>
              </w:rPr>
            </w:pPr>
            <w:r w:rsidRPr="00A56A8F">
              <w:rPr>
                <w:sz w:val="18"/>
                <w:szCs w:val="18"/>
                <w:lang w:eastAsia="lv-LV"/>
              </w:rPr>
              <w:t>1,8</w:t>
            </w:r>
          </w:p>
        </w:tc>
        <w:tc>
          <w:tcPr>
            <w:tcW w:w="1021" w:type="dxa"/>
            <w:shd w:val="clear" w:color="auto" w:fill="F2F2F2" w:themeFill="background1" w:themeFillShade="F2"/>
            <w:noWrap/>
            <w:tcMar>
              <w:right w:w="170" w:type="dxa"/>
            </w:tcMar>
            <w:vAlign w:val="center"/>
          </w:tcPr>
          <w:p w14:paraId="459C2FFA" w14:textId="77777777" w:rsidR="00537EDC" w:rsidRPr="00A56A8F" w:rsidRDefault="00537EDC" w:rsidP="006A5E95">
            <w:pPr>
              <w:spacing w:after="0"/>
              <w:ind w:hanging="51"/>
              <w:jc w:val="right"/>
              <w:rPr>
                <w:sz w:val="18"/>
                <w:szCs w:val="18"/>
                <w:lang w:eastAsia="lv-LV"/>
              </w:rPr>
            </w:pPr>
            <w:r w:rsidRPr="00A56A8F">
              <w:rPr>
                <w:sz w:val="18"/>
                <w:szCs w:val="18"/>
                <w:lang w:eastAsia="lv-LV"/>
              </w:rPr>
              <w:t>0,3</w:t>
            </w:r>
          </w:p>
        </w:tc>
        <w:tc>
          <w:tcPr>
            <w:tcW w:w="1021" w:type="dxa"/>
            <w:shd w:val="clear" w:color="auto" w:fill="F2F2F2" w:themeFill="background1" w:themeFillShade="F2"/>
            <w:noWrap/>
            <w:tcMar>
              <w:right w:w="170" w:type="dxa"/>
            </w:tcMar>
            <w:vAlign w:val="center"/>
          </w:tcPr>
          <w:p w14:paraId="13E95E44" w14:textId="77777777" w:rsidR="00537EDC" w:rsidRPr="00A56A8F" w:rsidRDefault="00537EDC" w:rsidP="006A5E95">
            <w:pPr>
              <w:spacing w:after="0"/>
              <w:ind w:hanging="51"/>
              <w:jc w:val="right"/>
              <w:rPr>
                <w:sz w:val="18"/>
                <w:szCs w:val="18"/>
                <w:lang w:eastAsia="lv-LV"/>
              </w:rPr>
            </w:pPr>
            <w:r w:rsidRPr="00A56A8F">
              <w:rPr>
                <w:sz w:val="18"/>
                <w:szCs w:val="18"/>
                <w:lang w:eastAsia="lv-LV"/>
              </w:rPr>
              <w:t>0,0</w:t>
            </w:r>
          </w:p>
        </w:tc>
      </w:tr>
      <w:tr w:rsidR="00537EDC" w:rsidRPr="003C4828" w14:paraId="7190828A" w14:textId="77777777" w:rsidTr="000065DF">
        <w:trPr>
          <w:trHeight w:val="300"/>
          <w:jc w:val="center"/>
        </w:trPr>
        <w:tc>
          <w:tcPr>
            <w:tcW w:w="3397" w:type="dxa"/>
            <w:shd w:val="clear" w:color="auto" w:fill="auto"/>
            <w:noWrap/>
            <w:vAlign w:val="center"/>
            <w:hideMark/>
          </w:tcPr>
          <w:p w14:paraId="6AF0C96F" w14:textId="77777777" w:rsidR="00537EDC" w:rsidRPr="00A56A8F" w:rsidRDefault="00537EDC" w:rsidP="006A5E95">
            <w:pPr>
              <w:spacing w:after="0"/>
              <w:ind w:firstLine="0"/>
              <w:rPr>
                <w:noProof/>
                <w:sz w:val="18"/>
                <w:szCs w:val="18"/>
                <w:lang w:eastAsia="lv-LV"/>
              </w:rPr>
            </w:pPr>
            <w:r w:rsidRPr="00A56A8F">
              <w:rPr>
                <w:b/>
                <w:noProof/>
                <w:sz w:val="18"/>
                <w:szCs w:val="18"/>
                <w:lang w:eastAsia="lv-LV"/>
              </w:rPr>
              <w:t>Bezdarba līmenis</w:t>
            </w:r>
            <w:r w:rsidRPr="00A56A8F">
              <w:rPr>
                <w:noProof/>
                <w:sz w:val="18"/>
                <w:szCs w:val="18"/>
                <w:lang w:eastAsia="lv-LV"/>
              </w:rPr>
              <w:t xml:space="preserve"> (gada vidējais, </w:t>
            </w:r>
            <w:r w:rsidRPr="00A56A8F">
              <w:rPr>
                <w:noProof/>
                <w:sz w:val="18"/>
                <w:szCs w:val="18"/>
                <w:lang w:eastAsia="lv-LV"/>
              </w:rPr>
              <w:br/>
              <w:t>% no ekon. aktīviem iedzīv.)</w:t>
            </w:r>
          </w:p>
        </w:tc>
        <w:tc>
          <w:tcPr>
            <w:tcW w:w="1020" w:type="dxa"/>
            <w:shd w:val="clear" w:color="auto" w:fill="auto"/>
            <w:noWrap/>
            <w:tcMar>
              <w:right w:w="170" w:type="dxa"/>
            </w:tcMar>
            <w:vAlign w:val="center"/>
          </w:tcPr>
          <w:p w14:paraId="326CA761" w14:textId="77777777" w:rsidR="00537EDC" w:rsidRPr="00A56A8F" w:rsidRDefault="00537EDC" w:rsidP="006A5E95">
            <w:pPr>
              <w:spacing w:after="0"/>
              <w:ind w:hanging="51"/>
              <w:jc w:val="right"/>
              <w:rPr>
                <w:sz w:val="18"/>
                <w:szCs w:val="18"/>
                <w:lang w:eastAsia="lv-LV"/>
              </w:rPr>
            </w:pPr>
            <w:r w:rsidRPr="00A56A8F">
              <w:rPr>
                <w:sz w:val="18"/>
                <w:szCs w:val="18"/>
                <w:lang w:eastAsia="lv-LV"/>
              </w:rPr>
              <w:t>8,1</w:t>
            </w:r>
          </w:p>
        </w:tc>
        <w:tc>
          <w:tcPr>
            <w:tcW w:w="1021" w:type="dxa"/>
            <w:shd w:val="clear" w:color="auto" w:fill="F2F2F2" w:themeFill="background1" w:themeFillShade="F2"/>
            <w:noWrap/>
            <w:tcMar>
              <w:right w:w="170" w:type="dxa"/>
            </w:tcMar>
            <w:vAlign w:val="center"/>
          </w:tcPr>
          <w:p w14:paraId="0D5DF80D" w14:textId="77777777" w:rsidR="00537EDC" w:rsidRPr="00A56A8F" w:rsidRDefault="00537EDC" w:rsidP="006A5E95">
            <w:pPr>
              <w:spacing w:after="0"/>
              <w:ind w:hanging="51"/>
              <w:jc w:val="right"/>
              <w:rPr>
                <w:sz w:val="18"/>
                <w:szCs w:val="18"/>
                <w:lang w:eastAsia="lv-LV"/>
              </w:rPr>
            </w:pPr>
            <w:r w:rsidRPr="00A56A8F">
              <w:rPr>
                <w:sz w:val="18"/>
                <w:szCs w:val="18"/>
                <w:lang w:eastAsia="lv-LV"/>
              </w:rPr>
              <w:t>7,9</w:t>
            </w:r>
          </w:p>
        </w:tc>
        <w:tc>
          <w:tcPr>
            <w:tcW w:w="1020" w:type="dxa"/>
            <w:shd w:val="clear" w:color="auto" w:fill="F2F2F2" w:themeFill="background1" w:themeFillShade="F2"/>
            <w:noWrap/>
            <w:tcMar>
              <w:right w:w="170" w:type="dxa"/>
            </w:tcMar>
            <w:vAlign w:val="center"/>
          </w:tcPr>
          <w:p w14:paraId="6901CCF5" w14:textId="77777777" w:rsidR="00537EDC" w:rsidRPr="00A56A8F" w:rsidRDefault="00537EDC" w:rsidP="006A5E95">
            <w:pPr>
              <w:spacing w:after="0"/>
              <w:ind w:hanging="51"/>
              <w:jc w:val="right"/>
              <w:rPr>
                <w:sz w:val="18"/>
                <w:szCs w:val="18"/>
                <w:lang w:eastAsia="lv-LV"/>
              </w:rPr>
            </w:pPr>
            <w:r w:rsidRPr="00A56A8F">
              <w:rPr>
                <w:sz w:val="18"/>
                <w:szCs w:val="18"/>
                <w:lang w:eastAsia="lv-LV"/>
              </w:rPr>
              <w:t>7,0</w:t>
            </w:r>
          </w:p>
        </w:tc>
        <w:tc>
          <w:tcPr>
            <w:tcW w:w="1021" w:type="dxa"/>
            <w:shd w:val="clear" w:color="auto" w:fill="F2F2F2" w:themeFill="background1" w:themeFillShade="F2"/>
            <w:noWrap/>
            <w:tcMar>
              <w:right w:w="170" w:type="dxa"/>
            </w:tcMar>
            <w:vAlign w:val="center"/>
          </w:tcPr>
          <w:p w14:paraId="0520C2BA" w14:textId="77777777" w:rsidR="00537EDC" w:rsidRPr="00A56A8F" w:rsidRDefault="00537EDC" w:rsidP="006A5E95">
            <w:pPr>
              <w:spacing w:after="0"/>
              <w:ind w:hanging="51"/>
              <w:jc w:val="right"/>
              <w:rPr>
                <w:sz w:val="18"/>
                <w:szCs w:val="18"/>
                <w:lang w:eastAsia="lv-LV"/>
              </w:rPr>
            </w:pPr>
            <w:r w:rsidRPr="00A56A8F">
              <w:rPr>
                <w:sz w:val="18"/>
                <w:szCs w:val="18"/>
                <w:lang w:eastAsia="lv-LV"/>
              </w:rPr>
              <w:t>6,3</w:t>
            </w:r>
          </w:p>
        </w:tc>
        <w:tc>
          <w:tcPr>
            <w:tcW w:w="1021" w:type="dxa"/>
            <w:shd w:val="clear" w:color="auto" w:fill="F2F2F2" w:themeFill="background1" w:themeFillShade="F2"/>
            <w:noWrap/>
            <w:tcMar>
              <w:right w:w="170" w:type="dxa"/>
            </w:tcMar>
            <w:vAlign w:val="center"/>
          </w:tcPr>
          <w:p w14:paraId="54DB0660" w14:textId="77777777" w:rsidR="00537EDC" w:rsidRPr="00A56A8F" w:rsidRDefault="00537EDC" w:rsidP="006A5E95">
            <w:pPr>
              <w:spacing w:after="0"/>
              <w:ind w:hanging="51"/>
              <w:jc w:val="right"/>
              <w:rPr>
                <w:sz w:val="18"/>
                <w:szCs w:val="18"/>
                <w:lang w:eastAsia="lv-LV"/>
              </w:rPr>
            </w:pPr>
            <w:r w:rsidRPr="00A56A8F">
              <w:rPr>
                <w:sz w:val="18"/>
                <w:szCs w:val="18"/>
                <w:lang w:eastAsia="lv-LV"/>
              </w:rPr>
              <w:t>5,9</w:t>
            </w:r>
          </w:p>
        </w:tc>
      </w:tr>
    </w:tbl>
    <w:p w14:paraId="4FECD707" w14:textId="77777777" w:rsidR="00537EDC" w:rsidRDefault="00537EDC" w:rsidP="00537EDC"/>
    <w:p w14:paraId="4C01FACA" w14:textId="77777777" w:rsidR="00537EDC" w:rsidRPr="00DF1711" w:rsidRDefault="00537EDC" w:rsidP="00537EDC">
      <w:pPr>
        <w:spacing w:before="120"/>
        <w:ind w:firstLine="567"/>
        <w:rPr>
          <w:rFonts w:eastAsia="Calibri"/>
          <w:szCs w:val="22"/>
        </w:rPr>
      </w:pPr>
      <w:r w:rsidRPr="00DF1711">
        <w:rPr>
          <w:rFonts w:eastAsia="Calibri"/>
          <w:szCs w:val="22"/>
        </w:rPr>
        <w:t>Gada vidējā inflācija 2021</w:t>
      </w:r>
      <w:r>
        <w:rPr>
          <w:rFonts w:eastAsia="Calibri"/>
          <w:szCs w:val="22"/>
        </w:rPr>
        <w:t>. gad</w:t>
      </w:r>
      <w:r w:rsidRPr="00DF1711">
        <w:rPr>
          <w:rFonts w:eastAsia="Calibri"/>
          <w:szCs w:val="22"/>
        </w:rPr>
        <w:t>ā prognozēta 2,0% un 2022</w:t>
      </w:r>
      <w:r>
        <w:rPr>
          <w:rFonts w:eastAsia="Calibri"/>
          <w:szCs w:val="22"/>
        </w:rPr>
        <w:t>. gad</w:t>
      </w:r>
      <w:r w:rsidRPr="00DF1711">
        <w:rPr>
          <w:rFonts w:eastAsia="Calibri"/>
          <w:szCs w:val="22"/>
        </w:rPr>
        <w:t>ā 2,4% līmenī. Salīdzinājumā ar februāra prognozēm inflācijas prognoze 2021</w:t>
      </w:r>
      <w:r>
        <w:rPr>
          <w:rFonts w:eastAsia="Calibri"/>
          <w:szCs w:val="22"/>
        </w:rPr>
        <w:t>. gad</w:t>
      </w:r>
      <w:r w:rsidRPr="00DF1711">
        <w:rPr>
          <w:rFonts w:eastAsia="Calibri"/>
          <w:szCs w:val="22"/>
        </w:rPr>
        <w:t>am ir palielināta par 0,6 procentpunktiem un 2022</w:t>
      </w:r>
      <w:r>
        <w:rPr>
          <w:rFonts w:eastAsia="Calibri"/>
          <w:szCs w:val="22"/>
        </w:rPr>
        <w:t>. gad</w:t>
      </w:r>
      <w:r w:rsidRPr="00DF1711">
        <w:rPr>
          <w:rFonts w:eastAsia="Calibri"/>
          <w:szCs w:val="22"/>
        </w:rPr>
        <w:t>am – par 0,4 procentpunktiem. Straujāku patēriņa cenu pieaugumu noteiks gan izejvielu preču cenu, tostarp naftas un pārtikas izejvielu cenu kāpums pasaulē, gan arī ekonomiskās izaugsmes paātrināšanās Latvijā un pakalpojumu cenu pieaugums. Savukārt turpmākajos divos gados inflācija samazināsies līdz 2% līmenim.</w:t>
      </w:r>
    </w:p>
    <w:p w14:paraId="02FEE9A8" w14:textId="77777777" w:rsidR="00537EDC" w:rsidRPr="00DF1711" w:rsidRDefault="00537EDC" w:rsidP="00537EDC">
      <w:pPr>
        <w:spacing w:before="120"/>
        <w:ind w:firstLine="567"/>
        <w:rPr>
          <w:rFonts w:eastAsia="Calibri"/>
          <w:szCs w:val="22"/>
        </w:rPr>
      </w:pPr>
      <w:r w:rsidRPr="00DF1711">
        <w:rPr>
          <w:rFonts w:eastAsia="Calibri"/>
          <w:szCs w:val="22"/>
        </w:rPr>
        <w:t>Līdz ar straujāku ekonomikas izaugsmi bezdarba līmenis Latvijā 2021</w:t>
      </w:r>
      <w:r>
        <w:rPr>
          <w:rFonts w:eastAsia="Calibri"/>
          <w:szCs w:val="22"/>
        </w:rPr>
        <w:t>. gadā pazeminās</w:t>
      </w:r>
      <w:r w:rsidRPr="00DF1711">
        <w:rPr>
          <w:rFonts w:eastAsia="Calibri"/>
          <w:szCs w:val="22"/>
        </w:rPr>
        <w:t>ies līdz 7,9%, kas ir par 0,4 procentpunktiem mazāk nekā tika prognozēts š</w:t>
      </w:r>
      <w:r>
        <w:rPr>
          <w:rFonts w:eastAsia="Calibri"/>
          <w:szCs w:val="22"/>
        </w:rPr>
        <w:t>ā</w:t>
      </w:r>
      <w:r w:rsidRPr="00DF1711">
        <w:rPr>
          <w:rFonts w:eastAsia="Calibri"/>
          <w:szCs w:val="22"/>
        </w:rPr>
        <w:t xml:space="preserve"> gada februārī, jo valdības atbalsta programma mazinās nodarbinātības samazinājumu </w:t>
      </w:r>
      <w:r>
        <w:rPr>
          <w:rFonts w:eastAsia="Calibri"/>
          <w:szCs w:val="22"/>
        </w:rPr>
        <w:t>Covid</w:t>
      </w:r>
      <w:r>
        <w:rPr>
          <w:rFonts w:eastAsia="Calibri"/>
          <w:szCs w:val="22"/>
        </w:rPr>
        <w:noBreakHyphen/>
        <w:t>19</w:t>
      </w:r>
      <w:r w:rsidRPr="00DF1711">
        <w:rPr>
          <w:rFonts w:eastAsia="Calibri"/>
          <w:szCs w:val="22"/>
        </w:rPr>
        <w:t xml:space="preserve"> ietekmētajās nozarēs. 2022</w:t>
      </w:r>
      <w:r>
        <w:rPr>
          <w:rFonts w:eastAsia="Calibri"/>
          <w:szCs w:val="22"/>
        </w:rPr>
        <w:t>. gad</w:t>
      </w:r>
      <w:r w:rsidRPr="00DF1711">
        <w:rPr>
          <w:rFonts w:eastAsia="Calibri"/>
          <w:szCs w:val="22"/>
        </w:rPr>
        <w:t xml:space="preserve">ā, turpinoties straujai ekonomikas attīstībai un samazinoties darbspējas vecuma iedzīvotāju skaitam, bezdarba līmenis pazemināsies līdz 7,0%. Nodarbināto </w:t>
      </w:r>
      <w:r w:rsidRPr="00DF1711">
        <w:rPr>
          <w:rFonts w:eastAsia="Calibri"/>
          <w:szCs w:val="22"/>
        </w:rPr>
        <w:lastRenderedPageBreak/>
        <w:t>skaits nedaudz palielināsies 2022</w:t>
      </w:r>
      <w:r>
        <w:rPr>
          <w:rFonts w:eastAsia="Calibri"/>
          <w:szCs w:val="22"/>
        </w:rPr>
        <w:t>. gad</w:t>
      </w:r>
      <w:r w:rsidRPr="00DF1711">
        <w:rPr>
          <w:rFonts w:eastAsia="Calibri"/>
          <w:szCs w:val="22"/>
        </w:rPr>
        <w:t xml:space="preserve">ā un </w:t>
      </w:r>
      <w:r>
        <w:rPr>
          <w:rFonts w:eastAsia="Calibri"/>
          <w:szCs w:val="22"/>
        </w:rPr>
        <w:t xml:space="preserve">tam līdz </w:t>
      </w:r>
      <w:r w:rsidRPr="00DF1711">
        <w:rPr>
          <w:rFonts w:eastAsia="Calibri"/>
          <w:szCs w:val="22"/>
        </w:rPr>
        <w:t>2024</w:t>
      </w:r>
      <w:r>
        <w:rPr>
          <w:rFonts w:eastAsia="Calibri"/>
          <w:szCs w:val="22"/>
        </w:rPr>
        <w:t>. gad</w:t>
      </w:r>
      <w:r w:rsidRPr="00DF1711">
        <w:rPr>
          <w:rFonts w:eastAsia="Calibri"/>
          <w:szCs w:val="22"/>
        </w:rPr>
        <w:t>am stabilizējoties 90</w:t>
      </w:r>
      <w:r>
        <w:rPr>
          <w:rFonts w:eastAsia="Calibri"/>
          <w:szCs w:val="22"/>
        </w:rPr>
        <w:t>0 tūkstošu līmenī, bezdarbs 2024. gadā jau noslīdētu līdz 5,9%.</w:t>
      </w:r>
    </w:p>
    <w:p w14:paraId="08569672" w14:textId="77777777" w:rsidR="00537EDC" w:rsidRPr="00DF1711" w:rsidRDefault="00537EDC" w:rsidP="00537EDC">
      <w:pPr>
        <w:spacing w:before="120"/>
        <w:ind w:firstLine="567"/>
        <w:rPr>
          <w:rFonts w:eastAsia="Calibri"/>
          <w:szCs w:val="22"/>
        </w:rPr>
      </w:pPr>
      <w:r w:rsidRPr="00DF1711">
        <w:rPr>
          <w:rFonts w:eastAsia="Calibri"/>
          <w:szCs w:val="22"/>
        </w:rPr>
        <w:t>Mēneša vidējās bruto darba samaksas pieaugums šogad prognozēts 8,0% apmērā, vidējai darba samaksai paaugstinoties līdz 1 234 </w:t>
      </w:r>
      <w:proofErr w:type="spellStart"/>
      <w:r w:rsidRPr="00EA423D">
        <w:rPr>
          <w:rFonts w:eastAsia="Calibri"/>
          <w:i/>
          <w:szCs w:val="22"/>
        </w:rPr>
        <w:t>euro</w:t>
      </w:r>
      <w:proofErr w:type="spellEnd"/>
      <w:r w:rsidRPr="00DF1711">
        <w:rPr>
          <w:rFonts w:eastAsia="Calibri"/>
          <w:szCs w:val="22"/>
        </w:rPr>
        <w:t>. Nākamajā gadā algu pieaugums veidos 6,0% un vidējā termiņā pietuvo</w:t>
      </w:r>
      <w:r>
        <w:rPr>
          <w:rFonts w:eastAsia="Calibri"/>
          <w:szCs w:val="22"/>
        </w:rPr>
        <w:t>sies</w:t>
      </w:r>
      <w:r w:rsidRPr="00DF1711">
        <w:rPr>
          <w:rFonts w:eastAsia="Calibri"/>
          <w:szCs w:val="22"/>
        </w:rPr>
        <w:t xml:space="preserve"> produktivitātes pieaugumam tautsaimniecībā, kas ir ap 3,2%.</w:t>
      </w:r>
    </w:p>
    <w:p w14:paraId="7CD640AB" w14:textId="77777777" w:rsidR="00537EDC" w:rsidRPr="00D33EE0" w:rsidRDefault="00537EDC" w:rsidP="006A5E95">
      <w:pPr>
        <w:spacing w:before="240" w:after="240"/>
        <w:ind w:firstLine="0"/>
        <w:jc w:val="center"/>
        <w:rPr>
          <w:rFonts w:eastAsia="Calibri"/>
          <w:b/>
          <w:szCs w:val="22"/>
        </w:rPr>
      </w:pPr>
      <w:r w:rsidRPr="00D33EE0">
        <w:rPr>
          <w:rFonts w:eastAsia="Calibri"/>
          <w:b/>
          <w:szCs w:val="22"/>
        </w:rPr>
        <w:t>Makroekonomiskās attīstības scenārija riski</w:t>
      </w:r>
    </w:p>
    <w:p w14:paraId="427BEC3A" w14:textId="3A2825D3" w:rsidR="00537EDC" w:rsidRPr="00DF1711" w:rsidRDefault="00537EDC" w:rsidP="00537EDC">
      <w:pPr>
        <w:spacing w:before="120"/>
        <w:ind w:firstLine="567"/>
        <w:rPr>
          <w:rFonts w:eastAsia="Calibri"/>
          <w:szCs w:val="22"/>
        </w:rPr>
      </w:pPr>
      <w:r w:rsidRPr="00DF1711">
        <w:rPr>
          <w:rFonts w:eastAsia="Calibri"/>
          <w:szCs w:val="22"/>
        </w:rPr>
        <w:t xml:space="preserve">Izstrādājot makroekonomisko rādītāju prognozes, </w:t>
      </w:r>
      <w:r w:rsidR="006A5E95">
        <w:rPr>
          <w:rFonts w:eastAsia="Calibri"/>
          <w:szCs w:val="22"/>
        </w:rPr>
        <w:t>FM</w:t>
      </w:r>
      <w:r w:rsidRPr="00DF1711">
        <w:rPr>
          <w:rFonts w:eastAsia="Calibri"/>
          <w:szCs w:val="22"/>
        </w:rPr>
        <w:t xml:space="preserve"> balstījās uz konservatīviem pieņēmumiem. Jāatzīmē, ka nenoteiktība ap </w:t>
      </w:r>
      <w:r>
        <w:rPr>
          <w:rFonts w:eastAsia="Calibri"/>
          <w:szCs w:val="22"/>
        </w:rPr>
        <w:t>Covid</w:t>
      </w:r>
      <w:r>
        <w:rPr>
          <w:rFonts w:eastAsia="Calibri"/>
          <w:szCs w:val="22"/>
        </w:rPr>
        <w:noBreakHyphen/>
        <w:t>19</w:t>
      </w:r>
      <w:r w:rsidRPr="00DF1711">
        <w:rPr>
          <w:rFonts w:eastAsia="Calibri"/>
          <w:szCs w:val="22"/>
        </w:rPr>
        <w:t xml:space="preserve"> izplatību saglabājas augsta un ekonomikas izaugsme var izrādīties gan straujāka, gan lēnāka, nekā paredz bāzes scenārija prognoze, tomēr prognožu riski pārsvarā ir lejupvērsti.</w:t>
      </w:r>
    </w:p>
    <w:p w14:paraId="27225167" w14:textId="77777777" w:rsidR="00537EDC" w:rsidRPr="00DF1711" w:rsidRDefault="00537EDC" w:rsidP="00537EDC">
      <w:pPr>
        <w:spacing w:before="120"/>
        <w:ind w:firstLine="567"/>
        <w:rPr>
          <w:rFonts w:eastAsia="Calibri"/>
          <w:szCs w:val="22"/>
        </w:rPr>
      </w:pPr>
      <w:r w:rsidRPr="00DF1711">
        <w:rPr>
          <w:rFonts w:eastAsia="Calibri"/>
          <w:szCs w:val="22"/>
        </w:rPr>
        <w:t xml:space="preserve">Būtiskākais negatīvais risks ir </w:t>
      </w:r>
      <w:r>
        <w:rPr>
          <w:rFonts w:eastAsia="Calibri"/>
          <w:szCs w:val="22"/>
        </w:rPr>
        <w:t>Covid</w:t>
      </w:r>
      <w:r>
        <w:rPr>
          <w:rFonts w:eastAsia="Calibri"/>
          <w:szCs w:val="22"/>
        </w:rPr>
        <w:noBreakHyphen/>
        <w:t>19</w:t>
      </w:r>
      <w:r w:rsidRPr="00DF1711">
        <w:rPr>
          <w:rFonts w:eastAsia="Calibri"/>
          <w:szCs w:val="22"/>
        </w:rPr>
        <w:t xml:space="preserve"> nākamais uzliesmojums Eiropā un Latvijā, ko varētu izraisīt jaunais Indijas jeb delta vīrusa paveids. Pieaugot mirstībai, tas var radīt nepieciešamību pēc jauniem, vēl spēcīgākiem ierobežojošajiem pasākumiem. Turklāt ekonomiskās stimulēšanas ietekmē kapacitātes trūkums būvniecības nozarē var izraisīt strauju cenu kāpumu, nenodrošinot investīciju gaidīto pozitīvo devumu ekonomikas izaugsmē. Lai arī neliels, tomēr pastāv risks, kas saistīts ar politisko nestabilitāti dažās kaimiņvalstīs, un var straujāk mazināt jau tā zemos kravu tranzīta apjomus.</w:t>
      </w:r>
    </w:p>
    <w:p w14:paraId="6A999835" w14:textId="77777777" w:rsidR="00537EDC" w:rsidRPr="00DF1711" w:rsidRDefault="00537EDC" w:rsidP="00537EDC">
      <w:pPr>
        <w:spacing w:before="120"/>
        <w:ind w:firstLine="567"/>
        <w:rPr>
          <w:rFonts w:eastAsia="Calibri"/>
          <w:szCs w:val="22"/>
        </w:rPr>
      </w:pPr>
      <w:r w:rsidRPr="00DF1711">
        <w:rPr>
          <w:rFonts w:eastAsia="Calibri"/>
          <w:szCs w:val="22"/>
        </w:rPr>
        <w:t>Vienlaikus pastāv arī pozitīvie riski, kas var nodrošināt straujāku ekonomiskās izaugsmes atjaunošanos Latvijā, ja ekonomikas izaugsme pasaulē un Latvijas tirdzniecības partnervalstīs atjaunojas straujāk nekā prognozēts. Ekonomisko aktivitāti stimulēs ES fondu investīcijas 2021-2027</w:t>
      </w:r>
      <w:r>
        <w:rPr>
          <w:rFonts w:eastAsia="Calibri"/>
          <w:szCs w:val="22"/>
        </w:rPr>
        <w:t>. gad</w:t>
      </w:r>
      <w:r w:rsidRPr="00DF1711">
        <w:rPr>
          <w:rFonts w:eastAsia="Calibri"/>
          <w:szCs w:val="22"/>
        </w:rPr>
        <w:t xml:space="preserve">a plānošanas periodā, it sevišķi Eiropas Atveseļošanas un noturības mehānisma īstenošana un </w:t>
      </w:r>
      <w:proofErr w:type="spellStart"/>
      <w:r w:rsidRPr="007C2E86">
        <w:rPr>
          <w:rFonts w:eastAsia="Calibri"/>
          <w:i/>
          <w:szCs w:val="22"/>
        </w:rPr>
        <w:t>RailBaltica</w:t>
      </w:r>
      <w:proofErr w:type="spellEnd"/>
      <w:r w:rsidRPr="00DF1711">
        <w:rPr>
          <w:rFonts w:eastAsia="Calibri"/>
          <w:szCs w:val="22"/>
        </w:rPr>
        <w:t xml:space="preserve"> projekta realizācija. Tāpat iespējams arī straujāks privātā patēriņa kāpums Latvijā, ko var nodrošināt mājsaimniecību uzkrājumu pieaugums pēdējos gados.</w:t>
      </w:r>
    </w:p>
    <w:p w14:paraId="3FD7A161" w14:textId="0427918C" w:rsidR="00EF1D74" w:rsidRDefault="00EF1D74" w:rsidP="00EF1D74">
      <w:pPr>
        <w:keepNext/>
        <w:keepLines/>
        <w:spacing w:before="240" w:after="240"/>
        <w:ind w:firstLine="0"/>
        <w:jc w:val="center"/>
        <w:outlineLvl w:val="1"/>
        <w:rPr>
          <w:b/>
          <w:sz w:val="36"/>
          <w:szCs w:val="36"/>
        </w:rPr>
      </w:pPr>
      <w:r w:rsidRPr="00EF1D74">
        <w:rPr>
          <w:b/>
          <w:sz w:val="36"/>
          <w:szCs w:val="36"/>
        </w:rPr>
        <w:t>1.5. Jūtīguma analīze</w:t>
      </w:r>
    </w:p>
    <w:p w14:paraId="6E8575A0" w14:textId="3EB8295D" w:rsidR="0033217F" w:rsidRPr="00DF1711" w:rsidRDefault="0033217F" w:rsidP="0033217F">
      <w:pPr>
        <w:spacing w:before="120"/>
        <w:ind w:firstLine="567"/>
        <w:rPr>
          <w:rFonts w:eastAsia="Calibri"/>
          <w:szCs w:val="22"/>
        </w:rPr>
      </w:pPr>
      <w:r w:rsidRPr="00DF1711">
        <w:rPr>
          <w:rFonts w:eastAsia="Calibri"/>
          <w:szCs w:val="22"/>
        </w:rPr>
        <w:t xml:space="preserve">Ņemot vērā iespējamos pozitīvos un negatīvos riskus ekonomikas izaugsmei, </w:t>
      </w:r>
      <w:r>
        <w:rPr>
          <w:rFonts w:eastAsia="Calibri"/>
          <w:szCs w:val="22"/>
        </w:rPr>
        <w:t>FM</w:t>
      </w:r>
      <w:r w:rsidRPr="00DF1711">
        <w:rPr>
          <w:rFonts w:eastAsia="Calibri"/>
          <w:szCs w:val="22"/>
        </w:rPr>
        <w:t xml:space="preserve"> ir izstrādājusi divus alternatīvus ekonomikas attīstības scenārijus laika posmam no 2021. līdz 2024</w:t>
      </w:r>
      <w:r>
        <w:rPr>
          <w:rFonts w:eastAsia="Calibri"/>
          <w:szCs w:val="22"/>
        </w:rPr>
        <w:t>. gad</w:t>
      </w:r>
      <w:r w:rsidRPr="00DF1711">
        <w:rPr>
          <w:rFonts w:eastAsia="Calibri"/>
          <w:szCs w:val="22"/>
        </w:rPr>
        <w:t>am, kad realizētos viens vai vairāki no iepriekšminētajiem riskiem. Šajos scenārijos ir modelēta šo risku realizēšanās ietekme uz dažādiem makroekonomiskajiem rādītājiem un budžeta ieņēmumiem.</w:t>
      </w:r>
    </w:p>
    <w:p w14:paraId="775A9FDD" w14:textId="3A17A928" w:rsidR="00EF1D74" w:rsidRDefault="00EF1D74" w:rsidP="00EF1D74">
      <w:pPr>
        <w:keepNext/>
        <w:keepLines/>
        <w:spacing w:before="240" w:after="240" w:line="259" w:lineRule="auto"/>
        <w:ind w:firstLine="0"/>
        <w:jc w:val="center"/>
        <w:outlineLvl w:val="2"/>
        <w:rPr>
          <w:b/>
          <w:sz w:val="32"/>
          <w:szCs w:val="32"/>
        </w:rPr>
      </w:pPr>
      <w:r w:rsidRPr="00EF1D74">
        <w:rPr>
          <w:b/>
          <w:sz w:val="32"/>
          <w:szCs w:val="32"/>
        </w:rPr>
        <w:t>1.5.1. Optimistiskais scenārijs</w:t>
      </w:r>
    </w:p>
    <w:p w14:paraId="5286BE2D" w14:textId="77777777" w:rsidR="0033217F" w:rsidRPr="00DF1711" w:rsidRDefault="0033217F" w:rsidP="0033217F">
      <w:pPr>
        <w:spacing w:before="120"/>
        <w:ind w:firstLine="567"/>
        <w:rPr>
          <w:rFonts w:eastAsia="Calibri"/>
          <w:szCs w:val="22"/>
        </w:rPr>
      </w:pPr>
      <w:r w:rsidRPr="00DF1711">
        <w:rPr>
          <w:rFonts w:eastAsia="Calibri"/>
          <w:szCs w:val="22"/>
        </w:rPr>
        <w:t>Optimistiskā scenārija galvenais p</w:t>
      </w:r>
      <w:r>
        <w:rPr>
          <w:rFonts w:eastAsia="Calibri"/>
          <w:szCs w:val="22"/>
        </w:rPr>
        <w:t>amats ir straujāka</w:t>
      </w:r>
      <w:r w:rsidRPr="00DF1711">
        <w:rPr>
          <w:rFonts w:eastAsia="Calibri"/>
          <w:szCs w:val="22"/>
        </w:rPr>
        <w:t xml:space="preserve"> nekā pamata scenārijā, ekonomiskā izaugsme, pieņemot, ka līdz gada beigām nebūs vajadzības ieviest dažādos </w:t>
      </w:r>
      <w:r>
        <w:rPr>
          <w:rFonts w:eastAsia="Calibri"/>
          <w:szCs w:val="22"/>
        </w:rPr>
        <w:t>Covid</w:t>
      </w:r>
      <w:r>
        <w:rPr>
          <w:rFonts w:eastAsia="Calibri"/>
          <w:szCs w:val="22"/>
        </w:rPr>
        <w:noBreakHyphen/>
        <w:t>19</w:t>
      </w:r>
      <w:r w:rsidRPr="00DF1711">
        <w:rPr>
          <w:rFonts w:eastAsia="Calibri"/>
          <w:szCs w:val="22"/>
        </w:rPr>
        <w:t xml:space="preserve"> ierobežojumus, proti, pandēmijas gaita būs kontrolēta un neradīs papildus slogu nedz veselības sistēmai, nedz ekonomikai kopumā. Līdz ar to būtiski uzlabosies patērētāju un uzņēmēju noskaņojums, un to pieaugusī aktivitāte stimulē</w:t>
      </w:r>
      <w:r>
        <w:rPr>
          <w:rFonts w:eastAsia="Calibri"/>
          <w:szCs w:val="22"/>
        </w:rPr>
        <w:t>s</w:t>
      </w:r>
      <w:r w:rsidRPr="00DF1711">
        <w:rPr>
          <w:rFonts w:eastAsia="Calibri"/>
          <w:szCs w:val="22"/>
        </w:rPr>
        <w:t xml:space="preserve"> iekšzemes patēriņu.</w:t>
      </w:r>
    </w:p>
    <w:p w14:paraId="163AB3D8" w14:textId="77777777" w:rsidR="0033217F" w:rsidRPr="00DF1711" w:rsidRDefault="0033217F" w:rsidP="0033217F">
      <w:pPr>
        <w:spacing w:before="120"/>
        <w:ind w:firstLine="567"/>
        <w:rPr>
          <w:rFonts w:eastAsia="Calibri"/>
          <w:szCs w:val="22"/>
        </w:rPr>
      </w:pPr>
      <w:r w:rsidRPr="00DF1711">
        <w:rPr>
          <w:rFonts w:eastAsia="Calibri"/>
          <w:szCs w:val="22"/>
        </w:rPr>
        <w:t>Šis scenārijs paredz, ka arī situācija tirdzniecības partnervalstīs būs labāka nekā prognozēts pavasarī, dodot papildus stimulu eksportam. Turklāt tādā gadījumā straujāk attīstīsies arī ar tūrismu saistītā</w:t>
      </w:r>
      <w:r>
        <w:rPr>
          <w:rFonts w:eastAsia="Calibri"/>
          <w:szCs w:val="22"/>
        </w:rPr>
        <w:t>s nozares. A</w:t>
      </w:r>
      <w:r w:rsidRPr="00DF1711">
        <w:rPr>
          <w:rFonts w:eastAsia="Calibri"/>
          <w:szCs w:val="22"/>
        </w:rPr>
        <w:t>rī š</w:t>
      </w:r>
      <w:r>
        <w:rPr>
          <w:rFonts w:eastAsia="Calibri"/>
          <w:szCs w:val="22"/>
        </w:rPr>
        <w:t>ā</w:t>
      </w:r>
      <w:r w:rsidRPr="00DF1711">
        <w:rPr>
          <w:rFonts w:eastAsia="Calibri"/>
          <w:szCs w:val="22"/>
        </w:rPr>
        <w:t xml:space="preserve"> gada vasaras vidū novērotais izejvielu cenu pieaugums stimulēs piedāvājuma pieaugumu, cerot uz labāku peļņu; tas kopumā veicinās eksporta izaugsmi. Valdības patēriņa pieaugums 2021</w:t>
      </w:r>
      <w:r>
        <w:rPr>
          <w:rFonts w:eastAsia="Calibri"/>
          <w:szCs w:val="22"/>
        </w:rPr>
        <w:t>. gad</w:t>
      </w:r>
      <w:r w:rsidRPr="00DF1711">
        <w:rPr>
          <w:rFonts w:eastAsia="Calibri"/>
          <w:szCs w:val="22"/>
        </w:rPr>
        <w:t>a otrajā ceturksnī būtiski pārspēja prognozi, izdevumu veselībai un pabalstu dēļ, kas atstās pozitīvu bāzes efektu uz šo gadu un nedaudz arī uz 2022</w:t>
      </w:r>
      <w:r>
        <w:rPr>
          <w:rFonts w:eastAsia="Calibri"/>
          <w:szCs w:val="22"/>
        </w:rPr>
        <w:t>. gad</w:t>
      </w:r>
      <w:r w:rsidRPr="00DF1711">
        <w:rPr>
          <w:rFonts w:eastAsia="Calibri"/>
          <w:szCs w:val="22"/>
        </w:rPr>
        <w:t>u.</w:t>
      </w:r>
      <w:r>
        <w:rPr>
          <w:rFonts w:eastAsia="Calibri"/>
          <w:szCs w:val="22"/>
        </w:rPr>
        <w:t xml:space="preserve"> Savukārt 2023. un 2024. gadu ekonomikas attīstība atbilstu bāzes scenārija pieauguma tempiem.</w:t>
      </w:r>
    </w:p>
    <w:p w14:paraId="651223BB" w14:textId="77777777" w:rsidR="0033217F" w:rsidRPr="00DF1711" w:rsidRDefault="0033217F" w:rsidP="0033217F">
      <w:pPr>
        <w:spacing w:before="120"/>
        <w:ind w:firstLine="567"/>
        <w:rPr>
          <w:rFonts w:eastAsia="Calibri"/>
          <w:szCs w:val="22"/>
        </w:rPr>
      </w:pPr>
      <w:r w:rsidRPr="00DF1711">
        <w:rPr>
          <w:rFonts w:eastAsia="Calibri"/>
          <w:szCs w:val="22"/>
        </w:rPr>
        <w:lastRenderedPageBreak/>
        <w:t xml:space="preserve">Lai arī </w:t>
      </w:r>
      <w:r>
        <w:rPr>
          <w:rFonts w:eastAsia="Calibri"/>
          <w:szCs w:val="22"/>
        </w:rPr>
        <w:t xml:space="preserve">izaugsme </w:t>
      </w:r>
      <w:r w:rsidRPr="00DF1711">
        <w:rPr>
          <w:rFonts w:eastAsia="Calibri"/>
          <w:szCs w:val="22"/>
        </w:rPr>
        <w:t>bija gaidāma, tomēr 2021</w:t>
      </w:r>
      <w:r>
        <w:rPr>
          <w:rFonts w:eastAsia="Calibri"/>
          <w:szCs w:val="22"/>
        </w:rPr>
        <w:t>. gad</w:t>
      </w:r>
      <w:r w:rsidRPr="00DF1711">
        <w:rPr>
          <w:rFonts w:eastAsia="Calibri"/>
          <w:szCs w:val="22"/>
        </w:rPr>
        <w:t>a 2. ceturksnī IKP negaidīti uzrā</w:t>
      </w:r>
      <w:r>
        <w:rPr>
          <w:rFonts w:eastAsia="Calibri"/>
          <w:szCs w:val="22"/>
        </w:rPr>
        <w:t>dīja straujāku – 11% pieaugumu gada izteiksmē</w:t>
      </w:r>
      <w:r w:rsidRPr="00DF1711">
        <w:rPr>
          <w:rFonts w:eastAsia="Calibri"/>
          <w:szCs w:val="22"/>
        </w:rPr>
        <w:t>. Tam būs pozitīvs bāzes efekts uz izaugsmes statistiku, 2021</w:t>
      </w:r>
      <w:r>
        <w:rPr>
          <w:rFonts w:eastAsia="Calibri"/>
          <w:szCs w:val="22"/>
        </w:rPr>
        <w:t>. gad</w:t>
      </w:r>
      <w:r w:rsidRPr="00DF1711">
        <w:rPr>
          <w:rFonts w:eastAsia="Calibri"/>
          <w:szCs w:val="22"/>
        </w:rPr>
        <w:t>ā nodrošinot, ka IKP pieaugums būtu 4,7% apmērā, kas ir par 1 procentpunktu vairāk nekā bāzes scenārijā, un par 0,2 procentpunktiem labāku 2022</w:t>
      </w:r>
      <w:r>
        <w:rPr>
          <w:rFonts w:eastAsia="Calibri"/>
          <w:szCs w:val="22"/>
        </w:rPr>
        <w:t>. gad</w:t>
      </w:r>
      <w:r w:rsidRPr="00DF1711">
        <w:rPr>
          <w:rFonts w:eastAsia="Calibri"/>
          <w:szCs w:val="22"/>
        </w:rPr>
        <w:t>a izaugsmi, kas sasniegtu 5,</w:t>
      </w:r>
      <w:r>
        <w:rPr>
          <w:rFonts w:eastAsia="Calibri"/>
          <w:szCs w:val="22"/>
        </w:rPr>
        <w:t>2%, turpmākajos gados atgriežoties pie potenciālā izaugsmes tempa.</w:t>
      </w:r>
    </w:p>
    <w:p w14:paraId="03F1BAF8" w14:textId="77777777" w:rsidR="0033217F" w:rsidRPr="00DF1711" w:rsidRDefault="0033217F" w:rsidP="0033217F">
      <w:pPr>
        <w:spacing w:before="120"/>
        <w:ind w:firstLine="567"/>
        <w:rPr>
          <w:rFonts w:eastAsia="Calibri"/>
          <w:szCs w:val="22"/>
        </w:rPr>
      </w:pPr>
      <w:r w:rsidRPr="00DF1711">
        <w:rPr>
          <w:rFonts w:eastAsia="Calibri"/>
          <w:szCs w:val="22"/>
        </w:rPr>
        <w:t>Straujāka ekonomiskā aktivitāte atstās pozitīvu ietekmi uz darba algas pieaugumu un nodarbinātību. Paredzams, ka bezdarba līmenis varētu vēl samazināties līdz 7,7% (bāzes scenārijā 7,9%). Savukārt mēneša vidējās bruto darba samaksas pieaugums 2021. un 2022</w:t>
      </w:r>
      <w:r>
        <w:rPr>
          <w:rFonts w:eastAsia="Calibri"/>
          <w:szCs w:val="22"/>
        </w:rPr>
        <w:t>. gad</w:t>
      </w:r>
      <w:r w:rsidRPr="00DF1711">
        <w:rPr>
          <w:rFonts w:eastAsia="Calibri"/>
          <w:szCs w:val="22"/>
        </w:rPr>
        <w:t>ā attiecīgi būtu par 1</w:t>
      </w:r>
      <w:r>
        <w:rPr>
          <w:rFonts w:eastAsia="Calibri"/>
          <w:szCs w:val="22"/>
        </w:rPr>
        <w:t>,0</w:t>
      </w:r>
      <w:r w:rsidRPr="00DF1711">
        <w:rPr>
          <w:rFonts w:eastAsia="Calibri"/>
          <w:szCs w:val="22"/>
        </w:rPr>
        <w:t xml:space="preserve"> un 0,1 procentpunktu straujāks nekā bāzes scenārijā, un pieaugot par attiecīgi 9% un 6,1%. Šo faktoru ietekmē pieaugtu privātais patēriņš, bet relatīvi lielāku pieaugumu</w:t>
      </w:r>
      <w:r>
        <w:rPr>
          <w:rFonts w:eastAsia="Calibri"/>
          <w:szCs w:val="22"/>
        </w:rPr>
        <w:t xml:space="preserve"> tas</w:t>
      </w:r>
      <w:r w:rsidRPr="00DF1711">
        <w:rPr>
          <w:rFonts w:eastAsia="Calibri"/>
          <w:szCs w:val="22"/>
        </w:rPr>
        <w:t xml:space="preserve"> uzrādītu 2022</w:t>
      </w:r>
      <w:r>
        <w:rPr>
          <w:rFonts w:eastAsia="Calibri"/>
          <w:szCs w:val="22"/>
        </w:rPr>
        <w:t>. gad</w:t>
      </w:r>
      <w:r w:rsidRPr="00DF1711">
        <w:rPr>
          <w:rFonts w:eastAsia="Calibri"/>
          <w:szCs w:val="22"/>
        </w:rPr>
        <w:t xml:space="preserve">ā, kad pilnībā izzustu </w:t>
      </w:r>
      <w:r>
        <w:rPr>
          <w:rFonts w:eastAsia="Calibri"/>
          <w:szCs w:val="22"/>
        </w:rPr>
        <w:t>Covid</w:t>
      </w:r>
      <w:r>
        <w:rPr>
          <w:rFonts w:eastAsia="Calibri"/>
          <w:szCs w:val="22"/>
        </w:rPr>
        <w:noBreakHyphen/>
        <w:t>19</w:t>
      </w:r>
      <w:r w:rsidRPr="00DF1711">
        <w:rPr>
          <w:rFonts w:eastAsia="Calibri"/>
          <w:szCs w:val="22"/>
        </w:rPr>
        <w:t xml:space="preserve"> ierobežojumu psiholoģiskā ietekme. Tād</w:t>
      </w:r>
      <w:r>
        <w:rPr>
          <w:rFonts w:eastAsia="Calibri"/>
          <w:szCs w:val="22"/>
        </w:rPr>
        <w:t>ējādi</w:t>
      </w:r>
      <w:r w:rsidRPr="00DF1711">
        <w:rPr>
          <w:rFonts w:eastAsia="Calibri"/>
          <w:szCs w:val="22"/>
        </w:rPr>
        <w:t xml:space="preserve"> šajā gadā privātā patēriņa pieaugums varētu sasniegt 4%, kas ir 1,4 procentpunktu straujāk nekā bāzes scenārijā.</w:t>
      </w:r>
    </w:p>
    <w:p w14:paraId="6B9E5D23" w14:textId="77777777" w:rsidR="0033217F" w:rsidRPr="00DF1711" w:rsidRDefault="0033217F" w:rsidP="0033217F">
      <w:pPr>
        <w:spacing w:before="120"/>
        <w:ind w:firstLine="567"/>
        <w:rPr>
          <w:rFonts w:eastAsia="Calibri"/>
          <w:szCs w:val="22"/>
        </w:rPr>
      </w:pPr>
      <w:r w:rsidRPr="00DF1711">
        <w:rPr>
          <w:rFonts w:eastAsia="Calibri"/>
          <w:szCs w:val="22"/>
        </w:rPr>
        <w:t>Sākot ar 2022</w:t>
      </w:r>
      <w:r>
        <w:rPr>
          <w:rFonts w:eastAsia="Calibri"/>
          <w:szCs w:val="22"/>
        </w:rPr>
        <w:t>. gad</w:t>
      </w:r>
      <w:r w:rsidRPr="00DF1711">
        <w:rPr>
          <w:rFonts w:eastAsia="Calibri"/>
          <w:szCs w:val="22"/>
        </w:rPr>
        <w:t xml:space="preserve">u ļoti nozīmīgs būs ES finansēto investīciju ieplūdes pieaugums. Līdz ar to gaidāms, ka bruto pamatkapitāla veidošana varētu pieaugt par 10% jeb par 1,5 procentpunktiem vairāk nekā bāzes scenārijā. To nodrošinās Eiropas Atveseļošanās un noturības mehānisma un </w:t>
      </w:r>
      <w:proofErr w:type="spellStart"/>
      <w:r w:rsidRPr="007C2E86">
        <w:rPr>
          <w:rFonts w:eastAsia="Calibri"/>
          <w:i/>
          <w:szCs w:val="22"/>
        </w:rPr>
        <w:t>RailBaltica</w:t>
      </w:r>
      <w:proofErr w:type="spellEnd"/>
      <w:r w:rsidRPr="00DF1711">
        <w:rPr>
          <w:rFonts w:eastAsia="Calibri"/>
          <w:szCs w:val="22"/>
        </w:rPr>
        <w:t xml:space="preserve"> realizācijas paredzētais finansējums, kas kopā ar ES struktūrfondiem nodrošinās ap 1,2 miljardu </w:t>
      </w:r>
      <w:proofErr w:type="spellStart"/>
      <w:r w:rsidRPr="00EA423D">
        <w:rPr>
          <w:rFonts w:eastAsia="Calibri"/>
          <w:i/>
          <w:szCs w:val="22"/>
        </w:rPr>
        <w:t>euro</w:t>
      </w:r>
      <w:proofErr w:type="spellEnd"/>
      <w:r>
        <w:rPr>
          <w:rFonts w:eastAsia="Calibri"/>
          <w:szCs w:val="22"/>
        </w:rPr>
        <w:t xml:space="preserve"> investīcijas</w:t>
      </w:r>
      <w:r w:rsidRPr="00DF1711">
        <w:rPr>
          <w:rFonts w:eastAsia="Calibri"/>
          <w:szCs w:val="22"/>
        </w:rPr>
        <w:t>, un aptuveni 1,5 un 1,6 miljardu </w:t>
      </w:r>
      <w:proofErr w:type="spellStart"/>
      <w:r w:rsidRPr="00EA423D">
        <w:rPr>
          <w:rFonts w:eastAsia="Calibri"/>
          <w:i/>
          <w:szCs w:val="22"/>
        </w:rPr>
        <w:t>euro</w:t>
      </w:r>
      <w:proofErr w:type="spellEnd"/>
      <w:r w:rsidRPr="00DF1711">
        <w:rPr>
          <w:rFonts w:eastAsia="Calibri"/>
          <w:szCs w:val="22"/>
        </w:rPr>
        <w:t xml:space="preserve"> </w:t>
      </w:r>
      <w:r>
        <w:rPr>
          <w:rFonts w:eastAsia="Calibri"/>
          <w:szCs w:val="22"/>
        </w:rPr>
        <w:t xml:space="preserve">investīcijas </w:t>
      </w:r>
      <w:r w:rsidRPr="00DF1711">
        <w:rPr>
          <w:rFonts w:eastAsia="Calibri"/>
          <w:szCs w:val="22"/>
        </w:rPr>
        <w:t>attiecīgi 2023. un 2024</w:t>
      </w:r>
      <w:r>
        <w:rPr>
          <w:rFonts w:eastAsia="Calibri"/>
          <w:szCs w:val="22"/>
        </w:rPr>
        <w:t>. gad</w:t>
      </w:r>
      <w:r w:rsidRPr="00DF1711">
        <w:rPr>
          <w:rFonts w:eastAsia="Calibri"/>
          <w:szCs w:val="22"/>
        </w:rPr>
        <w:t>ā.</w:t>
      </w:r>
    </w:p>
    <w:p w14:paraId="3567E587" w14:textId="77777777" w:rsidR="0033217F" w:rsidRDefault="0033217F" w:rsidP="00A05204">
      <w:pPr>
        <w:pStyle w:val="Tabulasvirsraksts"/>
        <w:keepNext/>
        <w:spacing w:before="120" w:after="120"/>
      </w:pPr>
      <w:r w:rsidRPr="003A7AC0">
        <w:rPr>
          <w:i/>
        </w:rPr>
        <w:t>1.8. tabula</w:t>
      </w:r>
      <w:r w:rsidRPr="00A4102E">
        <w:t xml:space="preserve"> Optimistiskais makroekonomisko rādītāju attīstības scenārijs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11"/>
        <w:gridCol w:w="1090"/>
        <w:gridCol w:w="1090"/>
        <w:gridCol w:w="1090"/>
        <w:gridCol w:w="1090"/>
        <w:gridCol w:w="1090"/>
      </w:tblGrid>
      <w:tr w:rsidR="0033217F" w:rsidRPr="00A56A8F" w14:paraId="6690FBB7" w14:textId="77777777" w:rsidTr="000065DF">
        <w:trPr>
          <w:trHeight w:val="300"/>
          <w:jc w:val="center"/>
        </w:trPr>
        <w:tc>
          <w:tcPr>
            <w:tcW w:w="3306" w:type="dxa"/>
            <w:vMerge w:val="restart"/>
            <w:shd w:val="clear" w:color="auto" w:fill="auto"/>
            <w:noWrap/>
            <w:vAlign w:val="center"/>
            <w:hideMark/>
          </w:tcPr>
          <w:p w14:paraId="6DDD2F67" w14:textId="77777777" w:rsidR="0033217F" w:rsidRPr="00A56A8F" w:rsidRDefault="0033217F" w:rsidP="000065DF">
            <w:pPr>
              <w:spacing w:after="0"/>
              <w:rPr>
                <w:sz w:val="18"/>
                <w:szCs w:val="18"/>
                <w:lang w:eastAsia="lv-LV"/>
              </w:rPr>
            </w:pPr>
          </w:p>
        </w:tc>
        <w:tc>
          <w:tcPr>
            <w:tcW w:w="998" w:type="dxa"/>
            <w:shd w:val="clear" w:color="auto" w:fill="auto"/>
            <w:noWrap/>
            <w:vAlign w:val="center"/>
            <w:hideMark/>
          </w:tcPr>
          <w:p w14:paraId="59706792" w14:textId="77777777" w:rsidR="0033217F" w:rsidRPr="00A56A8F" w:rsidRDefault="0033217F" w:rsidP="0033217F">
            <w:pPr>
              <w:spacing w:after="0"/>
              <w:ind w:firstLine="0"/>
              <w:jc w:val="center"/>
              <w:rPr>
                <w:b/>
                <w:sz w:val="18"/>
                <w:szCs w:val="18"/>
                <w:lang w:eastAsia="lv-LV"/>
              </w:rPr>
            </w:pPr>
            <w:r w:rsidRPr="00A56A8F">
              <w:rPr>
                <w:b/>
                <w:sz w:val="18"/>
                <w:szCs w:val="18"/>
                <w:lang w:eastAsia="lv-LV"/>
              </w:rPr>
              <w:t>2020</w:t>
            </w:r>
          </w:p>
        </w:tc>
        <w:tc>
          <w:tcPr>
            <w:tcW w:w="998" w:type="dxa"/>
            <w:shd w:val="clear" w:color="auto" w:fill="F2F2F2" w:themeFill="background1" w:themeFillShade="F2"/>
            <w:noWrap/>
            <w:vAlign w:val="center"/>
          </w:tcPr>
          <w:p w14:paraId="48422E45" w14:textId="77777777" w:rsidR="0033217F" w:rsidRPr="00A56A8F" w:rsidRDefault="0033217F" w:rsidP="0033217F">
            <w:pPr>
              <w:spacing w:after="0"/>
              <w:ind w:firstLine="0"/>
              <w:jc w:val="center"/>
              <w:rPr>
                <w:b/>
                <w:sz w:val="18"/>
                <w:szCs w:val="18"/>
                <w:lang w:eastAsia="lv-LV"/>
              </w:rPr>
            </w:pPr>
            <w:r w:rsidRPr="00A56A8F">
              <w:rPr>
                <w:b/>
                <w:sz w:val="18"/>
                <w:szCs w:val="18"/>
                <w:lang w:eastAsia="lv-LV"/>
              </w:rPr>
              <w:t>2021</w:t>
            </w:r>
          </w:p>
        </w:tc>
        <w:tc>
          <w:tcPr>
            <w:tcW w:w="998" w:type="dxa"/>
            <w:shd w:val="clear" w:color="auto" w:fill="F2F2F2" w:themeFill="background1" w:themeFillShade="F2"/>
            <w:noWrap/>
            <w:vAlign w:val="center"/>
          </w:tcPr>
          <w:p w14:paraId="2DF5EBED" w14:textId="77777777" w:rsidR="0033217F" w:rsidRPr="00A56A8F" w:rsidRDefault="0033217F" w:rsidP="0033217F">
            <w:pPr>
              <w:spacing w:after="0"/>
              <w:ind w:firstLine="0"/>
              <w:jc w:val="center"/>
              <w:rPr>
                <w:b/>
                <w:sz w:val="18"/>
                <w:szCs w:val="18"/>
                <w:lang w:eastAsia="lv-LV"/>
              </w:rPr>
            </w:pPr>
            <w:r w:rsidRPr="00A56A8F">
              <w:rPr>
                <w:b/>
                <w:sz w:val="18"/>
                <w:szCs w:val="18"/>
                <w:lang w:eastAsia="lv-LV"/>
              </w:rPr>
              <w:t>2022</w:t>
            </w:r>
          </w:p>
        </w:tc>
        <w:tc>
          <w:tcPr>
            <w:tcW w:w="998" w:type="dxa"/>
            <w:shd w:val="clear" w:color="auto" w:fill="F2F2F2" w:themeFill="background1" w:themeFillShade="F2"/>
            <w:noWrap/>
            <w:vAlign w:val="center"/>
          </w:tcPr>
          <w:p w14:paraId="4E68BB4A" w14:textId="77777777" w:rsidR="0033217F" w:rsidRPr="00A56A8F" w:rsidRDefault="0033217F" w:rsidP="0033217F">
            <w:pPr>
              <w:spacing w:after="0"/>
              <w:ind w:firstLine="0"/>
              <w:jc w:val="center"/>
              <w:rPr>
                <w:b/>
                <w:sz w:val="18"/>
                <w:szCs w:val="18"/>
                <w:lang w:eastAsia="lv-LV"/>
              </w:rPr>
            </w:pPr>
            <w:r w:rsidRPr="00A56A8F">
              <w:rPr>
                <w:b/>
                <w:sz w:val="18"/>
                <w:szCs w:val="18"/>
                <w:lang w:eastAsia="lv-LV"/>
              </w:rPr>
              <w:t>2023</w:t>
            </w:r>
          </w:p>
        </w:tc>
        <w:tc>
          <w:tcPr>
            <w:tcW w:w="998" w:type="dxa"/>
            <w:shd w:val="clear" w:color="auto" w:fill="F2F2F2" w:themeFill="background1" w:themeFillShade="F2"/>
            <w:noWrap/>
            <w:vAlign w:val="center"/>
          </w:tcPr>
          <w:p w14:paraId="22E5D7B5" w14:textId="77777777" w:rsidR="0033217F" w:rsidRPr="00A56A8F" w:rsidRDefault="0033217F" w:rsidP="0033217F">
            <w:pPr>
              <w:spacing w:after="0"/>
              <w:ind w:firstLine="0"/>
              <w:jc w:val="center"/>
              <w:rPr>
                <w:b/>
                <w:sz w:val="18"/>
                <w:szCs w:val="18"/>
                <w:lang w:eastAsia="lv-LV"/>
              </w:rPr>
            </w:pPr>
            <w:r w:rsidRPr="00A56A8F">
              <w:rPr>
                <w:b/>
                <w:sz w:val="18"/>
                <w:szCs w:val="18"/>
                <w:lang w:eastAsia="lv-LV"/>
              </w:rPr>
              <w:t>2024</w:t>
            </w:r>
          </w:p>
        </w:tc>
      </w:tr>
      <w:tr w:rsidR="0033217F" w:rsidRPr="00A56A8F" w14:paraId="4277F849" w14:textId="77777777" w:rsidTr="000065DF">
        <w:trPr>
          <w:trHeight w:val="300"/>
          <w:jc w:val="center"/>
        </w:trPr>
        <w:tc>
          <w:tcPr>
            <w:tcW w:w="3306" w:type="dxa"/>
            <w:vMerge/>
            <w:shd w:val="clear" w:color="auto" w:fill="auto"/>
            <w:noWrap/>
            <w:vAlign w:val="center"/>
          </w:tcPr>
          <w:p w14:paraId="631587D3" w14:textId="77777777" w:rsidR="0033217F" w:rsidRPr="00A56A8F" w:rsidRDefault="0033217F" w:rsidP="000065DF">
            <w:pPr>
              <w:spacing w:after="0"/>
              <w:rPr>
                <w:sz w:val="18"/>
                <w:szCs w:val="18"/>
                <w:lang w:eastAsia="lv-LV"/>
              </w:rPr>
            </w:pPr>
          </w:p>
        </w:tc>
        <w:tc>
          <w:tcPr>
            <w:tcW w:w="998" w:type="dxa"/>
            <w:shd w:val="clear" w:color="auto" w:fill="auto"/>
            <w:noWrap/>
            <w:vAlign w:val="center"/>
          </w:tcPr>
          <w:p w14:paraId="4C089C84" w14:textId="77777777" w:rsidR="0033217F" w:rsidRPr="00A56A8F" w:rsidRDefault="0033217F" w:rsidP="0033217F">
            <w:pPr>
              <w:spacing w:after="0"/>
              <w:ind w:firstLine="0"/>
              <w:jc w:val="center"/>
              <w:rPr>
                <w:sz w:val="18"/>
                <w:szCs w:val="18"/>
                <w:lang w:eastAsia="lv-LV"/>
              </w:rPr>
            </w:pPr>
            <w:r w:rsidRPr="00A56A8F">
              <w:rPr>
                <w:sz w:val="18"/>
                <w:szCs w:val="18"/>
                <w:lang w:eastAsia="lv-LV"/>
              </w:rPr>
              <w:t>fakts</w:t>
            </w:r>
          </w:p>
        </w:tc>
        <w:tc>
          <w:tcPr>
            <w:tcW w:w="3992" w:type="dxa"/>
            <w:gridSpan w:val="4"/>
            <w:shd w:val="clear" w:color="auto" w:fill="F2F2F2" w:themeFill="background1" w:themeFillShade="F2"/>
            <w:noWrap/>
            <w:vAlign w:val="center"/>
          </w:tcPr>
          <w:p w14:paraId="01695F41" w14:textId="77777777" w:rsidR="0033217F" w:rsidRPr="00A56A8F" w:rsidRDefault="0033217F" w:rsidP="0033217F">
            <w:pPr>
              <w:spacing w:after="0"/>
              <w:ind w:firstLine="0"/>
              <w:jc w:val="center"/>
              <w:rPr>
                <w:sz w:val="18"/>
                <w:szCs w:val="18"/>
                <w:lang w:eastAsia="lv-LV"/>
              </w:rPr>
            </w:pPr>
            <w:r w:rsidRPr="00A56A8F">
              <w:rPr>
                <w:sz w:val="18"/>
                <w:szCs w:val="18"/>
                <w:lang w:eastAsia="lv-LV"/>
              </w:rPr>
              <w:t>prognoze</w:t>
            </w:r>
          </w:p>
        </w:tc>
      </w:tr>
      <w:tr w:rsidR="0033217F" w:rsidRPr="00A56A8F" w14:paraId="3D261CAC" w14:textId="77777777" w:rsidTr="000065DF">
        <w:trPr>
          <w:trHeight w:val="300"/>
          <w:jc w:val="center"/>
        </w:trPr>
        <w:tc>
          <w:tcPr>
            <w:tcW w:w="3306" w:type="dxa"/>
            <w:shd w:val="clear" w:color="auto" w:fill="auto"/>
            <w:noWrap/>
            <w:vAlign w:val="center"/>
            <w:hideMark/>
          </w:tcPr>
          <w:p w14:paraId="0F7CE0CA" w14:textId="77777777" w:rsidR="0033217F" w:rsidRPr="00A56A8F" w:rsidRDefault="0033217F" w:rsidP="0033217F">
            <w:pPr>
              <w:spacing w:after="0"/>
              <w:ind w:firstLine="0"/>
              <w:rPr>
                <w:sz w:val="18"/>
                <w:szCs w:val="18"/>
                <w:lang w:eastAsia="lv-LV"/>
              </w:rPr>
            </w:pPr>
            <w:r w:rsidRPr="00A56A8F">
              <w:rPr>
                <w:b/>
                <w:noProof/>
                <w:sz w:val="18"/>
                <w:szCs w:val="18"/>
                <w:lang w:eastAsia="lv-LV"/>
              </w:rPr>
              <w:t>Iekšzemes kopprodukts</w:t>
            </w:r>
            <w:r w:rsidRPr="00A56A8F">
              <w:rPr>
                <w:noProof/>
                <w:sz w:val="18"/>
                <w:szCs w:val="18"/>
                <w:lang w:eastAsia="lv-LV"/>
              </w:rPr>
              <w:t xml:space="preserve"> (milj. </w:t>
            </w:r>
            <w:r w:rsidRPr="00A56A8F">
              <w:rPr>
                <w:i/>
                <w:noProof/>
                <w:sz w:val="18"/>
                <w:szCs w:val="18"/>
                <w:lang w:eastAsia="lv-LV"/>
              </w:rPr>
              <w:t>euro</w:t>
            </w:r>
            <w:r w:rsidRPr="00A56A8F">
              <w:rPr>
                <w:noProof/>
                <w:sz w:val="18"/>
                <w:szCs w:val="18"/>
                <w:lang w:eastAsia="lv-LV"/>
              </w:rPr>
              <w:t>)</w:t>
            </w:r>
          </w:p>
        </w:tc>
        <w:tc>
          <w:tcPr>
            <w:tcW w:w="998" w:type="dxa"/>
            <w:shd w:val="clear" w:color="auto" w:fill="auto"/>
            <w:noWrap/>
            <w:tcMar>
              <w:right w:w="170" w:type="dxa"/>
            </w:tcMar>
            <w:vAlign w:val="center"/>
          </w:tcPr>
          <w:p w14:paraId="44C86346" w14:textId="77777777" w:rsidR="0033217F" w:rsidRPr="00A56A8F" w:rsidRDefault="0033217F" w:rsidP="0033217F">
            <w:pPr>
              <w:spacing w:after="0"/>
              <w:ind w:firstLine="0"/>
              <w:jc w:val="right"/>
              <w:rPr>
                <w:sz w:val="18"/>
                <w:szCs w:val="18"/>
                <w:lang w:eastAsia="lv-LV"/>
              </w:rPr>
            </w:pPr>
            <w:r w:rsidRPr="00A56A8F">
              <w:rPr>
                <w:sz w:val="18"/>
                <w:szCs w:val="18"/>
              </w:rPr>
              <w:t>29 334</w:t>
            </w:r>
          </w:p>
        </w:tc>
        <w:tc>
          <w:tcPr>
            <w:tcW w:w="998" w:type="dxa"/>
            <w:shd w:val="clear" w:color="auto" w:fill="F2F2F2" w:themeFill="background1" w:themeFillShade="F2"/>
            <w:noWrap/>
            <w:tcMar>
              <w:right w:w="170" w:type="dxa"/>
            </w:tcMar>
            <w:vAlign w:val="center"/>
          </w:tcPr>
          <w:p w14:paraId="56954F9E" w14:textId="77777777" w:rsidR="0033217F" w:rsidRPr="00A56A8F" w:rsidRDefault="0033217F" w:rsidP="0033217F">
            <w:pPr>
              <w:spacing w:after="0"/>
              <w:ind w:firstLine="0"/>
              <w:jc w:val="right"/>
              <w:rPr>
                <w:sz w:val="18"/>
                <w:szCs w:val="18"/>
                <w:lang w:eastAsia="lv-LV"/>
              </w:rPr>
            </w:pPr>
            <w:r w:rsidRPr="00A56A8F">
              <w:rPr>
                <w:sz w:val="18"/>
                <w:szCs w:val="18"/>
              </w:rPr>
              <w:t>31 947</w:t>
            </w:r>
          </w:p>
        </w:tc>
        <w:tc>
          <w:tcPr>
            <w:tcW w:w="998" w:type="dxa"/>
            <w:shd w:val="clear" w:color="auto" w:fill="F2F2F2" w:themeFill="background1" w:themeFillShade="F2"/>
            <w:noWrap/>
            <w:tcMar>
              <w:right w:w="170" w:type="dxa"/>
            </w:tcMar>
            <w:vAlign w:val="center"/>
          </w:tcPr>
          <w:p w14:paraId="391C3C69" w14:textId="77777777" w:rsidR="0033217F" w:rsidRPr="00A56A8F" w:rsidRDefault="0033217F" w:rsidP="0033217F">
            <w:pPr>
              <w:spacing w:after="0"/>
              <w:ind w:firstLine="0"/>
              <w:jc w:val="right"/>
              <w:rPr>
                <w:sz w:val="18"/>
                <w:szCs w:val="18"/>
                <w:lang w:eastAsia="lv-LV"/>
              </w:rPr>
            </w:pPr>
            <w:r w:rsidRPr="00A56A8F">
              <w:rPr>
                <w:sz w:val="18"/>
                <w:szCs w:val="18"/>
              </w:rPr>
              <w:t>34 841</w:t>
            </w:r>
          </w:p>
        </w:tc>
        <w:tc>
          <w:tcPr>
            <w:tcW w:w="998" w:type="dxa"/>
            <w:shd w:val="clear" w:color="auto" w:fill="F2F2F2" w:themeFill="background1" w:themeFillShade="F2"/>
            <w:noWrap/>
            <w:tcMar>
              <w:right w:w="170" w:type="dxa"/>
            </w:tcMar>
            <w:vAlign w:val="center"/>
          </w:tcPr>
          <w:p w14:paraId="0B466416" w14:textId="77777777" w:rsidR="0033217F" w:rsidRPr="00A56A8F" w:rsidRDefault="0033217F" w:rsidP="0033217F">
            <w:pPr>
              <w:spacing w:after="0"/>
              <w:ind w:firstLine="0"/>
              <w:jc w:val="right"/>
              <w:rPr>
                <w:sz w:val="18"/>
                <w:szCs w:val="18"/>
                <w:lang w:eastAsia="lv-LV"/>
              </w:rPr>
            </w:pPr>
            <w:r w:rsidRPr="00A56A8F">
              <w:rPr>
                <w:sz w:val="18"/>
                <w:szCs w:val="18"/>
              </w:rPr>
              <w:t>36 972</w:t>
            </w:r>
          </w:p>
        </w:tc>
        <w:tc>
          <w:tcPr>
            <w:tcW w:w="998" w:type="dxa"/>
            <w:shd w:val="clear" w:color="auto" w:fill="F2F2F2" w:themeFill="background1" w:themeFillShade="F2"/>
            <w:noWrap/>
            <w:tcMar>
              <w:right w:w="170" w:type="dxa"/>
            </w:tcMar>
            <w:vAlign w:val="center"/>
          </w:tcPr>
          <w:p w14:paraId="267A4E99" w14:textId="77777777" w:rsidR="0033217F" w:rsidRPr="00A56A8F" w:rsidRDefault="0033217F" w:rsidP="0033217F">
            <w:pPr>
              <w:spacing w:after="0"/>
              <w:ind w:firstLine="0"/>
              <w:jc w:val="right"/>
              <w:rPr>
                <w:sz w:val="18"/>
                <w:szCs w:val="18"/>
                <w:lang w:eastAsia="lv-LV"/>
              </w:rPr>
            </w:pPr>
            <w:r w:rsidRPr="00A56A8F">
              <w:rPr>
                <w:sz w:val="18"/>
                <w:szCs w:val="18"/>
              </w:rPr>
              <w:t>38 919</w:t>
            </w:r>
          </w:p>
        </w:tc>
      </w:tr>
      <w:tr w:rsidR="0033217F" w:rsidRPr="00A56A8F" w14:paraId="17B5D556" w14:textId="77777777" w:rsidTr="000065DF">
        <w:trPr>
          <w:trHeight w:val="300"/>
          <w:jc w:val="center"/>
        </w:trPr>
        <w:tc>
          <w:tcPr>
            <w:tcW w:w="3306" w:type="dxa"/>
            <w:shd w:val="clear" w:color="auto" w:fill="auto"/>
            <w:noWrap/>
            <w:vAlign w:val="center"/>
            <w:hideMark/>
          </w:tcPr>
          <w:p w14:paraId="7A26CB32" w14:textId="77777777" w:rsidR="0033217F" w:rsidRPr="00A56A8F" w:rsidRDefault="0033217F" w:rsidP="000065DF">
            <w:pPr>
              <w:spacing w:after="0"/>
              <w:ind w:firstLine="316"/>
              <w:rPr>
                <w:sz w:val="18"/>
                <w:szCs w:val="18"/>
                <w:lang w:eastAsia="lv-LV"/>
              </w:rPr>
            </w:pPr>
            <w:r w:rsidRPr="00A56A8F">
              <w:rPr>
                <w:noProof/>
                <w:sz w:val="18"/>
                <w:szCs w:val="18"/>
                <w:lang w:eastAsia="lv-LV"/>
              </w:rPr>
              <w:t>pieaugums faktiskajās cenās (%)</w:t>
            </w:r>
          </w:p>
        </w:tc>
        <w:tc>
          <w:tcPr>
            <w:tcW w:w="998" w:type="dxa"/>
            <w:shd w:val="clear" w:color="auto" w:fill="auto"/>
            <w:noWrap/>
            <w:tcMar>
              <w:right w:w="170" w:type="dxa"/>
            </w:tcMar>
            <w:vAlign w:val="center"/>
          </w:tcPr>
          <w:p w14:paraId="3D4E3FC4" w14:textId="77777777" w:rsidR="0033217F" w:rsidRPr="00A56A8F" w:rsidRDefault="0033217F" w:rsidP="0033217F">
            <w:pPr>
              <w:spacing w:after="0"/>
              <w:ind w:firstLine="0"/>
              <w:jc w:val="right"/>
              <w:rPr>
                <w:sz w:val="18"/>
                <w:szCs w:val="18"/>
                <w:lang w:eastAsia="lv-LV"/>
              </w:rPr>
            </w:pPr>
            <w:r w:rsidRPr="00A56A8F">
              <w:rPr>
                <w:sz w:val="18"/>
                <w:szCs w:val="18"/>
              </w:rPr>
              <w:t>-3,6</w:t>
            </w:r>
          </w:p>
        </w:tc>
        <w:tc>
          <w:tcPr>
            <w:tcW w:w="998" w:type="dxa"/>
            <w:shd w:val="clear" w:color="auto" w:fill="F2F2F2" w:themeFill="background1" w:themeFillShade="F2"/>
            <w:noWrap/>
            <w:tcMar>
              <w:right w:w="170" w:type="dxa"/>
            </w:tcMar>
            <w:vAlign w:val="center"/>
          </w:tcPr>
          <w:p w14:paraId="7DF10CC1" w14:textId="77777777" w:rsidR="0033217F" w:rsidRPr="00A56A8F" w:rsidRDefault="0033217F" w:rsidP="0033217F">
            <w:pPr>
              <w:spacing w:after="0"/>
              <w:ind w:firstLine="0"/>
              <w:jc w:val="right"/>
              <w:rPr>
                <w:sz w:val="18"/>
                <w:szCs w:val="18"/>
                <w:lang w:eastAsia="lv-LV"/>
              </w:rPr>
            </w:pPr>
            <w:r w:rsidRPr="00A56A8F">
              <w:rPr>
                <w:sz w:val="18"/>
                <w:szCs w:val="18"/>
              </w:rPr>
              <w:t>8,9</w:t>
            </w:r>
          </w:p>
        </w:tc>
        <w:tc>
          <w:tcPr>
            <w:tcW w:w="998" w:type="dxa"/>
            <w:shd w:val="clear" w:color="auto" w:fill="F2F2F2" w:themeFill="background1" w:themeFillShade="F2"/>
            <w:noWrap/>
            <w:tcMar>
              <w:right w:w="170" w:type="dxa"/>
            </w:tcMar>
            <w:vAlign w:val="center"/>
          </w:tcPr>
          <w:p w14:paraId="23833E0D" w14:textId="77777777" w:rsidR="0033217F" w:rsidRPr="00A56A8F" w:rsidRDefault="0033217F" w:rsidP="0033217F">
            <w:pPr>
              <w:spacing w:after="0"/>
              <w:ind w:firstLine="0"/>
              <w:jc w:val="right"/>
              <w:rPr>
                <w:sz w:val="18"/>
                <w:szCs w:val="18"/>
                <w:lang w:eastAsia="lv-LV"/>
              </w:rPr>
            </w:pPr>
            <w:r w:rsidRPr="00A56A8F">
              <w:rPr>
                <w:sz w:val="18"/>
                <w:szCs w:val="18"/>
              </w:rPr>
              <w:t>9,1</w:t>
            </w:r>
          </w:p>
        </w:tc>
        <w:tc>
          <w:tcPr>
            <w:tcW w:w="998" w:type="dxa"/>
            <w:shd w:val="clear" w:color="auto" w:fill="F2F2F2" w:themeFill="background1" w:themeFillShade="F2"/>
            <w:noWrap/>
            <w:tcMar>
              <w:right w:w="170" w:type="dxa"/>
            </w:tcMar>
            <w:vAlign w:val="center"/>
          </w:tcPr>
          <w:p w14:paraId="7CF04EF6" w14:textId="77777777" w:rsidR="0033217F" w:rsidRPr="00A56A8F" w:rsidRDefault="0033217F" w:rsidP="0033217F">
            <w:pPr>
              <w:spacing w:after="0"/>
              <w:ind w:firstLine="0"/>
              <w:jc w:val="right"/>
              <w:rPr>
                <w:sz w:val="18"/>
                <w:szCs w:val="18"/>
                <w:lang w:eastAsia="lv-LV"/>
              </w:rPr>
            </w:pPr>
            <w:r w:rsidRPr="00A56A8F">
              <w:rPr>
                <w:sz w:val="18"/>
                <w:szCs w:val="18"/>
              </w:rPr>
              <w:t>6,1</w:t>
            </w:r>
          </w:p>
        </w:tc>
        <w:tc>
          <w:tcPr>
            <w:tcW w:w="998" w:type="dxa"/>
            <w:shd w:val="clear" w:color="auto" w:fill="F2F2F2" w:themeFill="background1" w:themeFillShade="F2"/>
            <w:noWrap/>
            <w:tcMar>
              <w:right w:w="170" w:type="dxa"/>
            </w:tcMar>
            <w:vAlign w:val="center"/>
          </w:tcPr>
          <w:p w14:paraId="2A123632" w14:textId="77777777" w:rsidR="0033217F" w:rsidRPr="00A56A8F" w:rsidRDefault="0033217F" w:rsidP="0033217F">
            <w:pPr>
              <w:spacing w:after="0"/>
              <w:ind w:firstLine="0"/>
              <w:jc w:val="right"/>
              <w:rPr>
                <w:sz w:val="18"/>
                <w:szCs w:val="18"/>
                <w:lang w:eastAsia="lv-LV"/>
              </w:rPr>
            </w:pPr>
            <w:r w:rsidRPr="00A56A8F">
              <w:rPr>
                <w:sz w:val="18"/>
                <w:szCs w:val="18"/>
              </w:rPr>
              <w:t>5,3</w:t>
            </w:r>
          </w:p>
        </w:tc>
      </w:tr>
      <w:tr w:rsidR="0033217F" w:rsidRPr="00A56A8F" w14:paraId="45952804" w14:textId="77777777" w:rsidTr="000065DF">
        <w:trPr>
          <w:trHeight w:val="300"/>
          <w:jc w:val="center"/>
        </w:trPr>
        <w:tc>
          <w:tcPr>
            <w:tcW w:w="3306" w:type="dxa"/>
            <w:shd w:val="clear" w:color="auto" w:fill="auto"/>
            <w:noWrap/>
            <w:vAlign w:val="center"/>
            <w:hideMark/>
          </w:tcPr>
          <w:p w14:paraId="35C60E6C" w14:textId="77777777" w:rsidR="0033217F" w:rsidRPr="00A56A8F" w:rsidRDefault="0033217F" w:rsidP="000065DF">
            <w:pPr>
              <w:spacing w:after="0"/>
              <w:ind w:firstLine="316"/>
              <w:rPr>
                <w:sz w:val="18"/>
                <w:szCs w:val="18"/>
                <w:lang w:eastAsia="lv-LV"/>
              </w:rPr>
            </w:pPr>
            <w:r w:rsidRPr="00A56A8F">
              <w:rPr>
                <w:noProof/>
                <w:sz w:val="18"/>
                <w:szCs w:val="18"/>
                <w:lang w:eastAsia="lv-LV"/>
              </w:rPr>
              <w:t>pieaugums salīdzināmās cenās (%)</w:t>
            </w:r>
          </w:p>
        </w:tc>
        <w:tc>
          <w:tcPr>
            <w:tcW w:w="998" w:type="dxa"/>
            <w:shd w:val="clear" w:color="auto" w:fill="auto"/>
            <w:noWrap/>
            <w:tcMar>
              <w:right w:w="170" w:type="dxa"/>
            </w:tcMar>
            <w:vAlign w:val="center"/>
          </w:tcPr>
          <w:p w14:paraId="0A241855" w14:textId="77777777" w:rsidR="0033217F" w:rsidRPr="00A56A8F" w:rsidRDefault="0033217F" w:rsidP="0033217F">
            <w:pPr>
              <w:spacing w:after="0"/>
              <w:ind w:firstLine="0"/>
              <w:jc w:val="right"/>
              <w:rPr>
                <w:sz w:val="18"/>
                <w:szCs w:val="18"/>
                <w:lang w:eastAsia="lv-LV"/>
              </w:rPr>
            </w:pPr>
            <w:r w:rsidRPr="00A56A8F">
              <w:rPr>
                <w:sz w:val="18"/>
                <w:szCs w:val="18"/>
              </w:rPr>
              <w:t>-3,6</w:t>
            </w:r>
          </w:p>
        </w:tc>
        <w:tc>
          <w:tcPr>
            <w:tcW w:w="998" w:type="dxa"/>
            <w:shd w:val="clear" w:color="auto" w:fill="F2F2F2" w:themeFill="background1" w:themeFillShade="F2"/>
            <w:noWrap/>
            <w:tcMar>
              <w:right w:w="170" w:type="dxa"/>
            </w:tcMar>
            <w:vAlign w:val="center"/>
          </w:tcPr>
          <w:p w14:paraId="25C63937" w14:textId="77777777" w:rsidR="0033217F" w:rsidRPr="00A56A8F" w:rsidRDefault="0033217F" w:rsidP="0033217F">
            <w:pPr>
              <w:spacing w:after="0"/>
              <w:ind w:firstLine="0"/>
              <w:jc w:val="right"/>
              <w:rPr>
                <w:sz w:val="18"/>
                <w:szCs w:val="18"/>
                <w:lang w:eastAsia="lv-LV"/>
              </w:rPr>
            </w:pPr>
            <w:r w:rsidRPr="00A56A8F">
              <w:rPr>
                <w:sz w:val="18"/>
                <w:szCs w:val="18"/>
              </w:rPr>
              <w:t>4,7</w:t>
            </w:r>
          </w:p>
        </w:tc>
        <w:tc>
          <w:tcPr>
            <w:tcW w:w="998" w:type="dxa"/>
            <w:shd w:val="clear" w:color="auto" w:fill="F2F2F2" w:themeFill="background1" w:themeFillShade="F2"/>
            <w:noWrap/>
            <w:tcMar>
              <w:right w:w="170" w:type="dxa"/>
            </w:tcMar>
            <w:vAlign w:val="center"/>
          </w:tcPr>
          <w:p w14:paraId="408DBFA2" w14:textId="77777777" w:rsidR="0033217F" w:rsidRPr="00A56A8F" w:rsidRDefault="0033217F" w:rsidP="0033217F">
            <w:pPr>
              <w:spacing w:after="0"/>
              <w:ind w:firstLine="0"/>
              <w:jc w:val="right"/>
              <w:rPr>
                <w:sz w:val="18"/>
                <w:szCs w:val="18"/>
                <w:lang w:eastAsia="lv-LV"/>
              </w:rPr>
            </w:pPr>
            <w:r w:rsidRPr="00A56A8F">
              <w:rPr>
                <w:sz w:val="18"/>
                <w:szCs w:val="18"/>
              </w:rPr>
              <w:t>5,2</w:t>
            </w:r>
          </w:p>
        </w:tc>
        <w:tc>
          <w:tcPr>
            <w:tcW w:w="998" w:type="dxa"/>
            <w:shd w:val="clear" w:color="auto" w:fill="F2F2F2" w:themeFill="background1" w:themeFillShade="F2"/>
            <w:noWrap/>
            <w:tcMar>
              <w:right w:w="170" w:type="dxa"/>
            </w:tcMar>
            <w:vAlign w:val="center"/>
          </w:tcPr>
          <w:p w14:paraId="18FD7CBA" w14:textId="77777777" w:rsidR="0033217F" w:rsidRPr="00A56A8F" w:rsidRDefault="0033217F" w:rsidP="0033217F">
            <w:pPr>
              <w:spacing w:after="0"/>
              <w:ind w:firstLine="0"/>
              <w:jc w:val="right"/>
              <w:rPr>
                <w:sz w:val="18"/>
                <w:szCs w:val="18"/>
                <w:lang w:eastAsia="lv-LV"/>
              </w:rPr>
            </w:pPr>
            <w:r w:rsidRPr="00A56A8F">
              <w:rPr>
                <w:sz w:val="18"/>
                <w:szCs w:val="18"/>
              </w:rPr>
              <w:t>3,5</w:t>
            </w:r>
          </w:p>
        </w:tc>
        <w:tc>
          <w:tcPr>
            <w:tcW w:w="998" w:type="dxa"/>
            <w:shd w:val="clear" w:color="auto" w:fill="F2F2F2" w:themeFill="background1" w:themeFillShade="F2"/>
            <w:noWrap/>
            <w:tcMar>
              <w:right w:w="170" w:type="dxa"/>
            </w:tcMar>
            <w:vAlign w:val="center"/>
          </w:tcPr>
          <w:p w14:paraId="4FA69B00" w14:textId="77777777" w:rsidR="0033217F" w:rsidRPr="00A56A8F" w:rsidRDefault="0033217F" w:rsidP="0033217F">
            <w:pPr>
              <w:spacing w:after="0"/>
              <w:ind w:firstLine="0"/>
              <w:jc w:val="right"/>
              <w:rPr>
                <w:sz w:val="18"/>
                <w:szCs w:val="18"/>
                <w:lang w:eastAsia="lv-LV"/>
              </w:rPr>
            </w:pPr>
            <w:r w:rsidRPr="00A56A8F">
              <w:rPr>
                <w:sz w:val="18"/>
                <w:szCs w:val="18"/>
              </w:rPr>
              <w:t>3,4</w:t>
            </w:r>
          </w:p>
        </w:tc>
      </w:tr>
      <w:tr w:rsidR="0033217F" w:rsidRPr="00A56A8F" w14:paraId="379A71E4" w14:textId="77777777" w:rsidTr="000065DF">
        <w:trPr>
          <w:trHeight w:val="300"/>
          <w:jc w:val="center"/>
        </w:trPr>
        <w:tc>
          <w:tcPr>
            <w:tcW w:w="3306" w:type="dxa"/>
            <w:shd w:val="clear" w:color="auto" w:fill="auto"/>
            <w:noWrap/>
            <w:vAlign w:val="center"/>
            <w:hideMark/>
          </w:tcPr>
          <w:p w14:paraId="062CF334" w14:textId="77777777" w:rsidR="0033217F" w:rsidRPr="00A56A8F" w:rsidRDefault="0033217F" w:rsidP="0033217F">
            <w:pPr>
              <w:spacing w:after="0"/>
              <w:ind w:firstLine="0"/>
              <w:rPr>
                <w:sz w:val="18"/>
                <w:szCs w:val="18"/>
                <w:lang w:eastAsia="lv-LV"/>
              </w:rPr>
            </w:pPr>
            <w:r w:rsidRPr="00A56A8F">
              <w:rPr>
                <w:b/>
                <w:noProof/>
                <w:sz w:val="18"/>
                <w:szCs w:val="18"/>
                <w:lang w:eastAsia="lv-LV"/>
              </w:rPr>
              <w:t>IKP deflators</w:t>
            </w:r>
            <w:r w:rsidRPr="00A56A8F">
              <w:rPr>
                <w:noProof/>
                <w:sz w:val="18"/>
                <w:szCs w:val="18"/>
                <w:lang w:eastAsia="lv-LV"/>
              </w:rPr>
              <w:t xml:space="preserve"> (gads pret gadu, %)</w:t>
            </w:r>
          </w:p>
        </w:tc>
        <w:tc>
          <w:tcPr>
            <w:tcW w:w="998" w:type="dxa"/>
            <w:shd w:val="clear" w:color="auto" w:fill="auto"/>
            <w:noWrap/>
            <w:tcMar>
              <w:right w:w="170" w:type="dxa"/>
            </w:tcMar>
            <w:vAlign w:val="center"/>
          </w:tcPr>
          <w:p w14:paraId="057ACBE4" w14:textId="77777777" w:rsidR="0033217F" w:rsidRPr="00A56A8F" w:rsidRDefault="0033217F" w:rsidP="0033217F">
            <w:pPr>
              <w:spacing w:after="0"/>
              <w:ind w:firstLine="0"/>
              <w:jc w:val="right"/>
              <w:rPr>
                <w:sz w:val="18"/>
                <w:szCs w:val="18"/>
                <w:lang w:eastAsia="lv-LV"/>
              </w:rPr>
            </w:pPr>
            <w:r w:rsidRPr="00A56A8F">
              <w:rPr>
                <w:sz w:val="18"/>
                <w:szCs w:val="18"/>
              </w:rPr>
              <w:t>0,1</w:t>
            </w:r>
          </w:p>
        </w:tc>
        <w:tc>
          <w:tcPr>
            <w:tcW w:w="998" w:type="dxa"/>
            <w:shd w:val="clear" w:color="auto" w:fill="F2F2F2" w:themeFill="background1" w:themeFillShade="F2"/>
            <w:noWrap/>
            <w:tcMar>
              <w:right w:w="170" w:type="dxa"/>
            </w:tcMar>
            <w:vAlign w:val="center"/>
          </w:tcPr>
          <w:p w14:paraId="52EC8D91" w14:textId="77777777" w:rsidR="0033217F" w:rsidRPr="00A56A8F" w:rsidRDefault="0033217F" w:rsidP="0033217F">
            <w:pPr>
              <w:spacing w:after="0"/>
              <w:ind w:firstLine="0"/>
              <w:jc w:val="right"/>
              <w:rPr>
                <w:sz w:val="18"/>
                <w:szCs w:val="18"/>
                <w:lang w:eastAsia="lv-LV"/>
              </w:rPr>
            </w:pPr>
            <w:r w:rsidRPr="00A56A8F">
              <w:rPr>
                <w:sz w:val="18"/>
                <w:szCs w:val="18"/>
              </w:rPr>
              <w:t>4,0</w:t>
            </w:r>
          </w:p>
        </w:tc>
        <w:tc>
          <w:tcPr>
            <w:tcW w:w="998" w:type="dxa"/>
            <w:shd w:val="clear" w:color="auto" w:fill="F2F2F2" w:themeFill="background1" w:themeFillShade="F2"/>
            <w:noWrap/>
            <w:tcMar>
              <w:right w:w="170" w:type="dxa"/>
            </w:tcMar>
            <w:vAlign w:val="center"/>
          </w:tcPr>
          <w:p w14:paraId="57FFE62A" w14:textId="77777777" w:rsidR="0033217F" w:rsidRPr="00A56A8F" w:rsidRDefault="0033217F" w:rsidP="0033217F">
            <w:pPr>
              <w:spacing w:after="0"/>
              <w:ind w:firstLine="0"/>
              <w:jc w:val="right"/>
              <w:rPr>
                <w:sz w:val="18"/>
                <w:szCs w:val="18"/>
                <w:lang w:eastAsia="lv-LV"/>
              </w:rPr>
            </w:pPr>
            <w:r w:rsidRPr="00A56A8F">
              <w:rPr>
                <w:sz w:val="18"/>
                <w:szCs w:val="18"/>
              </w:rPr>
              <w:t>3,7</w:t>
            </w:r>
          </w:p>
        </w:tc>
        <w:tc>
          <w:tcPr>
            <w:tcW w:w="998" w:type="dxa"/>
            <w:shd w:val="clear" w:color="auto" w:fill="F2F2F2" w:themeFill="background1" w:themeFillShade="F2"/>
            <w:noWrap/>
            <w:tcMar>
              <w:right w:w="170" w:type="dxa"/>
            </w:tcMar>
            <w:vAlign w:val="center"/>
          </w:tcPr>
          <w:p w14:paraId="0F2DC814" w14:textId="77777777" w:rsidR="0033217F" w:rsidRPr="00A56A8F" w:rsidRDefault="0033217F" w:rsidP="0033217F">
            <w:pPr>
              <w:spacing w:after="0"/>
              <w:ind w:firstLine="0"/>
              <w:jc w:val="right"/>
              <w:rPr>
                <w:sz w:val="18"/>
                <w:szCs w:val="18"/>
                <w:lang w:eastAsia="lv-LV"/>
              </w:rPr>
            </w:pPr>
            <w:r w:rsidRPr="00A56A8F">
              <w:rPr>
                <w:sz w:val="18"/>
                <w:szCs w:val="18"/>
              </w:rPr>
              <w:t>2,6</w:t>
            </w:r>
          </w:p>
        </w:tc>
        <w:tc>
          <w:tcPr>
            <w:tcW w:w="998" w:type="dxa"/>
            <w:shd w:val="clear" w:color="auto" w:fill="F2F2F2" w:themeFill="background1" w:themeFillShade="F2"/>
            <w:noWrap/>
            <w:tcMar>
              <w:right w:w="170" w:type="dxa"/>
            </w:tcMar>
            <w:vAlign w:val="center"/>
          </w:tcPr>
          <w:p w14:paraId="6A61738A" w14:textId="77777777" w:rsidR="0033217F" w:rsidRPr="00A56A8F" w:rsidRDefault="0033217F" w:rsidP="0033217F">
            <w:pPr>
              <w:spacing w:after="0"/>
              <w:ind w:firstLine="0"/>
              <w:jc w:val="right"/>
              <w:rPr>
                <w:sz w:val="18"/>
                <w:szCs w:val="18"/>
                <w:lang w:eastAsia="lv-LV"/>
              </w:rPr>
            </w:pPr>
            <w:r w:rsidRPr="00A56A8F">
              <w:rPr>
                <w:sz w:val="18"/>
                <w:szCs w:val="18"/>
              </w:rPr>
              <w:t>1,8</w:t>
            </w:r>
          </w:p>
        </w:tc>
      </w:tr>
      <w:tr w:rsidR="0033217F" w:rsidRPr="00A56A8F" w14:paraId="0E98E568" w14:textId="77777777" w:rsidTr="000065DF">
        <w:trPr>
          <w:trHeight w:val="300"/>
          <w:jc w:val="center"/>
        </w:trPr>
        <w:tc>
          <w:tcPr>
            <w:tcW w:w="3306" w:type="dxa"/>
            <w:shd w:val="clear" w:color="auto" w:fill="auto"/>
            <w:noWrap/>
            <w:vAlign w:val="center"/>
            <w:hideMark/>
          </w:tcPr>
          <w:p w14:paraId="3B0FFBDD" w14:textId="77777777" w:rsidR="0033217F" w:rsidRPr="00A56A8F" w:rsidRDefault="0033217F" w:rsidP="0033217F">
            <w:pPr>
              <w:spacing w:after="0"/>
              <w:ind w:firstLine="0"/>
              <w:rPr>
                <w:sz w:val="18"/>
                <w:szCs w:val="18"/>
                <w:lang w:eastAsia="lv-LV"/>
              </w:rPr>
            </w:pPr>
            <w:r w:rsidRPr="00A56A8F">
              <w:rPr>
                <w:b/>
                <w:noProof/>
                <w:sz w:val="18"/>
                <w:szCs w:val="18"/>
                <w:lang w:eastAsia="lv-LV"/>
              </w:rPr>
              <w:t>PCI</w:t>
            </w:r>
            <w:r w:rsidRPr="00A56A8F">
              <w:rPr>
                <w:noProof/>
                <w:sz w:val="18"/>
                <w:szCs w:val="18"/>
                <w:lang w:eastAsia="lv-LV"/>
              </w:rPr>
              <w:t xml:space="preserve"> (gads pret gadu, %)</w:t>
            </w:r>
          </w:p>
        </w:tc>
        <w:tc>
          <w:tcPr>
            <w:tcW w:w="998" w:type="dxa"/>
            <w:shd w:val="clear" w:color="auto" w:fill="auto"/>
            <w:noWrap/>
            <w:tcMar>
              <w:right w:w="170" w:type="dxa"/>
            </w:tcMar>
            <w:vAlign w:val="center"/>
          </w:tcPr>
          <w:p w14:paraId="6F3E246D" w14:textId="77777777" w:rsidR="0033217F" w:rsidRPr="00A56A8F" w:rsidRDefault="0033217F" w:rsidP="0033217F">
            <w:pPr>
              <w:spacing w:after="0"/>
              <w:ind w:firstLine="0"/>
              <w:jc w:val="right"/>
              <w:rPr>
                <w:sz w:val="18"/>
                <w:szCs w:val="18"/>
                <w:lang w:eastAsia="lv-LV"/>
              </w:rPr>
            </w:pPr>
            <w:r w:rsidRPr="00A56A8F">
              <w:rPr>
                <w:sz w:val="18"/>
                <w:szCs w:val="18"/>
              </w:rPr>
              <w:t>0,2</w:t>
            </w:r>
          </w:p>
        </w:tc>
        <w:tc>
          <w:tcPr>
            <w:tcW w:w="998" w:type="dxa"/>
            <w:shd w:val="clear" w:color="auto" w:fill="F2F2F2" w:themeFill="background1" w:themeFillShade="F2"/>
            <w:noWrap/>
            <w:tcMar>
              <w:right w:w="170" w:type="dxa"/>
            </w:tcMar>
            <w:vAlign w:val="center"/>
          </w:tcPr>
          <w:p w14:paraId="3E084CF4" w14:textId="77777777" w:rsidR="0033217F" w:rsidRPr="00A56A8F" w:rsidRDefault="0033217F" w:rsidP="0033217F">
            <w:pPr>
              <w:spacing w:after="0"/>
              <w:ind w:firstLine="0"/>
              <w:jc w:val="right"/>
              <w:rPr>
                <w:sz w:val="18"/>
                <w:szCs w:val="18"/>
                <w:lang w:eastAsia="lv-LV"/>
              </w:rPr>
            </w:pPr>
            <w:r w:rsidRPr="00A56A8F">
              <w:rPr>
                <w:sz w:val="18"/>
                <w:szCs w:val="18"/>
              </w:rPr>
              <w:t>2,2</w:t>
            </w:r>
          </w:p>
        </w:tc>
        <w:tc>
          <w:tcPr>
            <w:tcW w:w="998" w:type="dxa"/>
            <w:shd w:val="clear" w:color="auto" w:fill="F2F2F2" w:themeFill="background1" w:themeFillShade="F2"/>
            <w:noWrap/>
            <w:tcMar>
              <w:right w:w="170" w:type="dxa"/>
            </w:tcMar>
            <w:vAlign w:val="center"/>
          </w:tcPr>
          <w:p w14:paraId="5F7D0115" w14:textId="77777777" w:rsidR="0033217F" w:rsidRPr="00A56A8F" w:rsidRDefault="0033217F" w:rsidP="0033217F">
            <w:pPr>
              <w:spacing w:after="0"/>
              <w:ind w:firstLine="0"/>
              <w:jc w:val="right"/>
              <w:rPr>
                <w:sz w:val="18"/>
                <w:szCs w:val="18"/>
                <w:lang w:eastAsia="lv-LV"/>
              </w:rPr>
            </w:pPr>
            <w:r w:rsidRPr="00A56A8F">
              <w:rPr>
                <w:sz w:val="18"/>
                <w:szCs w:val="18"/>
              </w:rPr>
              <w:t>2,5</w:t>
            </w:r>
          </w:p>
        </w:tc>
        <w:tc>
          <w:tcPr>
            <w:tcW w:w="998" w:type="dxa"/>
            <w:shd w:val="clear" w:color="auto" w:fill="F2F2F2" w:themeFill="background1" w:themeFillShade="F2"/>
            <w:noWrap/>
            <w:tcMar>
              <w:right w:w="170" w:type="dxa"/>
            </w:tcMar>
            <w:vAlign w:val="center"/>
          </w:tcPr>
          <w:p w14:paraId="599F77AA" w14:textId="77777777" w:rsidR="0033217F" w:rsidRPr="00A56A8F" w:rsidRDefault="0033217F" w:rsidP="0033217F">
            <w:pPr>
              <w:spacing w:after="0"/>
              <w:ind w:firstLine="0"/>
              <w:jc w:val="right"/>
              <w:rPr>
                <w:sz w:val="18"/>
                <w:szCs w:val="18"/>
                <w:lang w:eastAsia="lv-LV"/>
              </w:rPr>
            </w:pPr>
            <w:r w:rsidRPr="00A56A8F">
              <w:rPr>
                <w:sz w:val="18"/>
                <w:szCs w:val="18"/>
              </w:rPr>
              <w:t>2,2</w:t>
            </w:r>
          </w:p>
        </w:tc>
        <w:tc>
          <w:tcPr>
            <w:tcW w:w="998" w:type="dxa"/>
            <w:shd w:val="clear" w:color="auto" w:fill="F2F2F2" w:themeFill="background1" w:themeFillShade="F2"/>
            <w:noWrap/>
            <w:tcMar>
              <w:right w:w="170" w:type="dxa"/>
            </w:tcMar>
            <w:vAlign w:val="center"/>
          </w:tcPr>
          <w:p w14:paraId="55BEAA52" w14:textId="77777777" w:rsidR="0033217F" w:rsidRPr="00A56A8F" w:rsidRDefault="0033217F" w:rsidP="0033217F">
            <w:pPr>
              <w:spacing w:after="0"/>
              <w:ind w:firstLine="0"/>
              <w:jc w:val="right"/>
              <w:rPr>
                <w:sz w:val="18"/>
                <w:szCs w:val="18"/>
                <w:lang w:eastAsia="lv-LV"/>
              </w:rPr>
            </w:pPr>
            <w:r w:rsidRPr="00A56A8F">
              <w:rPr>
                <w:sz w:val="18"/>
                <w:szCs w:val="18"/>
              </w:rPr>
              <w:t>2,0</w:t>
            </w:r>
          </w:p>
        </w:tc>
      </w:tr>
      <w:tr w:rsidR="0033217F" w:rsidRPr="00A56A8F" w14:paraId="73A8ABD7" w14:textId="77777777" w:rsidTr="000065DF">
        <w:trPr>
          <w:trHeight w:val="600"/>
          <w:jc w:val="center"/>
        </w:trPr>
        <w:tc>
          <w:tcPr>
            <w:tcW w:w="3306" w:type="dxa"/>
            <w:shd w:val="clear" w:color="auto" w:fill="auto"/>
            <w:noWrap/>
            <w:vAlign w:val="center"/>
            <w:hideMark/>
          </w:tcPr>
          <w:p w14:paraId="1AA5838D" w14:textId="77777777" w:rsidR="0033217F" w:rsidRPr="00A56A8F" w:rsidRDefault="0033217F" w:rsidP="0033217F">
            <w:pPr>
              <w:spacing w:after="0"/>
              <w:ind w:firstLine="0"/>
              <w:rPr>
                <w:sz w:val="18"/>
                <w:szCs w:val="18"/>
                <w:lang w:eastAsia="lv-LV"/>
              </w:rPr>
            </w:pPr>
            <w:r w:rsidRPr="00A56A8F">
              <w:rPr>
                <w:b/>
                <w:noProof/>
                <w:sz w:val="18"/>
                <w:szCs w:val="18"/>
                <w:lang w:eastAsia="lv-LV"/>
              </w:rPr>
              <w:t xml:space="preserve">Tautsaimniecībā nodarbināto mēn. </w:t>
            </w:r>
            <w:r w:rsidRPr="00A56A8F">
              <w:rPr>
                <w:b/>
                <w:noProof/>
                <w:sz w:val="18"/>
                <w:szCs w:val="18"/>
                <w:lang w:eastAsia="lv-LV"/>
              </w:rPr>
              <w:br/>
              <w:t>vid. bruto darba samaksa</w:t>
            </w:r>
            <w:r w:rsidRPr="00A56A8F">
              <w:rPr>
                <w:noProof/>
                <w:sz w:val="18"/>
                <w:szCs w:val="18"/>
                <w:lang w:eastAsia="lv-LV"/>
              </w:rPr>
              <w:t xml:space="preserve"> (</w:t>
            </w:r>
            <w:r w:rsidRPr="00A56A8F">
              <w:rPr>
                <w:i/>
                <w:noProof/>
                <w:sz w:val="18"/>
                <w:szCs w:val="18"/>
                <w:lang w:eastAsia="lv-LV"/>
              </w:rPr>
              <w:t>euro</w:t>
            </w:r>
            <w:r w:rsidRPr="00A56A8F">
              <w:rPr>
                <w:noProof/>
                <w:sz w:val="18"/>
                <w:szCs w:val="18"/>
                <w:lang w:eastAsia="lv-LV"/>
              </w:rPr>
              <w:t>)</w:t>
            </w:r>
          </w:p>
        </w:tc>
        <w:tc>
          <w:tcPr>
            <w:tcW w:w="998" w:type="dxa"/>
            <w:shd w:val="clear" w:color="auto" w:fill="auto"/>
            <w:noWrap/>
            <w:tcMar>
              <w:right w:w="170" w:type="dxa"/>
            </w:tcMar>
            <w:vAlign w:val="center"/>
          </w:tcPr>
          <w:p w14:paraId="5AB4779C" w14:textId="77777777" w:rsidR="0033217F" w:rsidRPr="00A56A8F" w:rsidRDefault="0033217F" w:rsidP="0033217F">
            <w:pPr>
              <w:spacing w:after="0"/>
              <w:ind w:firstLine="0"/>
              <w:jc w:val="right"/>
              <w:rPr>
                <w:sz w:val="18"/>
                <w:szCs w:val="18"/>
                <w:lang w:eastAsia="lv-LV"/>
              </w:rPr>
            </w:pPr>
            <w:r w:rsidRPr="00A56A8F">
              <w:rPr>
                <w:sz w:val="18"/>
                <w:szCs w:val="18"/>
              </w:rPr>
              <w:t>1 143</w:t>
            </w:r>
          </w:p>
        </w:tc>
        <w:tc>
          <w:tcPr>
            <w:tcW w:w="998" w:type="dxa"/>
            <w:shd w:val="clear" w:color="auto" w:fill="F2F2F2" w:themeFill="background1" w:themeFillShade="F2"/>
            <w:noWrap/>
            <w:tcMar>
              <w:right w:w="170" w:type="dxa"/>
            </w:tcMar>
            <w:vAlign w:val="center"/>
          </w:tcPr>
          <w:p w14:paraId="585D8F23" w14:textId="77777777" w:rsidR="0033217F" w:rsidRPr="00A56A8F" w:rsidRDefault="0033217F" w:rsidP="0033217F">
            <w:pPr>
              <w:spacing w:after="0"/>
              <w:ind w:firstLine="0"/>
              <w:jc w:val="right"/>
              <w:rPr>
                <w:sz w:val="18"/>
                <w:szCs w:val="18"/>
                <w:lang w:eastAsia="lv-LV"/>
              </w:rPr>
            </w:pPr>
            <w:r w:rsidRPr="00A56A8F">
              <w:rPr>
                <w:sz w:val="18"/>
                <w:szCs w:val="18"/>
              </w:rPr>
              <w:t>1 246</w:t>
            </w:r>
          </w:p>
        </w:tc>
        <w:tc>
          <w:tcPr>
            <w:tcW w:w="998" w:type="dxa"/>
            <w:shd w:val="clear" w:color="auto" w:fill="F2F2F2" w:themeFill="background1" w:themeFillShade="F2"/>
            <w:noWrap/>
            <w:tcMar>
              <w:right w:w="170" w:type="dxa"/>
            </w:tcMar>
            <w:vAlign w:val="center"/>
          </w:tcPr>
          <w:p w14:paraId="18490809" w14:textId="77777777" w:rsidR="0033217F" w:rsidRPr="00A56A8F" w:rsidRDefault="0033217F" w:rsidP="0033217F">
            <w:pPr>
              <w:spacing w:after="0"/>
              <w:ind w:firstLine="0"/>
              <w:jc w:val="right"/>
              <w:rPr>
                <w:sz w:val="18"/>
                <w:szCs w:val="18"/>
                <w:lang w:eastAsia="lv-LV"/>
              </w:rPr>
            </w:pPr>
            <w:r w:rsidRPr="00A56A8F">
              <w:rPr>
                <w:sz w:val="18"/>
                <w:szCs w:val="18"/>
              </w:rPr>
              <w:t>1 322</w:t>
            </w:r>
          </w:p>
        </w:tc>
        <w:tc>
          <w:tcPr>
            <w:tcW w:w="998" w:type="dxa"/>
            <w:shd w:val="clear" w:color="auto" w:fill="F2F2F2" w:themeFill="background1" w:themeFillShade="F2"/>
            <w:noWrap/>
            <w:tcMar>
              <w:right w:w="170" w:type="dxa"/>
            </w:tcMar>
            <w:vAlign w:val="center"/>
          </w:tcPr>
          <w:p w14:paraId="44C5FE56" w14:textId="77777777" w:rsidR="0033217F" w:rsidRPr="00A56A8F" w:rsidRDefault="0033217F" w:rsidP="0033217F">
            <w:pPr>
              <w:spacing w:after="0"/>
              <w:ind w:firstLine="0"/>
              <w:jc w:val="right"/>
              <w:rPr>
                <w:sz w:val="18"/>
                <w:szCs w:val="18"/>
                <w:lang w:eastAsia="lv-LV"/>
              </w:rPr>
            </w:pPr>
            <w:r w:rsidRPr="00A56A8F">
              <w:rPr>
                <w:sz w:val="18"/>
                <w:szCs w:val="18"/>
              </w:rPr>
              <w:t>1 395</w:t>
            </w:r>
          </w:p>
        </w:tc>
        <w:tc>
          <w:tcPr>
            <w:tcW w:w="998" w:type="dxa"/>
            <w:shd w:val="clear" w:color="auto" w:fill="F2F2F2" w:themeFill="background1" w:themeFillShade="F2"/>
            <w:noWrap/>
            <w:tcMar>
              <w:right w:w="170" w:type="dxa"/>
            </w:tcMar>
            <w:vAlign w:val="center"/>
          </w:tcPr>
          <w:p w14:paraId="7ABB0480" w14:textId="77777777" w:rsidR="0033217F" w:rsidRPr="00A56A8F" w:rsidRDefault="0033217F" w:rsidP="0033217F">
            <w:pPr>
              <w:spacing w:after="0"/>
              <w:ind w:firstLine="0"/>
              <w:jc w:val="right"/>
              <w:rPr>
                <w:sz w:val="18"/>
                <w:szCs w:val="18"/>
                <w:lang w:eastAsia="lv-LV"/>
              </w:rPr>
            </w:pPr>
            <w:r w:rsidRPr="00A56A8F">
              <w:rPr>
                <w:sz w:val="18"/>
                <w:szCs w:val="18"/>
              </w:rPr>
              <w:t>1 468</w:t>
            </w:r>
          </w:p>
        </w:tc>
      </w:tr>
      <w:tr w:rsidR="0033217F" w:rsidRPr="00A56A8F" w14:paraId="17EE7DDB" w14:textId="77777777" w:rsidTr="000065DF">
        <w:trPr>
          <w:trHeight w:val="300"/>
          <w:jc w:val="center"/>
        </w:trPr>
        <w:tc>
          <w:tcPr>
            <w:tcW w:w="3306" w:type="dxa"/>
            <w:shd w:val="clear" w:color="auto" w:fill="auto"/>
            <w:noWrap/>
            <w:vAlign w:val="center"/>
            <w:hideMark/>
          </w:tcPr>
          <w:p w14:paraId="28D5555D" w14:textId="77777777" w:rsidR="0033217F" w:rsidRPr="00A56A8F" w:rsidRDefault="0033217F" w:rsidP="000065DF">
            <w:pPr>
              <w:spacing w:after="0"/>
              <w:ind w:firstLine="316"/>
              <w:rPr>
                <w:sz w:val="18"/>
                <w:szCs w:val="18"/>
                <w:lang w:eastAsia="lv-LV"/>
              </w:rPr>
            </w:pPr>
            <w:r w:rsidRPr="00A56A8F">
              <w:rPr>
                <w:noProof/>
                <w:sz w:val="18"/>
                <w:szCs w:val="18"/>
                <w:lang w:eastAsia="lv-LV"/>
              </w:rPr>
              <w:t>pieaugums faktiskajās cenās (%)</w:t>
            </w:r>
          </w:p>
        </w:tc>
        <w:tc>
          <w:tcPr>
            <w:tcW w:w="998" w:type="dxa"/>
            <w:shd w:val="clear" w:color="auto" w:fill="auto"/>
            <w:noWrap/>
            <w:tcMar>
              <w:right w:w="170" w:type="dxa"/>
            </w:tcMar>
            <w:vAlign w:val="center"/>
          </w:tcPr>
          <w:p w14:paraId="1B3886D0" w14:textId="77777777" w:rsidR="0033217F" w:rsidRPr="00A56A8F" w:rsidRDefault="0033217F" w:rsidP="0033217F">
            <w:pPr>
              <w:spacing w:after="0"/>
              <w:ind w:firstLine="0"/>
              <w:jc w:val="right"/>
              <w:rPr>
                <w:sz w:val="18"/>
                <w:szCs w:val="18"/>
                <w:lang w:eastAsia="lv-LV"/>
              </w:rPr>
            </w:pPr>
            <w:r w:rsidRPr="00A56A8F">
              <w:rPr>
                <w:sz w:val="18"/>
                <w:szCs w:val="18"/>
              </w:rPr>
              <w:t>6,2</w:t>
            </w:r>
          </w:p>
        </w:tc>
        <w:tc>
          <w:tcPr>
            <w:tcW w:w="998" w:type="dxa"/>
            <w:shd w:val="clear" w:color="auto" w:fill="F2F2F2" w:themeFill="background1" w:themeFillShade="F2"/>
            <w:noWrap/>
            <w:tcMar>
              <w:right w:w="170" w:type="dxa"/>
            </w:tcMar>
            <w:vAlign w:val="center"/>
          </w:tcPr>
          <w:p w14:paraId="62988B9D" w14:textId="77777777" w:rsidR="0033217F" w:rsidRPr="00A56A8F" w:rsidRDefault="0033217F" w:rsidP="0033217F">
            <w:pPr>
              <w:spacing w:after="0"/>
              <w:ind w:firstLine="0"/>
              <w:jc w:val="right"/>
              <w:rPr>
                <w:sz w:val="18"/>
                <w:szCs w:val="18"/>
                <w:lang w:eastAsia="lv-LV"/>
              </w:rPr>
            </w:pPr>
            <w:r w:rsidRPr="00A56A8F">
              <w:rPr>
                <w:sz w:val="18"/>
                <w:szCs w:val="18"/>
              </w:rPr>
              <w:t>9,0</w:t>
            </w:r>
          </w:p>
        </w:tc>
        <w:tc>
          <w:tcPr>
            <w:tcW w:w="998" w:type="dxa"/>
            <w:shd w:val="clear" w:color="auto" w:fill="F2F2F2" w:themeFill="background1" w:themeFillShade="F2"/>
            <w:noWrap/>
            <w:tcMar>
              <w:right w:w="170" w:type="dxa"/>
            </w:tcMar>
            <w:vAlign w:val="center"/>
          </w:tcPr>
          <w:p w14:paraId="1130ECC4" w14:textId="77777777" w:rsidR="0033217F" w:rsidRPr="00A56A8F" w:rsidRDefault="0033217F" w:rsidP="0033217F">
            <w:pPr>
              <w:spacing w:after="0"/>
              <w:ind w:firstLine="0"/>
              <w:jc w:val="right"/>
              <w:rPr>
                <w:sz w:val="18"/>
                <w:szCs w:val="18"/>
                <w:lang w:eastAsia="lv-LV"/>
              </w:rPr>
            </w:pPr>
            <w:r w:rsidRPr="00A56A8F">
              <w:rPr>
                <w:sz w:val="18"/>
                <w:szCs w:val="18"/>
              </w:rPr>
              <w:t>6,1</w:t>
            </w:r>
          </w:p>
        </w:tc>
        <w:tc>
          <w:tcPr>
            <w:tcW w:w="998" w:type="dxa"/>
            <w:shd w:val="clear" w:color="auto" w:fill="F2F2F2" w:themeFill="background1" w:themeFillShade="F2"/>
            <w:noWrap/>
            <w:tcMar>
              <w:right w:w="170" w:type="dxa"/>
            </w:tcMar>
            <w:vAlign w:val="center"/>
          </w:tcPr>
          <w:p w14:paraId="1CF7CFCE" w14:textId="77777777" w:rsidR="0033217F" w:rsidRPr="00A56A8F" w:rsidRDefault="0033217F" w:rsidP="0033217F">
            <w:pPr>
              <w:spacing w:after="0"/>
              <w:ind w:firstLine="0"/>
              <w:jc w:val="right"/>
              <w:rPr>
                <w:sz w:val="18"/>
                <w:szCs w:val="18"/>
                <w:lang w:eastAsia="lv-LV"/>
              </w:rPr>
            </w:pPr>
            <w:r w:rsidRPr="00A56A8F">
              <w:rPr>
                <w:sz w:val="18"/>
                <w:szCs w:val="18"/>
              </w:rPr>
              <w:t>5,5</w:t>
            </w:r>
          </w:p>
        </w:tc>
        <w:tc>
          <w:tcPr>
            <w:tcW w:w="998" w:type="dxa"/>
            <w:shd w:val="clear" w:color="auto" w:fill="F2F2F2" w:themeFill="background1" w:themeFillShade="F2"/>
            <w:noWrap/>
            <w:tcMar>
              <w:right w:w="170" w:type="dxa"/>
            </w:tcMar>
            <w:vAlign w:val="center"/>
          </w:tcPr>
          <w:p w14:paraId="69EBD8F1" w14:textId="77777777" w:rsidR="0033217F" w:rsidRPr="00A56A8F" w:rsidRDefault="0033217F" w:rsidP="0033217F">
            <w:pPr>
              <w:spacing w:after="0"/>
              <w:ind w:firstLine="0"/>
              <w:jc w:val="right"/>
              <w:rPr>
                <w:sz w:val="18"/>
                <w:szCs w:val="18"/>
                <w:lang w:eastAsia="lv-LV"/>
              </w:rPr>
            </w:pPr>
            <w:r w:rsidRPr="00A56A8F">
              <w:rPr>
                <w:sz w:val="18"/>
                <w:szCs w:val="18"/>
              </w:rPr>
              <w:t>5,3</w:t>
            </w:r>
          </w:p>
        </w:tc>
      </w:tr>
      <w:tr w:rsidR="0033217F" w:rsidRPr="00A56A8F" w14:paraId="31B08AC5" w14:textId="77777777" w:rsidTr="000065DF">
        <w:trPr>
          <w:trHeight w:val="300"/>
          <w:jc w:val="center"/>
        </w:trPr>
        <w:tc>
          <w:tcPr>
            <w:tcW w:w="3306" w:type="dxa"/>
            <w:shd w:val="clear" w:color="auto" w:fill="auto"/>
            <w:noWrap/>
            <w:vAlign w:val="center"/>
            <w:hideMark/>
          </w:tcPr>
          <w:p w14:paraId="335EE80B" w14:textId="77777777" w:rsidR="0033217F" w:rsidRPr="00A56A8F" w:rsidRDefault="0033217F" w:rsidP="000065DF">
            <w:pPr>
              <w:spacing w:after="0"/>
              <w:ind w:firstLine="316"/>
              <w:rPr>
                <w:sz w:val="18"/>
                <w:szCs w:val="18"/>
                <w:lang w:eastAsia="lv-LV"/>
              </w:rPr>
            </w:pPr>
            <w:r w:rsidRPr="00A56A8F">
              <w:rPr>
                <w:noProof/>
                <w:sz w:val="18"/>
                <w:szCs w:val="18"/>
                <w:lang w:eastAsia="lv-LV"/>
              </w:rPr>
              <w:t>pieaugums salīdzināmās cenās (%)</w:t>
            </w:r>
          </w:p>
        </w:tc>
        <w:tc>
          <w:tcPr>
            <w:tcW w:w="998" w:type="dxa"/>
            <w:shd w:val="clear" w:color="auto" w:fill="auto"/>
            <w:noWrap/>
            <w:tcMar>
              <w:right w:w="170" w:type="dxa"/>
            </w:tcMar>
            <w:vAlign w:val="center"/>
          </w:tcPr>
          <w:p w14:paraId="5AF8AB49" w14:textId="77777777" w:rsidR="0033217F" w:rsidRPr="00A56A8F" w:rsidRDefault="0033217F" w:rsidP="0033217F">
            <w:pPr>
              <w:spacing w:after="0"/>
              <w:ind w:firstLine="0"/>
              <w:jc w:val="right"/>
              <w:rPr>
                <w:sz w:val="18"/>
                <w:szCs w:val="18"/>
                <w:lang w:eastAsia="lv-LV"/>
              </w:rPr>
            </w:pPr>
            <w:r w:rsidRPr="00A56A8F">
              <w:rPr>
                <w:sz w:val="18"/>
                <w:szCs w:val="18"/>
              </w:rPr>
              <w:t>6,0</w:t>
            </w:r>
          </w:p>
        </w:tc>
        <w:tc>
          <w:tcPr>
            <w:tcW w:w="998" w:type="dxa"/>
            <w:shd w:val="clear" w:color="auto" w:fill="F2F2F2" w:themeFill="background1" w:themeFillShade="F2"/>
            <w:noWrap/>
            <w:tcMar>
              <w:right w:w="170" w:type="dxa"/>
            </w:tcMar>
            <w:vAlign w:val="center"/>
          </w:tcPr>
          <w:p w14:paraId="10CFFFB1" w14:textId="77777777" w:rsidR="0033217F" w:rsidRPr="00A56A8F" w:rsidRDefault="0033217F" w:rsidP="0033217F">
            <w:pPr>
              <w:spacing w:after="0"/>
              <w:ind w:firstLine="0"/>
              <w:jc w:val="right"/>
              <w:rPr>
                <w:sz w:val="18"/>
                <w:szCs w:val="18"/>
                <w:lang w:eastAsia="lv-LV"/>
              </w:rPr>
            </w:pPr>
            <w:r w:rsidRPr="00A56A8F">
              <w:rPr>
                <w:sz w:val="18"/>
                <w:szCs w:val="18"/>
              </w:rPr>
              <w:t>6,7</w:t>
            </w:r>
          </w:p>
        </w:tc>
        <w:tc>
          <w:tcPr>
            <w:tcW w:w="998" w:type="dxa"/>
            <w:shd w:val="clear" w:color="auto" w:fill="F2F2F2" w:themeFill="background1" w:themeFillShade="F2"/>
            <w:noWrap/>
            <w:tcMar>
              <w:right w:w="170" w:type="dxa"/>
            </w:tcMar>
            <w:vAlign w:val="center"/>
          </w:tcPr>
          <w:p w14:paraId="1690D98F" w14:textId="77777777" w:rsidR="0033217F" w:rsidRPr="00A56A8F" w:rsidRDefault="0033217F" w:rsidP="0033217F">
            <w:pPr>
              <w:spacing w:after="0"/>
              <w:ind w:firstLine="0"/>
              <w:jc w:val="right"/>
              <w:rPr>
                <w:sz w:val="18"/>
                <w:szCs w:val="18"/>
                <w:lang w:eastAsia="lv-LV"/>
              </w:rPr>
            </w:pPr>
            <w:r w:rsidRPr="00A56A8F">
              <w:rPr>
                <w:sz w:val="18"/>
                <w:szCs w:val="18"/>
              </w:rPr>
              <w:t>3,5</w:t>
            </w:r>
          </w:p>
        </w:tc>
        <w:tc>
          <w:tcPr>
            <w:tcW w:w="998" w:type="dxa"/>
            <w:shd w:val="clear" w:color="auto" w:fill="F2F2F2" w:themeFill="background1" w:themeFillShade="F2"/>
            <w:noWrap/>
            <w:tcMar>
              <w:right w:w="170" w:type="dxa"/>
            </w:tcMar>
            <w:vAlign w:val="center"/>
          </w:tcPr>
          <w:p w14:paraId="4DF6F586" w14:textId="77777777" w:rsidR="0033217F" w:rsidRPr="00A56A8F" w:rsidRDefault="0033217F" w:rsidP="0033217F">
            <w:pPr>
              <w:spacing w:after="0"/>
              <w:ind w:firstLine="0"/>
              <w:jc w:val="right"/>
              <w:rPr>
                <w:sz w:val="18"/>
                <w:szCs w:val="18"/>
                <w:lang w:eastAsia="lv-LV"/>
              </w:rPr>
            </w:pPr>
            <w:r w:rsidRPr="00A56A8F">
              <w:rPr>
                <w:sz w:val="18"/>
                <w:szCs w:val="18"/>
              </w:rPr>
              <w:t>3,2</w:t>
            </w:r>
          </w:p>
        </w:tc>
        <w:tc>
          <w:tcPr>
            <w:tcW w:w="998" w:type="dxa"/>
            <w:shd w:val="clear" w:color="auto" w:fill="F2F2F2" w:themeFill="background1" w:themeFillShade="F2"/>
            <w:noWrap/>
            <w:tcMar>
              <w:right w:w="170" w:type="dxa"/>
            </w:tcMar>
            <w:vAlign w:val="center"/>
          </w:tcPr>
          <w:p w14:paraId="163606D3" w14:textId="77777777" w:rsidR="0033217F" w:rsidRPr="00A56A8F" w:rsidRDefault="0033217F" w:rsidP="0033217F">
            <w:pPr>
              <w:spacing w:after="0"/>
              <w:ind w:firstLine="0"/>
              <w:jc w:val="right"/>
              <w:rPr>
                <w:sz w:val="18"/>
                <w:szCs w:val="18"/>
                <w:lang w:eastAsia="lv-LV"/>
              </w:rPr>
            </w:pPr>
            <w:r w:rsidRPr="00A56A8F">
              <w:rPr>
                <w:sz w:val="18"/>
                <w:szCs w:val="18"/>
              </w:rPr>
              <w:t>3,2</w:t>
            </w:r>
          </w:p>
        </w:tc>
      </w:tr>
      <w:tr w:rsidR="0033217F" w:rsidRPr="00A56A8F" w14:paraId="6126CA31" w14:textId="77777777" w:rsidTr="000065DF">
        <w:trPr>
          <w:trHeight w:val="600"/>
          <w:jc w:val="center"/>
        </w:trPr>
        <w:tc>
          <w:tcPr>
            <w:tcW w:w="3306" w:type="dxa"/>
            <w:shd w:val="clear" w:color="auto" w:fill="auto"/>
            <w:noWrap/>
            <w:vAlign w:val="center"/>
            <w:hideMark/>
          </w:tcPr>
          <w:p w14:paraId="5CC8714B" w14:textId="77777777" w:rsidR="0033217F" w:rsidRPr="00A56A8F" w:rsidRDefault="0033217F" w:rsidP="0033217F">
            <w:pPr>
              <w:spacing w:after="0"/>
              <w:ind w:firstLine="0"/>
              <w:rPr>
                <w:sz w:val="18"/>
                <w:szCs w:val="18"/>
                <w:lang w:eastAsia="lv-LV"/>
              </w:rPr>
            </w:pPr>
            <w:r w:rsidRPr="00A56A8F">
              <w:rPr>
                <w:b/>
                <w:noProof/>
                <w:sz w:val="18"/>
                <w:szCs w:val="18"/>
                <w:lang w:eastAsia="lv-LV"/>
              </w:rPr>
              <w:t>Nodarbinātība</w:t>
            </w:r>
            <w:r w:rsidRPr="00A56A8F">
              <w:rPr>
                <w:noProof/>
                <w:sz w:val="18"/>
                <w:szCs w:val="18"/>
                <w:lang w:eastAsia="lv-LV"/>
              </w:rPr>
              <w:t xml:space="preserve"> (tūkst. iedzīvotāju</w:t>
            </w:r>
            <w:r w:rsidRPr="00A56A8F">
              <w:rPr>
                <w:noProof/>
                <w:sz w:val="18"/>
                <w:szCs w:val="18"/>
                <w:lang w:eastAsia="lv-LV"/>
              </w:rPr>
              <w:br/>
              <w:t>atbilstoši darbaspēka apsekojumiem)</w:t>
            </w:r>
          </w:p>
        </w:tc>
        <w:tc>
          <w:tcPr>
            <w:tcW w:w="998" w:type="dxa"/>
            <w:shd w:val="clear" w:color="auto" w:fill="auto"/>
            <w:noWrap/>
            <w:tcMar>
              <w:right w:w="170" w:type="dxa"/>
            </w:tcMar>
            <w:vAlign w:val="center"/>
          </w:tcPr>
          <w:p w14:paraId="10AF4043" w14:textId="77777777" w:rsidR="0033217F" w:rsidRPr="00A56A8F" w:rsidRDefault="0033217F" w:rsidP="0033217F">
            <w:pPr>
              <w:spacing w:after="0"/>
              <w:ind w:firstLine="0"/>
              <w:jc w:val="right"/>
              <w:rPr>
                <w:sz w:val="18"/>
                <w:szCs w:val="18"/>
                <w:lang w:eastAsia="lv-LV"/>
              </w:rPr>
            </w:pPr>
            <w:r w:rsidRPr="00A56A8F">
              <w:rPr>
                <w:sz w:val="18"/>
                <w:szCs w:val="18"/>
              </w:rPr>
              <w:t>893</w:t>
            </w:r>
          </w:p>
        </w:tc>
        <w:tc>
          <w:tcPr>
            <w:tcW w:w="998" w:type="dxa"/>
            <w:shd w:val="clear" w:color="auto" w:fill="F2F2F2" w:themeFill="background1" w:themeFillShade="F2"/>
            <w:noWrap/>
            <w:tcMar>
              <w:right w:w="170" w:type="dxa"/>
            </w:tcMar>
            <w:vAlign w:val="center"/>
          </w:tcPr>
          <w:p w14:paraId="2E41010A" w14:textId="77777777" w:rsidR="0033217F" w:rsidRPr="00A56A8F" w:rsidRDefault="0033217F" w:rsidP="0033217F">
            <w:pPr>
              <w:spacing w:after="0"/>
              <w:ind w:firstLine="0"/>
              <w:jc w:val="right"/>
              <w:rPr>
                <w:sz w:val="18"/>
                <w:szCs w:val="18"/>
                <w:lang w:eastAsia="lv-LV"/>
              </w:rPr>
            </w:pPr>
            <w:r w:rsidRPr="00A56A8F">
              <w:rPr>
                <w:sz w:val="18"/>
                <w:szCs w:val="18"/>
              </w:rPr>
              <w:t>884</w:t>
            </w:r>
          </w:p>
        </w:tc>
        <w:tc>
          <w:tcPr>
            <w:tcW w:w="998" w:type="dxa"/>
            <w:shd w:val="clear" w:color="auto" w:fill="F2F2F2" w:themeFill="background1" w:themeFillShade="F2"/>
            <w:noWrap/>
            <w:tcMar>
              <w:right w:w="170" w:type="dxa"/>
            </w:tcMar>
            <w:vAlign w:val="center"/>
          </w:tcPr>
          <w:p w14:paraId="0ED1A70A" w14:textId="77777777" w:rsidR="0033217F" w:rsidRPr="00A56A8F" w:rsidRDefault="0033217F" w:rsidP="0033217F">
            <w:pPr>
              <w:spacing w:after="0"/>
              <w:ind w:firstLine="0"/>
              <w:jc w:val="right"/>
              <w:rPr>
                <w:sz w:val="18"/>
                <w:szCs w:val="18"/>
                <w:lang w:eastAsia="lv-LV"/>
              </w:rPr>
            </w:pPr>
            <w:r w:rsidRPr="00A56A8F">
              <w:rPr>
                <w:sz w:val="18"/>
                <w:szCs w:val="18"/>
              </w:rPr>
              <w:t>902</w:t>
            </w:r>
          </w:p>
        </w:tc>
        <w:tc>
          <w:tcPr>
            <w:tcW w:w="998" w:type="dxa"/>
            <w:shd w:val="clear" w:color="auto" w:fill="F2F2F2" w:themeFill="background1" w:themeFillShade="F2"/>
            <w:noWrap/>
            <w:tcMar>
              <w:right w:w="170" w:type="dxa"/>
            </w:tcMar>
            <w:vAlign w:val="center"/>
          </w:tcPr>
          <w:p w14:paraId="1C01EC46" w14:textId="77777777" w:rsidR="0033217F" w:rsidRPr="00A56A8F" w:rsidRDefault="0033217F" w:rsidP="0033217F">
            <w:pPr>
              <w:spacing w:after="0"/>
              <w:ind w:firstLine="0"/>
              <w:jc w:val="right"/>
              <w:rPr>
                <w:sz w:val="18"/>
                <w:szCs w:val="18"/>
                <w:lang w:eastAsia="lv-LV"/>
              </w:rPr>
            </w:pPr>
            <w:r w:rsidRPr="00A56A8F">
              <w:rPr>
                <w:sz w:val="18"/>
                <w:szCs w:val="18"/>
              </w:rPr>
              <w:t>904</w:t>
            </w:r>
          </w:p>
        </w:tc>
        <w:tc>
          <w:tcPr>
            <w:tcW w:w="998" w:type="dxa"/>
            <w:shd w:val="clear" w:color="auto" w:fill="F2F2F2" w:themeFill="background1" w:themeFillShade="F2"/>
            <w:noWrap/>
            <w:tcMar>
              <w:right w:w="170" w:type="dxa"/>
            </w:tcMar>
            <w:vAlign w:val="center"/>
          </w:tcPr>
          <w:p w14:paraId="10D1F168" w14:textId="77777777" w:rsidR="0033217F" w:rsidRPr="00A56A8F" w:rsidRDefault="0033217F" w:rsidP="0033217F">
            <w:pPr>
              <w:spacing w:after="0"/>
              <w:ind w:firstLine="0"/>
              <w:jc w:val="right"/>
              <w:rPr>
                <w:sz w:val="18"/>
                <w:szCs w:val="18"/>
                <w:lang w:eastAsia="lv-LV"/>
              </w:rPr>
            </w:pPr>
            <w:r w:rsidRPr="00A56A8F">
              <w:rPr>
                <w:sz w:val="18"/>
                <w:szCs w:val="18"/>
              </w:rPr>
              <w:t>904</w:t>
            </w:r>
          </w:p>
        </w:tc>
      </w:tr>
      <w:tr w:rsidR="0033217F" w:rsidRPr="00A56A8F" w14:paraId="4C653E12" w14:textId="77777777" w:rsidTr="000065DF">
        <w:trPr>
          <w:trHeight w:val="300"/>
          <w:jc w:val="center"/>
        </w:trPr>
        <w:tc>
          <w:tcPr>
            <w:tcW w:w="3306" w:type="dxa"/>
            <w:shd w:val="clear" w:color="auto" w:fill="auto"/>
            <w:noWrap/>
            <w:vAlign w:val="center"/>
            <w:hideMark/>
          </w:tcPr>
          <w:p w14:paraId="2827A879" w14:textId="77777777" w:rsidR="0033217F" w:rsidRPr="00A56A8F" w:rsidRDefault="0033217F" w:rsidP="000065DF">
            <w:pPr>
              <w:spacing w:after="0"/>
              <w:ind w:firstLine="316"/>
              <w:rPr>
                <w:sz w:val="18"/>
                <w:szCs w:val="18"/>
                <w:lang w:eastAsia="lv-LV"/>
              </w:rPr>
            </w:pPr>
            <w:r w:rsidRPr="00A56A8F">
              <w:rPr>
                <w:noProof/>
                <w:sz w:val="18"/>
                <w:szCs w:val="18"/>
                <w:lang w:eastAsia="lv-LV"/>
              </w:rPr>
              <w:t>pieaugums (%)</w:t>
            </w:r>
          </w:p>
        </w:tc>
        <w:tc>
          <w:tcPr>
            <w:tcW w:w="998" w:type="dxa"/>
            <w:shd w:val="clear" w:color="auto" w:fill="auto"/>
            <w:noWrap/>
            <w:tcMar>
              <w:right w:w="170" w:type="dxa"/>
            </w:tcMar>
            <w:vAlign w:val="center"/>
          </w:tcPr>
          <w:p w14:paraId="1476E84D" w14:textId="77777777" w:rsidR="0033217F" w:rsidRPr="00A56A8F" w:rsidRDefault="0033217F" w:rsidP="0033217F">
            <w:pPr>
              <w:spacing w:after="0"/>
              <w:ind w:firstLine="0"/>
              <w:jc w:val="right"/>
              <w:rPr>
                <w:sz w:val="18"/>
                <w:szCs w:val="18"/>
                <w:lang w:eastAsia="lv-LV"/>
              </w:rPr>
            </w:pPr>
            <w:r w:rsidRPr="00A56A8F">
              <w:rPr>
                <w:sz w:val="18"/>
                <w:szCs w:val="18"/>
              </w:rPr>
              <w:t>-1,9</w:t>
            </w:r>
          </w:p>
        </w:tc>
        <w:tc>
          <w:tcPr>
            <w:tcW w:w="998" w:type="dxa"/>
            <w:shd w:val="clear" w:color="auto" w:fill="F2F2F2" w:themeFill="background1" w:themeFillShade="F2"/>
            <w:noWrap/>
            <w:tcMar>
              <w:right w:w="170" w:type="dxa"/>
            </w:tcMar>
            <w:vAlign w:val="center"/>
          </w:tcPr>
          <w:p w14:paraId="30BA8A3F" w14:textId="77777777" w:rsidR="0033217F" w:rsidRPr="00A56A8F" w:rsidRDefault="0033217F" w:rsidP="0033217F">
            <w:pPr>
              <w:spacing w:after="0"/>
              <w:ind w:firstLine="0"/>
              <w:jc w:val="right"/>
              <w:rPr>
                <w:sz w:val="18"/>
                <w:szCs w:val="18"/>
                <w:lang w:eastAsia="lv-LV"/>
              </w:rPr>
            </w:pPr>
            <w:r w:rsidRPr="00A56A8F">
              <w:rPr>
                <w:sz w:val="18"/>
                <w:szCs w:val="18"/>
              </w:rPr>
              <w:t>-1,0</w:t>
            </w:r>
          </w:p>
        </w:tc>
        <w:tc>
          <w:tcPr>
            <w:tcW w:w="998" w:type="dxa"/>
            <w:shd w:val="clear" w:color="auto" w:fill="F2F2F2" w:themeFill="background1" w:themeFillShade="F2"/>
            <w:noWrap/>
            <w:tcMar>
              <w:right w:w="170" w:type="dxa"/>
            </w:tcMar>
            <w:vAlign w:val="center"/>
          </w:tcPr>
          <w:p w14:paraId="7F56562B" w14:textId="77777777" w:rsidR="0033217F" w:rsidRPr="00A56A8F" w:rsidRDefault="0033217F" w:rsidP="0033217F">
            <w:pPr>
              <w:spacing w:after="0"/>
              <w:ind w:firstLine="0"/>
              <w:jc w:val="right"/>
              <w:rPr>
                <w:sz w:val="18"/>
                <w:szCs w:val="18"/>
                <w:lang w:eastAsia="lv-LV"/>
              </w:rPr>
            </w:pPr>
            <w:r w:rsidRPr="00A56A8F">
              <w:rPr>
                <w:sz w:val="18"/>
                <w:szCs w:val="18"/>
              </w:rPr>
              <w:t>2,0</w:t>
            </w:r>
          </w:p>
        </w:tc>
        <w:tc>
          <w:tcPr>
            <w:tcW w:w="998" w:type="dxa"/>
            <w:shd w:val="clear" w:color="auto" w:fill="F2F2F2" w:themeFill="background1" w:themeFillShade="F2"/>
            <w:noWrap/>
            <w:tcMar>
              <w:right w:w="170" w:type="dxa"/>
            </w:tcMar>
            <w:vAlign w:val="center"/>
          </w:tcPr>
          <w:p w14:paraId="2E34B42C" w14:textId="77777777" w:rsidR="0033217F" w:rsidRPr="00A56A8F" w:rsidRDefault="0033217F" w:rsidP="0033217F">
            <w:pPr>
              <w:spacing w:after="0"/>
              <w:ind w:firstLine="0"/>
              <w:jc w:val="right"/>
              <w:rPr>
                <w:sz w:val="18"/>
                <w:szCs w:val="18"/>
                <w:lang w:eastAsia="lv-LV"/>
              </w:rPr>
            </w:pPr>
            <w:r w:rsidRPr="00A56A8F">
              <w:rPr>
                <w:sz w:val="18"/>
                <w:szCs w:val="18"/>
              </w:rPr>
              <w:t>0,3</w:t>
            </w:r>
          </w:p>
        </w:tc>
        <w:tc>
          <w:tcPr>
            <w:tcW w:w="998" w:type="dxa"/>
            <w:shd w:val="clear" w:color="auto" w:fill="F2F2F2" w:themeFill="background1" w:themeFillShade="F2"/>
            <w:noWrap/>
            <w:tcMar>
              <w:right w:w="170" w:type="dxa"/>
            </w:tcMar>
            <w:vAlign w:val="center"/>
          </w:tcPr>
          <w:p w14:paraId="36F0BBE6" w14:textId="77777777" w:rsidR="0033217F" w:rsidRPr="00A56A8F" w:rsidRDefault="0033217F" w:rsidP="0033217F">
            <w:pPr>
              <w:spacing w:after="0"/>
              <w:ind w:firstLine="0"/>
              <w:jc w:val="right"/>
              <w:rPr>
                <w:sz w:val="18"/>
                <w:szCs w:val="18"/>
                <w:lang w:eastAsia="lv-LV"/>
              </w:rPr>
            </w:pPr>
            <w:r w:rsidRPr="00A56A8F">
              <w:rPr>
                <w:sz w:val="18"/>
                <w:szCs w:val="18"/>
              </w:rPr>
              <w:t>0,0</w:t>
            </w:r>
          </w:p>
        </w:tc>
      </w:tr>
      <w:tr w:rsidR="0033217F" w:rsidRPr="00A56A8F" w14:paraId="25B7B014" w14:textId="77777777" w:rsidTr="000065DF">
        <w:trPr>
          <w:trHeight w:val="601"/>
          <w:jc w:val="center"/>
        </w:trPr>
        <w:tc>
          <w:tcPr>
            <w:tcW w:w="3306" w:type="dxa"/>
            <w:shd w:val="clear" w:color="auto" w:fill="auto"/>
            <w:noWrap/>
            <w:vAlign w:val="center"/>
            <w:hideMark/>
          </w:tcPr>
          <w:p w14:paraId="630B185F" w14:textId="77777777" w:rsidR="0033217F" w:rsidRPr="00A56A8F" w:rsidRDefault="0033217F" w:rsidP="0033217F">
            <w:pPr>
              <w:spacing w:after="0"/>
              <w:ind w:firstLine="0"/>
              <w:rPr>
                <w:sz w:val="18"/>
                <w:szCs w:val="18"/>
                <w:lang w:eastAsia="lv-LV"/>
              </w:rPr>
            </w:pPr>
            <w:r w:rsidRPr="00A56A8F">
              <w:rPr>
                <w:b/>
                <w:noProof/>
                <w:sz w:val="18"/>
                <w:szCs w:val="18"/>
                <w:lang w:eastAsia="lv-LV"/>
              </w:rPr>
              <w:t>Bezdarba līmenis</w:t>
            </w:r>
            <w:r w:rsidRPr="00A56A8F">
              <w:rPr>
                <w:noProof/>
                <w:sz w:val="18"/>
                <w:szCs w:val="18"/>
                <w:lang w:eastAsia="lv-LV"/>
              </w:rPr>
              <w:t xml:space="preserve"> (gada vidējais, </w:t>
            </w:r>
            <w:r w:rsidRPr="00A56A8F">
              <w:rPr>
                <w:noProof/>
                <w:sz w:val="18"/>
                <w:szCs w:val="18"/>
                <w:lang w:eastAsia="lv-LV"/>
              </w:rPr>
              <w:br/>
              <w:t>% no ekon. aktīviem iedzīv.)</w:t>
            </w:r>
          </w:p>
        </w:tc>
        <w:tc>
          <w:tcPr>
            <w:tcW w:w="998" w:type="dxa"/>
            <w:shd w:val="clear" w:color="auto" w:fill="auto"/>
            <w:noWrap/>
            <w:tcMar>
              <w:right w:w="170" w:type="dxa"/>
            </w:tcMar>
            <w:vAlign w:val="center"/>
          </w:tcPr>
          <w:p w14:paraId="3BB2DA91" w14:textId="77777777" w:rsidR="0033217F" w:rsidRPr="00A56A8F" w:rsidRDefault="0033217F" w:rsidP="0033217F">
            <w:pPr>
              <w:spacing w:after="0"/>
              <w:ind w:firstLine="0"/>
              <w:jc w:val="right"/>
              <w:rPr>
                <w:sz w:val="18"/>
                <w:szCs w:val="18"/>
                <w:lang w:eastAsia="lv-LV"/>
              </w:rPr>
            </w:pPr>
            <w:r w:rsidRPr="00A56A8F">
              <w:rPr>
                <w:sz w:val="18"/>
                <w:szCs w:val="18"/>
              </w:rPr>
              <w:t>8,1</w:t>
            </w:r>
          </w:p>
        </w:tc>
        <w:tc>
          <w:tcPr>
            <w:tcW w:w="998" w:type="dxa"/>
            <w:shd w:val="clear" w:color="auto" w:fill="F2F2F2" w:themeFill="background1" w:themeFillShade="F2"/>
            <w:noWrap/>
            <w:tcMar>
              <w:right w:w="170" w:type="dxa"/>
            </w:tcMar>
            <w:vAlign w:val="center"/>
          </w:tcPr>
          <w:p w14:paraId="5777AF49" w14:textId="77777777" w:rsidR="0033217F" w:rsidRPr="00A56A8F" w:rsidRDefault="0033217F" w:rsidP="0033217F">
            <w:pPr>
              <w:spacing w:after="0"/>
              <w:ind w:firstLine="0"/>
              <w:jc w:val="right"/>
              <w:rPr>
                <w:sz w:val="18"/>
                <w:szCs w:val="18"/>
                <w:lang w:eastAsia="lv-LV"/>
              </w:rPr>
            </w:pPr>
            <w:r w:rsidRPr="00A56A8F">
              <w:rPr>
                <w:sz w:val="18"/>
                <w:szCs w:val="18"/>
              </w:rPr>
              <w:t>7,7</w:t>
            </w:r>
          </w:p>
        </w:tc>
        <w:tc>
          <w:tcPr>
            <w:tcW w:w="998" w:type="dxa"/>
            <w:shd w:val="clear" w:color="auto" w:fill="F2F2F2" w:themeFill="background1" w:themeFillShade="F2"/>
            <w:noWrap/>
            <w:tcMar>
              <w:right w:w="170" w:type="dxa"/>
            </w:tcMar>
            <w:vAlign w:val="center"/>
          </w:tcPr>
          <w:p w14:paraId="258C6FB8" w14:textId="77777777" w:rsidR="0033217F" w:rsidRPr="00A56A8F" w:rsidRDefault="0033217F" w:rsidP="0033217F">
            <w:pPr>
              <w:spacing w:after="0"/>
              <w:ind w:firstLine="0"/>
              <w:jc w:val="right"/>
              <w:rPr>
                <w:sz w:val="18"/>
                <w:szCs w:val="18"/>
                <w:lang w:eastAsia="lv-LV"/>
              </w:rPr>
            </w:pPr>
            <w:r w:rsidRPr="00A56A8F">
              <w:rPr>
                <w:sz w:val="18"/>
                <w:szCs w:val="18"/>
              </w:rPr>
              <w:t>6,9</w:t>
            </w:r>
          </w:p>
        </w:tc>
        <w:tc>
          <w:tcPr>
            <w:tcW w:w="998" w:type="dxa"/>
            <w:shd w:val="clear" w:color="auto" w:fill="F2F2F2" w:themeFill="background1" w:themeFillShade="F2"/>
            <w:noWrap/>
            <w:tcMar>
              <w:right w:w="170" w:type="dxa"/>
            </w:tcMar>
            <w:vAlign w:val="center"/>
          </w:tcPr>
          <w:p w14:paraId="17A6A469" w14:textId="77777777" w:rsidR="0033217F" w:rsidRPr="00A56A8F" w:rsidRDefault="0033217F" w:rsidP="0033217F">
            <w:pPr>
              <w:spacing w:after="0"/>
              <w:ind w:firstLine="0"/>
              <w:jc w:val="right"/>
              <w:rPr>
                <w:sz w:val="18"/>
                <w:szCs w:val="18"/>
                <w:lang w:eastAsia="lv-LV"/>
              </w:rPr>
            </w:pPr>
            <w:r w:rsidRPr="00A56A8F">
              <w:rPr>
                <w:sz w:val="18"/>
                <w:szCs w:val="18"/>
              </w:rPr>
              <w:t>6,3</w:t>
            </w:r>
          </w:p>
        </w:tc>
        <w:tc>
          <w:tcPr>
            <w:tcW w:w="998" w:type="dxa"/>
            <w:shd w:val="clear" w:color="auto" w:fill="F2F2F2" w:themeFill="background1" w:themeFillShade="F2"/>
            <w:noWrap/>
            <w:tcMar>
              <w:right w:w="170" w:type="dxa"/>
            </w:tcMar>
            <w:vAlign w:val="center"/>
          </w:tcPr>
          <w:p w14:paraId="6EFE1D51" w14:textId="77777777" w:rsidR="0033217F" w:rsidRPr="00A56A8F" w:rsidRDefault="0033217F" w:rsidP="0033217F">
            <w:pPr>
              <w:spacing w:after="0"/>
              <w:ind w:firstLine="0"/>
              <w:jc w:val="right"/>
              <w:rPr>
                <w:sz w:val="18"/>
                <w:szCs w:val="18"/>
                <w:lang w:eastAsia="lv-LV"/>
              </w:rPr>
            </w:pPr>
            <w:r w:rsidRPr="00A56A8F">
              <w:rPr>
                <w:sz w:val="18"/>
                <w:szCs w:val="18"/>
              </w:rPr>
              <w:t>5,9</w:t>
            </w:r>
          </w:p>
        </w:tc>
      </w:tr>
    </w:tbl>
    <w:p w14:paraId="5C5D3DFD" w14:textId="77777777" w:rsidR="00DC4D1F" w:rsidRPr="005B5CD6" w:rsidRDefault="00DC4D1F" w:rsidP="00DC4D1F">
      <w:pPr>
        <w:autoSpaceDE w:val="0"/>
        <w:autoSpaceDN w:val="0"/>
        <w:adjustRightInd w:val="0"/>
        <w:spacing w:before="240"/>
        <w:ind w:firstLine="0"/>
        <w:rPr>
          <w:b/>
          <w:color w:val="000000"/>
          <w:szCs w:val="28"/>
          <w:lang w:eastAsia="lv-LV"/>
        </w:rPr>
      </w:pPr>
      <w:r w:rsidRPr="00EF1D74">
        <w:rPr>
          <w:b/>
          <w:color w:val="000000"/>
          <w:szCs w:val="28"/>
          <w:lang w:eastAsia="lv-LV"/>
        </w:rPr>
        <w:t xml:space="preserve">Ietekme </w:t>
      </w:r>
      <w:r w:rsidRPr="005B5CD6">
        <w:rPr>
          <w:b/>
          <w:color w:val="000000"/>
          <w:szCs w:val="28"/>
          <w:lang w:eastAsia="lv-LV"/>
        </w:rPr>
        <w:t>uz vispārējās valdības budžetu un parādu</w:t>
      </w:r>
    </w:p>
    <w:p w14:paraId="00200A80" w14:textId="77777777" w:rsidR="00DC4D1F" w:rsidRPr="005B5CD6" w:rsidRDefault="00DC4D1F" w:rsidP="00DC4D1F">
      <w:pPr>
        <w:autoSpaceDE w:val="0"/>
        <w:autoSpaceDN w:val="0"/>
        <w:adjustRightInd w:val="0"/>
        <w:ind w:firstLine="720"/>
        <w:rPr>
          <w:noProof/>
          <w:color w:val="000000"/>
          <w:szCs w:val="28"/>
          <w:lang w:eastAsia="lv-LV"/>
        </w:rPr>
      </w:pPr>
      <w:r w:rsidRPr="005B5CD6">
        <w:rPr>
          <w:noProof/>
          <w:color w:val="000000"/>
          <w:szCs w:val="28"/>
          <w:lang w:eastAsia="lv-LV"/>
        </w:rPr>
        <w:t xml:space="preserve">Īstenojoties optimistiskajam scenārijam, kopbudžeta nodokļu ieņēmumi un valsts pamatbudžeta nenodokļu ieņēmumi palielinātos par 244,0 milj. </w:t>
      </w:r>
      <w:r w:rsidRPr="005B5CD6">
        <w:rPr>
          <w:i/>
          <w:noProof/>
          <w:color w:val="000000"/>
          <w:szCs w:val="28"/>
          <w:lang w:eastAsia="lv-LV"/>
        </w:rPr>
        <w:t>euro</w:t>
      </w:r>
      <w:r w:rsidRPr="005B5CD6">
        <w:rPr>
          <w:noProof/>
          <w:color w:val="000000"/>
          <w:szCs w:val="28"/>
          <w:lang w:eastAsia="lv-LV"/>
        </w:rPr>
        <w:t xml:space="preserve"> jeb 0,8% no IKP 2022. gadā salīdzinājumā ar bāzes scenāriju. Savukārt 2023. un 2024. gadā tie būtu attiecīgi par 252,9 milj. </w:t>
      </w:r>
      <w:r w:rsidRPr="005B5CD6">
        <w:rPr>
          <w:i/>
          <w:noProof/>
          <w:color w:val="000000"/>
          <w:szCs w:val="28"/>
          <w:lang w:eastAsia="lv-LV"/>
        </w:rPr>
        <w:t>euro</w:t>
      </w:r>
      <w:r w:rsidRPr="005B5CD6">
        <w:rPr>
          <w:noProof/>
          <w:color w:val="000000"/>
          <w:szCs w:val="28"/>
          <w:lang w:eastAsia="lv-LV"/>
        </w:rPr>
        <w:t xml:space="preserve"> jeb 0,7% no IKP un 259,6 milj. </w:t>
      </w:r>
      <w:r w:rsidRPr="005B5CD6">
        <w:rPr>
          <w:i/>
          <w:noProof/>
          <w:color w:val="000000"/>
          <w:szCs w:val="28"/>
          <w:lang w:eastAsia="lv-LV"/>
        </w:rPr>
        <w:t>euro</w:t>
      </w:r>
      <w:r w:rsidRPr="005B5CD6">
        <w:rPr>
          <w:noProof/>
          <w:color w:val="000000"/>
          <w:szCs w:val="28"/>
          <w:lang w:eastAsia="lv-LV"/>
        </w:rPr>
        <w:t xml:space="preserve"> jeb 0,7% no IKP augstāki nekā bāzes scenārijā.</w:t>
      </w:r>
    </w:p>
    <w:p w14:paraId="683F8014" w14:textId="6A046CA7" w:rsidR="00DC4D1F" w:rsidRDefault="00DC4D1F" w:rsidP="00DC4D1F">
      <w:pPr>
        <w:autoSpaceDE w:val="0"/>
        <w:autoSpaceDN w:val="0"/>
        <w:adjustRightInd w:val="0"/>
        <w:ind w:firstLine="720"/>
        <w:rPr>
          <w:noProof/>
          <w:color w:val="000000"/>
          <w:szCs w:val="28"/>
          <w:lang w:eastAsia="lv-LV"/>
        </w:rPr>
      </w:pPr>
      <w:r w:rsidRPr="005B5CD6">
        <w:rPr>
          <w:noProof/>
          <w:color w:val="000000"/>
          <w:szCs w:val="28"/>
          <w:lang w:eastAsia="lv-LV"/>
        </w:rPr>
        <w:t>Izpildoties optimistiskajam scenārijam, aptuveni puse no kopbudžeta ieņēmum</w:t>
      </w:r>
      <w:r>
        <w:rPr>
          <w:noProof/>
          <w:color w:val="000000"/>
          <w:szCs w:val="28"/>
          <w:lang w:eastAsia="lv-LV"/>
        </w:rPr>
        <w:t>u</w:t>
      </w:r>
      <w:r w:rsidRPr="005B5CD6">
        <w:rPr>
          <w:noProof/>
          <w:color w:val="000000"/>
          <w:szCs w:val="28"/>
          <w:lang w:eastAsia="lv-LV"/>
        </w:rPr>
        <w:t xml:space="preserve"> pieauguma būtu attiecināma uz valsts pamatbudžetu. </w:t>
      </w:r>
      <w:r w:rsidRPr="005B5CD6">
        <w:rPr>
          <w:color w:val="000000"/>
          <w:szCs w:val="28"/>
          <w:lang w:eastAsia="lv-LV"/>
        </w:rPr>
        <w:t xml:space="preserve">Pie šāda scenārija, pieaugot nodokļu ieņēmumiem, uzlabotos valsts budžeta finansiālā bilance, kā rezultātā samazinātos kopējā finansēšanas nepieciešamība un attiecīgi arī aizņemšanās apjoms attiecīgajā periodā, salīdzinot </w:t>
      </w:r>
      <w:r w:rsidRPr="005B5CD6">
        <w:rPr>
          <w:color w:val="000000"/>
          <w:szCs w:val="28"/>
          <w:lang w:eastAsia="lv-LV"/>
        </w:rPr>
        <w:lastRenderedPageBreak/>
        <w:t>ar bāzes scenāriju. Mazāks aizņemšanās apjoms izraisītu nelielu ietaupījumu procentu izdevumos. Optimistiskā scenārija gadījumā procentu izdevumi 2022. gadā samazinātos par 0,8</w:t>
      </w:r>
      <w:r>
        <w:rPr>
          <w:color w:val="000000"/>
          <w:szCs w:val="28"/>
          <w:lang w:eastAsia="lv-LV"/>
        </w:rPr>
        <w:t> </w:t>
      </w:r>
      <w:r w:rsidRPr="005B5CD6">
        <w:rPr>
          <w:color w:val="000000"/>
          <w:szCs w:val="28"/>
          <w:lang w:eastAsia="lv-LV"/>
        </w:rPr>
        <w:t xml:space="preserve">milj. </w:t>
      </w:r>
      <w:r w:rsidRPr="005B5CD6">
        <w:rPr>
          <w:i/>
          <w:noProof/>
          <w:color w:val="000000"/>
          <w:szCs w:val="28"/>
          <w:lang w:eastAsia="lv-LV"/>
        </w:rPr>
        <w:t>euro</w:t>
      </w:r>
      <w:r w:rsidRPr="005B5CD6">
        <w:rPr>
          <w:color w:val="000000"/>
          <w:szCs w:val="28"/>
          <w:lang w:eastAsia="lv-LV"/>
        </w:rPr>
        <w:t>, 2023. gadā izdevumi būtu par 2,7 milj</w:t>
      </w:r>
      <w:r w:rsidRPr="005B5CD6">
        <w:rPr>
          <w:noProof/>
          <w:color w:val="000000"/>
          <w:szCs w:val="28"/>
          <w:lang w:eastAsia="lv-LV"/>
        </w:rPr>
        <w:t xml:space="preserve">. </w:t>
      </w:r>
      <w:r w:rsidRPr="005B5CD6">
        <w:rPr>
          <w:i/>
          <w:noProof/>
          <w:color w:val="000000"/>
          <w:szCs w:val="28"/>
          <w:lang w:eastAsia="lv-LV"/>
        </w:rPr>
        <w:t>euro</w:t>
      </w:r>
      <w:r w:rsidRPr="005B5CD6">
        <w:rPr>
          <w:noProof/>
          <w:color w:val="000000"/>
          <w:szCs w:val="28"/>
          <w:lang w:eastAsia="lv-LV"/>
        </w:rPr>
        <w:t xml:space="preserve"> un 2024. gadā par 5,0 milj. </w:t>
      </w:r>
      <w:r w:rsidRPr="005B5CD6">
        <w:rPr>
          <w:i/>
          <w:noProof/>
          <w:color w:val="000000"/>
          <w:szCs w:val="28"/>
          <w:lang w:eastAsia="lv-LV"/>
        </w:rPr>
        <w:t>euro</w:t>
      </w:r>
      <w:r w:rsidRPr="005B5CD6">
        <w:rPr>
          <w:noProof/>
          <w:color w:val="000000"/>
          <w:szCs w:val="28"/>
          <w:lang w:eastAsia="lv-LV"/>
        </w:rPr>
        <w:t xml:space="preserve"> mazāki nekā bāzes scenārijā.</w:t>
      </w:r>
    </w:p>
    <w:p w14:paraId="0A2ADC3F" w14:textId="77777777" w:rsidR="00DC4D1F" w:rsidRPr="00EF1D74" w:rsidRDefault="00DC4D1F" w:rsidP="00DC4D1F">
      <w:pPr>
        <w:keepNext/>
        <w:spacing w:before="240"/>
        <w:ind w:firstLine="0"/>
        <w:jc w:val="center"/>
        <w:rPr>
          <w:rFonts w:eastAsia="Calibri"/>
          <w:b/>
          <w:i/>
          <w:szCs w:val="24"/>
        </w:rPr>
      </w:pPr>
      <w:r w:rsidRPr="005B5CD6">
        <w:rPr>
          <w:rFonts w:eastAsia="Calibri"/>
          <w:b/>
          <w:i/>
          <w:szCs w:val="24"/>
        </w:rPr>
        <w:t xml:space="preserve">1.9.tabula. </w:t>
      </w:r>
      <w:r w:rsidRPr="005B5CD6">
        <w:rPr>
          <w:rFonts w:eastAsia="Calibri"/>
          <w:b/>
          <w:szCs w:val="24"/>
        </w:rPr>
        <w:t xml:space="preserve">Optimistiskā scenārija ietekme uz vispārējās valdības budžetu, </w:t>
      </w:r>
      <w:r w:rsidRPr="005B5CD6">
        <w:rPr>
          <w:rFonts w:eastAsia="Calibri"/>
          <w:b/>
          <w:noProof/>
          <w:szCs w:val="24"/>
        </w:rPr>
        <w:t>milj.</w:t>
      </w:r>
      <w:r w:rsidRPr="005B5CD6">
        <w:rPr>
          <w:rFonts w:eastAsia="Calibri"/>
          <w:b/>
          <w:i/>
          <w:noProof/>
          <w:szCs w:val="24"/>
        </w:rPr>
        <w:t xml:space="preserve"> euro</w:t>
      </w:r>
    </w:p>
    <w:tbl>
      <w:tblPr>
        <w:tblW w:w="90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851"/>
        <w:gridCol w:w="850"/>
        <w:gridCol w:w="851"/>
        <w:gridCol w:w="850"/>
        <w:gridCol w:w="709"/>
        <w:gridCol w:w="709"/>
        <w:gridCol w:w="709"/>
        <w:gridCol w:w="721"/>
        <w:gridCol w:w="9"/>
      </w:tblGrid>
      <w:tr w:rsidR="00DC4D1F" w:rsidRPr="00EF1D74" w14:paraId="269B976D" w14:textId="77777777" w:rsidTr="00BF25F0">
        <w:trPr>
          <w:trHeight w:val="301"/>
          <w:tblHeader/>
          <w:jc w:val="center"/>
        </w:trPr>
        <w:tc>
          <w:tcPr>
            <w:tcW w:w="2830" w:type="dxa"/>
            <w:shd w:val="clear" w:color="auto" w:fill="C6D9F1" w:themeFill="text2" w:themeFillTint="33"/>
            <w:vAlign w:val="center"/>
            <w:hideMark/>
          </w:tcPr>
          <w:p w14:paraId="29500B32" w14:textId="77777777" w:rsidR="00DC4D1F" w:rsidRPr="00EF1D74" w:rsidRDefault="00DC4D1F" w:rsidP="00BF25F0">
            <w:pPr>
              <w:spacing w:after="0"/>
              <w:ind w:firstLine="0"/>
              <w:jc w:val="left"/>
              <w:rPr>
                <w:sz w:val="18"/>
                <w:szCs w:val="18"/>
                <w:lang w:eastAsia="lv-LV"/>
              </w:rPr>
            </w:pPr>
          </w:p>
        </w:tc>
        <w:tc>
          <w:tcPr>
            <w:tcW w:w="3402" w:type="dxa"/>
            <w:gridSpan w:val="4"/>
            <w:shd w:val="clear" w:color="auto" w:fill="C6D9F1" w:themeFill="text2" w:themeFillTint="33"/>
            <w:vAlign w:val="center"/>
          </w:tcPr>
          <w:p w14:paraId="7ECA3A61" w14:textId="77777777" w:rsidR="00DC4D1F" w:rsidRPr="00EF1D74" w:rsidRDefault="00DC4D1F" w:rsidP="00BF25F0">
            <w:pPr>
              <w:spacing w:after="0"/>
              <w:ind w:firstLine="0"/>
              <w:jc w:val="center"/>
              <w:rPr>
                <w:b/>
                <w:sz w:val="18"/>
                <w:szCs w:val="18"/>
                <w:lang w:eastAsia="lv-LV"/>
              </w:rPr>
            </w:pPr>
            <w:r w:rsidRPr="00EF1D74">
              <w:rPr>
                <w:b/>
                <w:sz w:val="18"/>
                <w:szCs w:val="18"/>
                <w:lang w:eastAsia="lv-LV"/>
              </w:rPr>
              <w:t>Optimistiskais scenārijs</w:t>
            </w:r>
          </w:p>
        </w:tc>
        <w:tc>
          <w:tcPr>
            <w:tcW w:w="2857" w:type="dxa"/>
            <w:gridSpan w:val="5"/>
            <w:shd w:val="clear" w:color="auto" w:fill="C6D9F1" w:themeFill="text2" w:themeFillTint="33"/>
            <w:vAlign w:val="center"/>
          </w:tcPr>
          <w:p w14:paraId="2F2E8470" w14:textId="77777777" w:rsidR="00DC4D1F" w:rsidRPr="00EF1D74" w:rsidRDefault="00DC4D1F" w:rsidP="00BF25F0">
            <w:pPr>
              <w:spacing w:after="0"/>
              <w:ind w:firstLine="0"/>
              <w:jc w:val="center"/>
              <w:rPr>
                <w:b/>
                <w:sz w:val="18"/>
                <w:szCs w:val="18"/>
                <w:lang w:eastAsia="lv-LV"/>
              </w:rPr>
            </w:pPr>
            <w:r w:rsidRPr="00EF1D74">
              <w:rPr>
                <w:b/>
                <w:sz w:val="18"/>
                <w:szCs w:val="18"/>
                <w:lang w:eastAsia="lv-LV"/>
              </w:rPr>
              <w:t>Novirze no bāzes scenārija</w:t>
            </w:r>
          </w:p>
        </w:tc>
      </w:tr>
      <w:tr w:rsidR="00DC4D1F" w:rsidRPr="00EF1D74" w14:paraId="19E93928" w14:textId="77777777" w:rsidTr="00BF25F0">
        <w:trPr>
          <w:gridAfter w:val="1"/>
          <w:wAfter w:w="9" w:type="dxa"/>
          <w:trHeight w:val="185"/>
          <w:jc w:val="center"/>
        </w:trPr>
        <w:tc>
          <w:tcPr>
            <w:tcW w:w="2830" w:type="dxa"/>
            <w:shd w:val="clear" w:color="auto" w:fill="C6D9F1" w:themeFill="text2" w:themeFillTint="33"/>
            <w:vAlign w:val="center"/>
            <w:hideMark/>
          </w:tcPr>
          <w:p w14:paraId="3A0D092A" w14:textId="77777777" w:rsidR="00DC4D1F" w:rsidRPr="00EF1D74" w:rsidRDefault="00DC4D1F" w:rsidP="00BF25F0">
            <w:pPr>
              <w:spacing w:after="0"/>
              <w:ind w:firstLine="0"/>
              <w:jc w:val="left"/>
              <w:rPr>
                <w:sz w:val="18"/>
                <w:szCs w:val="18"/>
                <w:lang w:eastAsia="lv-LV"/>
              </w:rPr>
            </w:pPr>
          </w:p>
        </w:tc>
        <w:tc>
          <w:tcPr>
            <w:tcW w:w="851" w:type="dxa"/>
            <w:shd w:val="clear" w:color="auto" w:fill="C6D9F1" w:themeFill="text2" w:themeFillTint="33"/>
            <w:tcMar>
              <w:left w:w="57" w:type="dxa"/>
              <w:right w:w="57" w:type="dxa"/>
            </w:tcMar>
            <w:vAlign w:val="center"/>
          </w:tcPr>
          <w:p w14:paraId="21255E8F" w14:textId="77777777" w:rsidR="00DC4D1F" w:rsidRPr="00EF1D74" w:rsidRDefault="00DC4D1F" w:rsidP="00BF25F0">
            <w:pPr>
              <w:spacing w:after="0"/>
              <w:ind w:firstLine="0"/>
              <w:jc w:val="center"/>
              <w:rPr>
                <w:b/>
                <w:sz w:val="18"/>
                <w:szCs w:val="18"/>
                <w:lang w:eastAsia="lv-LV"/>
              </w:rPr>
            </w:pPr>
            <w:r w:rsidRPr="00EF1D74">
              <w:rPr>
                <w:b/>
                <w:sz w:val="18"/>
                <w:szCs w:val="18"/>
                <w:lang w:eastAsia="lv-LV"/>
              </w:rPr>
              <w:t>202</w:t>
            </w:r>
            <w:r>
              <w:rPr>
                <w:b/>
                <w:sz w:val="18"/>
                <w:szCs w:val="18"/>
                <w:lang w:eastAsia="lv-LV"/>
              </w:rPr>
              <w:t>1</w:t>
            </w:r>
          </w:p>
        </w:tc>
        <w:tc>
          <w:tcPr>
            <w:tcW w:w="850" w:type="dxa"/>
            <w:shd w:val="clear" w:color="auto" w:fill="C6D9F1" w:themeFill="text2" w:themeFillTint="33"/>
            <w:tcMar>
              <w:left w:w="57" w:type="dxa"/>
              <w:right w:w="57" w:type="dxa"/>
            </w:tcMar>
            <w:vAlign w:val="center"/>
          </w:tcPr>
          <w:p w14:paraId="31A966AC" w14:textId="77777777" w:rsidR="00DC4D1F" w:rsidRPr="00EF1D74" w:rsidRDefault="00DC4D1F" w:rsidP="00BF25F0">
            <w:pPr>
              <w:spacing w:after="0"/>
              <w:ind w:firstLine="0"/>
              <w:jc w:val="center"/>
              <w:rPr>
                <w:b/>
                <w:sz w:val="18"/>
                <w:szCs w:val="18"/>
                <w:lang w:eastAsia="lv-LV"/>
              </w:rPr>
            </w:pPr>
            <w:r w:rsidRPr="00EF1D74">
              <w:rPr>
                <w:b/>
                <w:sz w:val="18"/>
                <w:szCs w:val="18"/>
                <w:lang w:eastAsia="lv-LV"/>
              </w:rPr>
              <w:t>202</w:t>
            </w:r>
            <w:r>
              <w:rPr>
                <w:b/>
                <w:sz w:val="18"/>
                <w:szCs w:val="18"/>
                <w:lang w:eastAsia="lv-LV"/>
              </w:rPr>
              <w:t>2</w:t>
            </w:r>
          </w:p>
        </w:tc>
        <w:tc>
          <w:tcPr>
            <w:tcW w:w="851" w:type="dxa"/>
            <w:shd w:val="clear" w:color="auto" w:fill="C6D9F1" w:themeFill="text2" w:themeFillTint="33"/>
            <w:tcMar>
              <w:left w:w="57" w:type="dxa"/>
              <w:right w:w="57" w:type="dxa"/>
            </w:tcMar>
            <w:vAlign w:val="center"/>
          </w:tcPr>
          <w:p w14:paraId="4AD49C57" w14:textId="77777777" w:rsidR="00DC4D1F" w:rsidRPr="00EF1D74" w:rsidRDefault="00DC4D1F" w:rsidP="00BF25F0">
            <w:pPr>
              <w:spacing w:after="0"/>
              <w:ind w:firstLine="0"/>
              <w:jc w:val="center"/>
              <w:rPr>
                <w:b/>
                <w:sz w:val="18"/>
                <w:szCs w:val="18"/>
                <w:lang w:eastAsia="lv-LV"/>
              </w:rPr>
            </w:pPr>
            <w:r w:rsidRPr="00EF1D74">
              <w:rPr>
                <w:b/>
                <w:sz w:val="18"/>
                <w:szCs w:val="18"/>
                <w:lang w:eastAsia="lv-LV"/>
              </w:rPr>
              <w:t>202</w:t>
            </w:r>
            <w:r>
              <w:rPr>
                <w:b/>
                <w:sz w:val="18"/>
                <w:szCs w:val="18"/>
                <w:lang w:eastAsia="lv-LV"/>
              </w:rPr>
              <w:t>3</w:t>
            </w:r>
          </w:p>
        </w:tc>
        <w:tc>
          <w:tcPr>
            <w:tcW w:w="850" w:type="dxa"/>
            <w:shd w:val="clear" w:color="auto" w:fill="C6D9F1" w:themeFill="text2" w:themeFillTint="33"/>
            <w:tcMar>
              <w:left w:w="57" w:type="dxa"/>
              <w:right w:w="57" w:type="dxa"/>
            </w:tcMar>
            <w:vAlign w:val="center"/>
          </w:tcPr>
          <w:p w14:paraId="597E96DC" w14:textId="77777777" w:rsidR="00DC4D1F" w:rsidRPr="00EF1D74" w:rsidRDefault="00DC4D1F" w:rsidP="00BF25F0">
            <w:pPr>
              <w:spacing w:after="0"/>
              <w:ind w:firstLine="0"/>
              <w:jc w:val="center"/>
              <w:rPr>
                <w:b/>
                <w:sz w:val="18"/>
                <w:szCs w:val="18"/>
                <w:lang w:eastAsia="lv-LV"/>
              </w:rPr>
            </w:pPr>
            <w:r w:rsidRPr="00EF1D74">
              <w:rPr>
                <w:b/>
                <w:sz w:val="18"/>
                <w:szCs w:val="18"/>
                <w:lang w:eastAsia="lv-LV"/>
              </w:rPr>
              <w:t>202</w:t>
            </w:r>
            <w:r>
              <w:rPr>
                <w:b/>
                <w:sz w:val="18"/>
                <w:szCs w:val="18"/>
                <w:lang w:eastAsia="lv-LV"/>
              </w:rPr>
              <w:t>4</w:t>
            </w:r>
          </w:p>
        </w:tc>
        <w:tc>
          <w:tcPr>
            <w:tcW w:w="709" w:type="dxa"/>
            <w:shd w:val="clear" w:color="auto" w:fill="C6D9F1" w:themeFill="text2" w:themeFillTint="33"/>
            <w:tcMar>
              <w:left w:w="57" w:type="dxa"/>
              <w:right w:w="57" w:type="dxa"/>
            </w:tcMar>
            <w:vAlign w:val="center"/>
            <w:hideMark/>
          </w:tcPr>
          <w:p w14:paraId="686E6D48" w14:textId="77777777" w:rsidR="00DC4D1F" w:rsidRPr="00EF1D74" w:rsidRDefault="00DC4D1F" w:rsidP="00BF25F0">
            <w:pPr>
              <w:spacing w:after="0"/>
              <w:ind w:firstLine="0"/>
              <w:jc w:val="center"/>
              <w:rPr>
                <w:b/>
                <w:sz w:val="18"/>
                <w:szCs w:val="18"/>
                <w:lang w:eastAsia="lv-LV"/>
              </w:rPr>
            </w:pPr>
            <w:r w:rsidRPr="00EF1D74">
              <w:rPr>
                <w:b/>
                <w:sz w:val="18"/>
                <w:szCs w:val="18"/>
                <w:lang w:eastAsia="lv-LV"/>
              </w:rPr>
              <w:t>202</w:t>
            </w:r>
            <w:r>
              <w:rPr>
                <w:b/>
                <w:sz w:val="18"/>
                <w:szCs w:val="18"/>
                <w:lang w:eastAsia="lv-LV"/>
              </w:rPr>
              <w:t>1</w:t>
            </w:r>
          </w:p>
        </w:tc>
        <w:tc>
          <w:tcPr>
            <w:tcW w:w="709" w:type="dxa"/>
            <w:shd w:val="clear" w:color="auto" w:fill="C6D9F1" w:themeFill="text2" w:themeFillTint="33"/>
            <w:tcMar>
              <w:left w:w="57" w:type="dxa"/>
              <w:right w:w="57" w:type="dxa"/>
            </w:tcMar>
            <w:vAlign w:val="center"/>
            <w:hideMark/>
          </w:tcPr>
          <w:p w14:paraId="6F634A8E" w14:textId="77777777" w:rsidR="00DC4D1F" w:rsidRPr="00EF1D74" w:rsidRDefault="00DC4D1F" w:rsidP="00BF25F0">
            <w:pPr>
              <w:spacing w:after="0"/>
              <w:ind w:firstLine="0"/>
              <w:jc w:val="center"/>
              <w:rPr>
                <w:b/>
                <w:sz w:val="18"/>
                <w:szCs w:val="18"/>
                <w:lang w:eastAsia="lv-LV"/>
              </w:rPr>
            </w:pPr>
            <w:r w:rsidRPr="00EF1D74">
              <w:rPr>
                <w:b/>
                <w:sz w:val="18"/>
                <w:szCs w:val="18"/>
                <w:lang w:eastAsia="lv-LV"/>
              </w:rPr>
              <w:t>202</w:t>
            </w:r>
            <w:r>
              <w:rPr>
                <w:b/>
                <w:sz w:val="18"/>
                <w:szCs w:val="18"/>
                <w:lang w:eastAsia="lv-LV"/>
              </w:rPr>
              <w:t>2</w:t>
            </w:r>
          </w:p>
        </w:tc>
        <w:tc>
          <w:tcPr>
            <w:tcW w:w="709" w:type="dxa"/>
            <w:shd w:val="clear" w:color="auto" w:fill="C6D9F1" w:themeFill="text2" w:themeFillTint="33"/>
            <w:tcMar>
              <w:left w:w="57" w:type="dxa"/>
              <w:right w:w="57" w:type="dxa"/>
            </w:tcMar>
            <w:vAlign w:val="center"/>
          </w:tcPr>
          <w:p w14:paraId="4F301CE6" w14:textId="77777777" w:rsidR="00DC4D1F" w:rsidRPr="00EF1D74" w:rsidRDefault="00DC4D1F" w:rsidP="00BF25F0">
            <w:pPr>
              <w:spacing w:after="0"/>
              <w:ind w:firstLine="0"/>
              <w:jc w:val="center"/>
              <w:rPr>
                <w:b/>
                <w:sz w:val="18"/>
                <w:szCs w:val="18"/>
                <w:lang w:eastAsia="lv-LV"/>
              </w:rPr>
            </w:pPr>
            <w:r w:rsidRPr="00EF1D74">
              <w:rPr>
                <w:b/>
                <w:sz w:val="18"/>
                <w:szCs w:val="18"/>
                <w:lang w:eastAsia="lv-LV"/>
              </w:rPr>
              <w:t>202</w:t>
            </w:r>
            <w:r>
              <w:rPr>
                <w:b/>
                <w:sz w:val="18"/>
                <w:szCs w:val="18"/>
                <w:lang w:eastAsia="lv-LV"/>
              </w:rPr>
              <w:t>3</w:t>
            </w:r>
          </w:p>
        </w:tc>
        <w:tc>
          <w:tcPr>
            <w:tcW w:w="721" w:type="dxa"/>
            <w:shd w:val="clear" w:color="auto" w:fill="C6D9F1" w:themeFill="text2" w:themeFillTint="33"/>
            <w:tcMar>
              <w:left w:w="57" w:type="dxa"/>
              <w:right w:w="57" w:type="dxa"/>
            </w:tcMar>
            <w:vAlign w:val="center"/>
            <w:hideMark/>
          </w:tcPr>
          <w:p w14:paraId="03D19261" w14:textId="77777777" w:rsidR="00DC4D1F" w:rsidRPr="00EF1D74" w:rsidRDefault="00DC4D1F" w:rsidP="00BF25F0">
            <w:pPr>
              <w:spacing w:after="0"/>
              <w:ind w:firstLine="0"/>
              <w:jc w:val="center"/>
              <w:rPr>
                <w:b/>
                <w:sz w:val="18"/>
                <w:szCs w:val="18"/>
                <w:lang w:eastAsia="lv-LV"/>
              </w:rPr>
            </w:pPr>
            <w:r w:rsidRPr="00EF1D74">
              <w:rPr>
                <w:b/>
                <w:sz w:val="18"/>
                <w:szCs w:val="18"/>
                <w:lang w:eastAsia="lv-LV"/>
              </w:rPr>
              <w:t>202</w:t>
            </w:r>
            <w:r>
              <w:rPr>
                <w:b/>
                <w:sz w:val="18"/>
                <w:szCs w:val="18"/>
                <w:lang w:eastAsia="lv-LV"/>
              </w:rPr>
              <w:t>4</w:t>
            </w:r>
          </w:p>
        </w:tc>
      </w:tr>
      <w:tr w:rsidR="00DC4D1F" w:rsidRPr="00EF1D74" w14:paraId="69E05C0D" w14:textId="77777777" w:rsidTr="00BF25F0">
        <w:trPr>
          <w:gridAfter w:val="1"/>
          <w:wAfter w:w="9" w:type="dxa"/>
          <w:trHeight w:val="306"/>
          <w:jc w:val="center"/>
        </w:trPr>
        <w:tc>
          <w:tcPr>
            <w:tcW w:w="2830" w:type="dxa"/>
            <w:shd w:val="clear" w:color="auto" w:fill="auto"/>
            <w:vAlign w:val="center"/>
          </w:tcPr>
          <w:p w14:paraId="23426390" w14:textId="77777777" w:rsidR="00DC4D1F" w:rsidRPr="00EF1D74" w:rsidRDefault="00DC4D1F" w:rsidP="00BF25F0">
            <w:pPr>
              <w:spacing w:after="0"/>
              <w:ind w:firstLine="0"/>
              <w:jc w:val="left"/>
              <w:rPr>
                <w:b/>
                <w:sz w:val="18"/>
                <w:szCs w:val="18"/>
                <w:lang w:eastAsia="lv-LV"/>
              </w:rPr>
            </w:pPr>
            <w:r w:rsidRPr="00EF1D74">
              <w:rPr>
                <w:b/>
                <w:sz w:val="18"/>
                <w:szCs w:val="18"/>
                <w:lang w:eastAsia="lv-LV"/>
              </w:rPr>
              <w:t>Vispārējās valdības budžeta bilance</w:t>
            </w:r>
            <w:r w:rsidRPr="00EF1D74">
              <w:rPr>
                <w:b/>
                <w:sz w:val="18"/>
                <w:szCs w:val="18"/>
                <w:vertAlign w:val="superscript"/>
                <w:lang w:eastAsia="lv-LV"/>
              </w:rPr>
              <w:footnoteReference w:id="7"/>
            </w:r>
            <w:r w:rsidRPr="00EF1D74">
              <w:rPr>
                <w:b/>
                <w:sz w:val="18"/>
                <w:szCs w:val="18"/>
                <w:lang w:eastAsia="lv-LV"/>
              </w:rPr>
              <w:t>, % no IKP</w:t>
            </w:r>
          </w:p>
        </w:tc>
        <w:tc>
          <w:tcPr>
            <w:tcW w:w="851" w:type="dxa"/>
            <w:shd w:val="clear" w:color="auto" w:fill="auto"/>
            <w:tcMar>
              <w:left w:w="57" w:type="dxa"/>
              <w:right w:w="57" w:type="dxa"/>
            </w:tcMar>
            <w:vAlign w:val="center"/>
          </w:tcPr>
          <w:p w14:paraId="44F24F59" w14:textId="77777777" w:rsidR="00DC4D1F" w:rsidRPr="00F21223" w:rsidRDefault="00DC4D1F" w:rsidP="00BF25F0">
            <w:pPr>
              <w:spacing w:after="0"/>
              <w:ind w:firstLine="0"/>
              <w:jc w:val="right"/>
              <w:rPr>
                <w:b/>
                <w:sz w:val="18"/>
                <w:szCs w:val="18"/>
                <w:lang w:eastAsia="lv-LV"/>
              </w:rPr>
            </w:pPr>
            <w:r w:rsidRPr="00F21223">
              <w:rPr>
                <w:b/>
                <w:sz w:val="18"/>
                <w:szCs w:val="18"/>
                <w:lang w:eastAsia="lv-LV"/>
              </w:rPr>
              <w:t>-</w:t>
            </w:r>
            <w:r>
              <w:rPr>
                <w:b/>
                <w:sz w:val="18"/>
                <w:szCs w:val="18"/>
                <w:lang w:eastAsia="lv-LV"/>
              </w:rPr>
              <w:t>8,6</w:t>
            </w:r>
          </w:p>
        </w:tc>
        <w:tc>
          <w:tcPr>
            <w:tcW w:w="850" w:type="dxa"/>
            <w:shd w:val="clear" w:color="auto" w:fill="auto"/>
            <w:tcMar>
              <w:left w:w="57" w:type="dxa"/>
              <w:right w:w="57" w:type="dxa"/>
            </w:tcMar>
            <w:vAlign w:val="center"/>
          </w:tcPr>
          <w:p w14:paraId="1EDAE07A" w14:textId="77777777" w:rsidR="00DC4D1F" w:rsidRPr="00F21223" w:rsidRDefault="00DC4D1F" w:rsidP="00BF25F0">
            <w:pPr>
              <w:spacing w:after="0"/>
              <w:ind w:firstLine="0"/>
              <w:jc w:val="right"/>
              <w:rPr>
                <w:b/>
                <w:sz w:val="18"/>
                <w:szCs w:val="18"/>
                <w:lang w:eastAsia="lv-LV"/>
              </w:rPr>
            </w:pPr>
            <w:r>
              <w:rPr>
                <w:b/>
                <w:sz w:val="18"/>
                <w:szCs w:val="18"/>
                <w:lang w:eastAsia="lv-LV"/>
              </w:rPr>
              <w:t>-3,9</w:t>
            </w:r>
          </w:p>
        </w:tc>
        <w:tc>
          <w:tcPr>
            <w:tcW w:w="851" w:type="dxa"/>
            <w:shd w:val="clear" w:color="auto" w:fill="auto"/>
            <w:tcMar>
              <w:left w:w="57" w:type="dxa"/>
              <w:right w:w="57" w:type="dxa"/>
            </w:tcMar>
            <w:vAlign w:val="center"/>
          </w:tcPr>
          <w:p w14:paraId="4DE26550" w14:textId="77777777" w:rsidR="00DC4D1F" w:rsidRPr="00F21223" w:rsidRDefault="00DC4D1F" w:rsidP="00BF25F0">
            <w:pPr>
              <w:spacing w:after="0"/>
              <w:ind w:firstLine="0"/>
              <w:jc w:val="right"/>
              <w:rPr>
                <w:b/>
                <w:sz w:val="18"/>
                <w:szCs w:val="18"/>
                <w:lang w:eastAsia="lv-LV"/>
              </w:rPr>
            </w:pPr>
            <w:r w:rsidRPr="00F21223">
              <w:rPr>
                <w:b/>
                <w:sz w:val="18"/>
                <w:szCs w:val="18"/>
                <w:lang w:eastAsia="lv-LV"/>
              </w:rPr>
              <w:t>-</w:t>
            </w:r>
            <w:r>
              <w:rPr>
                <w:b/>
                <w:sz w:val="18"/>
                <w:szCs w:val="18"/>
                <w:lang w:eastAsia="lv-LV"/>
              </w:rPr>
              <w:t>1,3</w:t>
            </w:r>
          </w:p>
        </w:tc>
        <w:tc>
          <w:tcPr>
            <w:tcW w:w="850" w:type="dxa"/>
            <w:shd w:val="clear" w:color="auto" w:fill="auto"/>
            <w:tcMar>
              <w:left w:w="57" w:type="dxa"/>
              <w:right w:w="57" w:type="dxa"/>
            </w:tcMar>
            <w:vAlign w:val="center"/>
          </w:tcPr>
          <w:p w14:paraId="0155825C" w14:textId="77777777" w:rsidR="00DC4D1F" w:rsidRPr="00804ACF" w:rsidRDefault="00DC4D1F" w:rsidP="00BF25F0">
            <w:pPr>
              <w:spacing w:after="0"/>
              <w:ind w:firstLine="0"/>
              <w:jc w:val="right"/>
              <w:rPr>
                <w:b/>
                <w:sz w:val="18"/>
                <w:szCs w:val="18"/>
                <w:lang w:eastAsia="lv-LV"/>
              </w:rPr>
            </w:pPr>
            <w:r w:rsidRPr="00804ACF">
              <w:rPr>
                <w:b/>
                <w:sz w:val="18"/>
                <w:szCs w:val="18"/>
                <w:lang w:eastAsia="lv-LV"/>
              </w:rPr>
              <w:t>-0,5</w:t>
            </w:r>
          </w:p>
        </w:tc>
        <w:tc>
          <w:tcPr>
            <w:tcW w:w="709" w:type="dxa"/>
            <w:shd w:val="clear" w:color="auto" w:fill="auto"/>
            <w:tcMar>
              <w:left w:w="57" w:type="dxa"/>
              <w:right w:w="57" w:type="dxa"/>
            </w:tcMar>
            <w:vAlign w:val="center"/>
          </w:tcPr>
          <w:p w14:paraId="4876C429" w14:textId="77777777" w:rsidR="00DC4D1F" w:rsidRPr="00804ACF" w:rsidRDefault="00DC4D1F" w:rsidP="00BF25F0">
            <w:pPr>
              <w:spacing w:after="0"/>
              <w:ind w:firstLine="0"/>
              <w:jc w:val="right"/>
              <w:rPr>
                <w:b/>
                <w:sz w:val="18"/>
                <w:szCs w:val="18"/>
                <w:lang w:eastAsia="lv-LV"/>
              </w:rPr>
            </w:pPr>
            <w:r w:rsidRPr="00804ACF">
              <w:rPr>
                <w:b/>
                <w:sz w:val="18"/>
                <w:szCs w:val="18"/>
                <w:lang w:eastAsia="lv-LV"/>
              </w:rPr>
              <w:t>0,7</w:t>
            </w:r>
          </w:p>
        </w:tc>
        <w:tc>
          <w:tcPr>
            <w:tcW w:w="709" w:type="dxa"/>
            <w:shd w:val="clear" w:color="auto" w:fill="auto"/>
            <w:tcMar>
              <w:left w:w="57" w:type="dxa"/>
              <w:right w:w="57" w:type="dxa"/>
            </w:tcMar>
            <w:vAlign w:val="center"/>
          </w:tcPr>
          <w:p w14:paraId="0F503057" w14:textId="77777777" w:rsidR="00DC4D1F" w:rsidRPr="00804ACF" w:rsidRDefault="00DC4D1F" w:rsidP="00BF25F0">
            <w:pPr>
              <w:spacing w:after="0" w:line="259" w:lineRule="auto"/>
              <w:ind w:firstLine="0"/>
              <w:jc w:val="right"/>
              <w:rPr>
                <w:b/>
                <w:sz w:val="18"/>
                <w:szCs w:val="18"/>
                <w:lang w:eastAsia="lv-LV"/>
              </w:rPr>
            </w:pPr>
            <w:r w:rsidRPr="00804ACF">
              <w:rPr>
                <w:b/>
                <w:sz w:val="18"/>
                <w:szCs w:val="18"/>
                <w:lang w:eastAsia="lv-LV"/>
              </w:rPr>
              <w:t>0,8</w:t>
            </w:r>
          </w:p>
        </w:tc>
        <w:tc>
          <w:tcPr>
            <w:tcW w:w="709" w:type="dxa"/>
            <w:shd w:val="clear" w:color="auto" w:fill="auto"/>
            <w:tcMar>
              <w:left w:w="57" w:type="dxa"/>
              <w:right w:w="57" w:type="dxa"/>
            </w:tcMar>
            <w:vAlign w:val="center"/>
          </w:tcPr>
          <w:p w14:paraId="125B3793" w14:textId="77777777" w:rsidR="00DC4D1F" w:rsidRPr="00804ACF" w:rsidRDefault="00DC4D1F" w:rsidP="00BF25F0">
            <w:pPr>
              <w:spacing w:after="0" w:line="259" w:lineRule="auto"/>
              <w:ind w:firstLine="0"/>
              <w:jc w:val="right"/>
              <w:rPr>
                <w:b/>
                <w:sz w:val="18"/>
                <w:szCs w:val="18"/>
                <w:lang w:eastAsia="lv-LV"/>
              </w:rPr>
            </w:pPr>
            <w:r w:rsidRPr="00804ACF">
              <w:rPr>
                <w:b/>
                <w:sz w:val="18"/>
                <w:szCs w:val="18"/>
                <w:lang w:eastAsia="lv-LV"/>
              </w:rPr>
              <w:t>0,8</w:t>
            </w:r>
          </w:p>
        </w:tc>
        <w:tc>
          <w:tcPr>
            <w:tcW w:w="721" w:type="dxa"/>
            <w:shd w:val="clear" w:color="auto" w:fill="auto"/>
            <w:tcMar>
              <w:left w:w="57" w:type="dxa"/>
              <w:right w:w="57" w:type="dxa"/>
            </w:tcMar>
            <w:vAlign w:val="center"/>
          </w:tcPr>
          <w:p w14:paraId="506FBE32" w14:textId="77777777" w:rsidR="00DC4D1F" w:rsidRPr="00804ACF" w:rsidRDefault="00DC4D1F" w:rsidP="00BF25F0">
            <w:pPr>
              <w:spacing w:after="0" w:line="259" w:lineRule="auto"/>
              <w:ind w:firstLine="0"/>
              <w:jc w:val="right"/>
              <w:rPr>
                <w:b/>
                <w:sz w:val="18"/>
                <w:szCs w:val="18"/>
                <w:lang w:eastAsia="lv-LV"/>
              </w:rPr>
            </w:pPr>
            <w:r w:rsidRPr="00804ACF">
              <w:rPr>
                <w:b/>
                <w:sz w:val="18"/>
                <w:szCs w:val="18"/>
                <w:lang w:eastAsia="lv-LV"/>
              </w:rPr>
              <w:t>0,7</w:t>
            </w:r>
          </w:p>
        </w:tc>
      </w:tr>
      <w:tr w:rsidR="00DC4D1F" w:rsidRPr="00EF1D74" w14:paraId="32105A3A" w14:textId="77777777" w:rsidTr="00BF25F0">
        <w:trPr>
          <w:gridAfter w:val="1"/>
          <w:wAfter w:w="9" w:type="dxa"/>
          <w:trHeight w:val="201"/>
          <w:jc w:val="center"/>
        </w:trPr>
        <w:tc>
          <w:tcPr>
            <w:tcW w:w="2830" w:type="dxa"/>
            <w:shd w:val="clear" w:color="auto" w:fill="auto"/>
            <w:vAlign w:val="center"/>
          </w:tcPr>
          <w:p w14:paraId="5F386165" w14:textId="77777777" w:rsidR="00DC4D1F" w:rsidRPr="00EF1D74" w:rsidRDefault="00DC4D1F" w:rsidP="00BF25F0">
            <w:pPr>
              <w:spacing w:after="0"/>
              <w:ind w:firstLine="0"/>
              <w:jc w:val="left"/>
              <w:rPr>
                <w:sz w:val="18"/>
                <w:szCs w:val="18"/>
                <w:lang w:eastAsia="lv-LV"/>
              </w:rPr>
            </w:pPr>
            <w:r w:rsidRPr="00EF1D74">
              <w:rPr>
                <w:sz w:val="18"/>
                <w:szCs w:val="18"/>
                <w:lang w:eastAsia="lv-LV"/>
              </w:rPr>
              <w:t>Vispārējās valdības budžeta bilance</w:t>
            </w:r>
          </w:p>
        </w:tc>
        <w:tc>
          <w:tcPr>
            <w:tcW w:w="851" w:type="dxa"/>
            <w:shd w:val="clear" w:color="auto" w:fill="auto"/>
            <w:tcMar>
              <w:left w:w="57" w:type="dxa"/>
              <w:right w:w="57" w:type="dxa"/>
            </w:tcMar>
            <w:vAlign w:val="center"/>
          </w:tcPr>
          <w:p w14:paraId="10FD5781" w14:textId="77777777" w:rsidR="00DC4D1F" w:rsidRPr="00F21223" w:rsidRDefault="00DC4D1F" w:rsidP="00BF25F0">
            <w:pPr>
              <w:spacing w:after="0"/>
              <w:ind w:firstLine="0"/>
              <w:jc w:val="right"/>
              <w:rPr>
                <w:sz w:val="18"/>
                <w:szCs w:val="18"/>
                <w:lang w:eastAsia="lv-LV"/>
              </w:rPr>
            </w:pPr>
            <w:r w:rsidRPr="00F21223">
              <w:rPr>
                <w:sz w:val="18"/>
                <w:szCs w:val="18"/>
                <w:lang w:eastAsia="lv-LV"/>
              </w:rPr>
              <w:t xml:space="preserve">-2 </w:t>
            </w:r>
            <w:r>
              <w:rPr>
                <w:sz w:val="18"/>
                <w:szCs w:val="18"/>
                <w:lang w:eastAsia="lv-LV"/>
              </w:rPr>
              <w:t>757,5</w:t>
            </w:r>
          </w:p>
        </w:tc>
        <w:tc>
          <w:tcPr>
            <w:tcW w:w="850" w:type="dxa"/>
            <w:shd w:val="clear" w:color="auto" w:fill="auto"/>
            <w:tcMar>
              <w:left w:w="57" w:type="dxa"/>
              <w:right w:w="57" w:type="dxa"/>
            </w:tcMar>
            <w:vAlign w:val="center"/>
          </w:tcPr>
          <w:p w14:paraId="6212B459" w14:textId="77777777" w:rsidR="00DC4D1F" w:rsidRPr="00F21223" w:rsidRDefault="00DC4D1F" w:rsidP="00BF25F0">
            <w:pPr>
              <w:spacing w:after="0"/>
              <w:ind w:firstLine="0"/>
              <w:jc w:val="right"/>
              <w:rPr>
                <w:sz w:val="18"/>
                <w:szCs w:val="18"/>
                <w:lang w:eastAsia="lv-LV"/>
              </w:rPr>
            </w:pPr>
            <w:r w:rsidRPr="00F21223">
              <w:rPr>
                <w:sz w:val="18"/>
                <w:szCs w:val="18"/>
                <w:lang w:eastAsia="lv-LV"/>
              </w:rPr>
              <w:t xml:space="preserve">-1 </w:t>
            </w:r>
            <w:r>
              <w:rPr>
                <w:sz w:val="18"/>
                <w:szCs w:val="18"/>
                <w:lang w:eastAsia="lv-LV"/>
              </w:rPr>
              <w:t>376,1</w:t>
            </w:r>
          </w:p>
        </w:tc>
        <w:tc>
          <w:tcPr>
            <w:tcW w:w="851" w:type="dxa"/>
            <w:shd w:val="clear" w:color="auto" w:fill="auto"/>
            <w:tcMar>
              <w:left w:w="57" w:type="dxa"/>
              <w:right w:w="57" w:type="dxa"/>
            </w:tcMar>
            <w:vAlign w:val="center"/>
          </w:tcPr>
          <w:p w14:paraId="029D94ED" w14:textId="77777777" w:rsidR="00DC4D1F" w:rsidRPr="00F21223" w:rsidRDefault="00DC4D1F" w:rsidP="00BF25F0">
            <w:pPr>
              <w:spacing w:after="0"/>
              <w:ind w:firstLine="0"/>
              <w:jc w:val="right"/>
              <w:rPr>
                <w:sz w:val="18"/>
                <w:szCs w:val="18"/>
                <w:lang w:eastAsia="lv-LV"/>
              </w:rPr>
            </w:pPr>
            <w:r w:rsidRPr="00F21223">
              <w:rPr>
                <w:sz w:val="18"/>
                <w:szCs w:val="18"/>
                <w:lang w:eastAsia="lv-LV"/>
              </w:rPr>
              <w:t>-</w:t>
            </w:r>
            <w:r>
              <w:rPr>
                <w:sz w:val="18"/>
                <w:szCs w:val="18"/>
                <w:lang w:eastAsia="lv-LV"/>
              </w:rPr>
              <w:t>492,8</w:t>
            </w:r>
          </w:p>
        </w:tc>
        <w:tc>
          <w:tcPr>
            <w:tcW w:w="850" w:type="dxa"/>
            <w:shd w:val="clear" w:color="auto" w:fill="auto"/>
            <w:tcMar>
              <w:left w:w="57" w:type="dxa"/>
              <w:right w:w="57" w:type="dxa"/>
            </w:tcMar>
            <w:vAlign w:val="center"/>
          </w:tcPr>
          <w:p w14:paraId="7266EC5C" w14:textId="77777777" w:rsidR="00DC4D1F" w:rsidRPr="00804ACF" w:rsidRDefault="00DC4D1F" w:rsidP="00BF25F0">
            <w:pPr>
              <w:spacing w:after="0"/>
              <w:ind w:firstLine="0"/>
              <w:jc w:val="right"/>
              <w:rPr>
                <w:sz w:val="18"/>
                <w:szCs w:val="18"/>
                <w:lang w:eastAsia="lv-LV"/>
              </w:rPr>
            </w:pPr>
            <w:r w:rsidRPr="00804ACF">
              <w:rPr>
                <w:sz w:val="18"/>
                <w:szCs w:val="18"/>
                <w:lang w:eastAsia="lv-LV"/>
              </w:rPr>
              <w:t>-213,6</w:t>
            </w:r>
          </w:p>
        </w:tc>
        <w:tc>
          <w:tcPr>
            <w:tcW w:w="709" w:type="dxa"/>
            <w:shd w:val="clear" w:color="auto" w:fill="auto"/>
            <w:tcMar>
              <w:left w:w="57" w:type="dxa"/>
              <w:right w:w="57" w:type="dxa"/>
            </w:tcMar>
            <w:vAlign w:val="center"/>
          </w:tcPr>
          <w:p w14:paraId="71868254" w14:textId="77777777" w:rsidR="00DC4D1F" w:rsidRPr="00804ACF" w:rsidRDefault="00DC4D1F" w:rsidP="00BF25F0">
            <w:pPr>
              <w:spacing w:after="0"/>
              <w:ind w:firstLine="0"/>
              <w:jc w:val="right"/>
              <w:rPr>
                <w:sz w:val="18"/>
                <w:szCs w:val="18"/>
                <w:lang w:eastAsia="lv-LV"/>
              </w:rPr>
            </w:pPr>
            <w:r w:rsidRPr="00804ACF">
              <w:rPr>
                <w:sz w:val="18"/>
                <w:szCs w:val="18"/>
                <w:lang w:eastAsia="lv-LV"/>
              </w:rPr>
              <w:t>174,3</w:t>
            </w:r>
          </w:p>
        </w:tc>
        <w:tc>
          <w:tcPr>
            <w:tcW w:w="709" w:type="dxa"/>
            <w:shd w:val="clear" w:color="auto" w:fill="auto"/>
            <w:tcMar>
              <w:left w:w="57" w:type="dxa"/>
              <w:right w:w="57" w:type="dxa"/>
            </w:tcMar>
            <w:vAlign w:val="center"/>
          </w:tcPr>
          <w:p w14:paraId="5042B97D" w14:textId="77777777" w:rsidR="00DC4D1F" w:rsidRPr="00804ACF" w:rsidRDefault="00DC4D1F" w:rsidP="00BF25F0">
            <w:pPr>
              <w:spacing w:after="0" w:line="259" w:lineRule="auto"/>
              <w:ind w:firstLine="0"/>
              <w:jc w:val="right"/>
              <w:rPr>
                <w:sz w:val="18"/>
                <w:szCs w:val="18"/>
                <w:lang w:eastAsia="lv-LV"/>
              </w:rPr>
            </w:pPr>
            <w:r w:rsidRPr="00804ACF">
              <w:rPr>
                <w:sz w:val="18"/>
                <w:szCs w:val="18"/>
                <w:lang w:eastAsia="lv-LV"/>
              </w:rPr>
              <w:t>244,8</w:t>
            </w:r>
          </w:p>
        </w:tc>
        <w:tc>
          <w:tcPr>
            <w:tcW w:w="709" w:type="dxa"/>
            <w:shd w:val="clear" w:color="auto" w:fill="auto"/>
            <w:tcMar>
              <w:left w:w="57" w:type="dxa"/>
              <w:right w:w="57" w:type="dxa"/>
            </w:tcMar>
            <w:vAlign w:val="center"/>
          </w:tcPr>
          <w:p w14:paraId="2AD2DCAF" w14:textId="77777777" w:rsidR="00DC4D1F" w:rsidRPr="00804ACF" w:rsidRDefault="00DC4D1F" w:rsidP="00BF25F0">
            <w:pPr>
              <w:spacing w:after="0" w:line="259" w:lineRule="auto"/>
              <w:ind w:firstLine="0"/>
              <w:jc w:val="right"/>
              <w:rPr>
                <w:sz w:val="18"/>
                <w:szCs w:val="18"/>
                <w:lang w:eastAsia="lv-LV"/>
              </w:rPr>
            </w:pPr>
            <w:r w:rsidRPr="00804ACF">
              <w:rPr>
                <w:sz w:val="18"/>
                <w:szCs w:val="18"/>
                <w:lang w:eastAsia="lv-LV"/>
              </w:rPr>
              <w:t>255,6</w:t>
            </w:r>
          </w:p>
        </w:tc>
        <w:tc>
          <w:tcPr>
            <w:tcW w:w="721" w:type="dxa"/>
            <w:shd w:val="clear" w:color="auto" w:fill="auto"/>
            <w:tcMar>
              <w:left w:w="57" w:type="dxa"/>
              <w:right w:w="57" w:type="dxa"/>
            </w:tcMar>
            <w:vAlign w:val="center"/>
          </w:tcPr>
          <w:p w14:paraId="7668EB1B" w14:textId="77777777" w:rsidR="00DC4D1F" w:rsidRPr="00804ACF" w:rsidRDefault="00DC4D1F" w:rsidP="00BF25F0">
            <w:pPr>
              <w:spacing w:after="0" w:line="259" w:lineRule="auto"/>
              <w:ind w:firstLine="0"/>
              <w:jc w:val="right"/>
              <w:rPr>
                <w:sz w:val="18"/>
                <w:szCs w:val="18"/>
                <w:lang w:eastAsia="lv-LV"/>
              </w:rPr>
            </w:pPr>
            <w:r w:rsidRPr="00804ACF">
              <w:rPr>
                <w:sz w:val="18"/>
                <w:szCs w:val="18"/>
                <w:lang w:eastAsia="lv-LV"/>
              </w:rPr>
              <w:t>264,6</w:t>
            </w:r>
          </w:p>
        </w:tc>
      </w:tr>
      <w:tr w:rsidR="00DC4D1F" w:rsidRPr="00EF1D74" w14:paraId="78DC84A0" w14:textId="77777777" w:rsidTr="00BF25F0">
        <w:trPr>
          <w:gridAfter w:val="1"/>
          <w:wAfter w:w="9" w:type="dxa"/>
          <w:trHeight w:val="247"/>
          <w:jc w:val="center"/>
        </w:trPr>
        <w:tc>
          <w:tcPr>
            <w:tcW w:w="2830" w:type="dxa"/>
            <w:shd w:val="clear" w:color="auto" w:fill="auto"/>
            <w:vAlign w:val="center"/>
          </w:tcPr>
          <w:p w14:paraId="386240CE" w14:textId="77777777" w:rsidR="00DC4D1F" w:rsidRPr="00EF1D74" w:rsidRDefault="00DC4D1F" w:rsidP="00BF25F0">
            <w:pPr>
              <w:spacing w:after="0"/>
              <w:ind w:left="166" w:firstLine="0"/>
              <w:jc w:val="left"/>
              <w:rPr>
                <w:sz w:val="18"/>
                <w:szCs w:val="18"/>
                <w:lang w:eastAsia="lv-LV"/>
              </w:rPr>
            </w:pPr>
            <w:r w:rsidRPr="00EF1D74">
              <w:rPr>
                <w:sz w:val="18"/>
                <w:szCs w:val="18"/>
                <w:lang w:eastAsia="lv-LV"/>
              </w:rPr>
              <w:t>Nodokļu ieņēmumi</w:t>
            </w:r>
          </w:p>
        </w:tc>
        <w:tc>
          <w:tcPr>
            <w:tcW w:w="851" w:type="dxa"/>
            <w:shd w:val="clear" w:color="auto" w:fill="auto"/>
            <w:tcMar>
              <w:left w:w="57" w:type="dxa"/>
              <w:right w:w="57" w:type="dxa"/>
            </w:tcMar>
            <w:vAlign w:val="center"/>
          </w:tcPr>
          <w:p w14:paraId="2C5D0198" w14:textId="77777777" w:rsidR="00DC4D1F" w:rsidRPr="00804ACF" w:rsidRDefault="00DC4D1F" w:rsidP="00BF25F0">
            <w:pPr>
              <w:spacing w:after="0"/>
              <w:ind w:firstLine="0"/>
              <w:jc w:val="right"/>
              <w:rPr>
                <w:sz w:val="18"/>
                <w:szCs w:val="18"/>
                <w:lang w:eastAsia="lv-LV"/>
              </w:rPr>
            </w:pPr>
            <w:r w:rsidRPr="00804ACF">
              <w:rPr>
                <w:sz w:val="18"/>
                <w:szCs w:val="18"/>
                <w:lang w:eastAsia="lv-LV"/>
              </w:rPr>
              <w:t>9 492,2</w:t>
            </w:r>
          </w:p>
        </w:tc>
        <w:tc>
          <w:tcPr>
            <w:tcW w:w="850" w:type="dxa"/>
            <w:shd w:val="clear" w:color="auto" w:fill="auto"/>
            <w:tcMar>
              <w:left w:w="57" w:type="dxa"/>
              <w:right w:w="57" w:type="dxa"/>
            </w:tcMar>
            <w:vAlign w:val="center"/>
          </w:tcPr>
          <w:p w14:paraId="0712E722" w14:textId="77777777" w:rsidR="00DC4D1F" w:rsidRPr="00804ACF" w:rsidRDefault="00DC4D1F" w:rsidP="00BF25F0">
            <w:pPr>
              <w:spacing w:after="0"/>
              <w:ind w:firstLine="0"/>
              <w:jc w:val="right"/>
              <w:rPr>
                <w:sz w:val="18"/>
                <w:szCs w:val="18"/>
                <w:lang w:eastAsia="lv-LV"/>
              </w:rPr>
            </w:pPr>
            <w:r w:rsidRPr="00804ACF">
              <w:rPr>
                <w:sz w:val="18"/>
                <w:szCs w:val="18"/>
                <w:lang w:eastAsia="lv-LV"/>
              </w:rPr>
              <w:t>10 413,9</w:t>
            </w:r>
          </w:p>
        </w:tc>
        <w:tc>
          <w:tcPr>
            <w:tcW w:w="851" w:type="dxa"/>
            <w:shd w:val="clear" w:color="auto" w:fill="auto"/>
            <w:tcMar>
              <w:left w:w="57" w:type="dxa"/>
              <w:right w:w="57" w:type="dxa"/>
            </w:tcMar>
            <w:vAlign w:val="center"/>
          </w:tcPr>
          <w:p w14:paraId="7B39BEB1" w14:textId="77777777" w:rsidR="00DC4D1F" w:rsidRPr="00804ACF" w:rsidRDefault="00DC4D1F" w:rsidP="00BF25F0">
            <w:pPr>
              <w:spacing w:after="0"/>
              <w:ind w:firstLine="0"/>
              <w:jc w:val="right"/>
              <w:rPr>
                <w:sz w:val="18"/>
                <w:szCs w:val="18"/>
                <w:lang w:eastAsia="lv-LV"/>
              </w:rPr>
            </w:pPr>
            <w:r w:rsidRPr="00804ACF">
              <w:rPr>
                <w:sz w:val="18"/>
                <w:szCs w:val="18"/>
                <w:lang w:eastAsia="lv-LV"/>
              </w:rPr>
              <w:t>11 009,5</w:t>
            </w:r>
          </w:p>
        </w:tc>
        <w:tc>
          <w:tcPr>
            <w:tcW w:w="850" w:type="dxa"/>
            <w:shd w:val="clear" w:color="auto" w:fill="auto"/>
            <w:tcMar>
              <w:left w:w="57" w:type="dxa"/>
              <w:right w:w="57" w:type="dxa"/>
            </w:tcMar>
            <w:vAlign w:val="center"/>
          </w:tcPr>
          <w:p w14:paraId="7155871B" w14:textId="77777777" w:rsidR="00DC4D1F" w:rsidRPr="00804ACF" w:rsidRDefault="00DC4D1F" w:rsidP="00BF25F0">
            <w:pPr>
              <w:spacing w:after="0"/>
              <w:ind w:firstLine="0"/>
              <w:jc w:val="right"/>
              <w:rPr>
                <w:sz w:val="18"/>
                <w:szCs w:val="18"/>
                <w:lang w:eastAsia="lv-LV"/>
              </w:rPr>
            </w:pPr>
            <w:r w:rsidRPr="00804ACF">
              <w:rPr>
                <w:sz w:val="18"/>
                <w:szCs w:val="18"/>
                <w:lang w:eastAsia="lv-LV"/>
              </w:rPr>
              <w:t>11 556,4</w:t>
            </w:r>
          </w:p>
        </w:tc>
        <w:tc>
          <w:tcPr>
            <w:tcW w:w="709" w:type="dxa"/>
            <w:shd w:val="clear" w:color="auto" w:fill="auto"/>
            <w:tcMar>
              <w:left w:w="57" w:type="dxa"/>
              <w:right w:w="57" w:type="dxa"/>
            </w:tcMar>
            <w:vAlign w:val="center"/>
          </w:tcPr>
          <w:p w14:paraId="792D0BEB" w14:textId="77777777" w:rsidR="00DC4D1F" w:rsidRPr="00804ACF" w:rsidRDefault="00DC4D1F" w:rsidP="00BF25F0">
            <w:pPr>
              <w:spacing w:after="0"/>
              <w:ind w:firstLine="0"/>
              <w:jc w:val="right"/>
              <w:rPr>
                <w:sz w:val="18"/>
                <w:szCs w:val="18"/>
                <w:lang w:eastAsia="lv-LV"/>
              </w:rPr>
            </w:pPr>
            <w:r w:rsidRPr="00804ACF">
              <w:rPr>
                <w:sz w:val="18"/>
                <w:szCs w:val="18"/>
                <w:lang w:eastAsia="lv-LV"/>
              </w:rPr>
              <w:t>154,4</w:t>
            </w:r>
          </w:p>
        </w:tc>
        <w:tc>
          <w:tcPr>
            <w:tcW w:w="709" w:type="dxa"/>
            <w:shd w:val="clear" w:color="auto" w:fill="auto"/>
            <w:tcMar>
              <w:left w:w="57" w:type="dxa"/>
              <w:right w:w="57" w:type="dxa"/>
            </w:tcMar>
            <w:vAlign w:val="center"/>
          </w:tcPr>
          <w:p w14:paraId="502F32FA" w14:textId="77777777" w:rsidR="00DC4D1F" w:rsidRPr="00804ACF" w:rsidRDefault="00DC4D1F" w:rsidP="00BF25F0">
            <w:pPr>
              <w:spacing w:after="0" w:line="259" w:lineRule="auto"/>
              <w:ind w:firstLine="0"/>
              <w:jc w:val="right"/>
              <w:rPr>
                <w:sz w:val="18"/>
                <w:szCs w:val="18"/>
                <w:lang w:eastAsia="lv-LV"/>
              </w:rPr>
            </w:pPr>
            <w:r w:rsidRPr="00804ACF">
              <w:rPr>
                <w:sz w:val="18"/>
                <w:szCs w:val="18"/>
                <w:lang w:eastAsia="lv-LV"/>
              </w:rPr>
              <w:t>232,7</w:t>
            </w:r>
          </w:p>
        </w:tc>
        <w:tc>
          <w:tcPr>
            <w:tcW w:w="709" w:type="dxa"/>
            <w:shd w:val="clear" w:color="auto" w:fill="auto"/>
            <w:tcMar>
              <w:left w:w="57" w:type="dxa"/>
              <w:right w:w="57" w:type="dxa"/>
            </w:tcMar>
            <w:vAlign w:val="center"/>
          </w:tcPr>
          <w:p w14:paraId="3DC37D5B" w14:textId="77777777" w:rsidR="00DC4D1F" w:rsidRPr="00804ACF" w:rsidRDefault="00DC4D1F" w:rsidP="00BF25F0">
            <w:pPr>
              <w:spacing w:after="0" w:line="259" w:lineRule="auto"/>
              <w:ind w:firstLine="0"/>
              <w:jc w:val="right"/>
              <w:rPr>
                <w:sz w:val="18"/>
                <w:szCs w:val="18"/>
                <w:lang w:eastAsia="lv-LV"/>
              </w:rPr>
            </w:pPr>
            <w:r w:rsidRPr="00804ACF">
              <w:rPr>
                <w:sz w:val="18"/>
                <w:szCs w:val="18"/>
                <w:lang w:eastAsia="lv-LV"/>
              </w:rPr>
              <w:t>242,6</w:t>
            </w:r>
          </w:p>
        </w:tc>
        <w:tc>
          <w:tcPr>
            <w:tcW w:w="721" w:type="dxa"/>
            <w:shd w:val="clear" w:color="auto" w:fill="auto"/>
            <w:tcMar>
              <w:left w:w="57" w:type="dxa"/>
              <w:right w:w="57" w:type="dxa"/>
            </w:tcMar>
            <w:vAlign w:val="center"/>
          </w:tcPr>
          <w:p w14:paraId="0FACF26A" w14:textId="77777777" w:rsidR="00DC4D1F" w:rsidRPr="00804ACF" w:rsidRDefault="00DC4D1F" w:rsidP="00BF25F0">
            <w:pPr>
              <w:spacing w:after="0" w:line="259" w:lineRule="auto"/>
              <w:ind w:firstLine="0"/>
              <w:jc w:val="right"/>
              <w:rPr>
                <w:sz w:val="18"/>
                <w:szCs w:val="18"/>
                <w:lang w:eastAsia="lv-LV"/>
              </w:rPr>
            </w:pPr>
            <w:r w:rsidRPr="00804ACF">
              <w:rPr>
                <w:sz w:val="18"/>
                <w:szCs w:val="18"/>
                <w:lang w:eastAsia="lv-LV"/>
              </w:rPr>
              <w:t>250,5</w:t>
            </w:r>
          </w:p>
        </w:tc>
      </w:tr>
      <w:tr w:rsidR="00DC4D1F" w:rsidRPr="00EF1D74" w14:paraId="5C9F8B93" w14:textId="77777777" w:rsidTr="00BF25F0">
        <w:trPr>
          <w:gridAfter w:val="1"/>
          <w:wAfter w:w="9" w:type="dxa"/>
          <w:trHeight w:val="137"/>
          <w:jc w:val="center"/>
        </w:trPr>
        <w:tc>
          <w:tcPr>
            <w:tcW w:w="2830" w:type="dxa"/>
            <w:shd w:val="clear" w:color="auto" w:fill="auto"/>
            <w:vAlign w:val="center"/>
          </w:tcPr>
          <w:p w14:paraId="3ED8F033" w14:textId="77777777" w:rsidR="00DC4D1F" w:rsidRPr="00EF1D74" w:rsidRDefault="00DC4D1F" w:rsidP="00BF25F0">
            <w:pPr>
              <w:spacing w:after="0"/>
              <w:ind w:left="166" w:firstLine="0"/>
              <w:jc w:val="left"/>
              <w:rPr>
                <w:noProof/>
                <w:sz w:val="18"/>
                <w:szCs w:val="18"/>
                <w:lang w:eastAsia="lv-LV"/>
              </w:rPr>
            </w:pPr>
            <w:r w:rsidRPr="00EF1D74">
              <w:rPr>
                <w:noProof/>
                <w:sz w:val="18"/>
                <w:szCs w:val="18"/>
                <w:lang w:eastAsia="lv-LV"/>
              </w:rPr>
              <w:t>Nenodokļu ieņēmumi</w:t>
            </w:r>
          </w:p>
        </w:tc>
        <w:tc>
          <w:tcPr>
            <w:tcW w:w="851" w:type="dxa"/>
            <w:shd w:val="clear" w:color="auto" w:fill="auto"/>
            <w:tcMar>
              <w:left w:w="57" w:type="dxa"/>
              <w:right w:w="57" w:type="dxa"/>
            </w:tcMar>
            <w:vAlign w:val="center"/>
          </w:tcPr>
          <w:p w14:paraId="2383BAF5" w14:textId="77777777" w:rsidR="00DC4D1F" w:rsidRPr="00D22107" w:rsidRDefault="00DC4D1F" w:rsidP="00BF25F0">
            <w:pPr>
              <w:spacing w:after="0"/>
              <w:ind w:firstLine="0"/>
              <w:jc w:val="right"/>
              <w:rPr>
                <w:sz w:val="18"/>
                <w:szCs w:val="18"/>
                <w:lang w:eastAsia="lv-LV"/>
              </w:rPr>
            </w:pPr>
            <w:r w:rsidRPr="00D22107">
              <w:rPr>
                <w:sz w:val="18"/>
                <w:szCs w:val="18"/>
                <w:lang w:eastAsia="lv-LV"/>
              </w:rPr>
              <w:t>673,3</w:t>
            </w:r>
          </w:p>
        </w:tc>
        <w:tc>
          <w:tcPr>
            <w:tcW w:w="850" w:type="dxa"/>
            <w:shd w:val="clear" w:color="auto" w:fill="auto"/>
            <w:tcMar>
              <w:left w:w="57" w:type="dxa"/>
              <w:right w:w="57" w:type="dxa"/>
            </w:tcMar>
            <w:vAlign w:val="center"/>
          </w:tcPr>
          <w:p w14:paraId="0FA80819" w14:textId="77777777" w:rsidR="00DC4D1F" w:rsidRPr="00D22107" w:rsidRDefault="00DC4D1F" w:rsidP="00BF25F0">
            <w:pPr>
              <w:spacing w:after="0"/>
              <w:ind w:firstLine="0"/>
              <w:jc w:val="right"/>
              <w:rPr>
                <w:sz w:val="18"/>
                <w:szCs w:val="18"/>
                <w:lang w:eastAsia="lv-LV"/>
              </w:rPr>
            </w:pPr>
            <w:r w:rsidRPr="00D22107">
              <w:rPr>
                <w:sz w:val="18"/>
                <w:szCs w:val="18"/>
                <w:lang w:eastAsia="lv-LV"/>
              </w:rPr>
              <w:t>606,6</w:t>
            </w:r>
          </w:p>
        </w:tc>
        <w:tc>
          <w:tcPr>
            <w:tcW w:w="851" w:type="dxa"/>
            <w:shd w:val="clear" w:color="auto" w:fill="auto"/>
            <w:tcMar>
              <w:left w:w="57" w:type="dxa"/>
              <w:right w:w="57" w:type="dxa"/>
            </w:tcMar>
            <w:vAlign w:val="center"/>
          </w:tcPr>
          <w:p w14:paraId="3C4B584F" w14:textId="77777777" w:rsidR="00DC4D1F" w:rsidRPr="00D22107" w:rsidRDefault="00DC4D1F" w:rsidP="00BF25F0">
            <w:pPr>
              <w:spacing w:after="0"/>
              <w:ind w:firstLine="0"/>
              <w:jc w:val="right"/>
              <w:rPr>
                <w:sz w:val="18"/>
                <w:szCs w:val="18"/>
                <w:lang w:eastAsia="lv-LV"/>
              </w:rPr>
            </w:pPr>
            <w:r w:rsidRPr="00D22107">
              <w:rPr>
                <w:sz w:val="18"/>
                <w:szCs w:val="18"/>
                <w:lang w:eastAsia="lv-LV"/>
              </w:rPr>
              <w:t>571,6</w:t>
            </w:r>
          </w:p>
        </w:tc>
        <w:tc>
          <w:tcPr>
            <w:tcW w:w="850" w:type="dxa"/>
            <w:shd w:val="clear" w:color="auto" w:fill="auto"/>
            <w:tcMar>
              <w:left w:w="57" w:type="dxa"/>
              <w:right w:w="57" w:type="dxa"/>
            </w:tcMar>
            <w:vAlign w:val="center"/>
          </w:tcPr>
          <w:p w14:paraId="3187B581" w14:textId="77777777" w:rsidR="00DC4D1F" w:rsidRPr="00D22107" w:rsidRDefault="00DC4D1F" w:rsidP="00BF25F0">
            <w:pPr>
              <w:spacing w:after="0"/>
              <w:ind w:firstLine="0"/>
              <w:jc w:val="right"/>
              <w:rPr>
                <w:sz w:val="18"/>
                <w:szCs w:val="18"/>
                <w:lang w:eastAsia="lv-LV"/>
              </w:rPr>
            </w:pPr>
            <w:r w:rsidRPr="00D22107">
              <w:rPr>
                <w:sz w:val="18"/>
                <w:szCs w:val="18"/>
                <w:lang w:eastAsia="lv-LV"/>
              </w:rPr>
              <w:t>532,9</w:t>
            </w:r>
          </w:p>
        </w:tc>
        <w:tc>
          <w:tcPr>
            <w:tcW w:w="709" w:type="dxa"/>
            <w:shd w:val="clear" w:color="auto" w:fill="auto"/>
            <w:tcMar>
              <w:left w:w="57" w:type="dxa"/>
              <w:right w:w="57" w:type="dxa"/>
            </w:tcMar>
            <w:vAlign w:val="center"/>
          </w:tcPr>
          <w:p w14:paraId="3E4AD16F" w14:textId="77777777" w:rsidR="00DC4D1F" w:rsidRPr="00D22107" w:rsidRDefault="00DC4D1F" w:rsidP="00BF25F0">
            <w:pPr>
              <w:spacing w:after="0"/>
              <w:ind w:firstLine="0"/>
              <w:jc w:val="right"/>
              <w:rPr>
                <w:sz w:val="18"/>
                <w:szCs w:val="18"/>
                <w:lang w:eastAsia="lv-LV"/>
              </w:rPr>
            </w:pPr>
            <w:r w:rsidRPr="00D22107">
              <w:rPr>
                <w:sz w:val="18"/>
                <w:szCs w:val="18"/>
                <w:lang w:eastAsia="lv-LV"/>
              </w:rPr>
              <w:t>10,0</w:t>
            </w:r>
          </w:p>
        </w:tc>
        <w:tc>
          <w:tcPr>
            <w:tcW w:w="709" w:type="dxa"/>
            <w:shd w:val="clear" w:color="auto" w:fill="auto"/>
            <w:tcMar>
              <w:left w:w="57" w:type="dxa"/>
              <w:right w:w="57" w:type="dxa"/>
            </w:tcMar>
            <w:vAlign w:val="center"/>
          </w:tcPr>
          <w:p w14:paraId="5751524F" w14:textId="77777777" w:rsidR="00DC4D1F" w:rsidRPr="00804ACF" w:rsidRDefault="00DC4D1F" w:rsidP="00BF25F0">
            <w:pPr>
              <w:spacing w:after="0" w:line="259" w:lineRule="auto"/>
              <w:ind w:firstLine="0"/>
              <w:jc w:val="right"/>
              <w:rPr>
                <w:sz w:val="18"/>
                <w:szCs w:val="18"/>
                <w:lang w:eastAsia="lv-LV"/>
              </w:rPr>
            </w:pPr>
            <w:r w:rsidRPr="00804ACF">
              <w:rPr>
                <w:sz w:val="18"/>
                <w:szCs w:val="18"/>
                <w:lang w:eastAsia="lv-LV"/>
              </w:rPr>
              <w:t>11,3</w:t>
            </w:r>
          </w:p>
        </w:tc>
        <w:tc>
          <w:tcPr>
            <w:tcW w:w="709" w:type="dxa"/>
            <w:shd w:val="clear" w:color="auto" w:fill="auto"/>
            <w:tcMar>
              <w:left w:w="57" w:type="dxa"/>
              <w:right w:w="57" w:type="dxa"/>
            </w:tcMar>
            <w:vAlign w:val="center"/>
          </w:tcPr>
          <w:p w14:paraId="65CF895F" w14:textId="77777777" w:rsidR="00DC4D1F" w:rsidRPr="00804ACF" w:rsidRDefault="00DC4D1F" w:rsidP="00BF25F0">
            <w:pPr>
              <w:spacing w:after="0" w:line="259" w:lineRule="auto"/>
              <w:ind w:firstLine="0"/>
              <w:jc w:val="right"/>
              <w:rPr>
                <w:sz w:val="18"/>
                <w:szCs w:val="18"/>
                <w:lang w:eastAsia="lv-LV"/>
              </w:rPr>
            </w:pPr>
            <w:r w:rsidRPr="00804ACF">
              <w:rPr>
                <w:sz w:val="18"/>
                <w:szCs w:val="18"/>
                <w:lang w:eastAsia="lv-LV"/>
              </w:rPr>
              <w:t>10,2</w:t>
            </w:r>
          </w:p>
        </w:tc>
        <w:tc>
          <w:tcPr>
            <w:tcW w:w="721" w:type="dxa"/>
            <w:shd w:val="clear" w:color="auto" w:fill="auto"/>
            <w:tcMar>
              <w:left w:w="57" w:type="dxa"/>
              <w:right w:w="57" w:type="dxa"/>
            </w:tcMar>
            <w:vAlign w:val="center"/>
          </w:tcPr>
          <w:p w14:paraId="65D5F832" w14:textId="77777777" w:rsidR="00DC4D1F" w:rsidRPr="00804ACF" w:rsidRDefault="00DC4D1F" w:rsidP="00BF25F0">
            <w:pPr>
              <w:spacing w:after="0" w:line="259" w:lineRule="auto"/>
              <w:ind w:firstLine="0"/>
              <w:jc w:val="right"/>
              <w:rPr>
                <w:sz w:val="18"/>
                <w:szCs w:val="18"/>
                <w:lang w:eastAsia="lv-LV"/>
              </w:rPr>
            </w:pPr>
            <w:r w:rsidRPr="00804ACF">
              <w:rPr>
                <w:sz w:val="18"/>
                <w:szCs w:val="18"/>
                <w:lang w:eastAsia="lv-LV"/>
              </w:rPr>
              <w:t>9,1</w:t>
            </w:r>
          </w:p>
        </w:tc>
      </w:tr>
      <w:tr w:rsidR="00DC4D1F" w:rsidRPr="00EF1D74" w14:paraId="0DD0CD6F" w14:textId="77777777" w:rsidTr="00BF25F0">
        <w:trPr>
          <w:gridAfter w:val="1"/>
          <w:wAfter w:w="9" w:type="dxa"/>
          <w:trHeight w:val="239"/>
          <w:jc w:val="center"/>
        </w:trPr>
        <w:tc>
          <w:tcPr>
            <w:tcW w:w="2830" w:type="dxa"/>
            <w:tcBorders>
              <w:bottom w:val="double" w:sz="4" w:space="0" w:color="auto"/>
            </w:tcBorders>
            <w:shd w:val="clear" w:color="auto" w:fill="auto"/>
            <w:vAlign w:val="center"/>
          </w:tcPr>
          <w:p w14:paraId="6FBA7871" w14:textId="77777777" w:rsidR="00DC4D1F" w:rsidRPr="00EF1D74" w:rsidRDefault="00DC4D1F" w:rsidP="00BF25F0">
            <w:pPr>
              <w:spacing w:after="0"/>
              <w:ind w:left="166" w:firstLine="0"/>
              <w:jc w:val="left"/>
              <w:rPr>
                <w:noProof/>
                <w:sz w:val="18"/>
                <w:szCs w:val="18"/>
                <w:lang w:eastAsia="lv-LV"/>
              </w:rPr>
            </w:pPr>
            <w:r w:rsidRPr="00EF1D74">
              <w:rPr>
                <w:noProof/>
                <w:sz w:val="18"/>
                <w:szCs w:val="18"/>
                <w:lang w:eastAsia="lv-LV"/>
              </w:rPr>
              <w:t>Procentu izdevumi</w:t>
            </w:r>
          </w:p>
        </w:tc>
        <w:tc>
          <w:tcPr>
            <w:tcW w:w="851" w:type="dxa"/>
            <w:tcBorders>
              <w:bottom w:val="double" w:sz="4" w:space="0" w:color="auto"/>
            </w:tcBorders>
            <w:shd w:val="clear" w:color="auto" w:fill="auto"/>
            <w:tcMar>
              <w:left w:w="57" w:type="dxa"/>
              <w:right w:w="57" w:type="dxa"/>
            </w:tcMar>
            <w:vAlign w:val="center"/>
          </w:tcPr>
          <w:p w14:paraId="5FAB726C" w14:textId="77777777" w:rsidR="00DC4D1F" w:rsidRPr="00804ACF" w:rsidRDefault="00DC4D1F" w:rsidP="00BF25F0">
            <w:pPr>
              <w:spacing w:after="0"/>
              <w:ind w:firstLine="0"/>
              <w:jc w:val="right"/>
              <w:rPr>
                <w:sz w:val="18"/>
                <w:szCs w:val="18"/>
                <w:lang w:eastAsia="lv-LV"/>
              </w:rPr>
            </w:pPr>
            <w:r w:rsidRPr="00804ACF">
              <w:rPr>
                <w:sz w:val="18"/>
                <w:szCs w:val="18"/>
                <w:lang w:eastAsia="lv-LV"/>
              </w:rPr>
              <w:t>262,2</w:t>
            </w:r>
          </w:p>
        </w:tc>
        <w:tc>
          <w:tcPr>
            <w:tcW w:w="850" w:type="dxa"/>
            <w:tcBorders>
              <w:bottom w:val="double" w:sz="4" w:space="0" w:color="auto"/>
            </w:tcBorders>
            <w:shd w:val="clear" w:color="auto" w:fill="auto"/>
            <w:tcMar>
              <w:left w:w="57" w:type="dxa"/>
              <w:right w:w="57" w:type="dxa"/>
            </w:tcMar>
            <w:vAlign w:val="center"/>
          </w:tcPr>
          <w:p w14:paraId="4F517E50" w14:textId="77777777" w:rsidR="00DC4D1F" w:rsidRPr="00804ACF" w:rsidRDefault="00DC4D1F" w:rsidP="00BF25F0">
            <w:pPr>
              <w:spacing w:after="0"/>
              <w:ind w:firstLine="0"/>
              <w:jc w:val="right"/>
              <w:rPr>
                <w:sz w:val="18"/>
                <w:szCs w:val="18"/>
                <w:lang w:eastAsia="lv-LV"/>
              </w:rPr>
            </w:pPr>
            <w:r w:rsidRPr="00804ACF">
              <w:rPr>
                <w:sz w:val="18"/>
                <w:szCs w:val="18"/>
                <w:lang w:eastAsia="lv-LV"/>
              </w:rPr>
              <w:t>199,5</w:t>
            </w:r>
          </w:p>
        </w:tc>
        <w:tc>
          <w:tcPr>
            <w:tcW w:w="851" w:type="dxa"/>
            <w:tcBorders>
              <w:bottom w:val="double" w:sz="4" w:space="0" w:color="auto"/>
            </w:tcBorders>
            <w:shd w:val="clear" w:color="auto" w:fill="auto"/>
            <w:tcMar>
              <w:left w:w="57" w:type="dxa"/>
              <w:right w:w="57" w:type="dxa"/>
            </w:tcMar>
            <w:vAlign w:val="center"/>
          </w:tcPr>
          <w:p w14:paraId="04679E2E" w14:textId="77777777" w:rsidR="00DC4D1F" w:rsidRPr="00804ACF" w:rsidRDefault="00DC4D1F" w:rsidP="00BF25F0">
            <w:pPr>
              <w:spacing w:after="0"/>
              <w:ind w:firstLine="0"/>
              <w:jc w:val="right"/>
              <w:rPr>
                <w:sz w:val="18"/>
                <w:szCs w:val="18"/>
                <w:lang w:eastAsia="lv-LV"/>
              </w:rPr>
            </w:pPr>
            <w:r w:rsidRPr="00804ACF">
              <w:rPr>
                <w:sz w:val="18"/>
                <w:szCs w:val="18"/>
                <w:lang w:eastAsia="lv-LV"/>
              </w:rPr>
              <w:t>232,7</w:t>
            </w:r>
          </w:p>
        </w:tc>
        <w:tc>
          <w:tcPr>
            <w:tcW w:w="850" w:type="dxa"/>
            <w:tcBorders>
              <w:bottom w:val="double" w:sz="4" w:space="0" w:color="auto"/>
            </w:tcBorders>
            <w:shd w:val="clear" w:color="auto" w:fill="auto"/>
            <w:tcMar>
              <w:left w:w="57" w:type="dxa"/>
              <w:right w:w="57" w:type="dxa"/>
            </w:tcMar>
            <w:vAlign w:val="center"/>
          </w:tcPr>
          <w:p w14:paraId="162BF965" w14:textId="77777777" w:rsidR="00DC4D1F" w:rsidRPr="00804ACF" w:rsidRDefault="00DC4D1F" w:rsidP="00BF25F0">
            <w:pPr>
              <w:spacing w:after="0"/>
              <w:ind w:firstLine="0"/>
              <w:jc w:val="right"/>
              <w:rPr>
                <w:sz w:val="18"/>
                <w:szCs w:val="18"/>
                <w:lang w:eastAsia="lv-LV"/>
              </w:rPr>
            </w:pPr>
            <w:r w:rsidRPr="00804ACF">
              <w:rPr>
                <w:sz w:val="18"/>
                <w:szCs w:val="18"/>
                <w:lang w:eastAsia="lv-LV"/>
              </w:rPr>
              <w:t>231,0</w:t>
            </w:r>
          </w:p>
        </w:tc>
        <w:tc>
          <w:tcPr>
            <w:tcW w:w="709" w:type="dxa"/>
            <w:tcBorders>
              <w:bottom w:val="double" w:sz="4" w:space="0" w:color="auto"/>
            </w:tcBorders>
            <w:shd w:val="clear" w:color="auto" w:fill="auto"/>
            <w:tcMar>
              <w:left w:w="57" w:type="dxa"/>
              <w:right w:w="57" w:type="dxa"/>
            </w:tcMar>
            <w:vAlign w:val="center"/>
          </w:tcPr>
          <w:p w14:paraId="300B5163" w14:textId="77777777" w:rsidR="00DC4D1F" w:rsidRPr="00804ACF" w:rsidRDefault="00DC4D1F" w:rsidP="00BF25F0">
            <w:pPr>
              <w:spacing w:after="0"/>
              <w:ind w:firstLine="0"/>
              <w:jc w:val="right"/>
              <w:rPr>
                <w:sz w:val="18"/>
                <w:szCs w:val="18"/>
                <w:lang w:eastAsia="lv-LV"/>
              </w:rPr>
            </w:pPr>
            <w:r w:rsidRPr="00804ACF">
              <w:rPr>
                <w:sz w:val="18"/>
                <w:szCs w:val="18"/>
                <w:lang w:eastAsia="lv-LV"/>
              </w:rPr>
              <w:t>0,0</w:t>
            </w:r>
          </w:p>
        </w:tc>
        <w:tc>
          <w:tcPr>
            <w:tcW w:w="709" w:type="dxa"/>
            <w:tcBorders>
              <w:bottom w:val="double" w:sz="4" w:space="0" w:color="auto"/>
            </w:tcBorders>
            <w:shd w:val="clear" w:color="auto" w:fill="auto"/>
            <w:tcMar>
              <w:left w:w="57" w:type="dxa"/>
              <w:right w:w="57" w:type="dxa"/>
            </w:tcMar>
            <w:vAlign w:val="center"/>
          </w:tcPr>
          <w:p w14:paraId="3D3E178F" w14:textId="77777777" w:rsidR="00DC4D1F" w:rsidRPr="00804ACF" w:rsidRDefault="00DC4D1F" w:rsidP="00BF25F0">
            <w:pPr>
              <w:spacing w:after="0" w:line="259" w:lineRule="auto"/>
              <w:ind w:firstLine="0"/>
              <w:jc w:val="right"/>
              <w:rPr>
                <w:sz w:val="18"/>
                <w:szCs w:val="18"/>
                <w:lang w:eastAsia="lv-LV"/>
              </w:rPr>
            </w:pPr>
            <w:r w:rsidRPr="00804ACF">
              <w:rPr>
                <w:sz w:val="18"/>
                <w:szCs w:val="18"/>
                <w:lang w:eastAsia="lv-LV"/>
              </w:rPr>
              <w:t>-0,8</w:t>
            </w:r>
          </w:p>
        </w:tc>
        <w:tc>
          <w:tcPr>
            <w:tcW w:w="709" w:type="dxa"/>
            <w:tcBorders>
              <w:bottom w:val="double" w:sz="4" w:space="0" w:color="auto"/>
            </w:tcBorders>
            <w:shd w:val="clear" w:color="auto" w:fill="auto"/>
            <w:tcMar>
              <w:left w:w="57" w:type="dxa"/>
              <w:right w:w="57" w:type="dxa"/>
            </w:tcMar>
            <w:vAlign w:val="center"/>
          </w:tcPr>
          <w:p w14:paraId="121AA590" w14:textId="77777777" w:rsidR="00DC4D1F" w:rsidRPr="00804ACF" w:rsidRDefault="00DC4D1F" w:rsidP="00BF25F0">
            <w:pPr>
              <w:spacing w:after="0" w:line="259" w:lineRule="auto"/>
              <w:ind w:firstLine="0"/>
              <w:jc w:val="right"/>
              <w:rPr>
                <w:sz w:val="18"/>
                <w:szCs w:val="18"/>
                <w:lang w:eastAsia="lv-LV"/>
              </w:rPr>
            </w:pPr>
            <w:r w:rsidRPr="00804ACF">
              <w:rPr>
                <w:sz w:val="18"/>
                <w:szCs w:val="18"/>
                <w:lang w:eastAsia="lv-LV"/>
              </w:rPr>
              <w:t>-2,7</w:t>
            </w:r>
          </w:p>
        </w:tc>
        <w:tc>
          <w:tcPr>
            <w:tcW w:w="721" w:type="dxa"/>
            <w:tcBorders>
              <w:bottom w:val="double" w:sz="4" w:space="0" w:color="auto"/>
            </w:tcBorders>
            <w:shd w:val="clear" w:color="auto" w:fill="auto"/>
            <w:tcMar>
              <w:left w:w="57" w:type="dxa"/>
              <w:right w:w="57" w:type="dxa"/>
            </w:tcMar>
            <w:vAlign w:val="center"/>
          </w:tcPr>
          <w:p w14:paraId="234E4C46" w14:textId="77777777" w:rsidR="00DC4D1F" w:rsidRPr="00804ACF" w:rsidRDefault="00DC4D1F" w:rsidP="00BF25F0">
            <w:pPr>
              <w:spacing w:after="0" w:line="259" w:lineRule="auto"/>
              <w:ind w:firstLine="0"/>
              <w:jc w:val="right"/>
              <w:rPr>
                <w:sz w:val="18"/>
                <w:szCs w:val="18"/>
                <w:lang w:eastAsia="lv-LV"/>
              </w:rPr>
            </w:pPr>
            <w:r w:rsidRPr="00804ACF">
              <w:rPr>
                <w:sz w:val="18"/>
                <w:szCs w:val="18"/>
                <w:lang w:eastAsia="lv-LV"/>
              </w:rPr>
              <w:t>-5,0</w:t>
            </w:r>
          </w:p>
        </w:tc>
      </w:tr>
      <w:tr w:rsidR="00DC4D1F" w:rsidRPr="00EF1D74" w14:paraId="4DEEFD09" w14:textId="77777777" w:rsidTr="00BF25F0">
        <w:trPr>
          <w:gridAfter w:val="1"/>
          <w:wAfter w:w="9" w:type="dxa"/>
          <w:trHeight w:val="351"/>
          <w:jc w:val="center"/>
        </w:trPr>
        <w:tc>
          <w:tcPr>
            <w:tcW w:w="2830" w:type="dxa"/>
            <w:tcBorders>
              <w:top w:val="double" w:sz="4" w:space="0" w:color="auto"/>
              <w:left w:val="single" w:sz="4" w:space="0" w:color="auto"/>
            </w:tcBorders>
            <w:shd w:val="clear" w:color="auto" w:fill="auto"/>
            <w:vAlign w:val="center"/>
          </w:tcPr>
          <w:p w14:paraId="1E65D10D" w14:textId="77777777" w:rsidR="00DC4D1F" w:rsidRPr="00EF1D74" w:rsidRDefault="00DC4D1F" w:rsidP="00BF25F0">
            <w:pPr>
              <w:spacing w:after="0"/>
              <w:ind w:firstLine="0"/>
              <w:jc w:val="left"/>
              <w:rPr>
                <w:noProof/>
                <w:sz w:val="18"/>
                <w:szCs w:val="18"/>
                <w:lang w:eastAsia="lv-LV"/>
              </w:rPr>
            </w:pPr>
            <w:r w:rsidRPr="00EF1D74">
              <w:rPr>
                <w:noProof/>
                <w:sz w:val="18"/>
                <w:szCs w:val="18"/>
                <w:lang w:eastAsia="lv-LV"/>
              </w:rPr>
              <w:t xml:space="preserve">   Procentu izdevumi</w:t>
            </w:r>
            <w:r w:rsidRPr="00EF1D74">
              <w:rPr>
                <w:noProof/>
                <w:sz w:val="18"/>
                <w:szCs w:val="18"/>
                <w:lang w:eastAsia="lv-LV"/>
              </w:rPr>
              <w:br/>
              <w:t xml:space="preserve">  (% likmes paliel. par 1 pp)</w:t>
            </w:r>
          </w:p>
        </w:tc>
        <w:tc>
          <w:tcPr>
            <w:tcW w:w="851" w:type="dxa"/>
            <w:tcBorders>
              <w:top w:val="double" w:sz="4" w:space="0" w:color="auto"/>
            </w:tcBorders>
            <w:shd w:val="clear" w:color="auto" w:fill="auto"/>
            <w:tcMar>
              <w:left w:w="57" w:type="dxa"/>
              <w:right w:w="57" w:type="dxa"/>
            </w:tcMar>
            <w:vAlign w:val="center"/>
          </w:tcPr>
          <w:p w14:paraId="43119C44" w14:textId="77777777" w:rsidR="00DC4D1F" w:rsidRPr="00804ACF" w:rsidRDefault="00DC4D1F" w:rsidP="00BF25F0">
            <w:pPr>
              <w:spacing w:after="0"/>
              <w:ind w:firstLine="0"/>
              <w:jc w:val="right"/>
              <w:rPr>
                <w:sz w:val="18"/>
                <w:szCs w:val="18"/>
                <w:lang w:eastAsia="lv-LV"/>
              </w:rPr>
            </w:pPr>
            <w:r w:rsidRPr="00804ACF">
              <w:rPr>
                <w:sz w:val="18"/>
                <w:szCs w:val="18"/>
                <w:lang w:eastAsia="lv-LV"/>
              </w:rPr>
              <w:t>262,2</w:t>
            </w:r>
          </w:p>
        </w:tc>
        <w:tc>
          <w:tcPr>
            <w:tcW w:w="850" w:type="dxa"/>
            <w:tcBorders>
              <w:top w:val="double" w:sz="4" w:space="0" w:color="auto"/>
            </w:tcBorders>
            <w:shd w:val="clear" w:color="auto" w:fill="auto"/>
            <w:tcMar>
              <w:left w:w="57" w:type="dxa"/>
              <w:right w:w="57" w:type="dxa"/>
            </w:tcMar>
            <w:vAlign w:val="center"/>
          </w:tcPr>
          <w:p w14:paraId="15A4AD8E" w14:textId="77777777" w:rsidR="00DC4D1F" w:rsidRPr="00804ACF" w:rsidRDefault="00DC4D1F" w:rsidP="00BF25F0">
            <w:pPr>
              <w:spacing w:after="0"/>
              <w:ind w:firstLine="0"/>
              <w:jc w:val="right"/>
              <w:rPr>
                <w:sz w:val="18"/>
                <w:szCs w:val="18"/>
                <w:lang w:eastAsia="lv-LV"/>
              </w:rPr>
            </w:pPr>
            <w:r w:rsidRPr="00804ACF">
              <w:rPr>
                <w:sz w:val="18"/>
                <w:szCs w:val="18"/>
                <w:lang w:eastAsia="lv-LV"/>
              </w:rPr>
              <w:t>205,2</w:t>
            </w:r>
          </w:p>
        </w:tc>
        <w:tc>
          <w:tcPr>
            <w:tcW w:w="851" w:type="dxa"/>
            <w:tcBorders>
              <w:top w:val="double" w:sz="4" w:space="0" w:color="auto"/>
            </w:tcBorders>
            <w:shd w:val="clear" w:color="auto" w:fill="auto"/>
            <w:tcMar>
              <w:left w:w="57" w:type="dxa"/>
              <w:right w:w="57" w:type="dxa"/>
            </w:tcMar>
            <w:vAlign w:val="center"/>
          </w:tcPr>
          <w:p w14:paraId="69A2D3AF" w14:textId="77777777" w:rsidR="00DC4D1F" w:rsidRPr="00804ACF" w:rsidRDefault="00DC4D1F" w:rsidP="00BF25F0">
            <w:pPr>
              <w:spacing w:after="0"/>
              <w:ind w:firstLine="0"/>
              <w:jc w:val="right"/>
              <w:rPr>
                <w:sz w:val="18"/>
                <w:szCs w:val="18"/>
                <w:lang w:eastAsia="lv-LV"/>
              </w:rPr>
            </w:pPr>
            <w:r w:rsidRPr="00804ACF">
              <w:rPr>
                <w:sz w:val="18"/>
                <w:szCs w:val="18"/>
                <w:lang w:eastAsia="lv-LV"/>
              </w:rPr>
              <w:t>257,7</w:t>
            </w:r>
          </w:p>
        </w:tc>
        <w:tc>
          <w:tcPr>
            <w:tcW w:w="850" w:type="dxa"/>
            <w:tcBorders>
              <w:top w:val="double" w:sz="4" w:space="0" w:color="auto"/>
            </w:tcBorders>
            <w:shd w:val="clear" w:color="auto" w:fill="auto"/>
            <w:tcMar>
              <w:left w:w="57" w:type="dxa"/>
              <w:right w:w="57" w:type="dxa"/>
            </w:tcMar>
            <w:vAlign w:val="center"/>
          </w:tcPr>
          <w:p w14:paraId="269FDC22" w14:textId="77777777" w:rsidR="00DC4D1F" w:rsidRPr="00804ACF" w:rsidRDefault="00DC4D1F" w:rsidP="00BF25F0">
            <w:pPr>
              <w:spacing w:after="0"/>
              <w:ind w:firstLine="0"/>
              <w:jc w:val="right"/>
              <w:rPr>
                <w:sz w:val="18"/>
                <w:szCs w:val="18"/>
                <w:lang w:eastAsia="lv-LV"/>
              </w:rPr>
            </w:pPr>
            <w:r w:rsidRPr="00804ACF">
              <w:rPr>
                <w:sz w:val="18"/>
                <w:szCs w:val="18"/>
                <w:lang w:eastAsia="lv-LV"/>
              </w:rPr>
              <w:t>273,7</w:t>
            </w:r>
          </w:p>
        </w:tc>
        <w:tc>
          <w:tcPr>
            <w:tcW w:w="709" w:type="dxa"/>
            <w:tcBorders>
              <w:top w:val="double" w:sz="4" w:space="0" w:color="auto"/>
            </w:tcBorders>
            <w:shd w:val="clear" w:color="auto" w:fill="auto"/>
            <w:tcMar>
              <w:left w:w="57" w:type="dxa"/>
              <w:right w:w="57" w:type="dxa"/>
            </w:tcMar>
            <w:vAlign w:val="center"/>
          </w:tcPr>
          <w:p w14:paraId="5DCCCBFB" w14:textId="77777777" w:rsidR="00DC4D1F" w:rsidRPr="00804ACF" w:rsidRDefault="00DC4D1F" w:rsidP="00BF25F0">
            <w:pPr>
              <w:spacing w:after="0"/>
              <w:ind w:firstLine="0"/>
              <w:jc w:val="right"/>
              <w:rPr>
                <w:sz w:val="18"/>
                <w:szCs w:val="18"/>
                <w:lang w:eastAsia="lv-LV"/>
              </w:rPr>
            </w:pPr>
            <w:r w:rsidRPr="00804ACF">
              <w:rPr>
                <w:sz w:val="18"/>
                <w:szCs w:val="18"/>
                <w:lang w:eastAsia="lv-LV"/>
              </w:rPr>
              <w:t>0,0</w:t>
            </w:r>
          </w:p>
        </w:tc>
        <w:tc>
          <w:tcPr>
            <w:tcW w:w="709" w:type="dxa"/>
            <w:tcBorders>
              <w:top w:val="double" w:sz="4" w:space="0" w:color="auto"/>
            </w:tcBorders>
            <w:shd w:val="clear" w:color="auto" w:fill="auto"/>
            <w:tcMar>
              <w:left w:w="57" w:type="dxa"/>
              <w:right w:w="57" w:type="dxa"/>
            </w:tcMar>
            <w:vAlign w:val="center"/>
          </w:tcPr>
          <w:p w14:paraId="14BA4EE7" w14:textId="77777777" w:rsidR="00DC4D1F" w:rsidRPr="00804ACF" w:rsidRDefault="00DC4D1F" w:rsidP="00BF25F0">
            <w:pPr>
              <w:spacing w:after="0" w:line="259" w:lineRule="auto"/>
              <w:ind w:firstLine="0"/>
              <w:jc w:val="right"/>
              <w:rPr>
                <w:sz w:val="18"/>
                <w:szCs w:val="18"/>
                <w:lang w:eastAsia="lv-LV"/>
              </w:rPr>
            </w:pPr>
            <w:r w:rsidRPr="00804ACF">
              <w:rPr>
                <w:sz w:val="18"/>
                <w:szCs w:val="18"/>
                <w:lang w:eastAsia="lv-LV"/>
              </w:rPr>
              <w:t>5,0</w:t>
            </w:r>
          </w:p>
        </w:tc>
        <w:tc>
          <w:tcPr>
            <w:tcW w:w="709" w:type="dxa"/>
            <w:tcBorders>
              <w:top w:val="double" w:sz="4" w:space="0" w:color="auto"/>
            </w:tcBorders>
            <w:shd w:val="clear" w:color="auto" w:fill="auto"/>
            <w:tcMar>
              <w:left w:w="57" w:type="dxa"/>
              <w:right w:w="57" w:type="dxa"/>
            </w:tcMar>
            <w:vAlign w:val="center"/>
          </w:tcPr>
          <w:p w14:paraId="4A71AAEA" w14:textId="77777777" w:rsidR="00DC4D1F" w:rsidRPr="00804ACF" w:rsidRDefault="00DC4D1F" w:rsidP="00BF25F0">
            <w:pPr>
              <w:spacing w:after="0" w:line="259" w:lineRule="auto"/>
              <w:ind w:firstLine="0"/>
              <w:jc w:val="right"/>
              <w:rPr>
                <w:sz w:val="18"/>
                <w:szCs w:val="18"/>
                <w:lang w:eastAsia="lv-LV"/>
              </w:rPr>
            </w:pPr>
            <w:r w:rsidRPr="00804ACF">
              <w:rPr>
                <w:sz w:val="18"/>
                <w:szCs w:val="18"/>
                <w:lang w:eastAsia="lv-LV"/>
              </w:rPr>
              <w:t>22,4</w:t>
            </w:r>
          </w:p>
        </w:tc>
        <w:tc>
          <w:tcPr>
            <w:tcW w:w="721" w:type="dxa"/>
            <w:tcBorders>
              <w:top w:val="double" w:sz="4" w:space="0" w:color="auto"/>
              <w:right w:val="single" w:sz="4" w:space="0" w:color="auto"/>
            </w:tcBorders>
            <w:shd w:val="clear" w:color="auto" w:fill="auto"/>
            <w:tcMar>
              <w:left w:w="57" w:type="dxa"/>
              <w:right w:w="57" w:type="dxa"/>
            </w:tcMar>
            <w:vAlign w:val="center"/>
          </w:tcPr>
          <w:p w14:paraId="05B6B94A" w14:textId="77777777" w:rsidR="00DC4D1F" w:rsidRPr="00804ACF" w:rsidRDefault="00DC4D1F" w:rsidP="00BF25F0">
            <w:pPr>
              <w:spacing w:after="0" w:line="259" w:lineRule="auto"/>
              <w:ind w:firstLine="0"/>
              <w:jc w:val="right"/>
              <w:rPr>
                <w:sz w:val="18"/>
                <w:szCs w:val="18"/>
                <w:lang w:eastAsia="lv-LV"/>
              </w:rPr>
            </w:pPr>
            <w:r w:rsidRPr="00804ACF">
              <w:rPr>
                <w:sz w:val="18"/>
                <w:szCs w:val="18"/>
                <w:lang w:eastAsia="lv-LV"/>
              </w:rPr>
              <w:t>37,8</w:t>
            </w:r>
          </w:p>
        </w:tc>
      </w:tr>
      <w:tr w:rsidR="00DC4D1F" w:rsidRPr="00EF1D74" w14:paraId="05380156" w14:textId="77777777" w:rsidTr="00BF25F0">
        <w:trPr>
          <w:gridAfter w:val="1"/>
          <w:wAfter w:w="9" w:type="dxa"/>
          <w:trHeight w:val="348"/>
          <w:jc w:val="center"/>
        </w:trPr>
        <w:tc>
          <w:tcPr>
            <w:tcW w:w="2830" w:type="dxa"/>
            <w:tcBorders>
              <w:left w:val="single" w:sz="4" w:space="0" w:color="auto"/>
              <w:bottom w:val="double" w:sz="4" w:space="0" w:color="auto"/>
            </w:tcBorders>
            <w:shd w:val="clear" w:color="auto" w:fill="auto"/>
            <w:vAlign w:val="center"/>
          </w:tcPr>
          <w:p w14:paraId="646E221A" w14:textId="77777777" w:rsidR="00DC4D1F" w:rsidRPr="00EF1D74" w:rsidRDefault="00DC4D1F" w:rsidP="00BF25F0">
            <w:pPr>
              <w:spacing w:after="0"/>
              <w:ind w:firstLine="0"/>
              <w:jc w:val="left"/>
              <w:rPr>
                <w:rFonts w:eastAsia="Calibri"/>
                <w:noProof/>
                <w:sz w:val="18"/>
                <w:szCs w:val="18"/>
              </w:rPr>
            </w:pPr>
            <w:r w:rsidRPr="00EF1D74">
              <w:rPr>
                <w:noProof/>
                <w:sz w:val="18"/>
                <w:szCs w:val="18"/>
                <w:lang w:eastAsia="lv-LV"/>
              </w:rPr>
              <w:t xml:space="preserve">   Procentu izdevumi</w:t>
            </w:r>
            <w:r w:rsidRPr="00EF1D74">
              <w:rPr>
                <w:noProof/>
                <w:sz w:val="18"/>
                <w:szCs w:val="18"/>
                <w:lang w:eastAsia="lv-LV"/>
              </w:rPr>
              <w:br/>
              <w:t xml:space="preserve">   (% likmes samaz. par 1 pp)</w:t>
            </w:r>
          </w:p>
        </w:tc>
        <w:tc>
          <w:tcPr>
            <w:tcW w:w="851" w:type="dxa"/>
            <w:tcBorders>
              <w:bottom w:val="double" w:sz="4" w:space="0" w:color="auto"/>
            </w:tcBorders>
            <w:shd w:val="clear" w:color="auto" w:fill="auto"/>
            <w:tcMar>
              <w:left w:w="57" w:type="dxa"/>
              <w:right w:w="57" w:type="dxa"/>
            </w:tcMar>
            <w:vAlign w:val="center"/>
          </w:tcPr>
          <w:p w14:paraId="701F257F" w14:textId="77777777" w:rsidR="00DC4D1F" w:rsidRPr="00804ACF" w:rsidRDefault="00DC4D1F" w:rsidP="00BF25F0">
            <w:pPr>
              <w:spacing w:after="0"/>
              <w:ind w:firstLine="0"/>
              <w:jc w:val="right"/>
              <w:rPr>
                <w:sz w:val="18"/>
                <w:szCs w:val="18"/>
                <w:lang w:eastAsia="lv-LV"/>
              </w:rPr>
            </w:pPr>
            <w:r w:rsidRPr="00804ACF">
              <w:rPr>
                <w:sz w:val="18"/>
                <w:szCs w:val="18"/>
                <w:lang w:eastAsia="lv-LV"/>
              </w:rPr>
              <w:t>262,2</w:t>
            </w:r>
          </w:p>
        </w:tc>
        <w:tc>
          <w:tcPr>
            <w:tcW w:w="850" w:type="dxa"/>
            <w:tcBorders>
              <w:bottom w:val="double" w:sz="4" w:space="0" w:color="auto"/>
            </w:tcBorders>
            <w:shd w:val="clear" w:color="auto" w:fill="auto"/>
            <w:tcMar>
              <w:left w:w="57" w:type="dxa"/>
              <w:right w:w="57" w:type="dxa"/>
            </w:tcMar>
            <w:vAlign w:val="center"/>
          </w:tcPr>
          <w:p w14:paraId="75EE621C" w14:textId="77777777" w:rsidR="00DC4D1F" w:rsidRPr="00804ACF" w:rsidRDefault="00DC4D1F" w:rsidP="00BF25F0">
            <w:pPr>
              <w:spacing w:after="0"/>
              <w:ind w:firstLine="0"/>
              <w:jc w:val="right"/>
              <w:rPr>
                <w:sz w:val="18"/>
                <w:szCs w:val="18"/>
                <w:lang w:eastAsia="lv-LV"/>
              </w:rPr>
            </w:pPr>
            <w:r w:rsidRPr="00804ACF">
              <w:rPr>
                <w:sz w:val="18"/>
                <w:szCs w:val="18"/>
                <w:lang w:eastAsia="lv-LV"/>
              </w:rPr>
              <w:t>19</w:t>
            </w:r>
            <w:r>
              <w:rPr>
                <w:sz w:val="18"/>
                <w:szCs w:val="18"/>
                <w:lang w:eastAsia="lv-LV"/>
              </w:rPr>
              <w:t>7</w:t>
            </w:r>
            <w:r w:rsidRPr="00804ACF">
              <w:rPr>
                <w:sz w:val="18"/>
                <w:szCs w:val="18"/>
                <w:lang w:eastAsia="lv-LV"/>
              </w:rPr>
              <w:t>,</w:t>
            </w:r>
            <w:r>
              <w:rPr>
                <w:sz w:val="18"/>
                <w:szCs w:val="18"/>
                <w:lang w:eastAsia="lv-LV"/>
              </w:rPr>
              <w:t>0</w:t>
            </w:r>
          </w:p>
        </w:tc>
        <w:tc>
          <w:tcPr>
            <w:tcW w:w="851" w:type="dxa"/>
            <w:tcBorders>
              <w:bottom w:val="double" w:sz="4" w:space="0" w:color="auto"/>
            </w:tcBorders>
            <w:shd w:val="clear" w:color="auto" w:fill="auto"/>
            <w:tcMar>
              <w:left w:w="57" w:type="dxa"/>
              <w:right w:w="57" w:type="dxa"/>
            </w:tcMar>
            <w:vAlign w:val="center"/>
          </w:tcPr>
          <w:p w14:paraId="5536B871" w14:textId="77777777" w:rsidR="00DC4D1F" w:rsidRPr="00804ACF" w:rsidRDefault="00DC4D1F" w:rsidP="00BF25F0">
            <w:pPr>
              <w:spacing w:after="0"/>
              <w:ind w:firstLine="0"/>
              <w:jc w:val="right"/>
              <w:rPr>
                <w:sz w:val="18"/>
                <w:szCs w:val="18"/>
                <w:lang w:eastAsia="lv-LV"/>
              </w:rPr>
            </w:pPr>
            <w:r w:rsidRPr="00804ACF">
              <w:rPr>
                <w:sz w:val="18"/>
                <w:szCs w:val="18"/>
                <w:lang w:eastAsia="lv-LV"/>
              </w:rPr>
              <w:t>2</w:t>
            </w:r>
            <w:r>
              <w:rPr>
                <w:sz w:val="18"/>
                <w:szCs w:val="18"/>
                <w:lang w:eastAsia="lv-LV"/>
              </w:rPr>
              <w:t>15</w:t>
            </w:r>
            <w:r w:rsidRPr="00804ACF">
              <w:rPr>
                <w:sz w:val="18"/>
                <w:szCs w:val="18"/>
                <w:lang w:eastAsia="lv-LV"/>
              </w:rPr>
              <w:t>,</w:t>
            </w:r>
            <w:r>
              <w:rPr>
                <w:sz w:val="18"/>
                <w:szCs w:val="18"/>
                <w:lang w:eastAsia="lv-LV"/>
              </w:rPr>
              <w:t>8</w:t>
            </w:r>
          </w:p>
        </w:tc>
        <w:tc>
          <w:tcPr>
            <w:tcW w:w="850" w:type="dxa"/>
            <w:tcBorders>
              <w:bottom w:val="double" w:sz="4" w:space="0" w:color="auto"/>
            </w:tcBorders>
            <w:shd w:val="clear" w:color="auto" w:fill="auto"/>
            <w:tcMar>
              <w:left w:w="57" w:type="dxa"/>
              <w:right w:w="57" w:type="dxa"/>
            </w:tcMar>
            <w:vAlign w:val="center"/>
          </w:tcPr>
          <w:p w14:paraId="2F4EB306" w14:textId="77777777" w:rsidR="00DC4D1F" w:rsidRPr="00804ACF" w:rsidRDefault="00DC4D1F" w:rsidP="00BF25F0">
            <w:pPr>
              <w:spacing w:after="0"/>
              <w:ind w:firstLine="0"/>
              <w:jc w:val="right"/>
              <w:rPr>
                <w:sz w:val="18"/>
                <w:szCs w:val="18"/>
                <w:lang w:eastAsia="lv-LV"/>
              </w:rPr>
            </w:pPr>
            <w:r w:rsidRPr="00804ACF">
              <w:rPr>
                <w:sz w:val="18"/>
                <w:szCs w:val="18"/>
                <w:lang w:eastAsia="lv-LV"/>
              </w:rPr>
              <w:t>2</w:t>
            </w:r>
            <w:r>
              <w:rPr>
                <w:sz w:val="18"/>
                <w:szCs w:val="18"/>
                <w:lang w:eastAsia="lv-LV"/>
              </w:rPr>
              <w:t>0</w:t>
            </w:r>
            <w:r w:rsidRPr="00804ACF">
              <w:rPr>
                <w:sz w:val="18"/>
                <w:szCs w:val="18"/>
                <w:lang w:eastAsia="lv-LV"/>
              </w:rPr>
              <w:t>0,1</w:t>
            </w:r>
          </w:p>
        </w:tc>
        <w:tc>
          <w:tcPr>
            <w:tcW w:w="709" w:type="dxa"/>
            <w:tcBorders>
              <w:bottom w:val="double" w:sz="4" w:space="0" w:color="auto"/>
            </w:tcBorders>
            <w:shd w:val="clear" w:color="auto" w:fill="auto"/>
            <w:tcMar>
              <w:left w:w="57" w:type="dxa"/>
              <w:right w:w="57" w:type="dxa"/>
            </w:tcMar>
            <w:vAlign w:val="center"/>
          </w:tcPr>
          <w:p w14:paraId="7936BD33" w14:textId="77777777" w:rsidR="00DC4D1F" w:rsidRPr="00804ACF" w:rsidRDefault="00DC4D1F" w:rsidP="00BF25F0">
            <w:pPr>
              <w:spacing w:after="0"/>
              <w:ind w:firstLine="0"/>
              <w:jc w:val="right"/>
              <w:rPr>
                <w:sz w:val="18"/>
                <w:szCs w:val="18"/>
                <w:lang w:eastAsia="lv-LV"/>
              </w:rPr>
            </w:pPr>
            <w:r w:rsidRPr="00804ACF">
              <w:rPr>
                <w:sz w:val="18"/>
                <w:szCs w:val="18"/>
                <w:lang w:eastAsia="lv-LV"/>
              </w:rPr>
              <w:t>0,0</w:t>
            </w:r>
          </w:p>
        </w:tc>
        <w:tc>
          <w:tcPr>
            <w:tcW w:w="709" w:type="dxa"/>
            <w:tcBorders>
              <w:bottom w:val="double" w:sz="4" w:space="0" w:color="auto"/>
            </w:tcBorders>
            <w:shd w:val="clear" w:color="auto" w:fill="auto"/>
            <w:tcMar>
              <w:left w:w="57" w:type="dxa"/>
              <w:right w:w="57" w:type="dxa"/>
            </w:tcMar>
            <w:vAlign w:val="center"/>
          </w:tcPr>
          <w:p w14:paraId="44054D6E" w14:textId="77777777" w:rsidR="00DC4D1F" w:rsidRPr="00804ACF" w:rsidRDefault="00DC4D1F" w:rsidP="00BF25F0">
            <w:pPr>
              <w:spacing w:after="0" w:line="259" w:lineRule="auto"/>
              <w:ind w:firstLine="0"/>
              <w:jc w:val="right"/>
              <w:rPr>
                <w:sz w:val="18"/>
                <w:szCs w:val="18"/>
                <w:lang w:eastAsia="lv-LV"/>
              </w:rPr>
            </w:pPr>
            <w:r w:rsidRPr="00804ACF">
              <w:rPr>
                <w:sz w:val="18"/>
                <w:szCs w:val="18"/>
                <w:lang w:eastAsia="lv-LV"/>
              </w:rPr>
              <w:t>-</w:t>
            </w:r>
            <w:r>
              <w:rPr>
                <w:sz w:val="18"/>
                <w:szCs w:val="18"/>
                <w:lang w:eastAsia="lv-LV"/>
              </w:rPr>
              <w:t>3</w:t>
            </w:r>
            <w:r w:rsidRPr="00804ACF">
              <w:rPr>
                <w:sz w:val="18"/>
                <w:szCs w:val="18"/>
                <w:lang w:eastAsia="lv-LV"/>
              </w:rPr>
              <w:t>,</w:t>
            </w:r>
            <w:r>
              <w:rPr>
                <w:sz w:val="18"/>
                <w:szCs w:val="18"/>
                <w:lang w:eastAsia="lv-LV"/>
              </w:rPr>
              <w:t>3</w:t>
            </w:r>
          </w:p>
        </w:tc>
        <w:tc>
          <w:tcPr>
            <w:tcW w:w="709" w:type="dxa"/>
            <w:tcBorders>
              <w:bottom w:val="double" w:sz="4" w:space="0" w:color="auto"/>
            </w:tcBorders>
            <w:shd w:val="clear" w:color="auto" w:fill="auto"/>
            <w:tcMar>
              <w:left w:w="57" w:type="dxa"/>
              <w:right w:w="57" w:type="dxa"/>
            </w:tcMar>
            <w:vAlign w:val="center"/>
          </w:tcPr>
          <w:p w14:paraId="1A785133" w14:textId="77777777" w:rsidR="00DC4D1F" w:rsidRPr="00804ACF" w:rsidRDefault="00DC4D1F" w:rsidP="00BF25F0">
            <w:pPr>
              <w:spacing w:after="0" w:line="259" w:lineRule="auto"/>
              <w:ind w:firstLine="0"/>
              <w:jc w:val="right"/>
              <w:rPr>
                <w:sz w:val="18"/>
                <w:szCs w:val="18"/>
                <w:lang w:eastAsia="lv-LV"/>
              </w:rPr>
            </w:pPr>
            <w:r w:rsidRPr="00804ACF">
              <w:rPr>
                <w:sz w:val="18"/>
                <w:szCs w:val="18"/>
                <w:lang w:eastAsia="lv-LV"/>
              </w:rPr>
              <w:t>-1</w:t>
            </w:r>
            <w:r>
              <w:rPr>
                <w:sz w:val="18"/>
                <w:szCs w:val="18"/>
                <w:lang w:eastAsia="lv-LV"/>
              </w:rPr>
              <w:t>9</w:t>
            </w:r>
            <w:r w:rsidRPr="00804ACF">
              <w:rPr>
                <w:sz w:val="18"/>
                <w:szCs w:val="18"/>
                <w:lang w:eastAsia="lv-LV"/>
              </w:rPr>
              <w:t>,</w:t>
            </w:r>
            <w:r>
              <w:rPr>
                <w:sz w:val="18"/>
                <w:szCs w:val="18"/>
                <w:lang w:eastAsia="lv-LV"/>
              </w:rPr>
              <w:t>6</w:t>
            </w:r>
          </w:p>
        </w:tc>
        <w:tc>
          <w:tcPr>
            <w:tcW w:w="721" w:type="dxa"/>
            <w:tcBorders>
              <w:bottom w:val="double" w:sz="4" w:space="0" w:color="auto"/>
              <w:right w:val="single" w:sz="4" w:space="0" w:color="auto"/>
            </w:tcBorders>
            <w:shd w:val="clear" w:color="auto" w:fill="auto"/>
            <w:tcMar>
              <w:left w:w="57" w:type="dxa"/>
              <w:right w:w="57" w:type="dxa"/>
            </w:tcMar>
            <w:vAlign w:val="center"/>
          </w:tcPr>
          <w:p w14:paraId="14CFDC02" w14:textId="77777777" w:rsidR="00DC4D1F" w:rsidRPr="00804ACF" w:rsidRDefault="00DC4D1F" w:rsidP="00BF25F0">
            <w:pPr>
              <w:spacing w:after="0" w:line="259" w:lineRule="auto"/>
              <w:ind w:firstLine="0"/>
              <w:jc w:val="right"/>
              <w:rPr>
                <w:sz w:val="18"/>
                <w:szCs w:val="18"/>
                <w:lang w:eastAsia="lv-LV"/>
              </w:rPr>
            </w:pPr>
            <w:r w:rsidRPr="00804ACF">
              <w:rPr>
                <w:sz w:val="18"/>
                <w:szCs w:val="18"/>
                <w:lang w:eastAsia="lv-LV"/>
              </w:rPr>
              <w:t>-</w:t>
            </w:r>
            <w:r>
              <w:rPr>
                <w:sz w:val="18"/>
                <w:szCs w:val="18"/>
                <w:lang w:eastAsia="lv-LV"/>
              </w:rPr>
              <w:t>3</w:t>
            </w:r>
            <w:r w:rsidRPr="00804ACF">
              <w:rPr>
                <w:sz w:val="18"/>
                <w:szCs w:val="18"/>
                <w:lang w:eastAsia="lv-LV"/>
              </w:rPr>
              <w:t>5,9</w:t>
            </w:r>
          </w:p>
        </w:tc>
      </w:tr>
      <w:tr w:rsidR="00DC4D1F" w:rsidRPr="00EF1D74" w14:paraId="25621435" w14:textId="77777777" w:rsidTr="00BF25F0">
        <w:trPr>
          <w:gridAfter w:val="1"/>
          <w:wAfter w:w="9" w:type="dxa"/>
          <w:trHeight w:val="335"/>
          <w:jc w:val="center"/>
        </w:trPr>
        <w:tc>
          <w:tcPr>
            <w:tcW w:w="2830" w:type="dxa"/>
            <w:tcBorders>
              <w:top w:val="double" w:sz="4" w:space="0" w:color="auto"/>
            </w:tcBorders>
            <w:shd w:val="clear" w:color="auto" w:fill="auto"/>
            <w:vAlign w:val="center"/>
          </w:tcPr>
          <w:p w14:paraId="5097F418" w14:textId="77777777" w:rsidR="00DC4D1F" w:rsidRPr="00EF1D74" w:rsidRDefault="00DC4D1F" w:rsidP="00BF25F0">
            <w:pPr>
              <w:spacing w:after="0"/>
              <w:ind w:firstLine="0"/>
              <w:jc w:val="left"/>
              <w:rPr>
                <w:b/>
                <w:noProof/>
                <w:sz w:val="18"/>
                <w:szCs w:val="18"/>
                <w:lang w:eastAsia="lv-LV"/>
              </w:rPr>
            </w:pPr>
            <w:r w:rsidRPr="00EF1D74">
              <w:rPr>
                <w:b/>
                <w:noProof/>
                <w:sz w:val="18"/>
                <w:szCs w:val="18"/>
                <w:lang w:eastAsia="lv-LV"/>
              </w:rPr>
              <w:t>Vispārējās valdības parāds,</w:t>
            </w:r>
            <w:r w:rsidRPr="00EF1D74">
              <w:rPr>
                <w:b/>
                <w:noProof/>
                <w:sz w:val="18"/>
                <w:szCs w:val="18"/>
                <w:lang w:eastAsia="lv-LV"/>
              </w:rPr>
              <w:br/>
              <w:t>% no IKP</w:t>
            </w:r>
          </w:p>
        </w:tc>
        <w:tc>
          <w:tcPr>
            <w:tcW w:w="851" w:type="dxa"/>
            <w:tcBorders>
              <w:top w:val="double" w:sz="4" w:space="0" w:color="auto"/>
            </w:tcBorders>
            <w:shd w:val="clear" w:color="auto" w:fill="auto"/>
            <w:tcMar>
              <w:left w:w="57" w:type="dxa"/>
              <w:right w:w="57" w:type="dxa"/>
            </w:tcMar>
            <w:vAlign w:val="center"/>
          </w:tcPr>
          <w:p w14:paraId="707C0ADE" w14:textId="77777777" w:rsidR="00DC4D1F" w:rsidRPr="00804ACF" w:rsidRDefault="00DC4D1F" w:rsidP="00BF25F0">
            <w:pPr>
              <w:spacing w:after="0"/>
              <w:ind w:firstLine="0"/>
              <w:jc w:val="right"/>
              <w:rPr>
                <w:b/>
                <w:noProof/>
                <w:sz w:val="18"/>
                <w:szCs w:val="18"/>
                <w:lang w:eastAsia="lv-LV"/>
              </w:rPr>
            </w:pPr>
            <w:r w:rsidRPr="00804ACF">
              <w:rPr>
                <w:b/>
                <w:noProof/>
                <w:sz w:val="18"/>
                <w:szCs w:val="18"/>
                <w:lang w:eastAsia="lv-LV"/>
              </w:rPr>
              <w:t>47</w:t>
            </w:r>
            <w:r>
              <w:rPr>
                <w:b/>
                <w:noProof/>
                <w:sz w:val="18"/>
                <w:szCs w:val="18"/>
                <w:lang w:eastAsia="lv-LV"/>
              </w:rPr>
              <w:t>%</w:t>
            </w:r>
          </w:p>
        </w:tc>
        <w:tc>
          <w:tcPr>
            <w:tcW w:w="850" w:type="dxa"/>
            <w:tcBorders>
              <w:top w:val="double" w:sz="4" w:space="0" w:color="auto"/>
            </w:tcBorders>
            <w:shd w:val="clear" w:color="auto" w:fill="auto"/>
            <w:tcMar>
              <w:left w:w="57" w:type="dxa"/>
              <w:right w:w="57" w:type="dxa"/>
            </w:tcMar>
            <w:vAlign w:val="center"/>
          </w:tcPr>
          <w:p w14:paraId="61B9D1CB" w14:textId="77777777" w:rsidR="00DC4D1F" w:rsidRPr="00804ACF" w:rsidRDefault="00DC4D1F" w:rsidP="00BF25F0">
            <w:pPr>
              <w:spacing w:after="0"/>
              <w:ind w:firstLine="0"/>
              <w:jc w:val="right"/>
              <w:rPr>
                <w:b/>
                <w:noProof/>
                <w:sz w:val="18"/>
                <w:szCs w:val="18"/>
                <w:lang w:eastAsia="lv-LV"/>
              </w:rPr>
            </w:pPr>
            <w:r w:rsidRPr="00804ACF">
              <w:rPr>
                <w:b/>
                <w:noProof/>
                <w:sz w:val="18"/>
                <w:szCs w:val="18"/>
                <w:lang w:eastAsia="lv-LV"/>
              </w:rPr>
              <w:t>49</w:t>
            </w:r>
            <w:r>
              <w:rPr>
                <w:b/>
                <w:noProof/>
                <w:sz w:val="18"/>
                <w:szCs w:val="18"/>
                <w:lang w:eastAsia="lv-LV"/>
              </w:rPr>
              <w:t>%</w:t>
            </w:r>
          </w:p>
        </w:tc>
        <w:tc>
          <w:tcPr>
            <w:tcW w:w="851" w:type="dxa"/>
            <w:tcBorders>
              <w:top w:val="double" w:sz="4" w:space="0" w:color="auto"/>
            </w:tcBorders>
            <w:shd w:val="clear" w:color="auto" w:fill="auto"/>
            <w:tcMar>
              <w:left w:w="57" w:type="dxa"/>
              <w:right w:w="57" w:type="dxa"/>
            </w:tcMar>
            <w:vAlign w:val="center"/>
          </w:tcPr>
          <w:p w14:paraId="30B24F5C" w14:textId="77777777" w:rsidR="00DC4D1F" w:rsidRPr="00804ACF" w:rsidRDefault="00DC4D1F" w:rsidP="00BF25F0">
            <w:pPr>
              <w:spacing w:after="0"/>
              <w:ind w:firstLine="0"/>
              <w:jc w:val="right"/>
              <w:rPr>
                <w:b/>
                <w:noProof/>
                <w:sz w:val="18"/>
                <w:szCs w:val="18"/>
                <w:lang w:eastAsia="lv-LV"/>
              </w:rPr>
            </w:pPr>
            <w:r w:rsidRPr="00804ACF">
              <w:rPr>
                <w:b/>
                <w:noProof/>
                <w:sz w:val="18"/>
                <w:szCs w:val="18"/>
                <w:lang w:eastAsia="lv-LV"/>
              </w:rPr>
              <w:t>47</w:t>
            </w:r>
            <w:r>
              <w:rPr>
                <w:b/>
                <w:noProof/>
                <w:sz w:val="18"/>
                <w:szCs w:val="18"/>
                <w:lang w:eastAsia="lv-LV"/>
              </w:rPr>
              <w:t>%</w:t>
            </w:r>
          </w:p>
        </w:tc>
        <w:tc>
          <w:tcPr>
            <w:tcW w:w="850" w:type="dxa"/>
            <w:tcBorders>
              <w:top w:val="double" w:sz="4" w:space="0" w:color="auto"/>
            </w:tcBorders>
            <w:shd w:val="clear" w:color="auto" w:fill="auto"/>
            <w:tcMar>
              <w:left w:w="57" w:type="dxa"/>
              <w:right w:w="57" w:type="dxa"/>
            </w:tcMar>
            <w:vAlign w:val="center"/>
          </w:tcPr>
          <w:p w14:paraId="439B4481" w14:textId="77777777" w:rsidR="00DC4D1F" w:rsidRPr="00804ACF" w:rsidRDefault="00DC4D1F" w:rsidP="00BF25F0">
            <w:pPr>
              <w:spacing w:after="0"/>
              <w:ind w:firstLine="0"/>
              <w:jc w:val="right"/>
              <w:rPr>
                <w:b/>
                <w:noProof/>
                <w:sz w:val="18"/>
                <w:szCs w:val="18"/>
                <w:lang w:eastAsia="lv-LV"/>
              </w:rPr>
            </w:pPr>
            <w:r w:rsidRPr="00804ACF">
              <w:rPr>
                <w:b/>
                <w:noProof/>
                <w:sz w:val="18"/>
                <w:szCs w:val="18"/>
                <w:lang w:eastAsia="lv-LV"/>
              </w:rPr>
              <w:t>46%</w:t>
            </w:r>
          </w:p>
        </w:tc>
        <w:tc>
          <w:tcPr>
            <w:tcW w:w="709" w:type="dxa"/>
            <w:tcBorders>
              <w:top w:val="double" w:sz="4" w:space="0" w:color="auto"/>
            </w:tcBorders>
            <w:shd w:val="clear" w:color="auto" w:fill="auto"/>
            <w:tcMar>
              <w:left w:w="57" w:type="dxa"/>
              <w:right w:w="57" w:type="dxa"/>
            </w:tcMar>
            <w:vAlign w:val="center"/>
          </w:tcPr>
          <w:p w14:paraId="369FD8AA" w14:textId="77777777" w:rsidR="00DC4D1F" w:rsidRPr="00804ACF" w:rsidRDefault="00DC4D1F" w:rsidP="00BF25F0">
            <w:pPr>
              <w:spacing w:after="0"/>
              <w:ind w:firstLine="0"/>
              <w:jc w:val="right"/>
              <w:rPr>
                <w:b/>
                <w:noProof/>
                <w:sz w:val="18"/>
                <w:szCs w:val="18"/>
                <w:lang w:eastAsia="lv-LV"/>
              </w:rPr>
            </w:pPr>
            <w:r w:rsidRPr="00804ACF">
              <w:rPr>
                <w:b/>
                <w:noProof/>
                <w:sz w:val="18"/>
                <w:szCs w:val="18"/>
                <w:lang w:eastAsia="lv-LV"/>
              </w:rPr>
              <w:t>-1,4</w:t>
            </w:r>
            <w:r>
              <w:rPr>
                <w:b/>
                <w:noProof/>
                <w:sz w:val="18"/>
                <w:szCs w:val="18"/>
                <w:lang w:eastAsia="lv-LV"/>
              </w:rPr>
              <w:t xml:space="preserve"> </w:t>
            </w:r>
            <w:r w:rsidRPr="00804ACF">
              <w:rPr>
                <w:b/>
                <w:noProof/>
                <w:sz w:val="18"/>
                <w:szCs w:val="18"/>
                <w:lang w:eastAsia="lv-LV"/>
              </w:rPr>
              <w:t>pp</w:t>
            </w:r>
          </w:p>
        </w:tc>
        <w:tc>
          <w:tcPr>
            <w:tcW w:w="709" w:type="dxa"/>
            <w:tcBorders>
              <w:top w:val="double" w:sz="4" w:space="0" w:color="auto"/>
            </w:tcBorders>
            <w:shd w:val="clear" w:color="auto" w:fill="auto"/>
            <w:tcMar>
              <w:left w:w="57" w:type="dxa"/>
              <w:right w:w="57" w:type="dxa"/>
            </w:tcMar>
            <w:vAlign w:val="center"/>
          </w:tcPr>
          <w:p w14:paraId="2D47B665" w14:textId="77777777" w:rsidR="00DC4D1F" w:rsidRPr="00804ACF" w:rsidRDefault="00DC4D1F" w:rsidP="00BF25F0">
            <w:pPr>
              <w:spacing w:after="0" w:line="259" w:lineRule="auto"/>
              <w:ind w:firstLine="0"/>
              <w:jc w:val="right"/>
              <w:rPr>
                <w:b/>
                <w:noProof/>
                <w:sz w:val="18"/>
                <w:szCs w:val="18"/>
                <w:lang w:eastAsia="lv-LV"/>
              </w:rPr>
            </w:pPr>
            <w:r w:rsidRPr="00804ACF">
              <w:rPr>
                <w:b/>
                <w:noProof/>
                <w:sz w:val="18"/>
                <w:szCs w:val="18"/>
                <w:lang w:eastAsia="lv-LV"/>
              </w:rPr>
              <w:t>-2,3</w:t>
            </w:r>
            <w:r>
              <w:rPr>
                <w:b/>
                <w:noProof/>
                <w:sz w:val="18"/>
                <w:szCs w:val="18"/>
                <w:lang w:eastAsia="lv-LV"/>
              </w:rPr>
              <w:t xml:space="preserve"> </w:t>
            </w:r>
            <w:r w:rsidRPr="00804ACF">
              <w:rPr>
                <w:b/>
                <w:noProof/>
                <w:sz w:val="18"/>
                <w:szCs w:val="18"/>
                <w:lang w:eastAsia="lv-LV"/>
              </w:rPr>
              <w:t>pp</w:t>
            </w:r>
          </w:p>
        </w:tc>
        <w:tc>
          <w:tcPr>
            <w:tcW w:w="709" w:type="dxa"/>
            <w:tcBorders>
              <w:top w:val="double" w:sz="4" w:space="0" w:color="auto"/>
            </w:tcBorders>
            <w:shd w:val="clear" w:color="auto" w:fill="auto"/>
            <w:tcMar>
              <w:left w:w="57" w:type="dxa"/>
              <w:right w:w="57" w:type="dxa"/>
            </w:tcMar>
            <w:vAlign w:val="center"/>
          </w:tcPr>
          <w:p w14:paraId="332D02DB" w14:textId="77777777" w:rsidR="00DC4D1F" w:rsidRPr="00804ACF" w:rsidRDefault="00DC4D1F" w:rsidP="00BF25F0">
            <w:pPr>
              <w:spacing w:after="0" w:line="259" w:lineRule="auto"/>
              <w:ind w:firstLine="0"/>
              <w:jc w:val="right"/>
              <w:rPr>
                <w:b/>
                <w:noProof/>
                <w:sz w:val="18"/>
                <w:szCs w:val="18"/>
                <w:lang w:eastAsia="lv-LV"/>
              </w:rPr>
            </w:pPr>
            <w:r w:rsidRPr="00804ACF">
              <w:rPr>
                <w:b/>
                <w:noProof/>
                <w:sz w:val="18"/>
                <w:szCs w:val="18"/>
                <w:lang w:eastAsia="lv-LV"/>
              </w:rPr>
              <w:t>-2,8</w:t>
            </w:r>
            <w:r>
              <w:rPr>
                <w:b/>
                <w:noProof/>
                <w:sz w:val="18"/>
                <w:szCs w:val="18"/>
                <w:lang w:eastAsia="lv-LV"/>
              </w:rPr>
              <w:t xml:space="preserve"> </w:t>
            </w:r>
            <w:r w:rsidRPr="00804ACF">
              <w:rPr>
                <w:b/>
                <w:noProof/>
                <w:sz w:val="18"/>
                <w:szCs w:val="18"/>
                <w:lang w:eastAsia="lv-LV"/>
              </w:rPr>
              <w:t>pp</w:t>
            </w:r>
          </w:p>
        </w:tc>
        <w:tc>
          <w:tcPr>
            <w:tcW w:w="721" w:type="dxa"/>
            <w:tcBorders>
              <w:top w:val="double" w:sz="4" w:space="0" w:color="auto"/>
            </w:tcBorders>
            <w:shd w:val="clear" w:color="auto" w:fill="auto"/>
            <w:tcMar>
              <w:left w:w="57" w:type="dxa"/>
              <w:right w:w="57" w:type="dxa"/>
            </w:tcMar>
            <w:vAlign w:val="center"/>
          </w:tcPr>
          <w:p w14:paraId="60D34DF2" w14:textId="77777777" w:rsidR="00DC4D1F" w:rsidRPr="00804ACF" w:rsidRDefault="00DC4D1F" w:rsidP="00BF25F0">
            <w:pPr>
              <w:spacing w:after="0" w:line="259" w:lineRule="auto"/>
              <w:ind w:firstLine="0"/>
              <w:jc w:val="right"/>
              <w:rPr>
                <w:b/>
                <w:noProof/>
                <w:sz w:val="18"/>
                <w:szCs w:val="18"/>
                <w:lang w:eastAsia="lv-LV"/>
              </w:rPr>
            </w:pPr>
            <w:r w:rsidRPr="00804ACF">
              <w:rPr>
                <w:b/>
                <w:noProof/>
                <w:sz w:val="18"/>
                <w:szCs w:val="18"/>
                <w:lang w:eastAsia="lv-LV"/>
              </w:rPr>
              <w:t>-3,2</w:t>
            </w:r>
            <w:r>
              <w:rPr>
                <w:b/>
                <w:noProof/>
                <w:sz w:val="18"/>
                <w:szCs w:val="18"/>
                <w:lang w:eastAsia="lv-LV"/>
              </w:rPr>
              <w:t xml:space="preserve"> </w:t>
            </w:r>
            <w:r w:rsidRPr="00804ACF">
              <w:rPr>
                <w:b/>
                <w:noProof/>
                <w:sz w:val="18"/>
                <w:szCs w:val="18"/>
                <w:lang w:eastAsia="lv-LV"/>
              </w:rPr>
              <w:t>pp</w:t>
            </w:r>
          </w:p>
        </w:tc>
      </w:tr>
    </w:tbl>
    <w:p w14:paraId="3EAE002F" w14:textId="77777777" w:rsidR="00DC4D1F" w:rsidRPr="00EF1D74" w:rsidRDefault="00DC4D1F" w:rsidP="00DC4D1F">
      <w:pPr>
        <w:autoSpaceDE w:val="0"/>
        <w:autoSpaceDN w:val="0"/>
        <w:adjustRightInd w:val="0"/>
        <w:spacing w:after="0"/>
        <w:ind w:firstLine="720"/>
        <w:rPr>
          <w:color w:val="000000"/>
          <w:szCs w:val="24"/>
          <w:highlight w:val="yellow"/>
          <w:lang w:eastAsia="lv-LV"/>
        </w:rPr>
      </w:pPr>
    </w:p>
    <w:p w14:paraId="3449D721" w14:textId="77777777" w:rsidR="00DC4D1F" w:rsidRPr="005B5CD6" w:rsidRDefault="00DC4D1F" w:rsidP="00DC4D1F">
      <w:pPr>
        <w:autoSpaceDE w:val="0"/>
        <w:autoSpaceDN w:val="0"/>
        <w:adjustRightInd w:val="0"/>
        <w:ind w:firstLine="720"/>
        <w:rPr>
          <w:noProof/>
          <w:color w:val="000000"/>
          <w:szCs w:val="24"/>
          <w:lang w:eastAsia="lv-LV"/>
        </w:rPr>
      </w:pPr>
      <w:r w:rsidRPr="005B5CD6">
        <w:rPr>
          <w:noProof/>
          <w:color w:val="000000"/>
          <w:szCs w:val="24"/>
          <w:lang w:eastAsia="lv-LV"/>
        </w:rPr>
        <w:t>Vispārējās valdības budžeta bilance optimistiskajā scenārijā uzlabotos no 4,8% deficīta bāzes scenārijā uz 3,9% deficītu no IKP 2022.</w:t>
      </w:r>
      <w:r>
        <w:rPr>
          <w:noProof/>
          <w:color w:val="000000"/>
          <w:szCs w:val="24"/>
          <w:lang w:eastAsia="lv-LV"/>
        </w:rPr>
        <w:t> </w:t>
      </w:r>
      <w:r w:rsidRPr="005B5CD6">
        <w:rPr>
          <w:noProof/>
          <w:color w:val="000000"/>
          <w:szCs w:val="24"/>
          <w:lang w:eastAsia="lv-LV"/>
        </w:rPr>
        <w:t xml:space="preserve">gadā jeb par 244,8 milj. </w:t>
      </w:r>
      <w:r w:rsidRPr="005B5CD6">
        <w:rPr>
          <w:i/>
          <w:noProof/>
          <w:color w:val="000000"/>
          <w:szCs w:val="24"/>
          <w:lang w:eastAsia="lv-LV"/>
        </w:rPr>
        <w:t>euro</w:t>
      </w:r>
      <w:r w:rsidRPr="005B5CD6">
        <w:rPr>
          <w:noProof/>
          <w:color w:val="000000"/>
          <w:szCs w:val="24"/>
          <w:lang w:eastAsia="lv-LV"/>
        </w:rPr>
        <w:t>. 2023. un 2024.</w:t>
      </w:r>
      <w:r>
        <w:rPr>
          <w:noProof/>
          <w:color w:val="000000"/>
          <w:szCs w:val="24"/>
          <w:lang w:eastAsia="lv-LV"/>
        </w:rPr>
        <w:t> </w:t>
      </w:r>
      <w:r w:rsidRPr="005B5CD6">
        <w:rPr>
          <w:noProof/>
          <w:color w:val="000000"/>
          <w:szCs w:val="24"/>
          <w:lang w:eastAsia="lv-LV"/>
        </w:rPr>
        <w:t xml:space="preserve">gadā bilance uzlabotos attiecīgi par 255,6 milj. </w:t>
      </w:r>
      <w:r w:rsidRPr="005B5CD6">
        <w:rPr>
          <w:i/>
          <w:noProof/>
          <w:color w:val="000000"/>
          <w:szCs w:val="24"/>
          <w:lang w:eastAsia="lv-LV"/>
        </w:rPr>
        <w:t>euro</w:t>
      </w:r>
      <w:r w:rsidRPr="005B5CD6">
        <w:rPr>
          <w:noProof/>
          <w:color w:val="000000"/>
          <w:szCs w:val="24"/>
          <w:lang w:eastAsia="lv-LV"/>
        </w:rPr>
        <w:t xml:space="preserve"> un 264,6</w:t>
      </w:r>
      <w:r>
        <w:rPr>
          <w:noProof/>
          <w:color w:val="000000"/>
          <w:szCs w:val="24"/>
          <w:lang w:eastAsia="lv-LV"/>
        </w:rPr>
        <w:t xml:space="preserve"> </w:t>
      </w:r>
      <w:r w:rsidRPr="005B5CD6">
        <w:rPr>
          <w:noProof/>
          <w:color w:val="000000"/>
          <w:szCs w:val="24"/>
          <w:lang w:eastAsia="lv-LV"/>
        </w:rPr>
        <w:t xml:space="preserve">milj. </w:t>
      </w:r>
      <w:r w:rsidRPr="005B5CD6">
        <w:rPr>
          <w:i/>
          <w:noProof/>
          <w:color w:val="000000"/>
          <w:szCs w:val="24"/>
          <w:lang w:eastAsia="lv-LV"/>
        </w:rPr>
        <w:t>euro</w:t>
      </w:r>
      <w:r w:rsidRPr="005B5CD6">
        <w:rPr>
          <w:noProof/>
          <w:color w:val="000000"/>
          <w:szCs w:val="24"/>
          <w:lang w:eastAsia="lv-LV"/>
        </w:rPr>
        <w:t>, tādējādi vispārējās valdības budžetā 2023. gadā būtu deficīts 1,3% no IKP, bet 202</w:t>
      </w:r>
      <w:r>
        <w:rPr>
          <w:noProof/>
          <w:color w:val="000000"/>
          <w:szCs w:val="24"/>
          <w:lang w:eastAsia="lv-LV"/>
        </w:rPr>
        <w:t>4</w:t>
      </w:r>
      <w:r w:rsidRPr="005B5CD6">
        <w:rPr>
          <w:noProof/>
          <w:color w:val="000000"/>
          <w:szCs w:val="24"/>
          <w:lang w:eastAsia="lv-LV"/>
        </w:rPr>
        <w:t xml:space="preserve">. gadā budžets būtu ar 0,5% no IKP deficītu. </w:t>
      </w:r>
    </w:p>
    <w:p w14:paraId="0FCECE7B" w14:textId="77777777" w:rsidR="00DC4D1F" w:rsidRPr="00EF1D74" w:rsidRDefault="00DC4D1F" w:rsidP="00DC4D1F">
      <w:pPr>
        <w:autoSpaceDE w:val="0"/>
        <w:autoSpaceDN w:val="0"/>
        <w:adjustRightInd w:val="0"/>
        <w:ind w:firstLine="720"/>
        <w:rPr>
          <w:noProof/>
          <w:color w:val="000000"/>
          <w:szCs w:val="24"/>
          <w:lang w:eastAsia="lv-LV"/>
        </w:rPr>
      </w:pPr>
      <w:r w:rsidRPr="00843E4D">
        <w:rPr>
          <w:noProof/>
          <w:color w:val="000000"/>
          <w:szCs w:val="24"/>
          <w:lang w:eastAsia="lv-LV"/>
        </w:rPr>
        <w:t xml:space="preserve">Papildus aplūkojam scenārijus, kuros aizņemšanās procentu likmes parāda pārfinansēšanai nosvārstās viena procentpunkta robežās – par vienu procentpunktu palielinoties </w:t>
      </w:r>
      <w:r>
        <w:rPr>
          <w:noProof/>
          <w:color w:val="000000"/>
          <w:szCs w:val="24"/>
          <w:lang w:eastAsia="lv-LV"/>
        </w:rPr>
        <w:t>vai</w:t>
      </w:r>
      <w:r w:rsidRPr="00843E4D">
        <w:rPr>
          <w:noProof/>
          <w:color w:val="000000"/>
          <w:szCs w:val="24"/>
          <w:lang w:eastAsia="lv-LV"/>
        </w:rPr>
        <w:t xml:space="preserve"> šādā apmērā samazinoties. Procentu likmēm par vienu procentpuktu palielinoties, procentu izdevumi 2022. gadā pieaugtu par 5,0 milj. </w:t>
      </w:r>
      <w:r w:rsidRPr="00843E4D">
        <w:rPr>
          <w:i/>
          <w:noProof/>
          <w:color w:val="000000"/>
          <w:szCs w:val="24"/>
          <w:lang w:eastAsia="lv-LV"/>
        </w:rPr>
        <w:t>euro</w:t>
      </w:r>
      <w:r w:rsidRPr="00843E4D">
        <w:rPr>
          <w:noProof/>
          <w:color w:val="000000"/>
          <w:szCs w:val="24"/>
          <w:lang w:eastAsia="lv-LV"/>
        </w:rPr>
        <w:t xml:space="preserve">, 2023. gadā izdevumi būtu par 22,4 milj. </w:t>
      </w:r>
      <w:r w:rsidRPr="00843E4D">
        <w:rPr>
          <w:i/>
          <w:noProof/>
          <w:color w:val="000000"/>
          <w:szCs w:val="24"/>
          <w:lang w:eastAsia="lv-LV"/>
        </w:rPr>
        <w:t>euro</w:t>
      </w:r>
      <w:r w:rsidRPr="00843E4D">
        <w:rPr>
          <w:noProof/>
          <w:color w:val="000000"/>
          <w:szCs w:val="24"/>
          <w:lang w:eastAsia="lv-LV"/>
        </w:rPr>
        <w:t xml:space="preserve"> lielāki, bet 2024. gadā par 37,8 milj. </w:t>
      </w:r>
      <w:r w:rsidRPr="00843E4D">
        <w:rPr>
          <w:i/>
          <w:noProof/>
          <w:color w:val="000000"/>
          <w:szCs w:val="24"/>
          <w:lang w:eastAsia="lv-LV"/>
        </w:rPr>
        <w:t>euro</w:t>
      </w:r>
      <w:r w:rsidRPr="00843E4D">
        <w:rPr>
          <w:noProof/>
          <w:color w:val="000000"/>
          <w:szCs w:val="24"/>
          <w:lang w:eastAsia="lv-LV"/>
        </w:rPr>
        <w:t xml:space="preserve"> lielāki nekā bāzes scenārijā. Savukārt procentu likmei par vienu procentpuktu samazinoties, izdevumi 2022. gadā samazinātos par </w:t>
      </w:r>
      <w:r>
        <w:rPr>
          <w:noProof/>
          <w:color w:val="000000"/>
          <w:szCs w:val="24"/>
          <w:lang w:eastAsia="lv-LV"/>
        </w:rPr>
        <w:t>3</w:t>
      </w:r>
      <w:r w:rsidRPr="00843E4D">
        <w:rPr>
          <w:noProof/>
          <w:color w:val="000000"/>
          <w:szCs w:val="24"/>
          <w:lang w:eastAsia="lv-LV"/>
        </w:rPr>
        <w:t>,</w:t>
      </w:r>
      <w:r>
        <w:rPr>
          <w:noProof/>
          <w:color w:val="000000"/>
          <w:szCs w:val="24"/>
          <w:lang w:eastAsia="lv-LV"/>
        </w:rPr>
        <w:t>3</w:t>
      </w:r>
      <w:r w:rsidRPr="00843E4D">
        <w:rPr>
          <w:noProof/>
          <w:color w:val="000000"/>
          <w:szCs w:val="24"/>
          <w:lang w:eastAsia="lv-LV"/>
        </w:rPr>
        <w:t xml:space="preserve"> milj. </w:t>
      </w:r>
      <w:r w:rsidRPr="00843E4D">
        <w:rPr>
          <w:i/>
          <w:noProof/>
          <w:color w:val="000000"/>
          <w:szCs w:val="24"/>
          <w:lang w:eastAsia="lv-LV"/>
        </w:rPr>
        <w:t>euro</w:t>
      </w:r>
      <w:r w:rsidRPr="00843E4D">
        <w:rPr>
          <w:noProof/>
          <w:color w:val="000000"/>
          <w:szCs w:val="24"/>
          <w:lang w:eastAsia="lv-LV"/>
        </w:rPr>
        <w:t>, 2023. gadā izdevumi būtu par 1</w:t>
      </w:r>
      <w:r>
        <w:rPr>
          <w:noProof/>
          <w:color w:val="000000"/>
          <w:szCs w:val="24"/>
          <w:lang w:eastAsia="lv-LV"/>
        </w:rPr>
        <w:t>9</w:t>
      </w:r>
      <w:r w:rsidRPr="00843E4D">
        <w:rPr>
          <w:noProof/>
          <w:color w:val="000000"/>
          <w:szCs w:val="24"/>
          <w:lang w:eastAsia="lv-LV"/>
        </w:rPr>
        <w:t>,</w:t>
      </w:r>
      <w:r>
        <w:rPr>
          <w:noProof/>
          <w:color w:val="000000"/>
          <w:szCs w:val="24"/>
          <w:lang w:eastAsia="lv-LV"/>
        </w:rPr>
        <w:t>6</w:t>
      </w:r>
      <w:r w:rsidRPr="00843E4D">
        <w:rPr>
          <w:noProof/>
          <w:color w:val="000000"/>
          <w:szCs w:val="24"/>
          <w:lang w:eastAsia="lv-LV"/>
        </w:rPr>
        <w:t xml:space="preserve"> milj. </w:t>
      </w:r>
      <w:r w:rsidRPr="00843E4D">
        <w:rPr>
          <w:i/>
          <w:noProof/>
          <w:color w:val="000000"/>
          <w:szCs w:val="24"/>
          <w:lang w:eastAsia="lv-LV"/>
        </w:rPr>
        <w:t>euro</w:t>
      </w:r>
      <w:r w:rsidRPr="00843E4D">
        <w:rPr>
          <w:noProof/>
          <w:color w:val="000000"/>
          <w:szCs w:val="24"/>
          <w:lang w:eastAsia="lv-LV"/>
        </w:rPr>
        <w:t xml:space="preserve"> un 2024. gadā par </w:t>
      </w:r>
      <w:r>
        <w:rPr>
          <w:noProof/>
          <w:color w:val="000000"/>
          <w:szCs w:val="24"/>
          <w:lang w:eastAsia="lv-LV"/>
        </w:rPr>
        <w:t>3</w:t>
      </w:r>
      <w:r w:rsidRPr="00843E4D">
        <w:rPr>
          <w:noProof/>
          <w:color w:val="000000"/>
          <w:szCs w:val="24"/>
          <w:lang w:eastAsia="lv-LV"/>
        </w:rPr>
        <w:t xml:space="preserve">5,9 milj. </w:t>
      </w:r>
      <w:r w:rsidRPr="00843E4D">
        <w:rPr>
          <w:i/>
          <w:noProof/>
          <w:color w:val="000000"/>
          <w:szCs w:val="24"/>
          <w:lang w:eastAsia="lv-LV"/>
        </w:rPr>
        <w:t>euro</w:t>
      </w:r>
      <w:r w:rsidRPr="00843E4D">
        <w:rPr>
          <w:noProof/>
          <w:color w:val="000000"/>
          <w:szCs w:val="24"/>
          <w:lang w:eastAsia="lv-LV"/>
        </w:rPr>
        <w:t xml:space="preserve"> mazāki nekā bāzes scenārijā.</w:t>
      </w:r>
    </w:p>
    <w:p w14:paraId="1F7338F6" w14:textId="00EDDA5F" w:rsidR="00EF1D74" w:rsidRDefault="00EF1D74" w:rsidP="00EF1D74">
      <w:pPr>
        <w:keepNext/>
        <w:keepLines/>
        <w:spacing w:before="240" w:after="240"/>
        <w:ind w:firstLine="0"/>
        <w:jc w:val="center"/>
        <w:outlineLvl w:val="2"/>
        <w:rPr>
          <w:b/>
          <w:noProof/>
          <w:sz w:val="32"/>
          <w:szCs w:val="32"/>
        </w:rPr>
      </w:pPr>
      <w:r w:rsidRPr="00EF1D74">
        <w:rPr>
          <w:b/>
          <w:noProof/>
          <w:sz w:val="32"/>
          <w:szCs w:val="32"/>
        </w:rPr>
        <w:t>1.5.2. Pesimistiskais scenārijs</w:t>
      </w:r>
    </w:p>
    <w:p w14:paraId="4F893E16" w14:textId="77777777" w:rsidR="00A05204" w:rsidRPr="00DF1711" w:rsidRDefault="00A05204" w:rsidP="00A05204">
      <w:pPr>
        <w:spacing w:before="120"/>
        <w:ind w:firstLine="567"/>
        <w:rPr>
          <w:rFonts w:eastAsia="Calibri"/>
          <w:szCs w:val="22"/>
        </w:rPr>
      </w:pPr>
      <w:r w:rsidRPr="00DF1711">
        <w:rPr>
          <w:rFonts w:eastAsia="Calibri"/>
          <w:szCs w:val="22"/>
        </w:rPr>
        <w:t xml:space="preserve">Pesimistiskā scenārija galvenais pieņēmums ir tas, ka līdz rudenim neizdosies sasniegt vakcinācijas plānā paredzēto līmeni, par ko liecināja kopš aprīļa beigām strauji pieaugošie vakcinācijas tempi. Jau vasaras sākumā iezīmējās vakcinācijas tempu mazināšanās. Turklāt Eiropā un Latvijā pieaug jaunā </w:t>
      </w:r>
      <w:r>
        <w:rPr>
          <w:rFonts w:eastAsia="Calibri"/>
          <w:szCs w:val="22"/>
        </w:rPr>
        <w:t>Covid</w:t>
      </w:r>
      <w:r>
        <w:rPr>
          <w:rFonts w:eastAsia="Calibri"/>
          <w:szCs w:val="22"/>
        </w:rPr>
        <w:noBreakHyphen/>
        <w:t>19</w:t>
      </w:r>
      <w:r w:rsidRPr="00DF1711">
        <w:rPr>
          <w:rFonts w:eastAsia="Calibri"/>
          <w:szCs w:val="22"/>
        </w:rPr>
        <w:t xml:space="preserve"> delta varianta izplatība, no kura vairāk cieš nevakcinētie iedzīvotāji. Līdz ar to, piedzīvojot jaunu spēcīgu slimības vilni un no jauna ieviešot </w:t>
      </w:r>
      <w:r>
        <w:rPr>
          <w:rFonts w:eastAsia="Calibri"/>
          <w:szCs w:val="22"/>
        </w:rPr>
        <w:t>stingrākus</w:t>
      </w:r>
      <w:r w:rsidRPr="00DF1711">
        <w:rPr>
          <w:rFonts w:eastAsia="Calibri"/>
          <w:szCs w:val="22"/>
        </w:rPr>
        <w:t xml:space="preserve"> vīrusa ierobežošanas pasākumus sākot ar 2021</w:t>
      </w:r>
      <w:r>
        <w:rPr>
          <w:rFonts w:eastAsia="Calibri"/>
          <w:szCs w:val="22"/>
        </w:rPr>
        <w:t>. gad</w:t>
      </w:r>
      <w:r w:rsidRPr="00DF1711">
        <w:rPr>
          <w:rFonts w:eastAsia="Calibri"/>
          <w:szCs w:val="22"/>
        </w:rPr>
        <w:t>a 4. ceturksni, IKP izaugsme būs mazāka nekā bāzes scenārijā, kas paredz, ka ekonomika turpmāk attīstīsies bez šiem ierobežojumiem.</w:t>
      </w:r>
    </w:p>
    <w:p w14:paraId="5F1FC3F5" w14:textId="77777777" w:rsidR="00A05204" w:rsidRPr="00DF1711" w:rsidRDefault="00A05204" w:rsidP="00A05204">
      <w:pPr>
        <w:spacing w:before="120"/>
        <w:ind w:firstLine="567"/>
        <w:rPr>
          <w:rFonts w:eastAsia="Calibri"/>
          <w:szCs w:val="22"/>
        </w:rPr>
      </w:pPr>
      <w:r w:rsidRPr="00DF1711">
        <w:rPr>
          <w:rFonts w:eastAsia="Calibri"/>
          <w:szCs w:val="22"/>
        </w:rPr>
        <w:t>2021</w:t>
      </w:r>
      <w:r>
        <w:rPr>
          <w:rFonts w:eastAsia="Calibri"/>
          <w:szCs w:val="22"/>
        </w:rPr>
        <w:t>. gad</w:t>
      </w:r>
      <w:r w:rsidRPr="00DF1711">
        <w:rPr>
          <w:rFonts w:eastAsia="Calibri"/>
          <w:szCs w:val="22"/>
        </w:rPr>
        <w:t xml:space="preserve">s ir iesācies ļoti spēcīgi, IKP šā gada pirmajā pusgadā pieauga par 4,5%, arī trešā ceturkšņa izaugsme būs spēcīga, jo ir atcelta virkne </w:t>
      </w:r>
      <w:r w:rsidRPr="00E15AB1">
        <w:rPr>
          <w:rFonts w:eastAsia="Calibri"/>
          <w:szCs w:val="22"/>
        </w:rPr>
        <w:t xml:space="preserve">ierobežojumu. Atbilstoši šī scenārija pieņēmumiem, oktobrī </w:t>
      </w:r>
      <w:r>
        <w:rPr>
          <w:rFonts w:eastAsia="Calibri"/>
          <w:szCs w:val="22"/>
        </w:rPr>
        <w:t xml:space="preserve">var </w:t>
      </w:r>
      <w:r w:rsidRPr="00E15AB1">
        <w:rPr>
          <w:rFonts w:eastAsia="Calibri"/>
          <w:szCs w:val="22"/>
        </w:rPr>
        <w:t>izraisīties jauns nozīmīgs</w:t>
      </w:r>
      <w:r w:rsidRPr="00DF1711">
        <w:rPr>
          <w:rFonts w:eastAsia="Calibri"/>
          <w:szCs w:val="22"/>
        </w:rPr>
        <w:t xml:space="preserve"> saslimstības uzliesmojums. Līdz ar to šis scenārijs paredz, ka šā gada 4. ceturksnī tiks ieviesti pasākumi slimības izplatības ierobežošanai, kas turpināsies līdz 2022</w:t>
      </w:r>
      <w:r>
        <w:rPr>
          <w:rFonts w:eastAsia="Calibri"/>
          <w:szCs w:val="22"/>
        </w:rPr>
        <w:t>. gad</w:t>
      </w:r>
      <w:r w:rsidRPr="00DF1711">
        <w:rPr>
          <w:rFonts w:eastAsia="Calibri"/>
          <w:szCs w:val="22"/>
        </w:rPr>
        <w:t>a pirmajam ceturksnim, savukārt turpmākajos gados vairs nebūtu nepieciešamības tādus ieviest. Rezultātā 2021</w:t>
      </w:r>
      <w:r>
        <w:rPr>
          <w:rFonts w:eastAsia="Calibri"/>
          <w:szCs w:val="22"/>
        </w:rPr>
        <w:t>. gad</w:t>
      </w:r>
      <w:r w:rsidRPr="00DF1711">
        <w:rPr>
          <w:rFonts w:eastAsia="Calibri"/>
          <w:szCs w:val="22"/>
        </w:rPr>
        <w:t xml:space="preserve">ā kopumā iekšzemes </w:t>
      </w:r>
      <w:r w:rsidRPr="00DF1711">
        <w:rPr>
          <w:rFonts w:eastAsia="Calibri"/>
          <w:szCs w:val="22"/>
        </w:rPr>
        <w:lastRenderedPageBreak/>
        <w:t>kopprodukta izaugsme samazinātos līdz 3%, kas ir par 0,7 procentpunktiem mazāks pieaugums nekā bāzes scenārijā. Savukārt tas dotu zemāku bāzi 2022</w:t>
      </w:r>
      <w:r>
        <w:rPr>
          <w:rFonts w:eastAsia="Calibri"/>
          <w:szCs w:val="22"/>
        </w:rPr>
        <w:t>. gad</w:t>
      </w:r>
      <w:r w:rsidRPr="00DF1711">
        <w:rPr>
          <w:rFonts w:eastAsia="Calibri"/>
          <w:szCs w:val="22"/>
        </w:rPr>
        <w:t>am, un IKP pieaugums sasniegtu tikai 2,5% jeb būtu par 2,5 procentpunktiem mazāks nekā bāzes scenārijā. 2023.-2024</w:t>
      </w:r>
      <w:r>
        <w:rPr>
          <w:rFonts w:eastAsia="Calibri"/>
          <w:szCs w:val="22"/>
        </w:rPr>
        <w:t>. gad</w:t>
      </w:r>
      <w:r w:rsidRPr="00DF1711">
        <w:rPr>
          <w:rFonts w:eastAsia="Calibri"/>
          <w:szCs w:val="22"/>
        </w:rPr>
        <w:t>ā izaugsme saglabātos bāzes scenārija līmenī jeb 3,4% apmērā.</w:t>
      </w:r>
    </w:p>
    <w:p w14:paraId="60AD7268" w14:textId="77777777" w:rsidR="00A05204" w:rsidRPr="00DF1711" w:rsidRDefault="00A05204" w:rsidP="00A05204">
      <w:pPr>
        <w:spacing w:before="120"/>
        <w:ind w:firstLine="567"/>
        <w:rPr>
          <w:rFonts w:eastAsia="Calibri"/>
          <w:szCs w:val="22"/>
        </w:rPr>
      </w:pPr>
      <w:r w:rsidRPr="00DF1711">
        <w:rPr>
          <w:rFonts w:eastAsia="Calibri"/>
          <w:szCs w:val="22"/>
        </w:rPr>
        <w:t>Pasliktinoties patērētāju noskaņojumam, līdzīgi kā novērots š</w:t>
      </w:r>
      <w:r>
        <w:rPr>
          <w:rFonts w:eastAsia="Calibri"/>
          <w:szCs w:val="22"/>
        </w:rPr>
        <w:t>ā</w:t>
      </w:r>
      <w:r w:rsidRPr="00DF1711">
        <w:rPr>
          <w:rFonts w:eastAsia="Calibri"/>
          <w:szCs w:val="22"/>
        </w:rPr>
        <w:t xml:space="preserve"> gada sākumā,</w:t>
      </w:r>
      <w:r w:rsidRPr="00DF1711" w:rsidDel="00EB7807">
        <w:rPr>
          <w:rFonts w:eastAsia="Calibri"/>
          <w:szCs w:val="22"/>
        </w:rPr>
        <w:t xml:space="preserve"> </w:t>
      </w:r>
      <w:r w:rsidRPr="00DF1711">
        <w:rPr>
          <w:rFonts w:eastAsia="Calibri"/>
          <w:szCs w:val="22"/>
        </w:rPr>
        <w:t>privātais patēriņš būtiski sabremzētos, noslīdot līdz 2020</w:t>
      </w:r>
      <w:r>
        <w:rPr>
          <w:rFonts w:eastAsia="Calibri"/>
          <w:szCs w:val="22"/>
        </w:rPr>
        <w:t>. gad</w:t>
      </w:r>
      <w:r w:rsidRPr="00DF1711">
        <w:rPr>
          <w:rFonts w:eastAsia="Calibri"/>
          <w:szCs w:val="22"/>
        </w:rPr>
        <w:t>a beigu līmenim, un tādējādi nozīmīgi ietekmētu izaugsmi 2021. un 2022</w:t>
      </w:r>
      <w:r>
        <w:rPr>
          <w:rFonts w:eastAsia="Calibri"/>
          <w:szCs w:val="22"/>
        </w:rPr>
        <w:t>. gad</w:t>
      </w:r>
      <w:r w:rsidRPr="00DF1711">
        <w:rPr>
          <w:rFonts w:eastAsia="Calibri"/>
          <w:szCs w:val="22"/>
        </w:rPr>
        <w:t>ā. Valdības izdevumi nedaudz pieaugtu, palielinot izdevumiem medicīnai, t.sk., rehabilitācijai. Paredzams, ka valdība turpinātu atbalstīt nozares, kas vēl joprojām izjustu ierobežojumus, bet atbalsta apmērs būtu mazāks nekā 2021</w:t>
      </w:r>
      <w:r>
        <w:rPr>
          <w:rFonts w:eastAsia="Calibri"/>
          <w:szCs w:val="22"/>
        </w:rPr>
        <w:t>. gad</w:t>
      </w:r>
      <w:r w:rsidRPr="00DF1711">
        <w:rPr>
          <w:rFonts w:eastAsia="Calibri"/>
          <w:szCs w:val="22"/>
        </w:rPr>
        <w:t>a sākumā. Tikmēr investīcijas un eksportu jaunie ierobežojumi neskartu. Investīcijas nodrošinātu projekti, kurus ir paredzēts finansēt ar ES fondu un Atveseļošanās mehānisma atbalstu. Strauja ekonomiskā attīstība atsāktos 2022</w:t>
      </w:r>
      <w:r>
        <w:rPr>
          <w:rFonts w:eastAsia="Calibri"/>
          <w:szCs w:val="22"/>
        </w:rPr>
        <w:t>. gad</w:t>
      </w:r>
      <w:r w:rsidRPr="00DF1711">
        <w:rPr>
          <w:rFonts w:eastAsia="Calibri"/>
          <w:szCs w:val="22"/>
        </w:rPr>
        <w:t xml:space="preserve">a vasarā, neparedzot </w:t>
      </w:r>
      <w:r>
        <w:rPr>
          <w:rFonts w:eastAsia="Calibri"/>
          <w:szCs w:val="22"/>
        </w:rPr>
        <w:t>Covid</w:t>
      </w:r>
      <w:r>
        <w:rPr>
          <w:rFonts w:eastAsia="Calibri"/>
          <w:szCs w:val="22"/>
        </w:rPr>
        <w:noBreakHyphen/>
        <w:t>19</w:t>
      </w:r>
      <w:r w:rsidRPr="00DF1711">
        <w:rPr>
          <w:rFonts w:eastAsia="Calibri"/>
          <w:szCs w:val="22"/>
        </w:rPr>
        <w:t xml:space="preserve"> ceturto vilni. </w:t>
      </w:r>
    </w:p>
    <w:p w14:paraId="790AE8E7" w14:textId="77777777" w:rsidR="00A05204" w:rsidRPr="00DF1711" w:rsidRDefault="00A05204" w:rsidP="00A05204">
      <w:pPr>
        <w:spacing w:before="120"/>
        <w:ind w:firstLine="567"/>
        <w:rPr>
          <w:rFonts w:eastAsia="Calibri"/>
          <w:szCs w:val="22"/>
        </w:rPr>
      </w:pPr>
      <w:r w:rsidRPr="00E3390A">
        <w:rPr>
          <w:rFonts w:eastAsia="Calibri"/>
          <w:szCs w:val="22"/>
        </w:rPr>
        <w:t>Darba tirgū paredzams nedaudz spēcīgāks nodarbināto skaita samazinājums 2021. gadā kopumā, jo ceturtajā ceturksnī daļa nozaru būs spiesta atkal apturēt darbību Covid</w:t>
      </w:r>
      <w:r w:rsidRPr="00E3390A">
        <w:rPr>
          <w:rFonts w:eastAsia="Calibri"/>
          <w:szCs w:val="22"/>
        </w:rPr>
        <w:noBreakHyphen/>
        <w:t xml:space="preserve">19 ierobežojumu dēļ. </w:t>
      </w:r>
      <w:r w:rsidRPr="00DF1711">
        <w:rPr>
          <w:rFonts w:eastAsia="Calibri"/>
          <w:szCs w:val="22"/>
        </w:rPr>
        <w:t>Bezdarba pieaugumu savukārt ierobežotu valsts atbalsts darbu apturējušajiem biznesiem, un tas varētu saglabāties bāzes scenārija līmenī, t.i., 2021</w:t>
      </w:r>
      <w:r>
        <w:rPr>
          <w:rFonts w:eastAsia="Calibri"/>
          <w:szCs w:val="22"/>
        </w:rPr>
        <w:t>. gadā 7,9%, 202</w:t>
      </w:r>
      <w:r w:rsidRPr="00DF1711">
        <w:rPr>
          <w:rFonts w:eastAsia="Calibri"/>
          <w:szCs w:val="22"/>
        </w:rPr>
        <w:t>2</w:t>
      </w:r>
      <w:r>
        <w:rPr>
          <w:rFonts w:eastAsia="Calibri"/>
          <w:szCs w:val="22"/>
        </w:rPr>
        <w:t>. gad</w:t>
      </w:r>
      <w:r w:rsidRPr="00DF1711">
        <w:rPr>
          <w:rFonts w:eastAsia="Calibri"/>
          <w:szCs w:val="22"/>
        </w:rPr>
        <w:t>ā 7%</w:t>
      </w:r>
      <w:r>
        <w:rPr>
          <w:rFonts w:eastAsia="Calibri"/>
          <w:szCs w:val="22"/>
        </w:rPr>
        <w:t>, 2023. gadā 6,3% un 2024. gadā 5,9%</w:t>
      </w:r>
      <w:r w:rsidRPr="00DF1711">
        <w:rPr>
          <w:rFonts w:eastAsia="Calibri"/>
          <w:szCs w:val="22"/>
        </w:rPr>
        <w:t xml:space="preserve"> no ekonomiski aktīvajiem iedzīvotājiem.</w:t>
      </w:r>
    </w:p>
    <w:p w14:paraId="3295E00D" w14:textId="77777777" w:rsidR="00A05204" w:rsidRPr="00DF1711" w:rsidRDefault="00A05204" w:rsidP="00A05204">
      <w:pPr>
        <w:spacing w:before="120"/>
        <w:ind w:firstLine="567"/>
        <w:rPr>
          <w:rFonts w:eastAsia="Calibri"/>
          <w:szCs w:val="22"/>
        </w:rPr>
      </w:pPr>
      <w:r w:rsidRPr="00DF1711">
        <w:rPr>
          <w:rFonts w:eastAsia="Calibri"/>
          <w:szCs w:val="22"/>
        </w:rPr>
        <w:t>Šī scenārija ietekme uz inflāciju būs nebūtiska, jo cenu izmaiņas Latvijā pašlaik nosaka galvenokārt ārēji faktori – izejvielu preču cenu dinamika pasaules tirgū.  Pērn cenu samazinājuma pamatā bija tikai enerģijas cenu kritums, kamēr iekšējās cenas bija ar pozitīvu pieaugumu. Līdz ar to, no vienas puses atliktais patēriņš mazinās iekšzemes cenu pieaugumu, tomēr no otras puses, pasaulē ir iezīmējies spēcīgs cenu pieaugums, kas uzturēs arī iekšzemes cenu līmeni. Turklāt nākamā gada enerģijas cenu tarifi mājsaimniecībām būs augstāki, balstoties uz 2021</w:t>
      </w:r>
      <w:r>
        <w:rPr>
          <w:rFonts w:eastAsia="Calibri"/>
          <w:szCs w:val="22"/>
        </w:rPr>
        <w:t>. gad</w:t>
      </w:r>
      <w:r w:rsidRPr="00DF1711">
        <w:rPr>
          <w:rFonts w:eastAsia="Calibri"/>
          <w:szCs w:val="22"/>
        </w:rPr>
        <w:t>a biržas cenām.</w:t>
      </w:r>
    </w:p>
    <w:p w14:paraId="3AC12F8F" w14:textId="072EA791" w:rsidR="00A05204" w:rsidRDefault="00A05204" w:rsidP="00A05204">
      <w:pPr>
        <w:pStyle w:val="Tabulasvirsraksts"/>
        <w:keepNext/>
        <w:spacing w:before="120" w:after="120"/>
      </w:pPr>
      <w:r>
        <w:rPr>
          <w:i/>
        </w:rPr>
        <w:t>1.</w:t>
      </w:r>
      <w:r w:rsidR="00DC4D1F">
        <w:rPr>
          <w:i/>
        </w:rPr>
        <w:t>10</w:t>
      </w:r>
      <w:r w:rsidRPr="003A7AC0">
        <w:rPr>
          <w:i/>
        </w:rPr>
        <w:t>. tabula</w:t>
      </w:r>
      <w:r w:rsidRPr="00A4102E">
        <w:t xml:space="preserve"> Pesimistiskais makroekonomisko rādītāju attīstības scenārijs</w:t>
      </w:r>
    </w:p>
    <w:tbl>
      <w:tblPr>
        <w:tblW w:w="5000" w:type="pct"/>
        <w:tblLayout w:type="fixed"/>
        <w:tblLook w:val="04A0" w:firstRow="1" w:lastRow="0" w:firstColumn="1" w:lastColumn="0" w:noHBand="0" w:noVBand="1"/>
      </w:tblPr>
      <w:tblGrid>
        <w:gridCol w:w="3611"/>
        <w:gridCol w:w="1090"/>
        <w:gridCol w:w="1090"/>
        <w:gridCol w:w="1090"/>
        <w:gridCol w:w="1090"/>
        <w:gridCol w:w="1090"/>
      </w:tblGrid>
      <w:tr w:rsidR="00A05204" w:rsidRPr="009D6882" w14:paraId="5AFC4A24" w14:textId="77777777" w:rsidTr="00A05204">
        <w:trPr>
          <w:trHeight w:val="300"/>
          <w:tblHeader/>
        </w:trPr>
        <w:tc>
          <w:tcPr>
            <w:tcW w:w="3306" w:type="dxa"/>
            <w:vMerge w:val="restart"/>
            <w:tcBorders>
              <w:top w:val="single" w:sz="4" w:space="0" w:color="auto"/>
              <w:left w:val="single" w:sz="4" w:space="0" w:color="auto"/>
              <w:right w:val="single" w:sz="4" w:space="0" w:color="auto"/>
            </w:tcBorders>
            <w:shd w:val="clear" w:color="auto" w:fill="auto"/>
            <w:noWrap/>
            <w:vAlign w:val="center"/>
            <w:hideMark/>
          </w:tcPr>
          <w:p w14:paraId="204A5CD0" w14:textId="77777777" w:rsidR="00A05204" w:rsidRPr="009D6882" w:rsidRDefault="00A05204" w:rsidP="000065DF">
            <w:pPr>
              <w:spacing w:after="0"/>
              <w:rPr>
                <w:sz w:val="18"/>
                <w:szCs w:val="18"/>
                <w:lang w:eastAsia="lv-LV"/>
              </w:rPr>
            </w:pPr>
          </w:p>
        </w:tc>
        <w:tc>
          <w:tcPr>
            <w:tcW w:w="998" w:type="dxa"/>
            <w:tcBorders>
              <w:top w:val="single" w:sz="4" w:space="0" w:color="auto"/>
              <w:left w:val="nil"/>
              <w:bottom w:val="single" w:sz="4" w:space="0" w:color="auto"/>
              <w:right w:val="single" w:sz="4" w:space="0" w:color="auto"/>
            </w:tcBorders>
            <w:shd w:val="clear" w:color="auto" w:fill="auto"/>
            <w:noWrap/>
            <w:vAlign w:val="center"/>
            <w:hideMark/>
          </w:tcPr>
          <w:p w14:paraId="5FD76590" w14:textId="77777777" w:rsidR="00A05204" w:rsidRPr="009D6882" w:rsidRDefault="00A05204" w:rsidP="00A05204">
            <w:pPr>
              <w:spacing w:after="0"/>
              <w:ind w:firstLine="0"/>
              <w:jc w:val="center"/>
              <w:rPr>
                <w:b/>
                <w:sz w:val="18"/>
                <w:szCs w:val="18"/>
                <w:lang w:eastAsia="lv-LV"/>
              </w:rPr>
            </w:pPr>
            <w:r w:rsidRPr="009D6882">
              <w:rPr>
                <w:b/>
                <w:sz w:val="18"/>
                <w:szCs w:val="18"/>
                <w:lang w:eastAsia="lv-LV"/>
              </w:rPr>
              <w:t>2020</w:t>
            </w:r>
          </w:p>
        </w:tc>
        <w:tc>
          <w:tcPr>
            <w:tcW w:w="998" w:type="dxa"/>
            <w:tcBorders>
              <w:top w:val="single" w:sz="4" w:space="0" w:color="auto"/>
              <w:left w:val="nil"/>
              <w:bottom w:val="single" w:sz="4" w:space="0" w:color="auto"/>
              <w:right w:val="single" w:sz="4" w:space="0" w:color="auto"/>
            </w:tcBorders>
            <w:shd w:val="clear" w:color="auto" w:fill="F2F2F2" w:themeFill="background1" w:themeFillShade="F2"/>
            <w:noWrap/>
            <w:vAlign w:val="center"/>
          </w:tcPr>
          <w:p w14:paraId="65602285" w14:textId="77777777" w:rsidR="00A05204" w:rsidRPr="009D6882" w:rsidRDefault="00A05204" w:rsidP="00A05204">
            <w:pPr>
              <w:spacing w:after="0"/>
              <w:ind w:firstLine="0"/>
              <w:jc w:val="center"/>
              <w:rPr>
                <w:b/>
                <w:sz w:val="18"/>
                <w:szCs w:val="18"/>
                <w:lang w:eastAsia="lv-LV"/>
              </w:rPr>
            </w:pPr>
            <w:r w:rsidRPr="009D6882">
              <w:rPr>
                <w:b/>
                <w:sz w:val="18"/>
                <w:szCs w:val="18"/>
                <w:lang w:eastAsia="lv-LV"/>
              </w:rPr>
              <w:t>2021</w:t>
            </w:r>
          </w:p>
        </w:tc>
        <w:tc>
          <w:tcPr>
            <w:tcW w:w="998" w:type="dxa"/>
            <w:tcBorders>
              <w:top w:val="single" w:sz="4" w:space="0" w:color="auto"/>
              <w:left w:val="nil"/>
              <w:bottom w:val="single" w:sz="4" w:space="0" w:color="auto"/>
              <w:right w:val="single" w:sz="4" w:space="0" w:color="auto"/>
            </w:tcBorders>
            <w:shd w:val="clear" w:color="auto" w:fill="F2F2F2" w:themeFill="background1" w:themeFillShade="F2"/>
            <w:noWrap/>
            <w:vAlign w:val="center"/>
          </w:tcPr>
          <w:p w14:paraId="34194705" w14:textId="77777777" w:rsidR="00A05204" w:rsidRPr="009D6882" w:rsidRDefault="00A05204" w:rsidP="00A05204">
            <w:pPr>
              <w:spacing w:after="0"/>
              <w:ind w:firstLine="0"/>
              <w:jc w:val="center"/>
              <w:rPr>
                <w:b/>
                <w:sz w:val="18"/>
                <w:szCs w:val="18"/>
                <w:lang w:eastAsia="lv-LV"/>
              </w:rPr>
            </w:pPr>
            <w:r w:rsidRPr="009D6882">
              <w:rPr>
                <w:b/>
                <w:sz w:val="18"/>
                <w:szCs w:val="18"/>
                <w:lang w:eastAsia="lv-LV"/>
              </w:rPr>
              <w:t>2022</w:t>
            </w:r>
          </w:p>
        </w:tc>
        <w:tc>
          <w:tcPr>
            <w:tcW w:w="998" w:type="dxa"/>
            <w:tcBorders>
              <w:top w:val="single" w:sz="4" w:space="0" w:color="auto"/>
              <w:left w:val="nil"/>
              <w:bottom w:val="single" w:sz="4" w:space="0" w:color="auto"/>
              <w:right w:val="single" w:sz="4" w:space="0" w:color="auto"/>
            </w:tcBorders>
            <w:shd w:val="clear" w:color="auto" w:fill="F2F2F2" w:themeFill="background1" w:themeFillShade="F2"/>
            <w:noWrap/>
            <w:vAlign w:val="center"/>
          </w:tcPr>
          <w:p w14:paraId="48C66A93" w14:textId="77777777" w:rsidR="00A05204" w:rsidRPr="009D6882" w:rsidRDefault="00A05204" w:rsidP="00A05204">
            <w:pPr>
              <w:spacing w:after="0"/>
              <w:ind w:firstLine="0"/>
              <w:jc w:val="center"/>
              <w:rPr>
                <w:b/>
                <w:sz w:val="18"/>
                <w:szCs w:val="18"/>
                <w:lang w:eastAsia="lv-LV"/>
              </w:rPr>
            </w:pPr>
            <w:r w:rsidRPr="009D6882">
              <w:rPr>
                <w:b/>
                <w:sz w:val="18"/>
                <w:szCs w:val="18"/>
                <w:lang w:eastAsia="lv-LV"/>
              </w:rPr>
              <w:t>2023</w:t>
            </w:r>
          </w:p>
        </w:tc>
        <w:tc>
          <w:tcPr>
            <w:tcW w:w="998" w:type="dxa"/>
            <w:tcBorders>
              <w:top w:val="single" w:sz="4" w:space="0" w:color="auto"/>
              <w:left w:val="nil"/>
              <w:bottom w:val="single" w:sz="4" w:space="0" w:color="auto"/>
              <w:right w:val="single" w:sz="4" w:space="0" w:color="auto"/>
            </w:tcBorders>
            <w:shd w:val="clear" w:color="auto" w:fill="F2F2F2" w:themeFill="background1" w:themeFillShade="F2"/>
            <w:noWrap/>
            <w:vAlign w:val="center"/>
          </w:tcPr>
          <w:p w14:paraId="7EF3687C" w14:textId="77777777" w:rsidR="00A05204" w:rsidRPr="009D6882" w:rsidRDefault="00A05204" w:rsidP="00A05204">
            <w:pPr>
              <w:spacing w:after="0"/>
              <w:ind w:firstLine="0"/>
              <w:jc w:val="center"/>
              <w:rPr>
                <w:b/>
                <w:sz w:val="18"/>
                <w:szCs w:val="18"/>
                <w:lang w:eastAsia="lv-LV"/>
              </w:rPr>
            </w:pPr>
            <w:r w:rsidRPr="009D6882">
              <w:rPr>
                <w:b/>
                <w:sz w:val="18"/>
                <w:szCs w:val="18"/>
                <w:lang w:eastAsia="lv-LV"/>
              </w:rPr>
              <w:t>2024</w:t>
            </w:r>
          </w:p>
        </w:tc>
      </w:tr>
      <w:tr w:rsidR="00A05204" w:rsidRPr="009D6882" w14:paraId="1FAAA8DB" w14:textId="77777777" w:rsidTr="00A05204">
        <w:trPr>
          <w:trHeight w:val="300"/>
          <w:tblHeader/>
        </w:trPr>
        <w:tc>
          <w:tcPr>
            <w:tcW w:w="3306" w:type="dxa"/>
            <w:vMerge/>
            <w:tcBorders>
              <w:left w:val="single" w:sz="4" w:space="0" w:color="auto"/>
              <w:bottom w:val="single" w:sz="4" w:space="0" w:color="auto"/>
              <w:right w:val="single" w:sz="4" w:space="0" w:color="auto"/>
            </w:tcBorders>
            <w:shd w:val="clear" w:color="auto" w:fill="auto"/>
            <w:noWrap/>
            <w:vAlign w:val="center"/>
          </w:tcPr>
          <w:p w14:paraId="1BB532E7" w14:textId="77777777" w:rsidR="00A05204" w:rsidRPr="009D6882" w:rsidRDefault="00A05204" w:rsidP="000065DF">
            <w:pPr>
              <w:spacing w:after="0"/>
              <w:rPr>
                <w:sz w:val="18"/>
                <w:szCs w:val="18"/>
                <w:lang w:eastAsia="lv-LV"/>
              </w:rPr>
            </w:pPr>
          </w:p>
        </w:tc>
        <w:tc>
          <w:tcPr>
            <w:tcW w:w="998" w:type="dxa"/>
            <w:tcBorders>
              <w:top w:val="single" w:sz="4" w:space="0" w:color="auto"/>
              <w:left w:val="nil"/>
              <w:bottom w:val="single" w:sz="4" w:space="0" w:color="auto"/>
              <w:right w:val="single" w:sz="4" w:space="0" w:color="auto"/>
            </w:tcBorders>
            <w:shd w:val="clear" w:color="auto" w:fill="auto"/>
            <w:noWrap/>
            <w:vAlign w:val="center"/>
          </w:tcPr>
          <w:p w14:paraId="116E8A02" w14:textId="77777777" w:rsidR="00A05204" w:rsidRPr="009D6882" w:rsidRDefault="00A05204" w:rsidP="00A05204">
            <w:pPr>
              <w:spacing w:after="0"/>
              <w:ind w:firstLine="0"/>
              <w:jc w:val="center"/>
              <w:rPr>
                <w:sz w:val="18"/>
                <w:szCs w:val="18"/>
                <w:lang w:eastAsia="lv-LV"/>
              </w:rPr>
            </w:pPr>
            <w:r w:rsidRPr="009D6882">
              <w:rPr>
                <w:sz w:val="18"/>
                <w:szCs w:val="18"/>
                <w:lang w:eastAsia="lv-LV"/>
              </w:rPr>
              <w:t>fakts</w:t>
            </w:r>
          </w:p>
        </w:tc>
        <w:tc>
          <w:tcPr>
            <w:tcW w:w="3992" w:type="dxa"/>
            <w:gridSpan w:val="4"/>
            <w:tcBorders>
              <w:top w:val="single" w:sz="4" w:space="0" w:color="auto"/>
              <w:left w:val="nil"/>
              <w:bottom w:val="single" w:sz="4" w:space="0" w:color="auto"/>
              <w:right w:val="single" w:sz="4" w:space="0" w:color="auto"/>
            </w:tcBorders>
            <w:shd w:val="clear" w:color="auto" w:fill="F2F2F2" w:themeFill="background1" w:themeFillShade="F2"/>
            <w:noWrap/>
            <w:vAlign w:val="center"/>
          </w:tcPr>
          <w:p w14:paraId="58B12A25" w14:textId="77777777" w:rsidR="00A05204" w:rsidRPr="009D6882" w:rsidRDefault="00A05204" w:rsidP="00A05204">
            <w:pPr>
              <w:spacing w:after="0"/>
              <w:ind w:firstLine="0"/>
              <w:jc w:val="center"/>
              <w:rPr>
                <w:sz w:val="18"/>
                <w:szCs w:val="18"/>
                <w:lang w:eastAsia="lv-LV"/>
              </w:rPr>
            </w:pPr>
            <w:r w:rsidRPr="009D6882">
              <w:rPr>
                <w:sz w:val="18"/>
                <w:szCs w:val="18"/>
                <w:lang w:eastAsia="lv-LV"/>
              </w:rPr>
              <w:t>prognoze</w:t>
            </w:r>
          </w:p>
        </w:tc>
      </w:tr>
      <w:tr w:rsidR="00A05204" w:rsidRPr="009D6882" w14:paraId="016C0C62" w14:textId="77777777" w:rsidTr="000065DF">
        <w:trPr>
          <w:trHeight w:val="300"/>
        </w:trPr>
        <w:tc>
          <w:tcPr>
            <w:tcW w:w="3306" w:type="dxa"/>
            <w:tcBorders>
              <w:top w:val="nil"/>
              <w:left w:val="single" w:sz="4" w:space="0" w:color="auto"/>
              <w:bottom w:val="single" w:sz="4" w:space="0" w:color="auto"/>
              <w:right w:val="single" w:sz="4" w:space="0" w:color="auto"/>
            </w:tcBorders>
            <w:shd w:val="clear" w:color="auto" w:fill="auto"/>
            <w:noWrap/>
            <w:vAlign w:val="center"/>
            <w:hideMark/>
          </w:tcPr>
          <w:p w14:paraId="711CA41C" w14:textId="77777777" w:rsidR="00A05204" w:rsidRPr="009D6882" w:rsidRDefault="00A05204" w:rsidP="00A05204">
            <w:pPr>
              <w:spacing w:after="0"/>
              <w:ind w:firstLine="0"/>
              <w:rPr>
                <w:sz w:val="18"/>
                <w:szCs w:val="18"/>
                <w:lang w:eastAsia="lv-LV"/>
              </w:rPr>
            </w:pPr>
            <w:r w:rsidRPr="009D6882">
              <w:rPr>
                <w:b/>
                <w:noProof/>
                <w:sz w:val="18"/>
                <w:szCs w:val="18"/>
                <w:lang w:eastAsia="lv-LV"/>
              </w:rPr>
              <w:t>Iekšzemes kopprodukts</w:t>
            </w:r>
            <w:r w:rsidRPr="009D6882">
              <w:rPr>
                <w:noProof/>
                <w:sz w:val="18"/>
                <w:szCs w:val="18"/>
                <w:lang w:eastAsia="lv-LV"/>
              </w:rPr>
              <w:t xml:space="preserve"> (milj. </w:t>
            </w:r>
            <w:r w:rsidRPr="009D6882">
              <w:rPr>
                <w:i/>
                <w:noProof/>
                <w:sz w:val="18"/>
                <w:szCs w:val="18"/>
                <w:lang w:eastAsia="lv-LV"/>
              </w:rPr>
              <w:t>euro</w:t>
            </w:r>
            <w:r w:rsidRPr="009D6882">
              <w:rPr>
                <w:noProof/>
                <w:sz w:val="18"/>
                <w:szCs w:val="18"/>
                <w:lang w:eastAsia="lv-LV"/>
              </w:rPr>
              <w:t>)</w:t>
            </w:r>
          </w:p>
        </w:tc>
        <w:tc>
          <w:tcPr>
            <w:tcW w:w="998" w:type="dxa"/>
            <w:tcBorders>
              <w:top w:val="single" w:sz="4" w:space="0" w:color="auto"/>
              <w:left w:val="nil"/>
              <w:bottom w:val="single" w:sz="4" w:space="0" w:color="auto"/>
              <w:right w:val="single" w:sz="4" w:space="0" w:color="auto"/>
            </w:tcBorders>
            <w:shd w:val="clear" w:color="auto" w:fill="auto"/>
            <w:noWrap/>
            <w:tcMar>
              <w:right w:w="170" w:type="dxa"/>
            </w:tcMar>
            <w:vAlign w:val="center"/>
          </w:tcPr>
          <w:p w14:paraId="72D0BC1B" w14:textId="77777777" w:rsidR="00A05204" w:rsidRPr="009D6882" w:rsidRDefault="00A05204" w:rsidP="00A05204">
            <w:pPr>
              <w:spacing w:after="0"/>
              <w:ind w:firstLine="0"/>
              <w:jc w:val="right"/>
              <w:rPr>
                <w:sz w:val="18"/>
                <w:szCs w:val="18"/>
                <w:lang w:eastAsia="lv-LV"/>
              </w:rPr>
            </w:pPr>
            <w:r w:rsidRPr="009D6882">
              <w:rPr>
                <w:sz w:val="18"/>
                <w:szCs w:val="18"/>
              </w:rPr>
              <w:t>29 334</w:t>
            </w:r>
          </w:p>
        </w:tc>
        <w:tc>
          <w:tcPr>
            <w:tcW w:w="998" w:type="dxa"/>
            <w:tcBorders>
              <w:top w:val="nil"/>
              <w:left w:val="nil"/>
              <w:bottom w:val="single" w:sz="4" w:space="0" w:color="auto"/>
              <w:right w:val="single" w:sz="4" w:space="0" w:color="auto"/>
            </w:tcBorders>
            <w:shd w:val="clear" w:color="auto" w:fill="F2F2F2" w:themeFill="background1" w:themeFillShade="F2"/>
            <w:noWrap/>
            <w:tcMar>
              <w:right w:w="170" w:type="dxa"/>
            </w:tcMar>
            <w:vAlign w:val="center"/>
          </w:tcPr>
          <w:p w14:paraId="4CCD546A" w14:textId="77777777" w:rsidR="00A05204" w:rsidRPr="009D6882" w:rsidRDefault="00A05204" w:rsidP="00A05204">
            <w:pPr>
              <w:spacing w:after="0"/>
              <w:ind w:firstLine="0"/>
              <w:jc w:val="right"/>
              <w:rPr>
                <w:sz w:val="18"/>
                <w:szCs w:val="18"/>
                <w:lang w:eastAsia="lv-LV"/>
              </w:rPr>
            </w:pPr>
            <w:r w:rsidRPr="009D6882">
              <w:rPr>
                <w:sz w:val="18"/>
                <w:szCs w:val="18"/>
              </w:rPr>
              <w:t>31 154</w:t>
            </w:r>
          </w:p>
        </w:tc>
        <w:tc>
          <w:tcPr>
            <w:tcW w:w="998" w:type="dxa"/>
            <w:tcBorders>
              <w:top w:val="nil"/>
              <w:left w:val="nil"/>
              <w:bottom w:val="single" w:sz="4" w:space="0" w:color="auto"/>
              <w:right w:val="single" w:sz="4" w:space="0" w:color="auto"/>
            </w:tcBorders>
            <w:shd w:val="clear" w:color="auto" w:fill="F2F2F2" w:themeFill="background1" w:themeFillShade="F2"/>
            <w:noWrap/>
            <w:tcMar>
              <w:right w:w="170" w:type="dxa"/>
            </w:tcMar>
            <w:vAlign w:val="center"/>
          </w:tcPr>
          <w:p w14:paraId="7C2C430A" w14:textId="77777777" w:rsidR="00A05204" w:rsidRPr="009D6882" w:rsidRDefault="00A05204" w:rsidP="00A05204">
            <w:pPr>
              <w:spacing w:after="0"/>
              <w:ind w:firstLine="0"/>
              <w:jc w:val="right"/>
              <w:rPr>
                <w:sz w:val="18"/>
                <w:szCs w:val="18"/>
                <w:lang w:eastAsia="lv-LV"/>
              </w:rPr>
            </w:pPr>
            <w:r w:rsidRPr="009D6882">
              <w:rPr>
                <w:sz w:val="18"/>
                <w:szCs w:val="18"/>
              </w:rPr>
              <w:t>32 995</w:t>
            </w:r>
          </w:p>
        </w:tc>
        <w:tc>
          <w:tcPr>
            <w:tcW w:w="998" w:type="dxa"/>
            <w:tcBorders>
              <w:top w:val="nil"/>
              <w:left w:val="nil"/>
              <w:bottom w:val="single" w:sz="4" w:space="0" w:color="auto"/>
              <w:right w:val="single" w:sz="4" w:space="0" w:color="auto"/>
            </w:tcBorders>
            <w:shd w:val="clear" w:color="auto" w:fill="F2F2F2" w:themeFill="background1" w:themeFillShade="F2"/>
            <w:noWrap/>
            <w:tcMar>
              <w:right w:w="170" w:type="dxa"/>
            </w:tcMar>
            <w:vAlign w:val="center"/>
          </w:tcPr>
          <w:p w14:paraId="4914E359" w14:textId="77777777" w:rsidR="00A05204" w:rsidRPr="009D6882" w:rsidRDefault="00A05204" w:rsidP="00A05204">
            <w:pPr>
              <w:spacing w:after="0"/>
              <w:ind w:firstLine="0"/>
              <w:jc w:val="right"/>
              <w:rPr>
                <w:sz w:val="18"/>
                <w:szCs w:val="18"/>
                <w:lang w:eastAsia="lv-LV"/>
              </w:rPr>
            </w:pPr>
            <w:r w:rsidRPr="009D6882">
              <w:rPr>
                <w:sz w:val="18"/>
                <w:szCs w:val="18"/>
              </w:rPr>
              <w:t>35 018</w:t>
            </w:r>
          </w:p>
        </w:tc>
        <w:tc>
          <w:tcPr>
            <w:tcW w:w="998" w:type="dxa"/>
            <w:tcBorders>
              <w:top w:val="nil"/>
              <w:left w:val="nil"/>
              <w:bottom w:val="single" w:sz="4" w:space="0" w:color="auto"/>
              <w:right w:val="single" w:sz="4" w:space="0" w:color="auto"/>
            </w:tcBorders>
            <w:shd w:val="clear" w:color="auto" w:fill="F2F2F2" w:themeFill="background1" w:themeFillShade="F2"/>
            <w:noWrap/>
            <w:tcMar>
              <w:right w:w="170" w:type="dxa"/>
            </w:tcMar>
            <w:vAlign w:val="center"/>
          </w:tcPr>
          <w:p w14:paraId="4162ABF7" w14:textId="77777777" w:rsidR="00A05204" w:rsidRPr="009D6882" w:rsidRDefault="00A05204" w:rsidP="00A05204">
            <w:pPr>
              <w:spacing w:after="0"/>
              <w:ind w:firstLine="0"/>
              <w:jc w:val="right"/>
              <w:rPr>
                <w:sz w:val="18"/>
                <w:szCs w:val="18"/>
                <w:lang w:eastAsia="lv-LV"/>
              </w:rPr>
            </w:pPr>
            <w:r w:rsidRPr="009D6882">
              <w:rPr>
                <w:sz w:val="18"/>
                <w:szCs w:val="18"/>
              </w:rPr>
              <w:t>36 876</w:t>
            </w:r>
          </w:p>
        </w:tc>
      </w:tr>
      <w:tr w:rsidR="00A05204" w:rsidRPr="009D6882" w14:paraId="6B4C992E" w14:textId="77777777" w:rsidTr="000065DF">
        <w:trPr>
          <w:trHeight w:val="300"/>
        </w:trPr>
        <w:tc>
          <w:tcPr>
            <w:tcW w:w="3306" w:type="dxa"/>
            <w:tcBorders>
              <w:top w:val="nil"/>
              <w:left w:val="single" w:sz="4" w:space="0" w:color="auto"/>
              <w:bottom w:val="single" w:sz="4" w:space="0" w:color="auto"/>
              <w:right w:val="single" w:sz="4" w:space="0" w:color="auto"/>
            </w:tcBorders>
            <w:shd w:val="clear" w:color="auto" w:fill="auto"/>
            <w:noWrap/>
            <w:vAlign w:val="center"/>
            <w:hideMark/>
          </w:tcPr>
          <w:p w14:paraId="2923C36D" w14:textId="77777777" w:rsidR="00A05204" w:rsidRPr="009D6882" w:rsidRDefault="00A05204" w:rsidP="000065DF">
            <w:pPr>
              <w:spacing w:after="0"/>
              <w:ind w:firstLine="316"/>
              <w:rPr>
                <w:sz w:val="18"/>
                <w:szCs w:val="18"/>
                <w:lang w:eastAsia="lv-LV"/>
              </w:rPr>
            </w:pPr>
            <w:r w:rsidRPr="009D6882">
              <w:rPr>
                <w:noProof/>
                <w:sz w:val="18"/>
                <w:szCs w:val="18"/>
                <w:lang w:eastAsia="lv-LV"/>
              </w:rPr>
              <w:t>pieaugums faktiskajās cenās (%)</w:t>
            </w:r>
          </w:p>
        </w:tc>
        <w:tc>
          <w:tcPr>
            <w:tcW w:w="998" w:type="dxa"/>
            <w:tcBorders>
              <w:top w:val="nil"/>
              <w:left w:val="nil"/>
              <w:bottom w:val="single" w:sz="4" w:space="0" w:color="auto"/>
              <w:right w:val="single" w:sz="4" w:space="0" w:color="auto"/>
            </w:tcBorders>
            <w:shd w:val="clear" w:color="auto" w:fill="auto"/>
            <w:noWrap/>
            <w:tcMar>
              <w:right w:w="170" w:type="dxa"/>
            </w:tcMar>
            <w:vAlign w:val="center"/>
          </w:tcPr>
          <w:p w14:paraId="5C0CEC70" w14:textId="77777777" w:rsidR="00A05204" w:rsidRPr="009D6882" w:rsidRDefault="00A05204" w:rsidP="00A05204">
            <w:pPr>
              <w:spacing w:after="0"/>
              <w:ind w:firstLine="0"/>
              <w:jc w:val="right"/>
              <w:rPr>
                <w:sz w:val="18"/>
                <w:szCs w:val="18"/>
                <w:lang w:eastAsia="lv-LV"/>
              </w:rPr>
            </w:pPr>
            <w:r w:rsidRPr="009D6882">
              <w:rPr>
                <w:sz w:val="18"/>
                <w:szCs w:val="18"/>
              </w:rPr>
              <w:t>-3,6</w:t>
            </w:r>
          </w:p>
        </w:tc>
        <w:tc>
          <w:tcPr>
            <w:tcW w:w="998" w:type="dxa"/>
            <w:tcBorders>
              <w:top w:val="nil"/>
              <w:left w:val="nil"/>
              <w:bottom w:val="single" w:sz="4" w:space="0" w:color="auto"/>
              <w:right w:val="single" w:sz="4" w:space="0" w:color="auto"/>
            </w:tcBorders>
            <w:shd w:val="clear" w:color="auto" w:fill="F2F2F2" w:themeFill="background1" w:themeFillShade="F2"/>
            <w:noWrap/>
            <w:tcMar>
              <w:right w:w="170" w:type="dxa"/>
            </w:tcMar>
            <w:vAlign w:val="center"/>
          </w:tcPr>
          <w:p w14:paraId="76D760BC" w14:textId="77777777" w:rsidR="00A05204" w:rsidRPr="009D6882" w:rsidRDefault="00A05204" w:rsidP="00A05204">
            <w:pPr>
              <w:spacing w:after="0"/>
              <w:ind w:firstLine="0"/>
              <w:jc w:val="right"/>
              <w:rPr>
                <w:sz w:val="18"/>
                <w:szCs w:val="18"/>
                <w:lang w:eastAsia="lv-LV"/>
              </w:rPr>
            </w:pPr>
            <w:r w:rsidRPr="009D6882">
              <w:rPr>
                <w:sz w:val="18"/>
                <w:szCs w:val="18"/>
              </w:rPr>
              <w:t>6,2</w:t>
            </w:r>
          </w:p>
        </w:tc>
        <w:tc>
          <w:tcPr>
            <w:tcW w:w="998" w:type="dxa"/>
            <w:tcBorders>
              <w:top w:val="nil"/>
              <w:left w:val="nil"/>
              <w:bottom w:val="single" w:sz="4" w:space="0" w:color="auto"/>
              <w:right w:val="single" w:sz="4" w:space="0" w:color="auto"/>
            </w:tcBorders>
            <w:shd w:val="clear" w:color="auto" w:fill="F2F2F2" w:themeFill="background1" w:themeFillShade="F2"/>
            <w:noWrap/>
            <w:tcMar>
              <w:right w:w="170" w:type="dxa"/>
            </w:tcMar>
            <w:vAlign w:val="center"/>
          </w:tcPr>
          <w:p w14:paraId="3FA6FEF0" w14:textId="77777777" w:rsidR="00A05204" w:rsidRPr="009D6882" w:rsidRDefault="00A05204" w:rsidP="00A05204">
            <w:pPr>
              <w:spacing w:after="0"/>
              <w:ind w:firstLine="0"/>
              <w:jc w:val="right"/>
              <w:rPr>
                <w:sz w:val="18"/>
                <w:szCs w:val="18"/>
                <w:lang w:eastAsia="lv-LV"/>
              </w:rPr>
            </w:pPr>
            <w:r w:rsidRPr="009D6882">
              <w:rPr>
                <w:sz w:val="18"/>
                <w:szCs w:val="18"/>
              </w:rPr>
              <w:t>5,9</w:t>
            </w:r>
          </w:p>
        </w:tc>
        <w:tc>
          <w:tcPr>
            <w:tcW w:w="998" w:type="dxa"/>
            <w:tcBorders>
              <w:top w:val="nil"/>
              <w:left w:val="nil"/>
              <w:bottom w:val="single" w:sz="4" w:space="0" w:color="auto"/>
              <w:right w:val="single" w:sz="4" w:space="0" w:color="auto"/>
            </w:tcBorders>
            <w:shd w:val="clear" w:color="auto" w:fill="F2F2F2" w:themeFill="background1" w:themeFillShade="F2"/>
            <w:noWrap/>
            <w:tcMar>
              <w:right w:w="170" w:type="dxa"/>
            </w:tcMar>
            <w:vAlign w:val="center"/>
          </w:tcPr>
          <w:p w14:paraId="048F13BC" w14:textId="77777777" w:rsidR="00A05204" w:rsidRPr="009D6882" w:rsidRDefault="00A05204" w:rsidP="00A05204">
            <w:pPr>
              <w:spacing w:after="0"/>
              <w:ind w:firstLine="0"/>
              <w:jc w:val="right"/>
              <w:rPr>
                <w:sz w:val="18"/>
                <w:szCs w:val="18"/>
                <w:lang w:eastAsia="lv-LV"/>
              </w:rPr>
            </w:pPr>
            <w:r w:rsidRPr="009D6882">
              <w:rPr>
                <w:sz w:val="18"/>
                <w:szCs w:val="18"/>
              </w:rPr>
              <w:t>6,1</w:t>
            </w:r>
          </w:p>
        </w:tc>
        <w:tc>
          <w:tcPr>
            <w:tcW w:w="998" w:type="dxa"/>
            <w:tcBorders>
              <w:top w:val="nil"/>
              <w:left w:val="nil"/>
              <w:bottom w:val="single" w:sz="4" w:space="0" w:color="auto"/>
              <w:right w:val="single" w:sz="4" w:space="0" w:color="auto"/>
            </w:tcBorders>
            <w:shd w:val="clear" w:color="auto" w:fill="F2F2F2" w:themeFill="background1" w:themeFillShade="F2"/>
            <w:noWrap/>
            <w:tcMar>
              <w:right w:w="170" w:type="dxa"/>
            </w:tcMar>
            <w:vAlign w:val="center"/>
          </w:tcPr>
          <w:p w14:paraId="7FF4BEE7" w14:textId="77777777" w:rsidR="00A05204" w:rsidRPr="009D6882" w:rsidRDefault="00A05204" w:rsidP="00A05204">
            <w:pPr>
              <w:spacing w:after="0"/>
              <w:ind w:firstLine="0"/>
              <w:jc w:val="right"/>
              <w:rPr>
                <w:sz w:val="18"/>
                <w:szCs w:val="18"/>
                <w:lang w:eastAsia="lv-LV"/>
              </w:rPr>
            </w:pPr>
            <w:r w:rsidRPr="009D6882">
              <w:rPr>
                <w:sz w:val="18"/>
                <w:szCs w:val="18"/>
              </w:rPr>
              <w:t>5,3</w:t>
            </w:r>
          </w:p>
        </w:tc>
      </w:tr>
      <w:tr w:rsidR="00A05204" w:rsidRPr="009D6882" w14:paraId="4F8A709B" w14:textId="77777777" w:rsidTr="000065DF">
        <w:trPr>
          <w:trHeight w:val="300"/>
        </w:trPr>
        <w:tc>
          <w:tcPr>
            <w:tcW w:w="3306" w:type="dxa"/>
            <w:tcBorders>
              <w:top w:val="nil"/>
              <w:left w:val="single" w:sz="4" w:space="0" w:color="auto"/>
              <w:bottom w:val="single" w:sz="4" w:space="0" w:color="auto"/>
              <w:right w:val="single" w:sz="4" w:space="0" w:color="auto"/>
            </w:tcBorders>
            <w:shd w:val="clear" w:color="auto" w:fill="auto"/>
            <w:noWrap/>
            <w:vAlign w:val="center"/>
            <w:hideMark/>
          </w:tcPr>
          <w:p w14:paraId="749D5DE3" w14:textId="77777777" w:rsidR="00A05204" w:rsidRPr="009D6882" w:rsidRDefault="00A05204" w:rsidP="000065DF">
            <w:pPr>
              <w:spacing w:after="0"/>
              <w:ind w:firstLine="316"/>
              <w:rPr>
                <w:sz w:val="18"/>
                <w:szCs w:val="18"/>
                <w:lang w:eastAsia="lv-LV"/>
              </w:rPr>
            </w:pPr>
            <w:r w:rsidRPr="009D6882">
              <w:rPr>
                <w:noProof/>
                <w:sz w:val="18"/>
                <w:szCs w:val="18"/>
                <w:lang w:eastAsia="lv-LV"/>
              </w:rPr>
              <w:t>pieaugums salīdzināmās cenās (%)</w:t>
            </w:r>
          </w:p>
        </w:tc>
        <w:tc>
          <w:tcPr>
            <w:tcW w:w="998" w:type="dxa"/>
            <w:tcBorders>
              <w:top w:val="nil"/>
              <w:left w:val="nil"/>
              <w:bottom w:val="single" w:sz="4" w:space="0" w:color="auto"/>
              <w:right w:val="single" w:sz="4" w:space="0" w:color="auto"/>
            </w:tcBorders>
            <w:shd w:val="clear" w:color="auto" w:fill="auto"/>
            <w:noWrap/>
            <w:tcMar>
              <w:right w:w="170" w:type="dxa"/>
            </w:tcMar>
            <w:vAlign w:val="center"/>
          </w:tcPr>
          <w:p w14:paraId="5427C81F" w14:textId="77777777" w:rsidR="00A05204" w:rsidRPr="009D6882" w:rsidRDefault="00A05204" w:rsidP="00A05204">
            <w:pPr>
              <w:spacing w:after="0"/>
              <w:ind w:firstLine="0"/>
              <w:jc w:val="right"/>
              <w:rPr>
                <w:sz w:val="18"/>
                <w:szCs w:val="18"/>
                <w:lang w:eastAsia="lv-LV"/>
              </w:rPr>
            </w:pPr>
            <w:r w:rsidRPr="009D6882">
              <w:rPr>
                <w:sz w:val="18"/>
                <w:szCs w:val="18"/>
              </w:rPr>
              <w:t>-3,6</w:t>
            </w:r>
          </w:p>
        </w:tc>
        <w:tc>
          <w:tcPr>
            <w:tcW w:w="998" w:type="dxa"/>
            <w:tcBorders>
              <w:top w:val="nil"/>
              <w:left w:val="nil"/>
              <w:bottom w:val="single" w:sz="4" w:space="0" w:color="auto"/>
              <w:right w:val="single" w:sz="4" w:space="0" w:color="auto"/>
            </w:tcBorders>
            <w:shd w:val="clear" w:color="auto" w:fill="F2F2F2" w:themeFill="background1" w:themeFillShade="F2"/>
            <w:noWrap/>
            <w:tcMar>
              <w:right w:w="170" w:type="dxa"/>
            </w:tcMar>
            <w:vAlign w:val="center"/>
          </w:tcPr>
          <w:p w14:paraId="15353471" w14:textId="77777777" w:rsidR="00A05204" w:rsidRPr="009D6882" w:rsidRDefault="00A05204" w:rsidP="00A05204">
            <w:pPr>
              <w:spacing w:after="0"/>
              <w:ind w:firstLine="0"/>
              <w:jc w:val="right"/>
              <w:rPr>
                <w:sz w:val="18"/>
                <w:szCs w:val="18"/>
                <w:lang w:eastAsia="lv-LV"/>
              </w:rPr>
            </w:pPr>
            <w:r w:rsidRPr="009D6882">
              <w:rPr>
                <w:sz w:val="18"/>
                <w:szCs w:val="18"/>
              </w:rPr>
              <w:t>3,0</w:t>
            </w:r>
          </w:p>
        </w:tc>
        <w:tc>
          <w:tcPr>
            <w:tcW w:w="998" w:type="dxa"/>
            <w:tcBorders>
              <w:top w:val="nil"/>
              <w:left w:val="nil"/>
              <w:bottom w:val="single" w:sz="4" w:space="0" w:color="auto"/>
              <w:right w:val="single" w:sz="4" w:space="0" w:color="auto"/>
            </w:tcBorders>
            <w:shd w:val="clear" w:color="auto" w:fill="F2F2F2" w:themeFill="background1" w:themeFillShade="F2"/>
            <w:noWrap/>
            <w:tcMar>
              <w:right w:w="170" w:type="dxa"/>
            </w:tcMar>
            <w:vAlign w:val="center"/>
          </w:tcPr>
          <w:p w14:paraId="35298B19" w14:textId="77777777" w:rsidR="00A05204" w:rsidRPr="009D6882" w:rsidRDefault="00A05204" w:rsidP="00A05204">
            <w:pPr>
              <w:spacing w:after="0"/>
              <w:ind w:firstLine="0"/>
              <w:jc w:val="right"/>
              <w:rPr>
                <w:sz w:val="18"/>
                <w:szCs w:val="18"/>
                <w:lang w:eastAsia="lv-LV"/>
              </w:rPr>
            </w:pPr>
            <w:r w:rsidRPr="009D6882">
              <w:rPr>
                <w:sz w:val="18"/>
                <w:szCs w:val="18"/>
              </w:rPr>
              <w:t>2,5</w:t>
            </w:r>
          </w:p>
        </w:tc>
        <w:tc>
          <w:tcPr>
            <w:tcW w:w="998" w:type="dxa"/>
            <w:tcBorders>
              <w:top w:val="nil"/>
              <w:left w:val="nil"/>
              <w:bottom w:val="single" w:sz="4" w:space="0" w:color="auto"/>
              <w:right w:val="single" w:sz="4" w:space="0" w:color="auto"/>
            </w:tcBorders>
            <w:shd w:val="clear" w:color="auto" w:fill="F2F2F2" w:themeFill="background1" w:themeFillShade="F2"/>
            <w:noWrap/>
            <w:tcMar>
              <w:right w:w="170" w:type="dxa"/>
            </w:tcMar>
            <w:vAlign w:val="center"/>
          </w:tcPr>
          <w:p w14:paraId="15CA12D4" w14:textId="77777777" w:rsidR="00A05204" w:rsidRPr="009D6882" w:rsidRDefault="00A05204" w:rsidP="00A05204">
            <w:pPr>
              <w:spacing w:after="0"/>
              <w:ind w:firstLine="0"/>
              <w:jc w:val="right"/>
              <w:rPr>
                <w:sz w:val="18"/>
                <w:szCs w:val="18"/>
                <w:lang w:eastAsia="lv-LV"/>
              </w:rPr>
            </w:pPr>
            <w:r w:rsidRPr="009D6882">
              <w:rPr>
                <w:sz w:val="18"/>
                <w:szCs w:val="18"/>
              </w:rPr>
              <w:t>3,4</w:t>
            </w:r>
          </w:p>
        </w:tc>
        <w:tc>
          <w:tcPr>
            <w:tcW w:w="998" w:type="dxa"/>
            <w:tcBorders>
              <w:top w:val="nil"/>
              <w:left w:val="nil"/>
              <w:bottom w:val="single" w:sz="4" w:space="0" w:color="auto"/>
              <w:right w:val="single" w:sz="4" w:space="0" w:color="auto"/>
            </w:tcBorders>
            <w:shd w:val="clear" w:color="auto" w:fill="F2F2F2" w:themeFill="background1" w:themeFillShade="F2"/>
            <w:noWrap/>
            <w:tcMar>
              <w:right w:w="170" w:type="dxa"/>
            </w:tcMar>
            <w:vAlign w:val="center"/>
          </w:tcPr>
          <w:p w14:paraId="04411334" w14:textId="77777777" w:rsidR="00A05204" w:rsidRPr="009D6882" w:rsidRDefault="00A05204" w:rsidP="00A05204">
            <w:pPr>
              <w:spacing w:after="0"/>
              <w:ind w:firstLine="0"/>
              <w:jc w:val="right"/>
              <w:rPr>
                <w:sz w:val="18"/>
                <w:szCs w:val="18"/>
                <w:lang w:eastAsia="lv-LV"/>
              </w:rPr>
            </w:pPr>
            <w:r w:rsidRPr="009D6882">
              <w:rPr>
                <w:sz w:val="18"/>
                <w:szCs w:val="18"/>
              </w:rPr>
              <w:t>3,4</w:t>
            </w:r>
          </w:p>
        </w:tc>
      </w:tr>
      <w:tr w:rsidR="00A05204" w:rsidRPr="009D6882" w14:paraId="4DC1D295" w14:textId="77777777" w:rsidTr="000065DF">
        <w:trPr>
          <w:trHeight w:val="300"/>
        </w:trPr>
        <w:tc>
          <w:tcPr>
            <w:tcW w:w="3306" w:type="dxa"/>
            <w:tcBorders>
              <w:top w:val="nil"/>
              <w:left w:val="single" w:sz="4" w:space="0" w:color="auto"/>
              <w:bottom w:val="single" w:sz="4" w:space="0" w:color="auto"/>
              <w:right w:val="single" w:sz="4" w:space="0" w:color="auto"/>
            </w:tcBorders>
            <w:shd w:val="clear" w:color="auto" w:fill="auto"/>
            <w:noWrap/>
            <w:vAlign w:val="center"/>
            <w:hideMark/>
          </w:tcPr>
          <w:p w14:paraId="0D0EC56D" w14:textId="77777777" w:rsidR="00A05204" w:rsidRPr="009D6882" w:rsidRDefault="00A05204" w:rsidP="00A05204">
            <w:pPr>
              <w:spacing w:after="0"/>
              <w:ind w:firstLine="33"/>
              <w:rPr>
                <w:sz w:val="18"/>
                <w:szCs w:val="18"/>
                <w:lang w:eastAsia="lv-LV"/>
              </w:rPr>
            </w:pPr>
            <w:r w:rsidRPr="009D6882">
              <w:rPr>
                <w:b/>
                <w:noProof/>
                <w:sz w:val="18"/>
                <w:szCs w:val="18"/>
                <w:lang w:eastAsia="lv-LV"/>
              </w:rPr>
              <w:t>IKP deflators</w:t>
            </w:r>
            <w:r w:rsidRPr="009D6882">
              <w:rPr>
                <w:noProof/>
                <w:sz w:val="18"/>
                <w:szCs w:val="18"/>
                <w:lang w:eastAsia="lv-LV"/>
              </w:rPr>
              <w:t xml:space="preserve"> (gads pret gadu, %)</w:t>
            </w:r>
          </w:p>
        </w:tc>
        <w:tc>
          <w:tcPr>
            <w:tcW w:w="998" w:type="dxa"/>
            <w:tcBorders>
              <w:top w:val="nil"/>
              <w:left w:val="nil"/>
              <w:bottom w:val="single" w:sz="4" w:space="0" w:color="auto"/>
              <w:right w:val="single" w:sz="4" w:space="0" w:color="auto"/>
            </w:tcBorders>
            <w:shd w:val="clear" w:color="auto" w:fill="auto"/>
            <w:noWrap/>
            <w:tcMar>
              <w:right w:w="170" w:type="dxa"/>
            </w:tcMar>
            <w:vAlign w:val="center"/>
          </w:tcPr>
          <w:p w14:paraId="0AB89548" w14:textId="77777777" w:rsidR="00A05204" w:rsidRPr="009D6882" w:rsidRDefault="00A05204" w:rsidP="00A05204">
            <w:pPr>
              <w:spacing w:after="0"/>
              <w:ind w:firstLine="0"/>
              <w:jc w:val="right"/>
              <w:rPr>
                <w:sz w:val="18"/>
                <w:szCs w:val="18"/>
                <w:lang w:eastAsia="lv-LV"/>
              </w:rPr>
            </w:pPr>
            <w:r w:rsidRPr="009D6882">
              <w:rPr>
                <w:sz w:val="18"/>
                <w:szCs w:val="18"/>
              </w:rPr>
              <w:t>0,1</w:t>
            </w:r>
          </w:p>
        </w:tc>
        <w:tc>
          <w:tcPr>
            <w:tcW w:w="998" w:type="dxa"/>
            <w:tcBorders>
              <w:top w:val="nil"/>
              <w:left w:val="nil"/>
              <w:bottom w:val="single" w:sz="4" w:space="0" w:color="auto"/>
              <w:right w:val="single" w:sz="4" w:space="0" w:color="auto"/>
            </w:tcBorders>
            <w:shd w:val="clear" w:color="auto" w:fill="F2F2F2" w:themeFill="background1" w:themeFillShade="F2"/>
            <w:noWrap/>
            <w:tcMar>
              <w:right w:w="170" w:type="dxa"/>
            </w:tcMar>
            <w:vAlign w:val="center"/>
          </w:tcPr>
          <w:p w14:paraId="6643A4D9" w14:textId="77777777" w:rsidR="00A05204" w:rsidRPr="009D6882" w:rsidRDefault="00A05204" w:rsidP="00A05204">
            <w:pPr>
              <w:spacing w:after="0"/>
              <w:ind w:firstLine="0"/>
              <w:jc w:val="right"/>
              <w:rPr>
                <w:sz w:val="18"/>
                <w:szCs w:val="18"/>
                <w:lang w:eastAsia="lv-LV"/>
              </w:rPr>
            </w:pPr>
            <w:r w:rsidRPr="009D6882">
              <w:rPr>
                <w:sz w:val="18"/>
                <w:szCs w:val="18"/>
              </w:rPr>
              <w:t>3,1</w:t>
            </w:r>
          </w:p>
        </w:tc>
        <w:tc>
          <w:tcPr>
            <w:tcW w:w="998" w:type="dxa"/>
            <w:tcBorders>
              <w:top w:val="nil"/>
              <w:left w:val="nil"/>
              <w:bottom w:val="single" w:sz="4" w:space="0" w:color="auto"/>
              <w:right w:val="single" w:sz="4" w:space="0" w:color="auto"/>
            </w:tcBorders>
            <w:shd w:val="clear" w:color="auto" w:fill="F2F2F2" w:themeFill="background1" w:themeFillShade="F2"/>
            <w:noWrap/>
            <w:tcMar>
              <w:right w:w="170" w:type="dxa"/>
            </w:tcMar>
            <w:vAlign w:val="center"/>
          </w:tcPr>
          <w:p w14:paraId="4C1813CA" w14:textId="77777777" w:rsidR="00A05204" w:rsidRPr="009D6882" w:rsidRDefault="00A05204" w:rsidP="00A05204">
            <w:pPr>
              <w:spacing w:after="0"/>
              <w:ind w:firstLine="0"/>
              <w:jc w:val="right"/>
              <w:rPr>
                <w:sz w:val="18"/>
                <w:szCs w:val="18"/>
                <w:lang w:eastAsia="lv-LV"/>
              </w:rPr>
            </w:pPr>
            <w:r w:rsidRPr="009D6882">
              <w:rPr>
                <w:sz w:val="18"/>
                <w:szCs w:val="18"/>
              </w:rPr>
              <w:t>3,3</w:t>
            </w:r>
          </w:p>
        </w:tc>
        <w:tc>
          <w:tcPr>
            <w:tcW w:w="998" w:type="dxa"/>
            <w:tcBorders>
              <w:top w:val="nil"/>
              <w:left w:val="nil"/>
              <w:bottom w:val="single" w:sz="4" w:space="0" w:color="auto"/>
              <w:right w:val="single" w:sz="4" w:space="0" w:color="auto"/>
            </w:tcBorders>
            <w:shd w:val="clear" w:color="auto" w:fill="F2F2F2" w:themeFill="background1" w:themeFillShade="F2"/>
            <w:noWrap/>
            <w:tcMar>
              <w:right w:w="170" w:type="dxa"/>
            </w:tcMar>
            <w:vAlign w:val="center"/>
          </w:tcPr>
          <w:p w14:paraId="52BC08FE" w14:textId="77777777" w:rsidR="00A05204" w:rsidRPr="009D6882" w:rsidRDefault="00A05204" w:rsidP="00A05204">
            <w:pPr>
              <w:spacing w:after="0"/>
              <w:ind w:firstLine="0"/>
              <w:jc w:val="right"/>
              <w:rPr>
                <w:sz w:val="18"/>
                <w:szCs w:val="18"/>
                <w:lang w:eastAsia="lv-LV"/>
              </w:rPr>
            </w:pPr>
            <w:r w:rsidRPr="009D6882">
              <w:rPr>
                <w:sz w:val="18"/>
                <w:szCs w:val="18"/>
              </w:rPr>
              <w:t>2,6</w:t>
            </w:r>
          </w:p>
        </w:tc>
        <w:tc>
          <w:tcPr>
            <w:tcW w:w="998" w:type="dxa"/>
            <w:tcBorders>
              <w:top w:val="nil"/>
              <w:left w:val="nil"/>
              <w:bottom w:val="single" w:sz="4" w:space="0" w:color="auto"/>
              <w:right w:val="single" w:sz="4" w:space="0" w:color="auto"/>
            </w:tcBorders>
            <w:shd w:val="clear" w:color="auto" w:fill="F2F2F2" w:themeFill="background1" w:themeFillShade="F2"/>
            <w:noWrap/>
            <w:tcMar>
              <w:right w:w="170" w:type="dxa"/>
            </w:tcMar>
            <w:vAlign w:val="center"/>
          </w:tcPr>
          <w:p w14:paraId="12B1E599" w14:textId="77777777" w:rsidR="00A05204" w:rsidRPr="009D6882" w:rsidRDefault="00A05204" w:rsidP="00A05204">
            <w:pPr>
              <w:spacing w:after="0"/>
              <w:ind w:firstLine="0"/>
              <w:jc w:val="right"/>
              <w:rPr>
                <w:sz w:val="18"/>
                <w:szCs w:val="18"/>
                <w:lang w:eastAsia="lv-LV"/>
              </w:rPr>
            </w:pPr>
            <w:r w:rsidRPr="009D6882">
              <w:rPr>
                <w:sz w:val="18"/>
                <w:szCs w:val="18"/>
              </w:rPr>
              <w:t>1,9</w:t>
            </w:r>
          </w:p>
        </w:tc>
      </w:tr>
      <w:tr w:rsidR="00A05204" w:rsidRPr="009D6882" w14:paraId="4507C088" w14:textId="77777777" w:rsidTr="000065DF">
        <w:trPr>
          <w:trHeight w:val="300"/>
        </w:trPr>
        <w:tc>
          <w:tcPr>
            <w:tcW w:w="3306" w:type="dxa"/>
            <w:tcBorders>
              <w:top w:val="nil"/>
              <w:left w:val="single" w:sz="4" w:space="0" w:color="auto"/>
              <w:bottom w:val="single" w:sz="4" w:space="0" w:color="auto"/>
              <w:right w:val="single" w:sz="4" w:space="0" w:color="auto"/>
            </w:tcBorders>
            <w:shd w:val="clear" w:color="auto" w:fill="auto"/>
            <w:noWrap/>
            <w:vAlign w:val="center"/>
            <w:hideMark/>
          </w:tcPr>
          <w:p w14:paraId="1FB87A38" w14:textId="77777777" w:rsidR="00A05204" w:rsidRPr="009D6882" w:rsidRDefault="00A05204" w:rsidP="00A05204">
            <w:pPr>
              <w:spacing w:after="0"/>
              <w:ind w:firstLine="33"/>
              <w:rPr>
                <w:sz w:val="18"/>
                <w:szCs w:val="18"/>
                <w:lang w:eastAsia="lv-LV"/>
              </w:rPr>
            </w:pPr>
            <w:r w:rsidRPr="009D6882">
              <w:rPr>
                <w:b/>
                <w:noProof/>
                <w:sz w:val="18"/>
                <w:szCs w:val="18"/>
                <w:lang w:eastAsia="lv-LV"/>
              </w:rPr>
              <w:t>PCI</w:t>
            </w:r>
            <w:r w:rsidRPr="009D6882">
              <w:rPr>
                <w:noProof/>
                <w:sz w:val="18"/>
                <w:szCs w:val="18"/>
                <w:lang w:eastAsia="lv-LV"/>
              </w:rPr>
              <w:t xml:space="preserve"> (gads pret gadu, %)</w:t>
            </w:r>
          </w:p>
        </w:tc>
        <w:tc>
          <w:tcPr>
            <w:tcW w:w="998" w:type="dxa"/>
            <w:tcBorders>
              <w:top w:val="nil"/>
              <w:left w:val="nil"/>
              <w:bottom w:val="single" w:sz="4" w:space="0" w:color="auto"/>
              <w:right w:val="single" w:sz="4" w:space="0" w:color="auto"/>
            </w:tcBorders>
            <w:shd w:val="clear" w:color="auto" w:fill="auto"/>
            <w:noWrap/>
            <w:tcMar>
              <w:right w:w="170" w:type="dxa"/>
            </w:tcMar>
            <w:vAlign w:val="center"/>
          </w:tcPr>
          <w:p w14:paraId="033572E4" w14:textId="77777777" w:rsidR="00A05204" w:rsidRPr="009D6882" w:rsidRDefault="00A05204" w:rsidP="00A05204">
            <w:pPr>
              <w:spacing w:after="0"/>
              <w:ind w:firstLine="0"/>
              <w:jc w:val="right"/>
              <w:rPr>
                <w:sz w:val="18"/>
                <w:szCs w:val="18"/>
                <w:lang w:eastAsia="lv-LV"/>
              </w:rPr>
            </w:pPr>
            <w:r w:rsidRPr="009D6882">
              <w:rPr>
                <w:sz w:val="18"/>
                <w:szCs w:val="18"/>
              </w:rPr>
              <w:t>0,2</w:t>
            </w:r>
          </w:p>
        </w:tc>
        <w:tc>
          <w:tcPr>
            <w:tcW w:w="998" w:type="dxa"/>
            <w:tcBorders>
              <w:top w:val="nil"/>
              <w:left w:val="nil"/>
              <w:bottom w:val="single" w:sz="4" w:space="0" w:color="auto"/>
              <w:right w:val="single" w:sz="4" w:space="0" w:color="auto"/>
            </w:tcBorders>
            <w:shd w:val="clear" w:color="auto" w:fill="F2F2F2" w:themeFill="background1" w:themeFillShade="F2"/>
            <w:noWrap/>
            <w:tcMar>
              <w:right w:w="170" w:type="dxa"/>
            </w:tcMar>
            <w:vAlign w:val="center"/>
          </w:tcPr>
          <w:p w14:paraId="34853F50" w14:textId="77777777" w:rsidR="00A05204" w:rsidRPr="009D6882" w:rsidRDefault="00A05204" w:rsidP="00A05204">
            <w:pPr>
              <w:spacing w:after="0"/>
              <w:ind w:firstLine="0"/>
              <w:jc w:val="right"/>
              <w:rPr>
                <w:sz w:val="18"/>
                <w:szCs w:val="18"/>
                <w:lang w:eastAsia="lv-LV"/>
              </w:rPr>
            </w:pPr>
            <w:r w:rsidRPr="009D6882">
              <w:rPr>
                <w:sz w:val="18"/>
                <w:szCs w:val="18"/>
              </w:rPr>
              <w:t>2,0</w:t>
            </w:r>
          </w:p>
        </w:tc>
        <w:tc>
          <w:tcPr>
            <w:tcW w:w="998" w:type="dxa"/>
            <w:tcBorders>
              <w:top w:val="nil"/>
              <w:left w:val="nil"/>
              <w:bottom w:val="single" w:sz="4" w:space="0" w:color="auto"/>
              <w:right w:val="single" w:sz="4" w:space="0" w:color="auto"/>
            </w:tcBorders>
            <w:shd w:val="clear" w:color="auto" w:fill="F2F2F2" w:themeFill="background1" w:themeFillShade="F2"/>
            <w:noWrap/>
            <w:tcMar>
              <w:right w:w="170" w:type="dxa"/>
            </w:tcMar>
            <w:vAlign w:val="center"/>
          </w:tcPr>
          <w:p w14:paraId="76DAB987" w14:textId="77777777" w:rsidR="00A05204" w:rsidRPr="009D6882" w:rsidRDefault="00A05204" w:rsidP="00A05204">
            <w:pPr>
              <w:spacing w:after="0"/>
              <w:ind w:firstLine="0"/>
              <w:jc w:val="right"/>
              <w:rPr>
                <w:sz w:val="18"/>
                <w:szCs w:val="18"/>
                <w:lang w:eastAsia="lv-LV"/>
              </w:rPr>
            </w:pPr>
            <w:r w:rsidRPr="009D6882">
              <w:rPr>
                <w:sz w:val="18"/>
                <w:szCs w:val="18"/>
              </w:rPr>
              <w:t>2,4</w:t>
            </w:r>
          </w:p>
        </w:tc>
        <w:tc>
          <w:tcPr>
            <w:tcW w:w="998" w:type="dxa"/>
            <w:tcBorders>
              <w:top w:val="nil"/>
              <w:left w:val="nil"/>
              <w:bottom w:val="single" w:sz="4" w:space="0" w:color="auto"/>
              <w:right w:val="single" w:sz="4" w:space="0" w:color="auto"/>
            </w:tcBorders>
            <w:shd w:val="clear" w:color="auto" w:fill="F2F2F2" w:themeFill="background1" w:themeFillShade="F2"/>
            <w:noWrap/>
            <w:tcMar>
              <w:right w:w="170" w:type="dxa"/>
            </w:tcMar>
            <w:vAlign w:val="center"/>
          </w:tcPr>
          <w:p w14:paraId="400C5C3D" w14:textId="77777777" w:rsidR="00A05204" w:rsidRPr="009D6882" w:rsidRDefault="00A05204" w:rsidP="00A05204">
            <w:pPr>
              <w:spacing w:after="0"/>
              <w:ind w:firstLine="0"/>
              <w:jc w:val="right"/>
              <w:rPr>
                <w:sz w:val="18"/>
                <w:szCs w:val="18"/>
                <w:lang w:eastAsia="lv-LV"/>
              </w:rPr>
            </w:pPr>
            <w:r w:rsidRPr="009D6882">
              <w:rPr>
                <w:sz w:val="18"/>
                <w:szCs w:val="18"/>
              </w:rPr>
              <w:t>2,2</w:t>
            </w:r>
          </w:p>
        </w:tc>
        <w:tc>
          <w:tcPr>
            <w:tcW w:w="998" w:type="dxa"/>
            <w:tcBorders>
              <w:top w:val="nil"/>
              <w:left w:val="nil"/>
              <w:bottom w:val="single" w:sz="4" w:space="0" w:color="auto"/>
              <w:right w:val="single" w:sz="4" w:space="0" w:color="auto"/>
            </w:tcBorders>
            <w:shd w:val="clear" w:color="auto" w:fill="F2F2F2" w:themeFill="background1" w:themeFillShade="F2"/>
            <w:noWrap/>
            <w:tcMar>
              <w:right w:w="170" w:type="dxa"/>
            </w:tcMar>
            <w:vAlign w:val="center"/>
          </w:tcPr>
          <w:p w14:paraId="353B7517" w14:textId="77777777" w:rsidR="00A05204" w:rsidRPr="009D6882" w:rsidRDefault="00A05204" w:rsidP="00A05204">
            <w:pPr>
              <w:spacing w:after="0"/>
              <w:ind w:firstLine="0"/>
              <w:jc w:val="right"/>
              <w:rPr>
                <w:sz w:val="18"/>
                <w:szCs w:val="18"/>
                <w:lang w:eastAsia="lv-LV"/>
              </w:rPr>
            </w:pPr>
            <w:r w:rsidRPr="009D6882">
              <w:rPr>
                <w:sz w:val="18"/>
                <w:szCs w:val="18"/>
              </w:rPr>
              <w:t>2,0</w:t>
            </w:r>
          </w:p>
        </w:tc>
      </w:tr>
      <w:tr w:rsidR="00A05204" w:rsidRPr="009D6882" w14:paraId="798D4880" w14:textId="77777777" w:rsidTr="000065DF">
        <w:trPr>
          <w:trHeight w:val="600"/>
        </w:trPr>
        <w:tc>
          <w:tcPr>
            <w:tcW w:w="3306" w:type="dxa"/>
            <w:tcBorders>
              <w:top w:val="nil"/>
              <w:left w:val="single" w:sz="4" w:space="0" w:color="auto"/>
              <w:bottom w:val="single" w:sz="4" w:space="0" w:color="auto"/>
              <w:right w:val="single" w:sz="4" w:space="0" w:color="auto"/>
            </w:tcBorders>
            <w:shd w:val="clear" w:color="auto" w:fill="auto"/>
            <w:noWrap/>
            <w:vAlign w:val="center"/>
            <w:hideMark/>
          </w:tcPr>
          <w:p w14:paraId="5571FEB1" w14:textId="77777777" w:rsidR="00A05204" w:rsidRPr="009D6882" w:rsidRDefault="00A05204" w:rsidP="00A05204">
            <w:pPr>
              <w:spacing w:after="0"/>
              <w:ind w:firstLine="33"/>
              <w:rPr>
                <w:sz w:val="18"/>
                <w:szCs w:val="18"/>
                <w:lang w:eastAsia="lv-LV"/>
              </w:rPr>
            </w:pPr>
            <w:r w:rsidRPr="009D6882">
              <w:rPr>
                <w:b/>
                <w:noProof/>
                <w:sz w:val="18"/>
                <w:szCs w:val="18"/>
                <w:lang w:eastAsia="lv-LV"/>
              </w:rPr>
              <w:t xml:space="preserve">Tautsaimniecībā nodarbināto mēn. </w:t>
            </w:r>
            <w:r w:rsidRPr="009D6882">
              <w:rPr>
                <w:b/>
                <w:noProof/>
                <w:sz w:val="18"/>
                <w:szCs w:val="18"/>
                <w:lang w:eastAsia="lv-LV"/>
              </w:rPr>
              <w:br/>
              <w:t>vid. bruto darba samaksa</w:t>
            </w:r>
            <w:r w:rsidRPr="009D6882">
              <w:rPr>
                <w:noProof/>
                <w:sz w:val="18"/>
                <w:szCs w:val="18"/>
                <w:lang w:eastAsia="lv-LV"/>
              </w:rPr>
              <w:t xml:space="preserve"> (</w:t>
            </w:r>
            <w:r w:rsidRPr="009D6882">
              <w:rPr>
                <w:i/>
                <w:noProof/>
                <w:sz w:val="18"/>
                <w:szCs w:val="18"/>
                <w:lang w:eastAsia="lv-LV"/>
              </w:rPr>
              <w:t>euro</w:t>
            </w:r>
            <w:r w:rsidRPr="009D6882">
              <w:rPr>
                <w:noProof/>
                <w:sz w:val="18"/>
                <w:szCs w:val="18"/>
                <w:lang w:eastAsia="lv-LV"/>
              </w:rPr>
              <w:t>)</w:t>
            </w:r>
          </w:p>
        </w:tc>
        <w:tc>
          <w:tcPr>
            <w:tcW w:w="998" w:type="dxa"/>
            <w:tcBorders>
              <w:top w:val="nil"/>
              <w:left w:val="nil"/>
              <w:bottom w:val="single" w:sz="4" w:space="0" w:color="auto"/>
              <w:right w:val="single" w:sz="4" w:space="0" w:color="auto"/>
            </w:tcBorders>
            <w:shd w:val="clear" w:color="auto" w:fill="auto"/>
            <w:noWrap/>
            <w:tcMar>
              <w:right w:w="170" w:type="dxa"/>
            </w:tcMar>
            <w:vAlign w:val="center"/>
          </w:tcPr>
          <w:p w14:paraId="1144AB9D" w14:textId="77777777" w:rsidR="00A05204" w:rsidRPr="009D6882" w:rsidRDefault="00A05204" w:rsidP="00A05204">
            <w:pPr>
              <w:spacing w:after="0"/>
              <w:ind w:firstLine="0"/>
              <w:jc w:val="right"/>
              <w:rPr>
                <w:sz w:val="18"/>
                <w:szCs w:val="18"/>
                <w:lang w:eastAsia="lv-LV"/>
              </w:rPr>
            </w:pPr>
            <w:r w:rsidRPr="009D6882">
              <w:rPr>
                <w:sz w:val="18"/>
                <w:szCs w:val="18"/>
              </w:rPr>
              <w:t>1 143</w:t>
            </w:r>
          </w:p>
        </w:tc>
        <w:tc>
          <w:tcPr>
            <w:tcW w:w="998" w:type="dxa"/>
            <w:tcBorders>
              <w:top w:val="nil"/>
              <w:left w:val="nil"/>
              <w:bottom w:val="single" w:sz="4" w:space="0" w:color="auto"/>
              <w:right w:val="single" w:sz="4" w:space="0" w:color="auto"/>
            </w:tcBorders>
            <w:shd w:val="clear" w:color="auto" w:fill="F2F2F2" w:themeFill="background1" w:themeFillShade="F2"/>
            <w:noWrap/>
            <w:tcMar>
              <w:right w:w="170" w:type="dxa"/>
            </w:tcMar>
            <w:vAlign w:val="center"/>
          </w:tcPr>
          <w:p w14:paraId="12785B50" w14:textId="77777777" w:rsidR="00A05204" w:rsidRPr="009D6882" w:rsidRDefault="00A05204" w:rsidP="00A05204">
            <w:pPr>
              <w:spacing w:after="0"/>
              <w:ind w:firstLine="0"/>
              <w:jc w:val="right"/>
              <w:rPr>
                <w:sz w:val="18"/>
                <w:szCs w:val="18"/>
                <w:lang w:eastAsia="lv-LV"/>
              </w:rPr>
            </w:pPr>
            <w:r w:rsidRPr="009D6882">
              <w:rPr>
                <w:sz w:val="18"/>
                <w:szCs w:val="18"/>
              </w:rPr>
              <w:t>1 234</w:t>
            </w:r>
          </w:p>
        </w:tc>
        <w:tc>
          <w:tcPr>
            <w:tcW w:w="998" w:type="dxa"/>
            <w:tcBorders>
              <w:top w:val="nil"/>
              <w:left w:val="nil"/>
              <w:bottom w:val="single" w:sz="4" w:space="0" w:color="auto"/>
              <w:right w:val="single" w:sz="4" w:space="0" w:color="auto"/>
            </w:tcBorders>
            <w:shd w:val="clear" w:color="auto" w:fill="F2F2F2" w:themeFill="background1" w:themeFillShade="F2"/>
            <w:noWrap/>
            <w:tcMar>
              <w:right w:w="170" w:type="dxa"/>
            </w:tcMar>
            <w:vAlign w:val="center"/>
          </w:tcPr>
          <w:p w14:paraId="2E53C529" w14:textId="77777777" w:rsidR="00A05204" w:rsidRPr="009D6882" w:rsidRDefault="00A05204" w:rsidP="00A05204">
            <w:pPr>
              <w:spacing w:after="0"/>
              <w:ind w:firstLine="0"/>
              <w:jc w:val="right"/>
              <w:rPr>
                <w:sz w:val="18"/>
                <w:szCs w:val="18"/>
                <w:lang w:eastAsia="lv-LV"/>
              </w:rPr>
            </w:pPr>
            <w:r w:rsidRPr="009D6882">
              <w:rPr>
                <w:sz w:val="18"/>
                <w:szCs w:val="18"/>
              </w:rPr>
              <w:t>1 302</w:t>
            </w:r>
          </w:p>
        </w:tc>
        <w:tc>
          <w:tcPr>
            <w:tcW w:w="998" w:type="dxa"/>
            <w:tcBorders>
              <w:top w:val="nil"/>
              <w:left w:val="nil"/>
              <w:bottom w:val="single" w:sz="4" w:space="0" w:color="auto"/>
              <w:right w:val="single" w:sz="4" w:space="0" w:color="auto"/>
            </w:tcBorders>
            <w:shd w:val="clear" w:color="auto" w:fill="F2F2F2" w:themeFill="background1" w:themeFillShade="F2"/>
            <w:noWrap/>
            <w:tcMar>
              <w:right w:w="170" w:type="dxa"/>
            </w:tcMar>
            <w:vAlign w:val="center"/>
          </w:tcPr>
          <w:p w14:paraId="5EBF791B" w14:textId="77777777" w:rsidR="00A05204" w:rsidRPr="009D6882" w:rsidRDefault="00A05204" w:rsidP="00A05204">
            <w:pPr>
              <w:spacing w:after="0"/>
              <w:ind w:firstLine="0"/>
              <w:jc w:val="right"/>
              <w:rPr>
                <w:sz w:val="18"/>
                <w:szCs w:val="18"/>
                <w:lang w:eastAsia="lv-LV"/>
              </w:rPr>
            </w:pPr>
            <w:r w:rsidRPr="009D6882">
              <w:rPr>
                <w:sz w:val="18"/>
                <w:szCs w:val="18"/>
              </w:rPr>
              <w:t>1 374</w:t>
            </w:r>
          </w:p>
        </w:tc>
        <w:tc>
          <w:tcPr>
            <w:tcW w:w="998" w:type="dxa"/>
            <w:tcBorders>
              <w:top w:val="nil"/>
              <w:left w:val="nil"/>
              <w:bottom w:val="single" w:sz="4" w:space="0" w:color="auto"/>
              <w:right w:val="single" w:sz="4" w:space="0" w:color="auto"/>
            </w:tcBorders>
            <w:shd w:val="clear" w:color="auto" w:fill="F2F2F2" w:themeFill="background1" w:themeFillShade="F2"/>
            <w:noWrap/>
            <w:tcMar>
              <w:right w:w="170" w:type="dxa"/>
            </w:tcMar>
            <w:vAlign w:val="center"/>
          </w:tcPr>
          <w:p w14:paraId="7295D806" w14:textId="77777777" w:rsidR="00A05204" w:rsidRPr="009D6882" w:rsidRDefault="00A05204" w:rsidP="00A05204">
            <w:pPr>
              <w:spacing w:after="0"/>
              <w:ind w:firstLine="0"/>
              <w:jc w:val="right"/>
              <w:rPr>
                <w:sz w:val="18"/>
                <w:szCs w:val="18"/>
                <w:lang w:eastAsia="lv-LV"/>
              </w:rPr>
            </w:pPr>
            <w:r w:rsidRPr="009D6882">
              <w:rPr>
                <w:sz w:val="18"/>
                <w:szCs w:val="18"/>
              </w:rPr>
              <w:t>1 447</w:t>
            </w:r>
          </w:p>
        </w:tc>
      </w:tr>
      <w:tr w:rsidR="00A05204" w:rsidRPr="009D6882" w14:paraId="7B42EEF5" w14:textId="77777777" w:rsidTr="000065DF">
        <w:trPr>
          <w:trHeight w:val="300"/>
        </w:trPr>
        <w:tc>
          <w:tcPr>
            <w:tcW w:w="3306" w:type="dxa"/>
            <w:tcBorders>
              <w:top w:val="nil"/>
              <w:left w:val="single" w:sz="4" w:space="0" w:color="auto"/>
              <w:bottom w:val="single" w:sz="4" w:space="0" w:color="auto"/>
              <w:right w:val="single" w:sz="4" w:space="0" w:color="auto"/>
            </w:tcBorders>
            <w:shd w:val="clear" w:color="auto" w:fill="auto"/>
            <w:noWrap/>
            <w:vAlign w:val="center"/>
            <w:hideMark/>
          </w:tcPr>
          <w:p w14:paraId="3C234D1D" w14:textId="77777777" w:rsidR="00A05204" w:rsidRPr="009D6882" w:rsidRDefault="00A05204" w:rsidP="000065DF">
            <w:pPr>
              <w:spacing w:after="0"/>
              <w:ind w:firstLine="316"/>
              <w:rPr>
                <w:sz w:val="18"/>
                <w:szCs w:val="18"/>
                <w:lang w:eastAsia="lv-LV"/>
              </w:rPr>
            </w:pPr>
            <w:r w:rsidRPr="009D6882">
              <w:rPr>
                <w:noProof/>
                <w:sz w:val="18"/>
                <w:szCs w:val="18"/>
                <w:lang w:eastAsia="lv-LV"/>
              </w:rPr>
              <w:t>pieaugums faktiskajās cenās (%)</w:t>
            </w:r>
          </w:p>
        </w:tc>
        <w:tc>
          <w:tcPr>
            <w:tcW w:w="998" w:type="dxa"/>
            <w:tcBorders>
              <w:top w:val="nil"/>
              <w:left w:val="nil"/>
              <w:bottom w:val="single" w:sz="4" w:space="0" w:color="auto"/>
              <w:right w:val="single" w:sz="4" w:space="0" w:color="auto"/>
            </w:tcBorders>
            <w:shd w:val="clear" w:color="auto" w:fill="auto"/>
            <w:noWrap/>
            <w:tcMar>
              <w:right w:w="170" w:type="dxa"/>
            </w:tcMar>
            <w:vAlign w:val="center"/>
          </w:tcPr>
          <w:p w14:paraId="315219B1" w14:textId="77777777" w:rsidR="00A05204" w:rsidRPr="009D6882" w:rsidRDefault="00A05204" w:rsidP="00A05204">
            <w:pPr>
              <w:spacing w:after="0"/>
              <w:ind w:firstLine="0"/>
              <w:jc w:val="right"/>
              <w:rPr>
                <w:sz w:val="18"/>
                <w:szCs w:val="18"/>
                <w:lang w:eastAsia="lv-LV"/>
              </w:rPr>
            </w:pPr>
            <w:r w:rsidRPr="009D6882">
              <w:rPr>
                <w:sz w:val="18"/>
                <w:szCs w:val="18"/>
              </w:rPr>
              <w:t>6,2</w:t>
            </w:r>
          </w:p>
        </w:tc>
        <w:tc>
          <w:tcPr>
            <w:tcW w:w="998" w:type="dxa"/>
            <w:tcBorders>
              <w:top w:val="nil"/>
              <w:left w:val="nil"/>
              <w:bottom w:val="single" w:sz="4" w:space="0" w:color="auto"/>
              <w:right w:val="single" w:sz="4" w:space="0" w:color="auto"/>
            </w:tcBorders>
            <w:shd w:val="clear" w:color="auto" w:fill="F2F2F2" w:themeFill="background1" w:themeFillShade="F2"/>
            <w:noWrap/>
            <w:tcMar>
              <w:right w:w="170" w:type="dxa"/>
            </w:tcMar>
            <w:vAlign w:val="center"/>
          </w:tcPr>
          <w:p w14:paraId="35B07212" w14:textId="77777777" w:rsidR="00A05204" w:rsidRPr="009D6882" w:rsidRDefault="00A05204" w:rsidP="00A05204">
            <w:pPr>
              <w:spacing w:after="0"/>
              <w:ind w:firstLine="0"/>
              <w:jc w:val="right"/>
              <w:rPr>
                <w:sz w:val="18"/>
                <w:szCs w:val="18"/>
                <w:lang w:eastAsia="lv-LV"/>
              </w:rPr>
            </w:pPr>
            <w:r w:rsidRPr="009D6882">
              <w:rPr>
                <w:sz w:val="18"/>
                <w:szCs w:val="18"/>
              </w:rPr>
              <w:t>8,0</w:t>
            </w:r>
          </w:p>
        </w:tc>
        <w:tc>
          <w:tcPr>
            <w:tcW w:w="998" w:type="dxa"/>
            <w:tcBorders>
              <w:top w:val="nil"/>
              <w:left w:val="nil"/>
              <w:bottom w:val="single" w:sz="4" w:space="0" w:color="auto"/>
              <w:right w:val="single" w:sz="4" w:space="0" w:color="auto"/>
            </w:tcBorders>
            <w:shd w:val="clear" w:color="auto" w:fill="F2F2F2" w:themeFill="background1" w:themeFillShade="F2"/>
            <w:noWrap/>
            <w:tcMar>
              <w:right w:w="170" w:type="dxa"/>
            </w:tcMar>
            <w:vAlign w:val="center"/>
          </w:tcPr>
          <w:p w14:paraId="4D14DD0D" w14:textId="77777777" w:rsidR="00A05204" w:rsidRPr="009D6882" w:rsidRDefault="00A05204" w:rsidP="00A05204">
            <w:pPr>
              <w:spacing w:after="0"/>
              <w:ind w:firstLine="0"/>
              <w:jc w:val="right"/>
              <w:rPr>
                <w:sz w:val="18"/>
                <w:szCs w:val="18"/>
                <w:lang w:eastAsia="lv-LV"/>
              </w:rPr>
            </w:pPr>
            <w:r w:rsidRPr="009D6882">
              <w:rPr>
                <w:sz w:val="18"/>
                <w:szCs w:val="18"/>
              </w:rPr>
              <w:t>5,5</w:t>
            </w:r>
          </w:p>
        </w:tc>
        <w:tc>
          <w:tcPr>
            <w:tcW w:w="998" w:type="dxa"/>
            <w:tcBorders>
              <w:top w:val="nil"/>
              <w:left w:val="nil"/>
              <w:bottom w:val="single" w:sz="4" w:space="0" w:color="auto"/>
              <w:right w:val="single" w:sz="4" w:space="0" w:color="auto"/>
            </w:tcBorders>
            <w:shd w:val="clear" w:color="auto" w:fill="F2F2F2" w:themeFill="background1" w:themeFillShade="F2"/>
            <w:noWrap/>
            <w:tcMar>
              <w:right w:w="170" w:type="dxa"/>
            </w:tcMar>
            <w:vAlign w:val="center"/>
          </w:tcPr>
          <w:p w14:paraId="347124A0" w14:textId="77777777" w:rsidR="00A05204" w:rsidRPr="009D6882" w:rsidRDefault="00A05204" w:rsidP="00A05204">
            <w:pPr>
              <w:spacing w:after="0"/>
              <w:ind w:firstLine="0"/>
              <w:jc w:val="right"/>
              <w:rPr>
                <w:sz w:val="18"/>
                <w:szCs w:val="18"/>
                <w:lang w:eastAsia="lv-LV"/>
              </w:rPr>
            </w:pPr>
            <w:r w:rsidRPr="009D6882">
              <w:rPr>
                <w:sz w:val="18"/>
                <w:szCs w:val="18"/>
              </w:rPr>
              <w:t>5,5</w:t>
            </w:r>
          </w:p>
        </w:tc>
        <w:tc>
          <w:tcPr>
            <w:tcW w:w="998" w:type="dxa"/>
            <w:tcBorders>
              <w:top w:val="nil"/>
              <w:left w:val="nil"/>
              <w:bottom w:val="single" w:sz="4" w:space="0" w:color="auto"/>
              <w:right w:val="single" w:sz="4" w:space="0" w:color="auto"/>
            </w:tcBorders>
            <w:shd w:val="clear" w:color="auto" w:fill="F2F2F2" w:themeFill="background1" w:themeFillShade="F2"/>
            <w:noWrap/>
            <w:tcMar>
              <w:right w:w="170" w:type="dxa"/>
            </w:tcMar>
            <w:vAlign w:val="center"/>
          </w:tcPr>
          <w:p w14:paraId="7396CCFD" w14:textId="77777777" w:rsidR="00A05204" w:rsidRPr="009D6882" w:rsidRDefault="00A05204" w:rsidP="00A05204">
            <w:pPr>
              <w:spacing w:after="0"/>
              <w:ind w:firstLine="0"/>
              <w:jc w:val="right"/>
              <w:rPr>
                <w:sz w:val="18"/>
                <w:szCs w:val="18"/>
                <w:lang w:eastAsia="lv-LV"/>
              </w:rPr>
            </w:pPr>
            <w:r w:rsidRPr="009D6882">
              <w:rPr>
                <w:sz w:val="18"/>
                <w:szCs w:val="18"/>
              </w:rPr>
              <w:t>5,3</w:t>
            </w:r>
          </w:p>
        </w:tc>
      </w:tr>
      <w:tr w:rsidR="00A05204" w:rsidRPr="009D6882" w14:paraId="7D76AAC2" w14:textId="77777777" w:rsidTr="000065DF">
        <w:trPr>
          <w:trHeight w:val="300"/>
        </w:trPr>
        <w:tc>
          <w:tcPr>
            <w:tcW w:w="3306" w:type="dxa"/>
            <w:tcBorders>
              <w:top w:val="nil"/>
              <w:left w:val="single" w:sz="4" w:space="0" w:color="auto"/>
              <w:bottom w:val="single" w:sz="4" w:space="0" w:color="auto"/>
              <w:right w:val="single" w:sz="4" w:space="0" w:color="auto"/>
            </w:tcBorders>
            <w:shd w:val="clear" w:color="auto" w:fill="auto"/>
            <w:noWrap/>
            <w:vAlign w:val="center"/>
            <w:hideMark/>
          </w:tcPr>
          <w:p w14:paraId="51D62051" w14:textId="77777777" w:rsidR="00A05204" w:rsidRPr="009D6882" w:rsidRDefault="00A05204" w:rsidP="000065DF">
            <w:pPr>
              <w:spacing w:after="0"/>
              <w:ind w:firstLine="316"/>
              <w:rPr>
                <w:sz w:val="18"/>
                <w:szCs w:val="18"/>
                <w:lang w:eastAsia="lv-LV"/>
              </w:rPr>
            </w:pPr>
            <w:r w:rsidRPr="009D6882">
              <w:rPr>
                <w:noProof/>
                <w:sz w:val="18"/>
                <w:szCs w:val="18"/>
                <w:lang w:eastAsia="lv-LV"/>
              </w:rPr>
              <w:t>pieaugums salīdzināmās cenās (%)</w:t>
            </w:r>
          </w:p>
        </w:tc>
        <w:tc>
          <w:tcPr>
            <w:tcW w:w="998" w:type="dxa"/>
            <w:tcBorders>
              <w:top w:val="nil"/>
              <w:left w:val="nil"/>
              <w:bottom w:val="single" w:sz="4" w:space="0" w:color="auto"/>
              <w:right w:val="single" w:sz="4" w:space="0" w:color="auto"/>
            </w:tcBorders>
            <w:shd w:val="clear" w:color="auto" w:fill="auto"/>
            <w:noWrap/>
            <w:tcMar>
              <w:right w:w="170" w:type="dxa"/>
            </w:tcMar>
            <w:vAlign w:val="center"/>
          </w:tcPr>
          <w:p w14:paraId="1EA2B23F" w14:textId="77777777" w:rsidR="00A05204" w:rsidRPr="009D6882" w:rsidRDefault="00A05204" w:rsidP="00A05204">
            <w:pPr>
              <w:spacing w:after="0"/>
              <w:ind w:firstLine="0"/>
              <w:jc w:val="right"/>
              <w:rPr>
                <w:sz w:val="18"/>
                <w:szCs w:val="18"/>
                <w:lang w:eastAsia="lv-LV"/>
              </w:rPr>
            </w:pPr>
            <w:r w:rsidRPr="009D6882">
              <w:rPr>
                <w:sz w:val="18"/>
                <w:szCs w:val="18"/>
              </w:rPr>
              <w:t>6,0</w:t>
            </w:r>
          </w:p>
        </w:tc>
        <w:tc>
          <w:tcPr>
            <w:tcW w:w="998" w:type="dxa"/>
            <w:tcBorders>
              <w:top w:val="nil"/>
              <w:left w:val="nil"/>
              <w:bottom w:val="single" w:sz="4" w:space="0" w:color="auto"/>
              <w:right w:val="single" w:sz="4" w:space="0" w:color="auto"/>
            </w:tcBorders>
            <w:shd w:val="clear" w:color="auto" w:fill="F2F2F2" w:themeFill="background1" w:themeFillShade="F2"/>
            <w:noWrap/>
            <w:tcMar>
              <w:right w:w="170" w:type="dxa"/>
            </w:tcMar>
            <w:vAlign w:val="center"/>
          </w:tcPr>
          <w:p w14:paraId="629CE729" w14:textId="77777777" w:rsidR="00A05204" w:rsidRPr="009D6882" w:rsidRDefault="00A05204" w:rsidP="00A05204">
            <w:pPr>
              <w:spacing w:after="0"/>
              <w:ind w:firstLine="0"/>
              <w:jc w:val="right"/>
              <w:rPr>
                <w:sz w:val="18"/>
                <w:szCs w:val="18"/>
                <w:lang w:eastAsia="lv-LV"/>
              </w:rPr>
            </w:pPr>
            <w:r w:rsidRPr="009D6882">
              <w:rPr>
                <w:sz w:val="18"/>
                <w:szCs w:val="18"/>
              </w:rPr>
              <w:t>5,9</w:t>
            </w:r>
          </w:p>
        </w:tc>
        <w:tc>
          <w:tcPr>
            <w:tcW w:w="998" w:type="dxa"/>
            <w:tcBorders>
              <w:top w:val="nil"/>
              <w:left w:val="nil"/>
              <w:bottom w:val="single" w:sz="4" w:space="0" w:color="auto"/>
              <w:right w:val="single" w:sz="4" w:space="0" w:color="auto"/>
            </w:tcBorders>
            <w:shd w:val="clear" w:color="auto" w:fill="F2F2F2" w:themeFill="background1" w:themeFillShade="F2"/>
            <w:noWrap/>
            <w:tcMar>
              <w:right w:w="170" w:type="dxa"/>
            </w:tcMar>
            <w:vAlign w:val="center"/>
          </w:tcPr>
          <w:p w14:paraId="385D0CA7" w14:textId="77777777" w:rsidR="00A05204" w:rsidRPr="009D6882" w:rsidRDefault="00A05204" w:rsidP="00A05204">
            <w:pPr>
              <w:spacing w:after="0"/>
              <w:ind w:firstLine="0"/>
              <w:jc w:val="right"/>
              <w:rPr>
                <w:sz w:val="18"/>
                <w:szCs w:val="18"/>
                <w:lang w:eastAsia="lv-LV"/>
              </w:rPr>
            </w:pPr>
            <w:r w:rsidRPr="009D6882">
              <w:rPr>
                <w:sz w:val="18"/>
                <w:szCs w:val="18"/>
              </w:rPr>
              <w:t>3,0</w:t>
            </w:r>
          </w:p>
        </w:tc>
        <w:tc>
          <w:tcPr>
            <w:tcW w:w="998" w:type="dxa"/>
            <w:tcBorders>
              <w:top w:val="nil"/>
              <w:left w:val="nil"/>
              <w:bottom w:val="single" w:sz="4" w:space="0" w:color="auto"/>
              <w:right w:val="single" w:sz="4" w:space="0" w:color="auto"/>
            </w:tcBorders>
            <w:shd w:val="clear" w:color="auto" w:fill="F2F2F2" w:themeFill="background1" w:themeFillShade="F2"/>
            <w:noWrap/>
            <w:tcMar>
              <w:right w:w="170" w:type="dxa"/>
            </w:tcMar>
            <w:vAlign w:val="center"/>
          </w:tcPr>
          <w:p w14:paraId="64BB26B3" w14:textId="77777777" w:rsidR="00A05204" w:rsidRPr="009D6882" w:rsidRDefault="00A05204" w:rsidP="00A05204">
            <w:pPr>
              <w:spacing w:after="0"/>
              <w:ind w:firstLine="0"/>
              <w:jc w:val="right"/>
              <w:rPr>
                <w:sz w:val="18"/>
                <w:szCs w:val="18"/>
                <w:lang w:eastAsia="lv-LV"/>
              </w:rPr>
            </w:pPr>
            <w:r w:rsidRPr="009D6882">
              <w:rPr>
                <w:sz w:val="18"/>
                <w:szCs w:val="18"/>
              </w:rPr>
              <w:t>3,2</w:t>
            </w:r>
          </w:p>
        </w:tc>
        <w:tc>
          <w:tcPr>
            <w:tcW w:w="998" w:type="dxa"/>
            <w:tcBorders>
              <w:top w:val="nil"/>
              <w:left w:val="nil"/>
              <w:bottom w:val="single" w:sz="4" w:space="0" w:color="auto"/>
              <w:right w:val="single" w:sz="4" w:space="0" w:color="auto"/>
            </w:tcBorders>
            <w:shd w:val="clear" w:color="auto" w:fill="F2F2F2" w:themeFill="background1" w:themeFillShade="F2"/>
            <w:noWrap/>
            <w:tcMar>
              <w:right w:w="170" w:type="dxa"/>
            </w:tcMar>
            <w:vAlign w:val="center"/>
          </w:tcPr>
          <w:p w14:paraId="7AC89E87" w14:textId="77777777" w:rsidR="00A05204" w:rsidRPr="009D6882" w:rsidRDefault="00A05204" w:rsidP="00A05204">
            <w:pPr>
              <w:spacing w:after="0"/>
              <w:ind w:firstLine="0"/>
              <w:jc w:val="right"/>
              <w:rPr>
                <w:sz w:val="18"/>
                <w:szCs w:val="18"/>
                <w:lang w:eastAsia="lv-LV"/>
              </w:rPr>
            </w:pPr>
            <w:r w:rsidRPr="009D6882">
              <w:rPr>
                <w:sz w:val="18"/>
                <w:szCs w:val="18"/>
              </w:rPr>
              <w:t>3,2</w:t>
            </w:r>
          </w:p>
        </w:tc>
      </w:tr>
      <w:tr w:rsidR="00A05204" w:rsidRPr="009D6882" w14:paraId="72446505" w14:textId="77777777" w:rsidTr="000065DF">
        <w:trPr>
          <w:trHeight w:val="600"/>
        </w:trPr>
        <w:tc>
          <w:tcPr>
            <w:tcW w:w="3306" w:type="dxa"/>
            <w:tcBorders>
              <w:top w:val="nil"/>
              <w:left w:val="single" w:sz="4" w:space="0" w:color="auto"/>
              <w:bottom w:val="single" w:sz="4" w:space="0" w:color="auto"/>
              <w:right w:val="single" w:sz="4" w:space="0" w:color="auto"/>
            </w:tcBorders>
            <w:shd w:val="clear" w:color="auto" w:fill="auto"/>
            <w:noWrap/>
            <w:vAlign w:val="center"/>
            <w:hideMark/>
          </w:tcPr>
          <w:p w14:paraId="4C81CF49" w14:textId="77777777" w:rsidR="00A05204" w:rsidRPr="009D6882" w:rsidRDefault="00A05204" w:rsidP="00A05204">
            <w:pPr>
              <w:spacing w:after="0"/>
              <w:ind w:firstLine="0"/>
              <w:rPr>
                <w:sz w:val="18"/>
                <w:szCs w:val="18"/>
                <w:lang w:eastAsia="lv-LV"/>
              </w:rPr>
            </w:pPr>
            <w:r w:rsidRPr="009D6882">
              <w:rPr>
                <w:b/>
                <w:noProof/>
                <w:sz w:val="18"/>
                <w:szCs w:val="18"/>
                <w:lang w:eastAsia="lv-LV"/>
              </w:rPr>
              <w:t>Nodarbinātība</w:t>
            </w:r>
            <w:r w:rsidRPr="009D6882">
              <w:rPr>
                <w:noProof/>
                <w:sz w:val="18"/>
                <w:szCs w:val="18"/>
                <w:lang w:eastAsia="lv-LV"/>
              </w:rPr>
              <w:t xml:space="preserve"> (tūkst. iedzīvotāju</w:t>
            </w:r>
            <w:r w:rsidRPr="009D6882">
              <w:rPr>
                <w:noProof/>
                <w:sz w:val="18"/>
                <w:szCs w:val="18"/>
                <w:lang w:eastAsia="lv-LV"/>
              </w:rPr>
              <w:br/>
              <w:t>atbilstoši darbaspēka apsekojumiem)</w:t>
            </w:r>
          </w:p>
        </w:tc>
        <w:tc>
          <w:tcPr>
            <w:tcW w:w="998" w:type="dxa"/>
            <w:tcBorders>
              <w:top w:val="nil"/>
              <w:left w:val="nil"/>
              <w:bottom w:val="single" w:sz="4" w:space="0" w:color="auto"/>
              <w:right w:val="single" w:sz="4" w:space="0" w:color="auto"/>
            </w:tcBorders>
            <w:shd w:val="clear" w:color="auto" w:fill="auto"/>
            <w:noWrap/>
            <w:tcMar>
              <w:right w:w="170" w:type="dxa"/>
            </w:tcMar>
            <w:vAlign w:val="center"/>
          </w:tcPr>
          <w:p w14:paraId="2AF9F245" w14:textId="77777777" w:rsidR="00A05204" w:rsidRPr="009D6882" w:rsidRDefault="00A05204" w:rsidP="00A05204">
            <w:pPr>
              <w:spacing w:after="0"/>
              <w:ind w:firstLine="0"/>
              <w:jc w:val="right"/>
              <w:rPr>
                <w:sz w:val="18"/>
                <w:szCs w:val="18"/>
                <w:lang w:eastAsia="lv-LV"/>
              </w:rPr>
            </w:pPr>
            <w:r w:rsidRPr="009D6882">
              <w:rPr>
                <w:sz w:val="18"/>
                <w:szCs w:val="18"/>
              </w:rPr>
              <w:t>893</w:t>
            </w:r>
          </w:p>
        </w:tc>
        <w:tc>
          <w:tcPr>
            <w:tcW w:w="998" w:type="dxa"/>
            <w:tcBorders>
              <w:top w:val="nil"/>
              <w:left w:val="nil"/>
              <w:bottom w:val="single" w:sz="4" w:space="0" w:color="auto"/>
              <w:right w:val="single" w:sz="4" w:space="0" w:color="auto"/>
            </w:tcBorders>
            <w:shd w:val="clear" w:color="auto" w:fill="F2F2F2" w:themeFill="background1" w:themeFillShade="F2"/>
            <w:noWrap/>
            <w:tcMar>
              <w:right w:w="170" w:type="dxa"/>
            </w:tcMar>
            <w:vAlign w:val="center"/>
          </w:tcPr>
          <w:p w14:paraId="51D0173C" w14:textId="77777777" w:rsidR="00A05204" w:rsidRPr="009D6882" w:rsidRDefault="00A05204" w:rsidP="00A05204">
            <w:pPr>
              <w:spacing w:after="0"/>
              <w:ind w:firstLine="0"/>
              <w:jc w:val="right"/>
              <w:rPr>
                <w:sz w:val="18"/>
                <w:szCs w:val="18"/>
                <w:lang w:eastAsia="lv-LV"/>
              </w:rPr>
            </w:pPr>
            <w:r w:rsidRPr="009D6882">
              <w:rPr>
                <w:sz w:val="18"/>
                <w:szCs w:val="18"/>
              </w:rPr>
              <w:t>880</w:t>
            </w:r>
          </w:p>
        </w:tc>
        <w:tc>
          <w:tcPr>
            <w:tcW w:w="998" w:type="dxa"/>
            <w:tcBorders>
              <w:top w:val="nil"/>
              <w:left w:val="nil"/>
              <w:bottom w:val="single" w:sz="4" w:space="0" w:color="auto"/>
              <w:right w:val="single" w:sz="4" w:space="0" w:color="auto"/>
            </w:tcBorders>
            <w:shd w:val="clear" w:color="auto" w:fill="F2F2F2" w:themeFill="background1" w:themeFillShade="F2"/>
            <w:noWrap/>
            <w:tcMar>
              <w:right w:w="170" w:type="dxa"/>
            </w:tcMar>
            <w:vAlign w:val="center"/>
          </w:tcPr>
          <w:p w14:paraId="37182E4A" w14:textId="77777777" w:rsidR="00A05204" w:rsidRPr="009D6882" w:rsidRDefault="00A05204" w:rsidP="00A05204">
            <w:pPr>
              <w:spacing w:after="0"/>
              <w:ind w:firstLine="0"/>
              <w:jc w:val="right"/>
              <w:rPr>
                <w:sz w:val="18"/>
                <w:szCs w:val="18"/>
                <w:lang w:eastAsia="lv-LV"/>
              </w:rPr>
            </w:pPr>
            <w:r w:rsidRPr="009D6882">
              <w:rPr>
                <w:sz w:val="18"/>
                <w:szCs w:val="18"/>
              </w:rPr>
              <w:t>893</w:t>
            </w:r>
          </w:p>
        </w:tc>
        <w:tc>
          <w:tcPr>
            <w:tcW w:w="998" w:type="dxa"/>
            <w:tcBorders>
              <w:top w:val="nil"/>
              <w:left w:val="nil"/>
              <w:bottom w:val="single" w:sz="4" w:space="0" w:color="auto"/>
              <w:right w:val="single" w:sz="4" w:space="0" w:color="auto"/>
            </w:tcBorders>
            <w:shd w:val="clear" w:color="auto" w:fill="F2F2F2" w:themeFill="background1" w:themeFillShade="F2"/>
            <w:noWrap/>
            <w:tcMar>
              <w:right w:w="170" w:type="dxa"/>
            </w:tcMar>
            <w:vAlign w:val="center"/>
          </w:tcPr>
          <w:p w14:paraId="35B4B063" w14:textId="77777777" w:rsidR="00A05204" w:rsidRPr="009D6882" w:rsidRDefault="00A05204" w:rsidP="00A05204">
            <w:pPr>
              <w:spacing w:after="0"/>
              <w:ind w:firstLine="0"/>
              <w:jc w:val="right"/>
              <w:rPr>
                <w:sz w:val="18"/>
                <w:szCs w:val="18"/>
                <w:lang w:eastAsia="lv-LV"/>
              </w:rPr>
            </w:pPr>
            <w:r w:rsidRPr="009D6882">
              <w:rPr>
                <w:sz w:val="18"/>
                <w:szCs w:val="18"/>
              </w:rPr>
              <w:t>902</w:t>
            </w:r>
          </w:p>
        </w:tc>
        <w:tc>
          <w:tcPr>
            <w:tcW w:w="998" w:type="dxa"/>
            <w:tcBorders>
              <w:top w:val="nil"/>
              <w:left w:val="nil"/>
              <w:bottom w:val="single" w:sz="4" w:space="0" w:color="auto"/>
              <w:right w:val="single" w:sz="4" w:space="0" w:color="auto"/>
            </w:tcBorders>
            <w:shd w:val="clear" w:color="auto" w:fill="F2F2F2" w:themeFill="background1" w:themeFillShade="F2"/>
            <w:noWrap/>
            <w:tcMar>
              <w:right w:w="170" w:type="dxa"/>
            </w:tcMar>
            <w:vAlign w:val="center"/>
          </w:tcPr>
          <w:p w14:paraId="6FDFA831" w14:textId="77777777" w:rsidR="00A05204" w:rsidRPr="009D6882" w:rsidRDefault="00A05204" w:rsidP="00A05204">
            <w:pPr>
              <w:spacing w:after="0"/>
              <w:ind w:firstLine="0"/>
              <w:jc w:val="right"/>
              <w:rPr>
                <w:sz w:val="18"/>
                <w:szCs w:val="18"/>
                <w:lang w:eastAsia="lv-LV"/>
              </w:rPr>
            </w:pPr>
            <w:r w:rsidRPr="009D6882">
              <w:rPr>
                <w:sz w:val="18"/>
                <w:szCs w:val="18"/>
              </w:rPr>
              <w:t>902</w:t>
            </w:r>
          </w:p>
        </w:tc>
      </w:tr>
      <w:tr w:rsidR="00A05204" w:rsidRPr="009D6882" w14:paraId="6056618D" w14:textId="77777777" w:rsidTr="000065DF">
        <w:trPr>
          <w:trHeight w:val="300"/>
        </w:trPr>
        <w:tc>
          <w:tcPr>
            <w:tcW w:w="3306" w:type="dxa"/>
            <w:tcBorders>
              <w:top w:val="nil"/>
              <w:left w:val="single" w:sz="4" w:space="0" w:color="auto"/>
              <w:bottom w:val="single" w:sz="4" w:space="0" w:color="auto"/>
              <w:right w:val="single" w:sz="4" w:space="0" w:color="auto"/>
            </w:tcBorders>
            <w:shd w:val="clear" w:color="auto" w:fill="auto"/>
            <w:noWrap/>
            <w:vAlign w:val="center"/>
            <w:hideMark/>
          </w:tcPr>
          <w:p w14:paraId="44E46F85" w14:textId="77777777" w:rsidR="00A05204" w:rsidRPr="009D6882" w:rsidRDefault="00A05204" w:rsidP="00A05204">
            <w:pPr>
              <w:spacing w:after="0"/>
              <w:ind w:firstLine="0"/>
              <w:rPr>
                <w:sz w:val="18"/>
                <w:szCs w:val="18"/>
                <w:lang w:eastAsia="lv-LV"/>
              </w:rPr>
            </w:pPr>
            <w:r w:rsidRPr="009D6882">
              <w:rPr>
                <w:noProof/>
                <w:sz w:val="18"/>
                <w:szCs w:val="18"/>
                <w:lang w:eastAsia="lv-LV"/>
              </w:rPr>
              <w:t>pieaugums (%)</w:t>
            </w:r>
          </w:p>
        </w:tc>
        <w:tc>
          <w:tcPr>
            <w:tcW w:w="998" w:type="dxa"/>
            <w:tcBorders>
              <w:top w:val="nil"/>
              <w:left w:val="nil"/>
              <w:bottom w:val="single" w:sz="4" w:space="0" w:color="auto"/>
              <w:right w:val="single" w:sz="4" w:space="0" w:color="auto"/>
            </w:tcBorders>
            <w:shd w:val="clear" w:color="auto" w:fill="auto"/>
            <w:noWrap/>
            <w:tcMar>
              <w:right w:w="170" w:type="dxa"/>
            </w:tcMar>
            <w:vAlign w:val="center"/>
          </w:tcPr>
          <w:p w14:paraId="0A972127" w14:textId="77777777" w:rsidR="00A05204" w:rsidRPr="009D6882" w:rsidRDefault="00A05204" w:rsidP="00A05204">
            <w:pPr>
              <w:spacing w:after="0"/>
              <w:ind w:firstLine="0"/>
              <w:jc w:val="right"/>
              <w:rPr>
                <w:sz w:val="18"/>
                <w:szCs w:val="18"/>
                <w:lang w:eastAsia="lv-LV"/>
              </w:rPr>
            </w:pPr>
            <w:r w:rsidRPr="009D6882">
              <w:rPr>
                <w:sz w:val="18"/>
                <w:szCs w:val="18"/>
              </w:rPr>
              <w:t>-1,9</w:t>
            </w:r>
          </w:p>
        </w:tc>
        <w:tc>
          <w:tcPr>
            <w:tcW w:w="998" w:type="dxa"/>
            <w:tcBorders>
              <w:top w:val="nil"/>
              <w:left w:val="nil"/>
              <w:bottom w:val="single" w:sz="4" w:space="0" w:color="auto"/>
              <w:right w:val="single" w:sz="4" w:space="0" w:color="auto"/>
            </w:tcBorders>
            <w:shd w:val="clear" w:color="auto" w:fill="F2F2F2" w:themeFill="background1" w:themeFillShade="F2"/>
            <w:noWrap/>
            <w:tcMar>
              <w:right w:w="170" w:type="dxa"/>
            </w:tcMar>
            <w:vAlign w:val="center"/>
          </w:tcPr>
          <w:p w14:paraId="62DF94DB" w14:textId="77777777" w:rsidR="00A05204" w:rsidRPr="009D6882" w:rsidRDefault="00A05204" w:rsidP="00A05204">
            <w:pPr>
              <w:spacing w:after="0"/>
              <w:ind w:firstLine="0"/>
              <w:jc w:val="right"/>
              <w:rPr>
                <w:sz w:val="18"/>
                <w:szCs w:val="18"/>
                <w:lang w:eastAsia="lv-LV"/>
              </w:rPr>
            </w:pPr>
            <w:r w:rsidRPr="009D6882">
              <w:rPr>
                <w:sz w:val="18"/>
                <w:szCs w:val="18"/>
              </w:rPr>
              <w:t>-1,5</w:t>
            </w:r>
          </w:p>
        </w:tc>
        <w:tc>
          <w:tcPr>
            <w:tcW w:w="998" w:type="dxa"/>
            <w:tcBorders>
              <w:top w:val="nil"/>
              <w:left w:val="nil"/>
              <w:bottom w:val="single" w:sz="4" w:space="0" w:color="auto"/>
              <w:right w:val="single" w:sz="4" w:space="0" w:color="auto"/>
            </w:tcBorders>
            <w:shd w:val="clear" w:color="auto" w:fill="F2F2F2" w:themeFill="background1" w:themeFillShade="F2"/>
            <w:noWrap/>
            <w:tcMar>
              <w:right w:w="170" w:type="dxa"/>
            </w:tcMar>
            <w:vAlign w:val="center"/>
          </w:tcPr>
          <w:p w14:paraId="365E7E89" w14:textId="77777777" w:rsidR="00A05204" w:rsidRPr="009D6882" w:rsidRDefault="00A05204" w:rsidP="00A05204">
            <w:pPr>
              <w:spacing w:after="0"/>
              <w:ind w:firstLine="0"/>
              <w:jc w:val="right"/>
              <w:rPr>
                <w:sz w:val="18"/>
                <w:szCs w:val="18"/>
                <w:lang w:eastAsia="lv-LV"/>
              </w:rPr>
            </w:pPr>
            <w:r w:rsidRPr="009D6882">
              <w:rPr>
                <w:sz w:val="18"/>
                <w:szCs w:val="18"/>
              </w:rPr>
              <w:t>1,5</w:t>
            </w:r>
          </w:p>
        </w:tc>
        <w:tc>
          <w:tcPr>
            <w:tcW w:w="998" w:type="dxa"/>
            <w:tcBorders>
              <w:top w:val="nil"/>
              <w:left w:val="nil"/>
              <w:bottom w:val="single" w:sz="4" w:space="0" w:color="auto"/>
              <w:right w:val="single" w:sz="4" w:space="0" w:color="auto"/>
            </w:tcBorders>
            <w:shd w:val="clear" w:color="auto" w:fill="F2F2F2" w:themeFill="background1" w:themeFillShade="F2"/>
            <w:noWrap/>
            <w:tcMar>
              <w:right w:w="170" w:type="dxa"/>
            </w:tcMar>
            <w:vAlign w:val="center"/>
          </w:tcPr>
          <w:p w14:paraId="6229139A" w14:textId="77777777" w:rsidR="00A05204" w:rsidRPr="009D6882" w:rsidRDefault="00A05204" w:rsidP="00A05204">
            <w:pPr>
              <w:spacing w:after="0"/>
              <w:ind w:firstLine="0"/>
              <w:jc w:val="right"/>
              <w:rPr>
                <w:sz w:val="18"/>
                <w:szCs w:val="18"/>
                <w:lang w:eastAsia="lv-LV"/>
              </w:rPr>
            </w:pPr>
            <w:r w:rsidRPr="009D6882">
              <w:rPr>
                <w:sz w:val="18"/>
                <w:szCs w:val="18"/>
              </w:rPr>
              <w:t>1,0</w:t>
            </w:r>
          </w:p>
        </w:tc>
        <w:tc>
          <w:tcPr>
            <w:tcW w:w="998" w:type="dxa"/>
            <w:tcBorders>
              <w:top w:val="nil"/>
              <w:left w:val="nil"/>
              <w:bottom w:val="single" w:sz="4" w:space="0" w:color="auto"/>
              <w:right w:val="single" w:sz="4" w:space="0" w:color="auto"/>
            </w:tcBorders>
            <w:shd w:val="clear" w:color="auto" w:fill="F2F2F2" w:themeFill="background1" w:themeFillShade="F2"/>
            <w:noWrap/>
            <w:tcMar>
              <w:right w:w="170" w:type="dxa"/>
            </w:tcMar>
            <w:vAlign w:val="center"/>
          </w:tcPr>
          <w:p w14:paraId="5CE1DFDF" w14:textId="77777777" w:rsidR="00A05204" w:rsidRPr="009D6882" w:rsidRDefault="00A05204" w:rsidP="00A05204">
            <w:pPr>
              <w:spacing w:after="0"/>
              <w:ind w:firstLine="0"/>
              <w:jc w:val="right"/>
              <w:rPr>
                <w:sz w:val="18"/>
                <w:szCs w:val="18"/>
                <w:lang w:eastAsia="lv-LV"/>
              </w:rPr>
            </w:pPr>
            <w:r w:rsidRPr="009D6882">
              <w:rPr>
                <w:sz w:val="18"/>
                <w:szCs w:val="18"/>
              </w:rPr>
              <w:t>0,0</w:t>
            </w:r>
          </w:p>
        </w:tc>
      </w:tr>
      <w:tr w:rsidR="00A05204" w:rsidRPr="009D6882" w14:paraId="26BDDCB2" w14:textId="77777777" w:rsidTr="000065DF">
        <w:trPr>
          <w:trHeight w:val="601"/>
        </w:trPr>
        <w:tc>
          <w:tcPr>
            <w:tcW w:w="330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E93B82" w14:textId="77777777" w:rsidR="00A05204" w:rsidRPr="009D6882" w:rsidRDefault="00A05204" w:rsidP="00A05204">
            <w:pPr>
              <w:spacing w:after="0"/>
              <w:ind w:firstLine="0"/>
              <w:rPr>
                <w:sz w:val="18"/>
                <w:szCs w:val="18"/>
                <w:lang w:eastAsia="lv-LV"/>
              </w:rPr>
            </w:pPr>
            <w:r w:rsidRPr="009D6882">
              <w:rPr>
                <w:b/>
                <w:noProof/>
                <w:sz w:val="18"/>
                <w:szCs w:val="18"/>
                <w:lang w:eastAsia="lv-LV"/>
              </w:rPr>
              <w:t>Bezdarba līmenis</w:t>
            </w:r>
            <w:r w:rsidRPr="009D6882">
              <w:rPr>
                <w:noProof/>
                <w:sz w:val="18"/>
                <w:szCs w:val="18"/>
                <w:lang w:eastAsia="lv-LV"/>
              </w:rPr>
              <w:t xml:space="preserve"> (gada vidējais, </w:t>
            </w:r>
            <w:r w:rsidRPr="009D6882">
              <w:rPr>
                <w:noProof/>
                <w:sz w:val="18"/>
                <w:szCs w:val="18"/>
                <w:lang w:eastAsia="lv-LV"/>
              </w:rPr>
              <w:br/>
              <w:t>% no ekon. aktīviem iedzīv.)</w:t>
            </w:r>
          </w:p>
        </w:tc>
        <w:tc>
          <w:tcPr>
            <w:tcW w:w="998" w:type="dxa"/>
            <w:tcBorders>
              <w:top w:val="single" w:sz="4" w:space="0" w:color="auto"/>
              <w:left w:val="nil"/>
              <w:bottom w:val="single" w:sz="4" w:space="0" w:color="auto"/>
              <w:right w:val="single" w:sz="4" w:space="0" w:color="auto"/>
            </w:tcBorders>
            <w:shd w:val="clear" w:color="auto" w:fill="auto"/>
            <w:noWrap/>
            <w:tcMar>
              <w:right w:w="170" w:type="dxa"/>
            </w:tcMar>
            <w:vAlign w:val="center"/>
          </w:tcPr>
          <w:p w14:paraId="4A9CC989" w14:textId="77777777" w:rsidR="00A05204" w:rsidRPr="009D6882" w:rsidRDefault="00A05204" w:rsidP="00A05204">
            <w:pPr>
              <w:spacing w:after="0"/>
              <w:ind w:firstLine="0"/>
              <w:jc w:val="right"/>
              <w:rPr>
                <w:sz w:val="18"/>
                <w:szCs w:val="18"/>
                <w:lang w:eastAsia="lv-LV"/>
              </w:rPr>
            </w:pPr>
            <w:r w:rsidRPr="009D6882">
              <w:rPr>
                <w:sz w:val="18"/>
                <w:szCs w:val="18"/>
              </w:rPr>
              <w:t>8,1</w:t>
            </w:r>
          </w:p>
        </w:tc>
        <w:tc>
          <w:tcPr>
            <w:tcW w:w="998" w:type="dxa"/>
            <w:tcBorders>
              <w:top w:val="single" w:sz="4" w:space="0" w:color="auto"/>
              <w:left w:val="nil"/>
              <w:bottom w:val="single" w:sz="4" w:space="0" w:color="auto"/>
              <w:right w:val="single" w:sz="4" w:space="0" w:color="auto"/>
            </w:tcBorders>
            <w:shd w:val="clear" w:color="auto" w:fill="F2F2F2" w:themeFill="background1" w:themeFillShade="F2"/>
            <w:noWrap/>
            <w:tcMar>
              <w:right w:w="170" w:type="dxa"/>
            </w:tcMar>
            <w:vAlign w:val="center"/>
          </w:tcPr>
          <w:p w14:paraId="7BEC6867" w14:textId="77777777" w:rsidR="00A05204" w:rsidRPr="009D6882" w:rsidRDefault="00A05204" w:rsidP="00A05204">
            <w:pPr>
              <w:spacing w:after="0"/>
              <w:ind w:firstLine="0"/>
              <w:jc w:val="right"/>
              <w:rPr>
                <w:sz w:val="18"/>
                <w:szCs w:val="18"/>
                <w:lang w:eastAsia="lv-LV"/>
              </w:rPr>
            </w:pPr>
            <w:r w:rsidRPr="009D6882">
              <w:rPr>
                <w:sz w:val="18"/>
                <w:szCs w:val="18"/>
              </w:rPr>
              <w:t>7,9</w:t>
            </w:r>
          </w:p>
        </w:tc>
        <w:tc>
          <w:tcPr>
            <w:tcW w:w="998" w:type="dxa"/>
            <w:tcBorders>
              <w:top w:val="single" w:sz="4" w:space="0" w:color="auto"/>
              <w:left w:val="nil"/>
              <w:bottom w:val="single" w:sz="4" w:space="0" w:color="auto"/>
              <w:right w:val="single" w:sz="4" w:space="0" w:color="auto"/>
            </w:tcBorders>
            <w:shd w:val="clear" w:color="auto" w:fill="F2F2F2" w:themeFill="background1" w:themeFillShade="F2"/>
            <w:noWrap/>
            <w:tcMar>
              <w:right w:w="170" w:type="dxa"/>
            </w:tcMar>
            <w:vAlign w:val="center"/>
          </w:tcPr>
          <w:p w14:paraId="376E3D3E" w14:textId="77777777" w:rsidR="00A05204" w:rsidRPr="009D6882" w:rsidRDefault="00A05204" w:rsidP="00A05204">
            <w:pPr>
              <w:spacing w:after="0"/>
              <w:ind w:firstLine="0"/>
              <w:jc w:val="right"/>
              <w:rPr>
                <w:sz w:val="18"/>
                <w:szCs w:val="18"/>
                <w:lang w:eastAsia="lv-LV"/>
              </w:rPr>
            </w:pPr>
            <w:r w:rsidRPr="009D6882">
              <w:rPr>
                <w:sz w:val="18"/>
                <w:szCs w:val="18"/>
              </w:rPr>
              <w:t>7,0</w:t>
            </w:r>
          </w:p>
        </w:tc>
        <w:tc>
          <w:tcPr>
            <w:tcW w:w="998" w:type="dxa"/>
            <w:tcBorders>
              <w:top w:val="single" w:sz="4" w:space="0" w:color="auto"/>
              <w:left w:val="nil"/>
              <w:bottom w:val="single" w:sz="4" w:space="0" w:color="auto"/>
              <w:right w:val="single" w:sz="4" w:space="0" w:color="auto"/>
            </w:tcBorders>
            <w:shd w:val="clear" w:color="auto" w:fill="F2F2F2" w:themeFill="background1" w:themeFillShade="F2"/>
            <w:noWrap/>
            <w:tcMar>
              <w:right w:w="170" w:type="dxa"/>
            </w:tcMar>
            <w:vAlign w:val="center"/>
          </w:tcPr>
          <w:p w14:paraId="1B3036E3" w14:textId="77777777" w:rsidR="00A05204" w:rsidRPr="009D6882" w:rsidRDefault="00A05204" w:rsidP="00A05204">
            <w:pPr>
              <w:spacing w:after="0"/>
              <w:ind w:firstLine="0"/>
              <w:jc w:val="right"/>
              <w:rPr>
                <w:sz w:val="18"/>
                <w:szCs w:val="18"/>
                <w:lang w:eastAsia="lv-LV"/>
              </w:rPr>
            </w:pPr>
            <w:r w:rsidRPr="009D6882">
              <w:rPr>
                <w:sz w:val="18"/>
                <w:szCs w:val="18"/>
              </w:rPr>
              <w:t>6,3</w:t>
            </w:r>
          </w:p>
        </w:tc>
        <w:tc>
          <w:tcPr>
            <w:tcW w:w="998" w:type="dxa"/>
            <w:tcBorders>
              <w:top w:val="single" w:sz="4" w:space="0" w:color="auto"/>
              <w:left w:val="nil"/>
              <w:bottom w:val="single" w:sz="4" w:space="0" w:color="auto"/>
              <w:right w:val="single" w:sz="4" w:space="0" w:color="auto"/>
            </w:tcBorders>
            <w:shd w:val="clear" w:color="auto" w:fill="F2F2F2" w:themeFill="background1" w:themeFillShade="F2"/>
            <w:noWrap/>
            <w:tcMar>
              <w:right w:w="170" w:type="dxa"/>
            </w:tcMar>
            <w:vAlign w:val="center"/>
          </w:tcPr>
          <w:p w14:paraId="23B66142" w14:textId="77777777" w:rsidR="00A05204" w:rsidRPr="009D6882" w:rsidRDefault="00A05204" w:rsidP="00A05204">
            <w:pPr>
              <w:spacing w:after="0"/>
              <w:ind w:firstLine="0"/>
              <w:jc w:val="right"/>
              <w:rPr>
                <w:sz w:val="18"/>
                <w:szCs w:val="18"/>
                <w:lang w:eastAsia="lv-LV"/>
              </w:rPr>
            </w:pPr>
            <w:r w:rsidRPr="009D6882">
              <w:rPr>
                <w:sz w:val="18"/>
                <w:szCs w:val="18"/>
              </w:rPr>
              <w:t>5,9</w:t>
            </w:r>
          </w:p>
        </w:tc>
      </w:tr>
    </w:tbl>
    <w:p w14:paraId="224E528E" w14:textId="77777777" w:rsidR="00DC4D1F" w:rsidRPr="00EF1D74" w:rsidRDefault="00DC4D1F" w:rsidP="00DC4D1F">
      <w:pPr>
        <w:autoSpaceDE w:val="0"/>
        <w:autoSpaceDN w:val="0"/>
        <w:adjustRightInd w:val="0"/>
        <w:spacing w:before="240"/>
        <w:ind w:firstLine="0"/>
        <w:rPr>
          <w:b/>
          <w:color w:val="000000"/>
          <w:szCs w:val="24"/>
          <w:lang w:eastAsia="lv-LV"/>
        </w:rPr>
      </w:pPr>
      <w:r w:rsidRPr="00EF1D74">
        <w:rPr>
          <w:b/>
          <w:color w:val="000000"/>
          <w:szCs w:val="24"/>
          <w:lang w:eastAsia="lv-LV"/>
        </w:rPr>
        <w:t>Ietekme uz vispārējās valdības budžetu</w:t>
      </w:r>
      <w:r>
        <w:rPr>
          <w:b/>
          <w:color w:val="000000"/>
          <w:szCs w:val="24"/>
          <w:lang w:eastAsia="lv-LV"/>
        </w:rPr>
        <w:t xml:space="preserve"> un parādu</w:t>
      </w:r>
    </w:p>
    <w:p w14:paraId="31C1C8A9" w14:textId="77777777" w:rsidR="00DC4D1F" w:rsidRPr="007F240E" w:rsidRDefault="00DC4D1F" w:rsidP="00DC4D1F">
      <w:pPr>
        <w:autoSpaceDE w:val="0"/>
        <w:autoSpaceDN w:val="0"/>
        <w:adjustRightInd w:val="0"/>
        <w:spacing w:before="120"/>
        <w:ind w:firstLine="720"/>
        <w:rPr>
          <w:noProof/>
          <w:color w:val="000000"/>
          <w:szCs w:val="24"/>
          <w:lang w:eastAsia="lv-LV"/>
        </w:rPr>
      </w:pPr>
      <w:r w:rsidRPr="007F240E">
        <w:rPr>
          <w:noProof/>
          <w:color w:val="000000"/>
          <w:szCs w:val="24"/>
          <w:lang w:eastAsia="lv-LV"/>
        </w:rPr>
        <w:t xml:space="preserve">Īstenojoties pesimistiskajam scenārijam, kopbudžeta nodokļu ieņēmumi un valsts pamatbudžeta nenodokļu ieņēmumi samazinātos par 305,6 milj. </w:t>
      </w:r>
      <w:r w:rsidRPr="007F240E">
        <w:rPr>
          <w:i/>
          <w:iCs/>
          <w:noProof/>
          <w:color w:val="000000"/>
          <w:szCs w:val="24"/>
          <w:lang w:eastAsia="lv-LV"/>
        </w:rPr>
        <w:t>euro</w:t>
      </w:r>
      <w:r w:rsidRPr="007F240E">
        <w:rPr>
          <w:noProof/>
          <w:color w:val="000000"/>
          <w:szCs w:val="24"/>
          <w:lang w:eastAsia="lv-LV"/>
        </w:rPr>
        <w:t xml:space="preserve"> jeb 1,1% no IKP 2022. gadā salīdzinājumā ar bāzes scenāriju. Savukārt 2023. un 2024. gadā tie būtu attiecīgi par </w:t>
      </w:r>
      <w:r w:rsidRPr="007F240E">
        <w:rPr>
          <w:noProof/>
          <w:color w:val="000000"/>
          <w:szCs w:val="24"/>
          <w:lang w:eastAsia="lv-LV"/>
        </w:rPr>
        <w:lastRenderedPageBreak/>
        <w:t xml:space="preserve">324,1 milj. </w:t>
      </w:r>
      <w:r w:rsidRPr="007F240E">
        <w:rPr>
          <w:i/>
          <w:iCs/>
          <w:noProof/>
          <w:color w:val="000000"/>
          <w:szCs w:val="24"/>
          <w:lang w:eastAsia="lv-LV"/>
        </w:rPr>
        <w:t>euro</w:t>
      </w:r>
      <w:r w:rsidRPr="007F240E">
        <w:rPr>
          <w:noProof/>
          <w:color w:val="000000"/>
          <w:szCs w:val="24"/>
          <w:lang w:eastAsia="lv-LV"/>
        </w:rPr>
        <w:t xml:space="preserve"> jeb 1,0% no IKP un 338,9 milj. </w:t>
      </w:r>
      <w:r w:rsidRPr="007F240E">
        <w:rPr>
          <w:i/>
          <w:iCs/>
          <w:noProof/>
          <w:color w:val="000000"/>
          <w:szCs w:val="24"/>
          <w:lang w:eastAsia="lv-LV"/>
        </w:rPr>
        <w:t>euro</w:t>
      </w:r>
      <w:r w:rsidRPr="007F240E">
        <w:rPr>
          <w:noProof/>
          <w:color w:val="000000"/>
          <w:szCs w:val="24"/>
          <w:lang w:eastAsia="lv-LV"/>
        </w:rPr>
        <w:t xml:space="preserve"> jeb 1,0% no IKP zemāki nekā bāzes scenārijā.</w:t>
      </w:r>
    </w:p>
    <w:p w14:paraId="723BC246" w14:textId="77777777" w:rsidR="00DC4D1F" w:rsidRPr="007F240E" w:rsidRDefault="00DC4D1F" w:rsidP="00DC4D1F">
      <w:pPr>
        <w:autoSpaceDE w:val="0"/>
        <w:autoSpaceDN w:val="0"/>
        <w:adjustRightInd w:val="0"/>
        <w:spacing w:before="120"/>
        <w:ind w:firstLine="720"/>
        <w:rPr>
          <w:noProof/>
          <w:color w:val="000000"/>
          <w:szCs w:val="24"/>
          <w:lang w:eastAsia="lv-LV"/>
        </w:rPr>
      </w:pPr>
      <w:r w:rsidRPr="007F240E">
        <w:rPr>
          <w:noProof/>
          <w:color w:val="000000"/>
          <w:szCs w:val="24"/>
          <w:lang w:eastAsia="lv-LV"/>
        </w:rPr>
        <w:t>Izpildoties pesimistiskajam scenārijam, vairāk nekā puse no kopbudžeta ieņēmum</w:t>
      </w:r>
      <w:r>
        <w:rPr>
          <w:noProof/>
          <w:color w:val="000000"/>
          <w:szCs w:val="24"/>
          <w:lang w:eastAsia="lv-LV"/>
        </w:rPr>
        <w:t>u</w:t>
      </w:r>
      <w:r w:rsidRPr="007F240E">
        <w:rPr>
          <w:noProof/>
          <w:color w:val="000000"/>
          <w:szCs w:val="24"/>
          <w:lang w:eastAsia="lv-LV"/>
        </w:rPr>
        <w:t xml:space="preserve"> samazinājuma būtu attiecināma uz valsts pamatbudžetu. Pie šāda scenārija, samazinoties nodokļu ieņēmumiem, pasliktinātos valsts budžeta finansiālā bilance, kā rezultātā palielinātos kopējā finansēšanas nepieciešamība un attiecīgi arī aizņemšanās apjoms attiecīgajā periodā, salīdzinot ar bāzes scenāriju. Lielāks aizņemšanās apjoms izraisītu palielinājumu procentu izdevumos. Pesimistiskā scenārija gadījumā procentu izdevumi 2022. gadā palielinātos par 0,3</w:t>
      </w:r>
      <w:r>
        <w:rPr>
          <w:noProof/>
          <w:color w:val="000000"/>
          <w:szCs w:val="24"/>
          <w:lang w:eastAsia="lv-LV"/>
        </w:rPr>
        <w:t> </w:t>
      </w:r>
      <w:r w:rsidRPr="007F240E">
        <w:rPr>
          <w:noProof/>
          <w:color w:val="000000"/>
          <w:szCs w:val="24"/>
          <w:lang w:eastAsia="lv-LV"/>
        </w:rPr>
        <w:t xml:space="preserve">milj. </w:t>
      </w:r>
      <w:r w:rsidRPr="007F240E">
        <w:rPr>
          <w:i/>
          <w:noProof/>
          <w:color w:val="000000"/>
          <w:szCs w:val="24"/>
          <w:lang w:eastAsia="lv-LV"/>
        </w:rPr>
        <w:t>euro</w:t>
      </w:r>
      <w:r w:rsidRPr="007F240E">
        <w:rPr>
          <w:noProof/>
          <w:color w:val="000000"/>
          <w:szCs w:val="24"/>
          <w:lang w:eastAsia="lv-LV"/>
        </w:rPr>
        <w:t>, 2023. gadā izdevumi būtu par 2,7</w:t>
      </w:r>
      <w:r>
        <w:rPr>
          <w:noProof/>
          <w:color w:val="000000"/>
          <w:szCs w:val="24"/>
          <w:lang w:eastAsia="lv-LV"/>
        </w:rPr>
        <w:t> </w:t>
      </w:r>
      <w:r w:rsidRPr="007F240E">
        <w:rPr>
          <w:noProof/>
          <w:color w:val="000000"/>
          <w:szCs w:val="24"/>
          <w:lang w:eastAsia="lv-LV"/>
        </w:rPr>
        <w:t xml:space="preserve">milj. </w:t>
      </w:r>
      <w:r w:rsidRPr="007F240E">
        <w:rPr>
          <w:i/>
          <w:noProof/>
          <w:color w:val="000000"/>
          <w:szCs w:val="24"/>
          <w:lang w:eastAsia="lv-LV"/>
        </w:rPr>
        <w:t>euro</w:t>
      </w:r>
      <w:r w:rsidRPr="007F240E">
        <w:rPr>
          <w:noProof/>
          <w:color w:val="000000"/>
          <w:szCs w:val="24"/>
          <w:lang w:eastAsia="lv-LV"/>
        </w:rPr>
        <w:t xml:space="preserve"> un 2024. gadā par 5,7</w:t>
      </w:r>
      <w:r>
        <w:rPr>
          <w:noProof/>
          <w:color w:val="000000"/>
          <w:szCs w:val="24"/>
          <w:lang w:eastAsia="lv-LV"/>
        </w:rPr>
        <w:t> </w:t>
      </w:r>
      <w:r w:rsidRPr="007F240E">
        <w:rPr>
          <w:noProof/>
          <w:color w:val="000000"/>
          <w:szCs w:val="24"/>
          <w:lang w:eastAsia="lv-LV"/>
        </w:rPr>
        <w:t xml:space="preserve">milj. </w:t>
      </w:r>
      <w:r w:rsidRPr="007F240E">
        <w:rPr>
          <w:i/>
          <w:noProof/>
          <w:color w:val="000000"/>
          <w:szCs w:val="24"/>
          <w:lang w:eastAsia="lv-LV"/>
        </w:rPr>
        <w:t>euro</w:t>
      </w:r>
      <w:r w:rsidRPr="007F240E">
        <w:rPr>
          <w:noProof/>
          <w:color w:val="000000"/>
          <w:szCs w:val="24"/>
          <w:lang w:eastAsia="lv-LV"/>
        </w:rPr>
        <w:t xml:space="preserve"> lielāki nekā bāzes scenārijā.</w:t>
      </w:r>
    </w:p>
    <w:p w14:paraId="7998F12F" w14:textId="77777777" w:rsidR="00DC4D1F" w:rsidRPr="00EF1D74" w:rsidRDefault="00DC4D1F" w:rsidP="00DC4D1F">
      <w:pPr>
        <w:autoSpaceDE w:val="0"/>
        <w:autoSpaceDN w:val="0"/>
        <w:adjustRightInd w:val="0"/>
        <w:spacing w:before="120"/>
        <w:ind w:firstLine="720"/>
        <w:rPr>
          <w:noProof/>
          <w:color w:val="000000"/>
          <w:szCs w:val="24"/>
          <w:lang w:eastAsia="lv-LV"/>
        </w:rPr>
      </w:pPr>
      <w:r w:rsidRPr="007F240E">
        <w:rPr>
          <w:noProof/>
          <w:color w:val="000000"/>
          <w:szCs w:val="24"/>
          <w:lang w:eastAsia="lv-LV"/>
        </w:rPr>
        <w:t>Vispārējās valdības budžeta bilance pesimistiskajā scenārijā 2022.</w:t>
      </w:r>
      <w:r>
        <w:rPr>
          <w:noProof/>
          <w:color w:val="000000"/>
          <w:szCs w:val="24"/>
          <w:lang w:eastAsia="lv-LV"/>
        </w:rPr>
        <w:t> </w:t>
      </w:r>
      <w:r w:rsidRPr="007F240E">
        <w:rPr>
          <w:noProof/>
          <w:color w:val="000000"/>
          <w:szCs w:val="24"/>
          <w:lang w:eastAsia="lv-LV"/>
        </w:rPr>
        <w:t xml:space="preserve">gadā pasliktinātos līdz 5,8% deficītam no IKP jeb par 305,9 milj. </w:t>
      </w:r>
      <w:r w:rsidRPr="007F240E">
        <w:rPr>
          <w:i/>
          <w:noProof/>
          <w:color w:val="000000"/>
          <w:szCs w:val="24"/>
          <w:lang w:eastAsia="lv-LV"/>
        </w:rPr>
        <w:t>euro</w:t>
      </w:r>
      <w:r w:rsidRPr="007F240E">
        <w:rPr>
          <w:noProof/>
          <w:color w:val="000000"/>
          <w:szCs w:val="24"/>
          <w:lang w:eastAsia="lv-LV"/>
        </w:rPr>
        <w:t xml:space="preserve">. 2023. un 2024. gadā bilance pasliktinātos attiecīgi par 326,7 milj. </w:t>
      </w:r>
      <w:r w:rsidRPr="007F240E">
        <w:rPr>
          <w:i/>
          <w:noProof/>
          <w:color w:val="000000"/>
          <w:szCs w:val="24"/>
          <w:lang w:eastAsia="lv-LV"/>
        </w:rPr>
        <w:t>euro</w:t>
      </w:r>
      <w:r w:rsidRPr="007F240E">
        <w:rPr>
          <w:noProof/>
          <w:color w:val="000000"/>
          <w:szCs w:val="24"/>
          <w:lang w:eastAsia="lv-LV"/>
        </w:rPr>
        <w:t xml:space="preserve"> un 344,6 milj. </w:t>
      </w:r>
      <w:r w:rsidRPr="007F240E">
        <w:rPr>
          <w:i/>
          <w:noProof/>
          <w:color w:val="000000"/>
          <w:szCs w:val="24"/>
          <w:lang w:eastAsia="lv-LV"/>
        </w:rPr>
        <w:t>euro</w:t>
      </w:r>
      <w:r>
        <w:rPr>
          <w:iCs/>
          <w:noProof/>
          <w:color w:val="000000"/>
          <w:szCs w:val="24"/>
          <w:lang w:eastAsia="lv-LV"/>
        </w:rPr>
        <w:t>,</w:t>
      </w:r>
      <w:r w:rsidRPr="007F240E">
        <w:rPr>
          <w:noProof/>
          <w:color w:val="000000"/>
          <w:szCs w:val="24"/>
          <w:lang w:eastAsia="lv-LV"/>
        </w:rPr>
        <w:t xml:space="preserve"> un vispārējās valdības budžetā veidotos 3,1% no IKP deficīts 2023. gadā un 2,2% no IKP deficīts 2024. gadā.</w:t>
      </w:r>
      <w:r w:rsidRPr="00EF1D74">
        <w:rPr>
          <w:noProof/>
          <w:color w:val="000000"/>
          <w:szCs w:val="24"/>
          <w:lang w:eastAsia="lv-LV"/>
        </w:rPr>
        <w:t xml:space="preserve"> </w:t>
      </w:r>
    </w:p>
    <w:p w14:paraId="1DFAE26C" w14:textId="77777777" w:rsidR="00DC4D1F" w:rsidRPr="00EF1D74" w:rsidRDefault="00DC4D1F" w:rsidP="00DC4D1F">
      <w:pPr>
        <w:keepNext/>
        <w:spacing w:before="240"/>
        <w:ind w:firstLine="0"/>
        <w:jc w:val="center"/>
        <w:rPr>
          <w:rFonts w:eastAsia="Calibri"/>
          <w:b/>
          <w:i/>
          <w:noProof/>
          <w:szCs w:val="24"/>
        </w:rPr>
      </w:pPr>
      <w:r w:rsidRPr="00843E4D">
        <w:rPr>
          <w:rFonts w:eastAsia="Calibri"/>
          <w:b/>
          <w:i/>
          <w:szCs w:val="24"/>
        </w:rPr>
        <w:t xml:space="preserve">1.11. tabula. </w:t>
      </w:r>
      <w:r w:rsidRPr="00843E4D">
        <w:rPr>
          <w:rFonts w:eastAsia="Calibri"/>
          <w:b/>
          <w:szCs w:val="24"/>
        </w:rPr>
        <w:t xml:space="preserve">Pesimistiskā scenārija ietekme uz vispārējās valdības budžetu, </w:t>
      </w:r>
      <w:r w:rsidRPr="00843E4D">
        <w:rPr>
          <w:rFonts w:eastAsia="Calibri"/>
          <w:b/>
          <w:noProof/>
          <w:szCs w:val="24"/>
        </w:rPr>
        <w:t>milj.</w:t>
      </w:r>
      <w:r w:rsidRPr="00843E4D">
        <w:rPr>
          <w:rFonts w:eastAsia="Calibri"/>
          <w:b/>
          <w:i/>
          <w:noProof/>
          <w:szCs w:val="24"/>
        </w:rPr>
        <w:t xml:space="preserve"> euro</w:t>
      </w:r>
    </w:p>
    <w:tbl>
      <w:tblPr>
        <w:tblW w:w="91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2"/>
        <w:gridCol w:w="848"/>
        <w:gridCol w:w="847"/>
        <w:gridCol w:w="848"/>
        <w:gridCol w:w="847"/>
        <w:gridCol w:w="706"/>
        <w:gridCol w:w="706"/>
        <w:gridCol w:w="705"/>
        <w:gridCol w:w="631"/>
        <w:gridCol w:w="15"/>
      </w:tblGrid>
      <w:tr w:rsidR="00DC4D1F" w:rsidRPr="00EF1D74" w14:paraId="0D7BB444" w14:textId="77777777" w:rsidTr="00BF25F0">
        <w:trPr>
          <w:trHeight w:val="257"/>
          <w:tblHeader/>
          <w:jc w:val="center"/>
        </w:trPr>
        <w:tc>
          <w:tcPr>
            <w:tcW w:w="2962" w:type="dxa"/>
            <w:shd w:val="clear" w:color="auto" w:fill="C6D9F1" w:themeFill="text2" w:themeFillTint="33"/>
            <w:vAlign w:val="center"/>
            <w:hideMark/>
          </w:tcPr>
          <w:p w14:paraId="3CCCFA2A" w14:textId="77777777" w:rsidR="00DC4D1F" w:rsidRPr="00EF1D74" w:rsidRDefault="00DC4D1F" w:rsidP="00BF25F0">
            <w:pPr>
              <w:spacing w:after="0"/>
              <w:ind w:firstLine="0"/>
              <w:jc w:val="left"/>
              <w:rPr>
                <w:sz w:val="18"/>
                <w:szCs w:val="18"/>
                <w:lang w:eastAsia="lv-LV"/>
              </w:rPr>
            </w:pPr>
          </w:p>
        </w:tc>
        <w:tc>
          <w:tcPr>
            <w:tcW w:w="3390" w:type="dxa"/>
            <w:gridSpan w:val="4"/>
            <w:shd w:val="clear" w:color="auto" w:fill="C6D9F1" w:themeFill="text2" w:themeFillTint="33"/>
            <w:vAlign w:val="center"/>
          </w:tcPr>
          <w:p w14:paraId="1EA5E830" w14:textId="77777777" w:rsidR="00DC4D1F" w:rsidRPr="00EF1D74" w:rsidRDefault="00DC4D1F" w:rsidP="00BF25F0">
            <w:pPr>
              <w:spacing w:after="0"/>
              <w:ind w:firstLine="0"/>
              <w:jc w:val="center"/>
              <w:rPr>
                <w:b/>
                <w:sz w:val="18"/>
                <w:szCs w:val="18"/>
                <w:lang w:eastAsia="lv-LV"/>
              </w:rPr>
            </w:pPr>
            <w:r w:rsidRPr="00EF1D74">
              <w:rPr>
                <w:b/>
                <w:sz w:val="18"/>
                <w:szCs w:val="18"/>
                <w:lang w:eastAsia="lv-LV"/>
              </w:rPr>
              <w:t>Pesimistiskais scenārijs</w:t>
            </w:r>
          </w:p>
        </w:tc>
        <w:tc>
          <w:tcPr>
            <w:tcW w:w="2763" w:type="dxa"/>
            <w:gridSpan w:val="5"/>
            <w:shd w:val="clear" w:color="auto" w:fill="C6D9F1" w:themeFill="text2" w:themeFillTint="33"/>
            <w:vAlign w:val="center"/>
          </w:tcPr>
          <w:p w14:paraId="5DC9457D" w14:textId="77777777" w:rsidR="00DC4D1F" w:rsidRPr="00EF1D74" w:rsidRDefault="00DC4D1F" w:rsidP="00BF25F0">
            <w:pPr>
              <w:spacing w:after="0"/>
              <w:ind w:firstLine="0"/>
              <w:jc w:val="center"/>
              <w:rPr>
                <w:b/>
                <w:sz w:val="18"/>
                <w:szCs w:val="18"/>
                <w:lang w:eastAsia="lv-LV"/>
              </w:rPr>
            </w:pPr>
            <w:r w:rsidRPr="00EF1D74">
              <w:rPr>
                <w:b/>
                <w:sz w:val="18"/>
                <w:szCs w:val="18"/>
                <w:lang w:eastAsia="lv-LV"/>
              </w:rPr>
              <w:t>Novirze no bāzes scenārija</w:t>
            </w:r>
          </w:p>
        </w:tc>
      </w:tr>
      <w:tr w:rsidR="00DC4D1F" w:rsidRPr="00EF1D74" w14:paraId="5BAB3F3C" w14:textId="77777777" w:rsidTr="00BF25F0">
        <w:trPr>
          <w:gridAfter w:val="1"/>
          <w:wAfter w:w="15" w:type="dxa"/>
          <w:trHeight w:val="221"/>
          <w:jc w:val="center"/>
        </w:trPr>
        <w:tc>
          <w:tcPr>
            <w:tcW w:w="2962" w:type="dxa"/>
            <w:shd w:val="clear" w:color="auto" w:fill="C6D9F1" w:themeFill="text2" w:themeFillTint="33"/>
            <w:vAlign w:val="center"/>
            <w:hideMark/>
          </w:tcPr>
          <w:p w14:paraId="5DBF3EBD" w14:textId="77777777" w:rsidR="00DC4D1F" w:rsidRPr="00EF1D74" w:rsidRDefault="00DC4D1F" w:rsidP="00BF25F0">
            <w:pPr>
              <w:spacing w:after="0"/>
              <w:ind w:firstLine="0"/>
              <w:jc w:val="left"/>
              <w:rPr>
                <w:sz w:val="18"/>
                <w:szCs w:val="18"/>
                <w:lang w:eastAsia="lv-LV"/>
              </w:rPr>
            </w:pPr>
          </w:p>
        </w:tc>
        <w:tc>
          <w:tcPr>
            <w:tcW w:w="848" w:type="dxa"/>
            <w:shd w:val="clear" w:color="auto" w:fill="C6D9F1" w:themeFill="text2" w:themeFillTint="33"/>
            <w:tcMar>
              <w:left w:w="57" w:type="dxa"/>
              <w:right w:w="57" w:type="dxa"/>
            </w:tcMar>
            <w:vAlign w:val="center"/>
          </w:tcPr>
          <w:p w14:paraId="0CD6AEAE" w14:textId="77777777" w:rsidR="00DC4D1F" w:rsidRPr="00EF1D74" w:rsidRDefault="00DC4D1F" w:rsidP="00BF25F0">
            <w:pPr>
              <w:spacing w:after="0"/>
              <w:ind w:firstLine="0"/>
              <w:jc w:val="center"/>
              <w:rPr>
                <w:b/>
                <w:sz w:val="18"/>
                <w:szCs w:val="18"/>
                <w:lang w:eastAsia="lv-LV"/>
              </w:rPr>
            </w:pPr>
            <w:r w:rsidRPr="00EF1D74">
              <w:rPr>
                <w:b/>
                <w:sz w:val="18"/>
                <w:szCs w:val="18"/>
                <w:lang w:eastAsia="lv-LV"/>
              </w:rPr>
              <w:t>202</w:t>
            </w:r>
            <w:r>
              <w:rPr>
                <w:b/>
                <w:sz w:val="18"/>
                <w:szCs w:val="18"/>
                <w:lang w:eastAsia="lv-LV"/>
              </w:rPr>
              <w:t>1</w:t>
            </w:r>
          </w:p>
        </w:tc>
        <w:tc>
          <w:tcPr>
            <w:tcW w:w="847" w:type="dxa"/>
            <w:shd w:val="clear" w:color="auto" w:fill="C6D9F1" w:themeFill="text2" w:themeFillTint="33"/>
            <w:tcMar>
              <w:left w:w="57" w:type="dxa"/>
              <w:right w:w="57" w:type="dxa"/>
            </w:tcMar>
            <w:vAlign w:val="center"/>
          </w:tcPr>
          <w:p w14:paraId="22F810C5" w14:textId="77777777" w:rsidR="00DC4D1F" w:rsidRPr="00EF1D74" w:rsidRDefault="00DC4D1F" w:rsidP="00BF25F0">
            <w:pPr>
              <w:spacing w:after="0"/>
              <w:ind w:firstLine="0"/>
              <w:jc w:val="center"/>
              <w:rPr>
                <w:b/>
                <w:sz w:val="18"/>
                <w:szCs w:val="18"/>
                <w:lang w:eastAsia="lv-LV"/>
              </w:rPr>
            </w:pPr>
            <w:r w:rsidRPr="00EF1D74">
              <w:rPr>
                <w:b/>
                <w:sz w:val="18"/>
                <w:szCs w:val="18"/>
                <w:lang w:eastAsia="lv-LV"/>
              </w:rPr>
              <w:t>202</w:t>
            </w:r>
            <w:r>
              <w:rPr>
                <w:b/>
                <w:sz w:val="18"/>
                <w:szCs w:val="18"/>
                <w:lang w:eastAsia="lv-LV"/>
              </w:rPr>
              <w:t>2</w:t>
            </w:r>
          </w:p>
        </w:tc>
        <w:tc>
          <w:tcPr>
            <w:tcW w:w="848" w:type="dxa"/>
            <w:shd w:val="clear" w:color="auto" w:fill="C6D9F1" w:themeFill="text2" w:themeFillTint="33"/>
            <w:tcMar>
              <w:left w:w="57" w:type="dxa"/>
              <w:right w:w="57" w:type="dxa"/>
            </w:tcMar>
            <w:vAlign w:val="center"/>
          </w:tcPr>
          <w:p w14:paraId="21A81AF4" w14:textId="77777777" w:rsidR="00DC4D1F" w:rsidRPr="00EF1D74" w:rsidRDefault="00DC4D1F" w:rsidP="00BF25F0">
            <w:pPr>
              <w:spacing w:after="0"/>
              <w:ind w:firstLine="0"/>
              <w:jc w:val="center"/>
              <w:rPr>
                <w:b/>
                <w:sz w:val="18"/>
                <w:szCs w:val="18"/>
                <w:lang w:eastAsia="lv-LV"/>
              </w:rPr>
            </w:pPr>
            <w:r w:rsidRPr="00EF1D74">
              <w:rPr>
                <w:b/>
                <w:sz w:val="18"/>
                <w:szCs w:val="18"/>
                <w:lang w:eastAsia="lv-LV"/>
              </w:rPr>
              <w:t>202</w:t>
            </w:r>
            <w:r>
              <w:rPr>
                <w:b/>
                <w:sz w:val="18"/>
                <w:szCs w:val="18"/>
                <w:lang w:eastAsia="lv-LV"/>
              </w:rPr>
              <w:t>3</w:t>
            </w:r>
          </w:p>
        </w:tc>
        <w:tc>
          <w:tcPr>
            <w:tcW w:w="847" w:type="dxa"/>
            <w:shd w:val="clear" w:color="auto" w:fill="C6D9F1" w:themeFill="text2" w:themeFillTint="33"/>
            <w:tcMar>
              <w:left w:w="57" w:type="dxa"/>
              <w:right w:w="57" w:type="dxa"/>
            </w:tcMar>
            <w:vAlign w:val="center"/>
          </w:tcPr>
          <w:p w14:paraId="491EBDC2" w14:textId="77777777" w:rsidR="00DC4D1F" w:rsidRPr="00EF1D74" w:rsidRDefault="00DC4D1F" w:rsidP="00BF25F0">
            <w:pPr>
              <w:spacing w:after="0"/>
              <w:ind w:firstLine="0"/>
              <w:jc w:val="center"/>
              <w:rPr>
                <w:b/>
                <w:sz w:val="18"/>
                <w:szCs w:val="18"/>
                <w:lang w:eastAsia="lv-LV"/>
              </w:rPr>
            </w:pPr>
            <w:r w:rsidRPr="00EF1D74">
              <w:rPr>
                <w:b/>
                <w:sz w:val="18"/>
                <w:szCs w:val="18"/>
                <w:lang w:eastAsia="lv-LV"/>
              </w:rPr>
              <w:t>202</w:t>
            </w:r>
            <w:r>
              <w:rPr>
                <w:b/>
                <w:sz w:val="18"/>
                <w:szCs w:val="18"/>
                <w:lang w:eastAsia="lv-LV"/>
              </w:rPr>
              <w:t>4</w:t>
            </w:r>
          </w:p>
        </w:tc>
        <w:tc>
          <w:tcPr>
            <w:tcW w:w="706" w:type="dxa"/>
            <w:shd w:val="clear" w:color="auto" w:fill="C6D9F1" w:themeFill="text2" w:themeFillTint="33"/>
            <w:tcMar>
              <w:left w:w="57" w:type="dxa"/>
              <w:right w:w="57" w:type="dxa"/>
            </w:tcMar>
            <w:vAlign w:val="center"/>
            <w:hideMark/>
          </w:tcPr>
          <w:p w14:paraId="3B62A161" w14:textId="77777777" w:rsidR="00DC4D1F" w:rsidRPr="00EF1D74" w:rsidRDefault="00DC4D1F" w:rsidP="00BF25F0">
            <w:pPr>
              <w:spacing w:after="0"/>
              <w:ind w:firstLine="0"/>
              <w:jc w:val="center"/>
              <w:rPr>
                <w:b/>
                <w:sz w:val="18"/>
                <w:szCs w:val="18"/>
                <w:lang w:eastAsia="lv-LV"/>
              </w:rPr>
            </w:pPr>
            <w:r w:rsidRPr="00EF1D74">
              <w:rPr>
                <w:b/>
                <w:sz w:val="18"/>
                <w:szCs w:val="18"/>
                <w:lang w:eastAsia="lv-LV"/>
              </w:rPr>
              <w:t>202</w:t>
            </w:r>
            <w:r>
              <w:rPr>
                <w:b/>
                <w:sz w:val="18"/>
                <w:szCs w:val="18"/>
                <w:lang w:eastAsia="lv-LV"/>
              </w:rPr>
              <w:t>1</w:t>
            </w:r>
          </w:p>
        </w:tc>
        <w:tc>
          <w:tcPr>
            <w:tcW w:w="706" w:type="dxa"/>
            <w:shd w:val="clear" w:color="auto" w:fill="C6D9F1" w:themeFill="text2" w:themeFillTint="33"/>
            <w:tcMar>
              <w:left w:w="57" w:type="dxa"/>
              <w:right w:w="57" w:type="dxa"/>
            </w:tcMar>
            <w:vAlign w:val="center"/>
            <w:hideMark/>
          </w:tcPr>
          <w:p w14:paraId="51D5E147" w14:textId="77777777" w:rsidR="00DC4D1F" w:rsidRPr="00EF1D74" w:rsidRDefault="00DC4D1F" w:rsidP="00BF25F0">
            <w:pPr>
              <w:spacing w:after="0"/>
              <w:ind w:firstLine="0"/>
              <w:jc w:val="center"/>
              <w:rPr>
                <w:b/>
                <w:sz w:val="18"/>
                <w:szCs w:val="18"/>
                <w:lang w:eastAsia="lv-LV"/>
              </w:rPr>
            </w:pPr>
            <w:r w:rsidRPr="00EF1D74">
              <w:rPr>
                <w:b/>
                <w:sz w:val="18"/>
                <w:szCs w:val="18"/>
                <w:lang w:eastAsia="lv-LV"/>
              </w:rPr>
              <w:t>202</w:t>
            </w:r>
            <w:r>
              <w:rPr>
                <w:b/>
                <w:sz w:val="18"/>
                <w:szCs w:val="18"/>
                <w:lang w:eastAsia="lv-LV"/>
              </w:rPr>
              <w:t>2</w:t>
            </w:r>
          </w:p>
        </w:tc>
        <w:tc>
          <w:tcPr>
            <w:tcW w:w="705" w:type="dxa"/>
            <w:shd w:val="clear" w:color="auto" w:fill="C6D9F1" w:themeFill="text2" w:themeFillTint="33"/>
            <w:tcMar>
              <w:left w:w="57" w:type="dxa"/>
              <w:right w:w="57" w:type="dxa"/>
            </w:tcMar>
            <w:vAlign w:val="center"/>
          </w:tcPr>
          <w:p w14:paraId="15302EDF" w14:textId="77777777" w:rsidR="00DC4D1F" w:rsidRPr="00EF1D74" w:rsidRDefault="00DC4D1F" w:rsidP="00BF25F0">
            <w:pPr>
              <w:spacing w:after="0"/>
              <w:ind w:firstLine="0"/>
              <w:jc w:val="center"/>
              <w:rPr>
                <w:b/>
                <w:sz w:val="18"/>
                <w:szCs w:val="18"/>
                <w:lang w:eastAsia="lv-LV"/>
              </w:rPr>
            </w:pPr>
            <w:r w:rsidRPr="00EF1D74">
              <w:rPr>
                <w:b/>
                <w:sz w:val="18"/>
                <w:szCs w:val="18"/>
                <w:lang w:eastAsia="lv-LV"/>
              </w:rPr>
              <w:t>202</w:t>
            </w:r>
            <w:r>
              <w:rPr>
                <w:b/>
                <w:sz w:val="18"/>
                <w:szCs w:val="18"/>
                <w:lang w:eastAsia="lv-LV"/>
              </w:rPr>
              <w:t>3</w:t>
            </w:r>
          </w:p>
        </w:tc>
        <w:tc>
          <w:tcPr>
            <w:tcW w:w="631" w:type="dxa"/>
            <w:shd w:val="clear" w:color="auto" w:fill="C6D9F1" w:themeFill="text2" w:themeFillTint="33"/>
            <w:tcMar>
              <w:left w:w="57" w:type="dxa"/>
              <w:right w:w="57" w:type="dxa"/>
            </w:tcMar>
            <w:vAlign w:val="center"/>
            <w:hideMark/>
          </w:tcPr>
          <w:p w14:paraId="7482DED3" w14:textId="77777777" w:rsidR="00DC4D1F" w:rsidRPr="00EF1D74" w:rsidRDefault="00DC4D1F" w:rsidP="00BF25F0">
            <w:pPr>
              <w:spacing w:after="0"/>
              <w:ind w:firstLine="0"/>
              <w:jc w:val="center"/>
              <w:rPr>
                <w:b/>
                <w:sz w:val="18"/>
                <w:szCs w:val="18"/>
                <w:lang w:eastAsia="lv-LV"/>
              </w:rPr>
            </w:pPr>
            <w:r w:rsidRPr="00EF1D74">
              <w:rPr>
                <w:b/>
                <w:sz w:val="18"/>
                <w:szCs w:val="18"/>
                <w:lang w:eastAsia="lv-LV"/>
              </w:rPr>
              <w:t>202</w:t>
            </w:r>
            <w:r>
              <w:rPr>
                <w:b/>
                <w:sz w:val="18"/>
                <w:szCs w:val="18"/>
                <w:lang w:eastAsia="lv-LV"/>
              </w:rPr>
              <w:t>4</w:t>
            </w:r>
          </w:p>
        </w:tc>
      </w:tr>
      <w:tr w:rsidR="00DC4D1F" w:rsidRPr="00EF1D74" w14:paraId="054EA5DF" w14:textId="77777777" w:rsidTr="00BF25F0">
        <w:trPr>
          <w:gridAfter w:val="1"/>
          <w:wAfter w:w="15" w:type="dxa"/>
          <w:trHeight w:val="367"/>
          <w:jc w:val="center"/>
        </w:trPr>
        <w:tc>
          <w:tcPr>
            <w:tcW w:w="2962" w:type="dxa"/>
            <w:shd w:val="clear" w:color="auto" w:fill="auto"/>
            <w:vAlign w:val="center"/>
          </w:tcPr>
          <w:p w14:paraId="53A5C0EE" w14:textId="77777777" w:rsidR="00DC4D1F" w:rsidRPr="00EF1D74" w:rsidRDefault="00DC4D1F" w:rsidP="00BF25F0">
            <w:pPr>
              <w:spacing w:after="0"/>
              <w:ind w:firstLine="0"/>
              <w:jc w:val="left"/>
              <w:rPr>
                <w:b/>
                <w:sz w:val="18"/>
                <w:szCs w:val="18"/>
                <w:lang w:eastAsia="lv-LV"/>
              </w:rPr>
            </w:pPr>
            <w:r w:rsidRPr="00EF1D74">
              <w:rPr>
                <w:b/>
                <w:sz w:val="18"/>
                <w:szCs w:val="18"/>
                <w:lang w:eastAsia="lv-LV"/>
              </w:rPr>
              <w:t>Vispārējās valdības budžeta bilance</w:t>
            </w:r>
            <w:r w:rsidRPr="00EF1D74">
              <w:rPr>
                <w:b/>
                <w:sz w:val="18"/>
                <w:szCs w:val="18"/>
                <w:vertAlign w:val="superscript"/>
                <w:lang w:eastAsia="lv-LV"/>
              </w:rPr>
              <w:footnoteReference w:id="8"/>
            </w:r>
            <w:r w:rsidRPr="00EF1D74">
              <w:rPr>
                <w:b/>
                <w:sz w:val="18"/>
                <w:szCs w:val="18"/>
                <w:lang w:eastAsia="lv-LV"/>
              </w:rPr>
              <w:t>, % no IKP</w:t>
            </w:r>
          </w:p>
        </w:tc>
        <w:tc>
          <w:tcPr>
            <w:tcW w:w="848" w:type="dxa"/>
            <w:shd w:val="clear" w:color="auto" w:fill="auto"/>
            <w:tcMar>
              <w:left w:w="57" w:type="dxa"/>
              <w:right w:w="57" w:type="dxa"/>
            </w:tcMar>
            <w:vAlign w:val="center"/>
          </w:tcPr>
          <w:p w14:paraId="18E74607" w14:textId="77777777" w:rsidR="00DC4D1F" w:rsidRPr="00E523E6" w:rsidRDefault="00DC4D1F" w:rsidP="00BF25F0">
            <w:pPr>
              <w:spacing w:after="0"/>
              <w:ind w:firstLine="0"/>
              <w:jc w:val="right"/>
              <w:rPr>
                <w:b/>
                <w:sz w:val="18"/>
                <w:szCs w:val="18"/>
                <w:lang w:eastAsia="lv-LV"/>
              </w:rPr>
            </w:pPr>
            <w:r w:rsidRPr="00E523E6">
              <w:rPr>
                <w:b/>
                <w:sz w:val="18"/>
                <w:szCs w:val="18"/>
                <w:lang w:eastAsia="lv-LV"/>
              </w:rPr>
              <w:t>-9,6</w:t>
            </w:r>
          </w:p>
        </w:tc>
        <w:tc>
          <w:tcPr>
            <w:tcW w:w="847" w:type="dxa"/>
            <w:shd w:val="clear" w:color="auto" w:fill="auto"/>
            <w:tcMar>
              <w:left w:w="57" w:type="dxa"/>
              <w:right w:w="57" w:type="dxa"/>
            </w:tcMar>
            <w:vAlign w:val="center"/>
          </w:tcPr>
          <w:p w14:paraId="7B762CAB" w14:textId="77777777" w:rsidR="00DC4D1F" w:rsidRPr="00E523E6" w:rsidRDefault="00DC4D1F" w:rsidP="00BF25F0">
            <w:pPr>
              <w:spacing w:after="0"/>
              <w:ind w:firstLine="0"/>
              <w:jc w:val="right"/>
              <w:rPr>
                <w:b/>
                <w:sz w:val="18"/>
                <w:szCs w:val="18"/>
                <w:lang w:eastAsia="lv-LV"/>
              </w:rPr>
            </w:pPr>
            <w:r w:rsidRPr="00E523E6">
              <w:rPr>
                <w:b/>
                <w:sz w:val="18"/>
                <w:szCs w:val="18"/>
                <w:lang w:eastAsia="lv-LV"/>
              </w:rPr>
              <w:t>-5,8</w:t>
            </w:r>
          </w:p>
        </w:tc>
        <w:tc>
          <w:tcPr>
            <w:tcW w:w="848" w:type="dxa"/>
            <w:shd w:val="clear" w:color="auto" w:fill="auto"/>
            <w:tcMar>
              <w:left w:w="57" w:type="dxa"/>
              <w:right w:w="57" w:type="dxa"/>
            </w:tcMar>
            <w:vAlign w:val="center"/>
          </w:tcPr>
          <w:p w14:paraId="7F9C89D0" w14:textId="77777777" w:rsidR="00DC4D1F" w:rsidRPr="00E523E6" w:rsidRDefault="00DC4D1F" w:rsidP="00BF25F0">
            <w:pPr>
              <w:spacing w:after="0"/>
              <w:ind w:firstLine="0"/>
              <w:jc w:val="right"/>
              <w:rPr>
                <w:b/>
                <w:sz w:val="18"/>
                <w:szCs w:val="18"/>
                <w:lang w:eastAsia="lv-LV"/>
              </w:rPr>
            </w:pPr>
            <w:r w:rsidRPr="00E523E6">
              <w:rPr>
                <w:b/>
                <w:sz w:val="18"/>
                <w:szCs w:val="18"/>
                <w:lang w:eastAsia="lv-LV"/>
              </w:rPr>
              <w:t>-3,1</w:t>
            </w:r>
          </w:p>
        </w:tc>
        <w:tc>
          <w:tcPr>
            <w:tcW w:w="847" w:type="dxa"/>
            <w:shd w:val="clear" w:color="auto" w:fill="auto"/>
            <w:tcMar>
              <w:left w:w="57" w:type="dxa"/>
              <w:right w:w="57" w:type="dxa"/>
            </w:tcMar>
            <w:vAlign w:val="center"/>
          </w:tcPr>
          <w:p w14:paraId="335FEDC5" w14:textId="77777777" w:rsidR="00DC4D1F" w:rsidRPr="00E523E6" w:rsidRDefault="00DC4D1F" w:rsidP="00BF25F0">
            <w:pPr>
              <w:spacing w:after="0"/>
              <w:ind w:firstLine="0"/>
              <w:jc w:val="right"/>
              <w:rPr>
                <w:b/>
                <w:sz w:val="18"/>
                <w:szCs w:val="18"/>
                <w:lang w:eastAsia="lv-LV"/>
              </w:rPr>
            </w:pPr>
            <w:r w:rsidRPr="00E523E6">
              <w:rPr>
                <w:b/>
                <w:sz w:val="18"/>
                <w:szCs w:val="18"/>
                <w:lang w:eastAsia="lv-LV"/>
              </w:rPr>
              <w:t>-2,2</w:t>
            </w:r>
          </w:p>
        </w:tc>
        <w:tc>
          <w:tcPr>
            <w:tcW w:w="706" w:type="dxa"/>
            <w:shd w:val="clear" w:color="auto" w:fill="auto"/>
            <w:tcMar>
              <w:left w:w="57" w:type="dxa"/>
              <w:right w:w="57" w:type="dxa"/>
            </w:tcMar>
            <w:vAlign w:val="center"/>
          </w:tcPr>
          <w:p w14:paraId="02316621" w14:textId="77777777" w:rsidR="00DC4D1F" w:rsidRPr="00E523E6" w:rsidRDefault="00DC4D1F" w:rsidP="00BF25F0">
            <w:pPr>
              <w:spacing w:after="0"/>
              <w:ind w:firstLine="0"/>
              <w:jc w:val="right"/>
              <w:rPr>
                <w:b/>
                <w:sz w:val="18"/>
                <w:szCs w:val="18"/>
                <w:lang w:eastAsia="lv-LV"/>
              </w:rPr>
            </w:pPr>
            <w:r w:rsidRPr="00E523E6">
              <w:rPr>
                <w:b/>
                <w:sz w:val="18"/>
                <w:szCs w:val="18"/>
                <w:lang w:eastAsia="lv-LV"/>
              </w:rPr>
              <w:t>-0,3</w:t>
            </w:r>
          </w:p>
        </w:tc>
        <w:tc>
          <w:tcPr>
            <w:tcW w:w="706" w:type="dxa"/>
            <w:shd w:val="clear" w:color="auto" w:fill="auto"/>
            <w:tcMar>
              <w:left w:w="57" w:type="dxa"/>
              <w:right w:w="57" w:type="dxa"/>
            </w:tcMar>
            <w:vAlign w:val="center"/>
          </w:tcPr>
          <w:p w14:paraId="3C279F02" w14:textId="77777777" w:rsidR="00DC4D1F" w:rsidRPr="00E523E6" w:rsidRDefault="00DC4D1F" w:rsidP="00BF25F0">
            <w:pPr>
              <w:spacing w:after="0" w:line="259" w:lineRule="auto"/>
              <w:ind w:firstLine="0"/>
              <w:jc w:val="right"/>
              <w:rPr>
                <w:b/>
                <w:sz w:val="18"/>
                <w:szCs w:val="18"/>
                <w:lang w:eastAsia="lv-LV"/>
              </w:rPr>
            </w:pPr>
            <w:r w:rsidRPr="00E523E6">
              <w:rPr>
                <w:b/>
                <w:sz w:val="18"/>
                <w:szCs w:val="18"/>
                <w:lang w:eastAsia="lv-LV"/>
              </w:rPr>
              <w:t>-1,1</w:t>
            </w:r>
          </w:p>
        </w:tc>
        <w:tc>
          <w:tcPr>
            <w:tcW w:w="705" w:type="dxa"/>
            <w:shd w:val="clear" w:color="auto" w:fill="auto"/>
            <w:tcMar>
              <w:left w:w="57" w:type="dxa"/>
              <w:right w:w="57" w:type="dxa"/>
            </w:tcMar>
            <w:vAlign w:val="center"/>
          </w:tcPr>
          <w:p w14:paraId="570BF136" w14:textId="77777777" w:rsidR="00DC4D1F" w:rsidRPr="00E523E6" w:rsidRDefault="00DC4D1F" w:rsidP="00BF25F0">
            <w:pPr>
              <w:spacing w:after="0" w:line="259" w:lineRule="auto"/>
              <w:ind w:firstLine="0"/>
              <w:jc w:val="right"/>
              <w:rPr>
                <w:b/>
                <w:sz w:val="18"/>
                <w:szCs w:val="18"/>
                <w:lang w:eastAsia="lv-LV"/>
              </w:rPr>
            </w:pPr>
            <w:r w:rsidRPr="00E523E6">
              <w:rPr>
                <w:b/>
                <w:sz w:val="18"/>
                <w:szCs w:val="18"/>
                <w:lang w:eastAsia="lv-LV"/>
              </w:rPr>
              <w:t>-1,0</w:t>
            </w:r>
          </w:p>
        </w:tc>
        <w:tc>
          <w:tcPr>
            <w:tcW w:w="631" w:type="dxa"/>
            <w:shd w:val="clear" w:color="auto" w:fill="auto"/>
            <w:tcMar>
              <w:left w:w="57" w:type="dxa"/>
              <w:right w:w="57" w:type="dxa"/>
            </w:tcMar>
            <w:vAlign w:val="center"/>
          </w:tcPr>
          <w:p w14:paraId="00317B2A" w14:textId="77777777" w:rsidR="00DC4D1F" w:rsidRPr="00E523E6" w:rsidRDefault="00DC4D1F" w:rsidP="00BF25F0">
            <w:pPr>
              <w:spacing w:after="0" w:line="259" w:lineRule="auto"/>
              <w:ind w:firstLine="0"/>
              <w:jc w:val="right"/>
              <w:rPr>
                <w:b/>
                <w:sz w:val="18"/>
                <w:szCs w:val="18"/>
                <w:lang w:eastAsia="lv-LV"/>
              </w:rPr>
            </w:pPr>
            <w:r w:rsidRPr="00E523E6">
              <w:rPr>
                <w:b/>
                <w:sz w:val="18"/>
                <w:szCs w:val="18"/>
                <w:lang w:eastAsia="lv-LV"/>
              </w:rPr>
              <w:t>-1,0</w:t>
            </w:r>
          </w:p>
        </w:tc>
      </w:tr>
      <w:tr w:rsidR="00DC4D1F" w:rsidRPr="00EF1D74" w14:paraId="417C06E8" w14:textId="77777777" w:rsidTr="00BF25F0">
        <w:trPr>
          <w:gridAfter w:val="1"/>
          <w:wAfter w:w="15" w:type="dxa"/>
          <w:trHeight w:val="186"/>
          <w:jc w:val="center"/>
        </w:trPr>
        <w:tc>
          <w:tcPr>
            <w:tcW w:w="2962" w:type="dxa"/>
            <w:shd w:val="clear" w:color="auto" w:fill="auto"/>
            <w:vAlign w:val="center"/>
          </w:tcPr>
          <w:p w14:paraId="353E048D" w14:textId="77777777" w:rsidR="00DC4D1F" w:rsidRPr="00EF1D74" w:rsidRDefault="00DC4D1F" w:rsidP="00BF25F0">
            <w:pPr>
              <w:spacing w:after="0"/>
              <w:ind w:firstLine="0"/>
              <w:jc w:val="left"/>
              <w:rPr>
                <w:sz w:val="18"/>
                <w:szCs w:val="18"/>
                <w:lang w:eastAsia="lv-LV"/>
              </w:rPr>
            </w:pPr>
            <w:r w:rsidRPr="00EF1D74">
              <w:rPr>
                <w:sz w:val="18"/>
                <w:szCs w:val="18"/>
                <w:lang w:eastAsia="lv-LV"/>
              </w:rPr>
              <w:t>Vispārējās valdības budžeta bilance</w:t>
            </w:r>
          </w:p>
        </w:tc>
        <w:tc>
          <w:tcPr>
            <w:tcW w:w="848" w:type="dxa"/>
            <w:shd w:val="clear" w:color="auto" w:fill="auto"/>
            <w:tcMar>
              <w:left w:w="57" w:type="dxa"/>
              <w:right w:w="57" w:type="dxa"/>
            </w:tcMar>
            <w:vAlign w:val="center"/>
          </w:tcPr>
          <w:p w14:paraId="27416156" w14:textId="77777777" w:rsidR="00DC4D1F" w:rsidRPr="00E523E6" w:rsidRDefault="00DC4D1F" w:rsidP="00BF25F0">
            <w:pPr>
              <w:spacing w:after="0"/>
              <w:ind w:firstLine="0"/>
              <w:jc w:val="right"/>
              <w:rPr>
                <w:sz w:val="18"/>
                <w:szCs w:val="18"/>
                <w:lang w:eastAsia="lv-LV"/>
              </w:rPr>
            </w:pPr>
            <w:r w:rsidRPr="00E523E6">
              <w:rPr>
                <w:sz w:val="18"/>
                <w:szCs w:val="18"/>
                <w:lang w:eastAsia="lv-LV"/>
              </w:rPr>
              <w:t>-2 994,6</w:t>
            </w:r>
          </w:p>
        </w:tc>
        <w:tc>
          <w:tcPr>
            <w:tcW w:w="847" w:type="dxa"/>
            <w:shd w:val="clear" w:color="auto" w:fill="auto"/>
            <w:tcMar>
              <w:left w:w="57" w:type="dxa"/>
              <w:right w:w="57" w:type="dxa"/>
            </w:tcMar>
            <w:vAlign w:val="center"/>
          </w:tcPr>
          <w:p w14:paraId="123FF82C" w14:textId="77777777" w:rsidR="00DC4D1F" w:rsidRPr="00E523E6" w:rsidRDefault="00DC4D1F" w:rsidP="00BF25F0">
            <w:pPr>
              <w:spacing w:after="0"/>
              <w:ind w:firstLine="0"/>
              <w:jc w:val="right"/>
              <w:rPr>
                <w:sz w:val="18"/>
                <w:szCs w:val="18"/>
                <w:lang w:eastAsia="lv-LV"/>
              </w:rPr>
            </w:pPr>
            <w:r w:rsidRPr="00E523E6">
              <w:rPr>
                <w:sz w:val="18"/>
                <w:szCs w:val="18"/>
                <w:lang w:eastAsia="lv-LV"/>
              </w:rPr>
              <w:t>-1 926,8</w:t>
            </w:r>
          </w:p>
        </w:tc>
        <w:tc>
          <w:tcPr>
            <w:tcW w:w="848" w:type="dxa"/>
            <w:shd w:val="clear" w:color="auto" w:fill="auto"/>
            <w:tcMar>
              <w:left w:w="57" w:type="dxa"/>
              <w:right w:w="57" w:type="dxa"/>
            </w:tcMar>
            <w:vAlign w:val="center"/>
          </w:tcPr>
          <w:p w14:paraId="3B207C99" w14:textId="77777777" w:rsidR="00DC4D1F" w:rsidRPr="00E523E6" w:rsidRDefault="00DC4D1F" w:rsidP="00BF25F0">
            <w:pPr>
              <w:spacing w:after="0"/>
              <w:ind w:firstLine="0"/>
              <w:jc w:val="right"/>
              <w:rPr>
                <w:sz w:val="18"/>
                <w:szCs w:val="18"/>
                <w:lang w:eastAsia="lv-LV"/>
              </w:rPr>
            </w:pPr>
            <w:r w:rsidRPr="00E523E6">
              <w:rPr>
                <w:sz w:val="18"/>
                <w:szCs w:val="18"/>
                <w:lang w:eastAsia="lv-LV"/>
              </w:rPr>
              <w:t>-1 075,1</w:t>
            </w:r>
          </w:p>
        </w:tc>
        <w:tc>
          <w:tcPr>
            <w:tcW w:w="847" w:type="dxa"/>
            <w:shd w:val="clear" w:color="auto" w:fill="auto"/>
            <w:tcMar>
              <w:left w:w="57" w:type="dxa"/>
              <w:right w:w="57" w:type="dxa"/>
            </w:tcMar>
            <w:vAlign w:val="center"/>
          </w:tcPr>
          <w:p w14:paraId="6858DC26" w14:textId="77777777" w:rsidR="00DC4D1F" w:rsidRPr="00E523E6" w:rsidRDefault="00DC4D1F" w:rsidP="00BF25F0">
            <w:pPr>
              <w:spacing w:after="0"/>
              <w:ind w:firstLine="0"/>
              <w:jc w:val="right"/>
              <w:rPr>
                <w:sz w:val="18"/>
                <w:szCs w:val="18"/>
                <w:lang w:eastAsia="lv-LV"/>
              </w:rPr>
            </w:pPr>
            <w:r w:rsidRPr="00E523E6">
              <w:rPr>
                <w:sz w:val="18"/>
                <w:szCs w:val="18"/>
                <w:lang w:eastAsia="lv-LV"/>
              </w:rPr>
              <w:t>-822,7</w:t>
            </w:r>
          </w:p>
        </w:tc>
        <w:tc>
          <w:tcPr>
            <w:tcW w:w="706" w:type="dxa"/>
            <w:shd w:val="clear" w:color="auto" w:fill="auto"/>
            <w:tcMar>
              <w:left w:w="57" w:type="dxa"/>
              <w:right w:w="57" w:type="dxa"/>
            </w:tcMar>
            <w:vAlign w:val="center"/>
          </w:tcPr>
          <w:p w14:paraId="340288CE" w14:textId="77777777" w:rsidR="00DC4D1F" w:rsidRPr="00E523E6" w:rsidRDefault="00DC4D1F" w:rsidP="00BF25F0">
            <w:pPr>
              <w:spacing w:after="0"/>
              <w:ind w:firstLine="0"/>
              <w:jc w:val="right"/>
              <w:rPr>
                <w:sz w:val="18"/>
                <w:szCs w:val="18"/>
                <w:lang w:eastAsia="lv-LV"/>
              </w:rPr>
            </w:pPr>
            <w:r w:rsidRPr="00E523E6">
              <w:rPr>
                <w:sz w:val="18"/>
                <w:szCs w:val="18"/>
                <w:lang w:eastAsia="lv-LV"/>
              </w:rPr>
              <w:t>-62,8</w:t>
            </w:r>
          </w:p>
        </w:tc>
        <w:tc>
          <w:tcPr>
            <w:tcW w:w="706" w:type="dxa"/>
            <w:shd w:val="clear" w:color="auto" w:fill="auto"/>
            <w:tcMar>
              <w:left w:w="57" w:type="dxa"/>
              <w:right w:w="57" w:type="dxa"/>
            </w:tcMar>
            <w:vAlign w:val="center"/>
          </w:tcPr>
          <w:p w14:paraId="604708FF" w14:textId="77777777" w:rsidR="00DC4D1F" w:rsidRPr="00E523E6" w:rsidRDefault="00DC4D1F" w:rsidP="00BF25F0">
            <w:pPr>
              <w:spacing w:after="0" w:line="259" w:lineRule="auto"/>
              <w:ind w:firstLine="0"/>
              <w:jc w:val="right"/>
              <w:rPr>
                <w:sz w:val="18"/>
                <w:szCs w:val="18"/>
                <w:lang w:eastAsia="lv-LV"/>
              </w:rPr>
            </w:pPr>
            <w:r w:rsidRPr="00E523E6">
              <w:rPr>
                <w:sz w:val="18"/>
                <w:szCs w:val="18"/>
                <w:lang w:eastAsia="lv-LV"/>
              </w:rPr>
              <w:t>-305,9</w:t>
            </w:r>
          </w:p>
        </w:tc>
        <w:tc>
          <w:tcPr>
            <w:tcW w:w="705" w:type="dxa"/>
            <w:shd w:val="clear" w:color="auto" w:fill="auto"/>
            <w:tcMar>
              <w:left w:w="57" w:type="dxa"/>
              <w:right w:w="57" w:type="dxa"/>
            </w:tcMar>
            <w:vAlign w:val="center"/>
          </w:tcPr>
          <w:p w14:paraId="20310764" w14:textId="77777777" w:rsidR="00DC4D1F" w:rsidRPr="00E523E6" w:rsidRDefault="00DC4D1F" w:rsidP="00BF25F0">
            <w:pPr>
              <w:spacing w:after="0" w:line="259" w:lineRule="auto"/>
              <w:ind w:firstLine="0"/>
              <w:jc w:val="right"/>
              <w:rPr>
                <w:sz w:val="18"/>
                <w:szCs w:val="18"/>
                <w:lang w:eastAsia="lv-LV"/>
              </w:rPr>
            </w:pPr>
            <w:r w:rsidRPr="00E523E6">
              <w:rPr>
                <w:sz w:val="18"/>
                <w:szCs w:val="18"/>
                <w:lang w:eastAsia="lv-LV"/>
              </w:rPr>
              <w:t>-326,7</w:t>
            </w:r>
          </w:p>
        </w:tc>
        <w:tc>
          <w:tcPr>
            <w:tcW w:w="631" w:type="dxa"/>
            <w:shd w:val="clear" w:color="auto" w:fill="auto"/>
            <w:tcMar>
              <w:left w:w="57" w:type="dxa"/>
              <w:right w:w="57" w:type="dxa"/>
            </w:tcMar>
            <w:vAlign w:val="center"/>
          </w:tcPr>
          <w:p w14:paraId="13F53842" w14:textId="77777777" w:rsidR="00DC4D1F" w:rsidRPr="00E523E6" w:rsidRDefault="00DC4D1F" w:rsidP="00BF25F0">
            <w:pPr>
              <w:spacing w:after="0" w:line="259" w:lineRule="auto"/>
              <w:ind w:firstLine="0"/>
              <w:jc w:val="right"/>
              <w:rPr>
                <w:sz w:val="18"/>
                <w:szCs w:val="18"/>
                <w:lang w:eastAsia="lv-LV"/>
              </w:rPr>
            </w:pPr>
            <w:r w:rsidRPr="00E523E6">
              <w:rPr>
                <w:sz w:val="18"/>
                <w:szCs w:val="18"/>
                <w:lang w:eastAsia="lv-LV"/>
              </w:rPr>
              <w:t>-344,6</w:t>
            </w:r>
          </w:p>
        </w:tc>
      </w:tr>
      <w:tr w:rsidR="00DC4D1F" w:rsidRPr="00EF1D74" w14:paraId="5E80307D" w14:textId="77777777" w:rsidTr="00BF25F0">
        <w:trPr>
          <w:gridAfter w:val="1"/>
          <w:wAfter w:w="15" w:type="dxa"/>
          <w:trHeight w:val="231"/>
          <w:jc w:val="center"/>
        </w:trPr>
        <w:tc>
          <w:tcPr>
            <w:tcW w:w="2962" w:type="dxa"/>
            <w:shd w:val="clear" w:color="auto" w:fill="auto"/>
            <w:vAlign w:val="center"/>
          </w:tcPr>
          <w:p w14:paraId="4E21BE55" w14:textId="77777777" w:rsidR="00DC4D1F" w:rsidRPr="00EF1D74" w:rsidRDefault="00DC4D1F" w:rsidP="00BF25F0">
            <w:pPr>
              <w:spacing w:after="0"/>
              <w:ind w:left="166" w:firstLine="0"/>
              <w:jc w:val="left"/>
              <w:rPr>
                <w:sz w:val="18"/>
                <w:szCs w:val="18"/>
                <w:lang w:eastAsia="lv-LV"/>
              </w:rPr>
            </w:pPr>
            <w:r w:rsidRPr="00EF1D74">
              <w:rPr>
                <w:sz w:val="18"/>
                <w:szCs w:val="18"/>
                <w:lang w:eastAsia="lv-LV"/>
              </w:rPr>
              <w:t>Nodokļu ieņēmumi</w:t>
            </w:r>
          </w:p>
        </w:tc>
        <w:tc>
          <w:tcPr>
            <w:tcW w:w="848" w:type="dxa"/>
            <w:shd w:val="clear" w:color="auto" w:fill="auto"/>
            <w:tcMar>
              <w:left w:w="57" w:type="dxa"/>
              <w:right w:w="57" w:type="dxa"/>
            </w:tcMar>
            <w:vAlign w:val="center"/>
          </w:tcPr>
          <w:p w14:paraId="7F8FAABA" w14:textId="77777777" w:rsidR="00DC4D1F" w:rsidRPr="00A37CDD" w:rsidRDefault="00DC4D1F" w:rsidP="00BF25F0">
            <w:pPr>
              <w:spacing w:after="0"/>
              <w:ind w:firstLine="0"/>
              <w:jc w:val="right"/>
              <w:rPr>
                <w:sz w:val="18"/>
                <w:szCs w:val="18"/>
                <w:lang w:eastAsia="lv-LV"/>
              </w:rPr>
            </w:pPr>
            <w:r w:rsidRPr="00A37CDD">
              <w:rPr>
                <w:sz w:val="18"/>
                <w:szCs w:val="18"/>
                <w:lang w:eastAsia="lv-LV"/>
              </w:rPr>
              <w:t>9 268,6</w:t>
            </w:r>
          </w:p>
        </w:tc>
        <w:tc>
          <w:tcPr>
            <w:tcW w:w="847" w:type="dxa"/>
            <w:shd w:val="clear" w:color="auto" w:fill="auto"/>
            <w:tcMar>
              <w:left w:w="57" w:type="dxa"/>
              <w:right w:w="57" w:type="dxa"/>
            </w:tcMar>
            <w:vAlign w:val="center"/>
          </w:tcPr>
          <w:p w14:paraId="45959855" w14:textId="77777777" w:rsidR="00DC4D1F" w:rsidRPr="00A37CDD" w:rsidRDefault="00DC4D1F" w:rsidP="00BF25F0">
            <w:pPr>
              <w:spacing w:after="0"/>
              <w:ind w:firstLine="0"/>
              <w:jc w:val="right"/>
              <w:rPr>
                <w:sz w:val="18"/>
                <w:szCs w:val="18"/>
                <w:lang w:eastAsia="lv-LV"/>
              </w:rPr>
            </w:pPr>
            <w:r w:rsidRPr="00A37CDD">
              <w:rPr>
                <w:sz w:val="18"/>
                <w:szCs w:val="18"/>
                <w:lang w:eastAsia="lv-LV"/>
              </w:rPr>
              <w:t>9 889,9</w:t>
            </w:r>
          </w:p>
        </w:tc>
        <w:tc>
          <w:tcPr>
            <w:tcW w:w="848" w:type="dxa"/>
            <w:shd w:val="clear" w:color="auto" w:fill="auto"/>
            <w:tcMar>
              <w:left w:w="57" w:type="dxa"/>
              <w:right w:w="57" w:type="dxa"/>
            </w:tcMar>
            <w:vAlign w:val="center"/>
          </w:tcPr>
          <w:p w14:paraId="1701CAF9" w14:textId="77777777" w:rsidR="00DC4D1F" w:rsidRPr="00A37CDD" w:rsidRDefault="00DC4D1F" w:rsidP="00BF25F0">
            <w:pPr>
              <w:spacing w:after="0"/>
              <w:ind w:firstLine="0"/>
              <w:jc w:val="right"/>
              <w:rPr>
                <w:sz w:val="18"/>
                <w:szCs w:val="18"/>
                <w:lang w:eastAsia="lv-LV"/>
              </w:rPr>
            </w:pPr>
            <w:r w:rsidRPr="00A37CDD">
              <w:rPr>
                <w:sz w:val="18"/>
                <w:szCs w:val="18"/>
                <w:lang w:eastAsia="lv-LV"/>
              </w:rPr>
              <w:t>10 456,0</w:t>
            </w:r>
          </w:p>
        </w:tc>
        <w:tc>
          <w:tcPr>
            <w:tcW w:w="847" w:type="dxa"/>
            <w:shd w:val="clear" w:color="auto" w:fill="auto"/>
            <w:tcMar>
              <w:left w:w="57" w:type="dxa"/>
              <w:right w:w="57" w:type="dxa"/>
            </w:tcMar>
            <w:vAlign w:val="center"/>
          </w:tcPr>
          <w:p w14:paraId="3AD480FC" w14:textId="77777777" w:rsidR="00DC4D1F" w:rsidRPr="00A37CDD" w:rsidRDefault="00DC4D1F" w:rsidP="00BF25F0">
            <w:pPr>
              <w:spacing w:after="0"/>
              <w:ind w:firstLine="0"/>
              <w:jc w:val="right"/>
              <w:rPr>
                <w:sz w:val="18"/>
                <w:szCs w:val="18"/>
                <w:lang w:eastAsia="lv-LV"/>
              </w:rPr>
            </w:pPr>
            <w:r w:rsidRPr="00A37CDD">
              <w:rPr>
                <w:sz w:val="18"/>
                <w:szCs w:val="18"/>
                <w:lang w:eastAsia="lv-LV"/>
              </w:rPr>
              <w:t>10 978,9</w:t>
            </w:r>
          </w:p>
        </w:tc>
        <w:tc>
          <w:tcPr>
            <w:tcW w:w="706" w:type="dxa"/>
            <w:shd w:val="clear" w:color="auto" w:fill="auto"/>
            <w:tcMar>
              <w:left w:w="57" w:type="dxa"/>
              <w:right w:w="57" w:type="dxa"/>
            </w:tcMar>
            <w:vAlign w:val="center"/>
          </w:tcPr>
          <w:p w14:paraId="056504D0" w14:textId="77777777" w:rsidR="00DC4D1F" w:rsidRPr="00A37CDD" w:rsidRDefault="00DC4D1F" w:rsidP="00BF25F0">
            <w:pPr>
              <w:spacing w:after="0"/>
              <w:ind w:firstLine="0"/>
              <w:jc w:val="right"/>
              <w:rPr>
                <w:sz w:val="18"/>
                <w:szCs w:val="18"/>
                <w:lang w:eastAsia="lv-LV"/>
              </w:rPr>
            </w:pPr>
            <w:r w:rsidRPr="00A37CDD">
              <w:rPr>
                <w:sz w:val="18"/>
                <w:szCs w:val="18"/>
                <w:lang w:eastAsia="lv-LV"/>
              </w:rPr>
              <w:t>-59,2</w:t>
            </w:r>
          </w:p>
        </w:tc>
        <w:tc>
          <w:tcPr>
            <w:tcW w:w="706" w:type="dxa"/>
            <w:shd w:val="clear" w:color="auto" w:fill="auto"/>
            <w:tcMar>
              <w:left w:w="57" w:type="dxa"/>
              <w:right w:w="57" w:type="dxa"/>
            </w:tcMar>
            <w:vAlign w:val="center"/>
          </w:tcPr>
          <w:p w14:paraId="0F765B0F" w14:textId="77777777" w:rsidR="00DC4D1F" w:rsidRPr="00A37CDD" w:rsidRDefault="00DC4D1F" w:rsidP="00BF25F0">
            <w:pPr>
              <w:spacing w:after="0" w:line="259" w:lineRule="auto"/>
              <w:ind w:firstLine="0"/>
              <w:jc w:val="right"/>
              <w:rPr>
                <w:sz w:val="18"/>
                <w:szCs w:val="18"/>
                <w:lang w:eastAsia="lv-LV"/>
              </w:rPr>
            </w:pPr>
            <w:r w:rsidRPr="00A37CDD">
              <w:rPr>
                <w:sz w:val="18"/>
                <w:szCs w:val="18"/>
                <w:lang w:eastAsia="lv-LV"/>
              </w:rPr>
              <w:t>-291,4</w:t>
            </w:r>
          </w:p>
        </w:tc>
        <w:tc>
          <w:tcPr>
            <w:tcW w:w="705" w:type="dxa"/>
            <w:shd w:val="clear" w:color="auto" w:fill="auto"/>
            <w:tcMar>
              <w:left w:w="57" w:type="dxa"/>
              <w:right w:w="57" w:type="dxa"/>
            </w:tcMar>
            <w:vAlign w:val="center"/>
          </w:tcPr>
          <w:p w14:paraId="4A900A77" w14:textId="77777777" w:rsidR="00DC4D1F" w:rsidRPr="00A37CDD" w:rsidRDefault="00DC4D1F" w:rsidP="00BF25F0">
            <w:pPr>
              <w:spacing w:after="0" w:line="259" w:lineRule="auto"/>
              <w:ind w:firstLine="0"/>
              <w:jc w:val="right"/>
              <w:rPr>
                <w:sz w:val="18"/>
                <w:szCs w:val="18"/>
                <w:lang w:eastAsia="lv-LV"/>
              </w:rPr>
            </w:pPr>
            <w:r w:rsidRPr="00A37CDD">
              <w:rPr>
                <w:sz w:val="18"/>
                <w:szCs w:val="18"/>
                <w:lang w:eastAsia="lv-LV"/>
              </w:rPr>
              <w:t>-310,9</w:t>
            </w:r>
          </w:p>
        </w:tc>
        <w:tc>
          <w:tcPr>
            <w:tcW w:w="631" w:type="dxa"/>
            <w:shd w:val="clear" w:color="auto" w:fill="auto"/>
            <w:tcMar>
              <w:left w:w="57" w:type="dxa"/>
              <w:right w:w="57" w:type="dxa"/>
            </w:tcMar>
            <w:vAlign w:val="center"/>
          </w:tcPr>
          <w:p w14:paraId="12EE6408" w14:textId="77777777" w:rsidR="00DC4D1F" w:rsidRPr="00A37CDD" w:rsidRDefault="00DC4D1F" w:rsidP="00BF25F0">
            <w:pPr>
              <w:spacing w:after="0" w:line="259" w:lineRule="auto"/>
              <w:ind w:firstLine="0"/>
              <w:jc w:val="right"/>
              <w:rPr>
                <w:sz w:val="18"/>
                <w:szCs w:val="18"/>
                <w:lang w:eastAsia="lv-LV"/>
              </w:rPr>
            </w:pPr>
            <w:r w:rsidRPr="00A37CDD">
              <w:rPr>
                <w:sz w:val="18"/>
                <w:szCs w:val="18"/>
                <w:lang w:eastAsia="lv-LV"/>
              </w:rPr>
              <w:t>-327,0</w:t>
            </w:r>
          </w:p>
        </w:tc>
      </w:tr>
      <w:tr w:rsidR="00DC4D1F" w:rsidRPr="00EF1D74" w14:paraId="236C0B39" w14:textId="77777777" w:rsidTr="00BF25F0">
        <w:trPr>
          <w:gridAfter w:val="1"/>
          <w:wAfter w:w="15" w:type="dxa"/>
          <w:trHeight w:val="135"/>
          <w:jc w:val="center"/>
        </w:trPr>
        <w:tc>
          <w:tcPr>
            <w:tcW w:w="2962" w:type="dxa"/>
            <w:shd w:val="clear" w:color="auto" w:fill="auto"/>
            <w:vAlign w:val="center"/>
          </w:tcPr>
          <w:p w14:paraId="76D12457" w14:textId="77777777" w:rsidR="00DC4D1F" w:rsidRPr="00EF1D74" w:rsidRDefault="00DC4D1F" w:rsidP="00BF25F0">
            <w:pPr>
              <w:spacing w:after="0"/>
              <w:ind w:left="166" w:firstLine="0"/>
              <w:jc w:val="left"/>
              <w:rPr>
                <w:noProof/>
                <w:sz w:val="18"/>
                <w:szCs w:val="18"/>
                <w:lang w:eastAsia="lv-LV"/>
              </w:rPr>
            </w:pPr>
            <w:r w:rsidRPr="00EF1D74">
              <w:rPr>
                <w:noProof/>
                <w:sz w:val="18"/>
                <w:szCs w:val="18"/>
                <w:lang w:eastAsia="lv-LV"/>
              </w:rPr>
              <w:t>Nenodokļu ieņēmumi</w:t>
            </w:r>
          </w:p>
        </w:tc>
        <w:tc>
          <w:tcPr>
            <w:tcW w:w="848" w:type="dxa"/>
            <w:shd w:val="clear" w:color="auto" w:fill="auto"/>
            <w:tcMar>
              <w:left w:w="57" w:type="dxa"/>
              <w:right w:w="57" w:type="dxa"/>
            </w:tcMar>
            <w:vAlign w:val="center"/>
          </w:tcPr>
          <w:p w14:paraId="506C2440" w14:textId="77777777" w:rsidR="00DC4D1F" w:rsidRPr="00A37CDD" w:rsidRDefault="00DC4D1F" w:rsidP="00BF25F0">
            <w:pPr>
              <w:spacing w:after="0"/>
              <w:ind w:firstLine="0"/>
              <w:jc w:val="right"/>
              <w:rPr>
                <w:sz w:val="18"/>
                <w:szCs w:val="18"/>
                <w:lang w:eastAsia="lv-LV"/>
              </w:rPr>
            </w:pPr>
            <w:r w:rsidRPr="00A37CDD">
              <w:rPr>
                <w:sz w:val="18"/>
                <w:szCs w:val="18"/>
                <w:lang w:eastAsia="lv-LV"/>
              </w:rPr>
              <w:t>659,8</w:t>
            </w:r>
          </w:p>
        </w:tc>
        <w:tc>
          <w:tcPr>
            <w:tcW w:w="847" w:type="dxa"/>
            <w:shd w:val="clear" w:color="auto" w:fill="auto"/>
            <w:tcMar>
              <w:left w:w="57" w:type="dxa"/>
              <w:right w:w="57" w:type="dxa"/>
            </w:tcMar>
            <w:vAlign w:val="center"/>
          </w:tcPr>
          <w:p w14:paraId="5FB794D3" w14:textId="77777777" w:rsidR="00DC4D1F" w:rsidRPr="00A37CDD" w:rsidRDefault="00DC4D1F" w:rsidP="00BF25F0">
            <w:pPr>
              <w:spacing w:after="0"/>
              <w:ind w:firstLine="0"/>
              <w:jc w:val="right"/>
              <w:rPr>
                <w:sz w:val="18"/>
                <w:szCs w:val="18"/>
                <w:lang w:eastAsia="lv-LV"/>
              </w:rPr>
            </w:pPr>
            <w:r w:rsidRPr="00A37CDD">
              <w:rPr>
                <w:sz w:val="18"/>
                <w:szCs w:val="18"/>
                <w:lang w:eastAsia="lv-LV"/>
              </w:rPr>
              <w:t>581,1</w:t>
            </w:r>
          </w:p>
        </w:tc>
        <w:tc>
          <w:tcPr>
            <w:tcW w:w="848" w:type="dxa"/>
            <w:shd w:val="clear" w:color="auto" w:fill="auto"/>
            <w:tcMar>
              <w:left w:w="57" w:type="dxa"/>
              <w:right w:w="57" w:type="dxa"/>
            </w:tcMar>
            <w:vAlign w:val="center"/>
          </w:tcPr>
          <w:p w14:paraId="20D539DF" w14:textId="77777777" w:rsidR="00DC4D1F" w:rsidRPr="00A37CDD" w:rsidRDefault="00DC4D1F" w:rsidP="00BF25F0">
            <w:pPr>
              <w:spacing w:after="0"/>
              <w:ind w:firstLine="0"/>
              <w:jc w:val="right"/>
              <w:rPr>
                <w:sz w:val="18"/>
                <w:szCs w:val="18"/>
                <w:lang w:eastAsia="lv-LV"/>
              </w:rPr>
            </w:pPr>
            <w:r w:rsidRPr="00A37CDD">
              <w:rPr>
                <w:sz w:val="18"/>
                <w:szCs w:val="18"/>
                <w:lang w:eastAsia="lv-LV"/>
              </w:rPr>
              <w:t>548,2</w:t>
            </w:r>
          </w:p>
        </w:tc>
        <w:tc>
          <w:tcPr>
            <w:tcW w:w="847" w:type="dxa"/>
            <w:shd w:val="clear" w:color="auto" w:fill="auto"/>
            <w:tcMar>
              <w:left w:w="57" w:type="dxa"/>
              <w:right w:w="57" w:type="dxa"/>
            </w:tcMar>
            <w:vAlign w:val="center"/>
          </w:tcPr>
          <w:p w14:paraId="2F19E3F9" w14:textId="77777777" w:rsidR="00DC4D1F" w:rsidRPr="00A37CDD" w:rsidRDefault="00DC4D1F" w:rsidP="00BF25F0">
            <w:pPr>
              <w:spacing w:after="0"/>
              <w:ind w:firstLine="0"/>
              <w:jc w:val="right"/>
              <w:rPr>
                <w:sz w:val="18"/>
                <w:szCs w:val="18"/>
                <w:lang w:eastAsia="lv-LV"/>
              </w:rPr>
            </w:pPr>
            <w:r w:rsidRPr="00A37CDD">
              <w:rPr>
                <w:sz w:val="18"/>
                <w:szCs w:val="18"/>
                <w:lang w:eastAsia="lv-LV"/>
              </w:rPr>
              <w:t>511,9</w:t>
            </w:r>
          </w:p>
        </w:tc>
        <w:tc>
          <w:tcPr>
            <w:tcW w:w="706" w:type="dxa"/>
            <w:shd w:val="clear" w:color="auto" w:fill="auto"/>
            <w:tcMar>
              <w:left w:w="57" w:type="dxa"/>
              <w:right w:w="57" w:type="dxa"/>
            </w:tcMar>
            <w:vAlign w:val="center"/>
          </w:tcPr>
          <w:p w14:paraId="0F4B97A2" w14:textId="77777777" w:rsidR="00DC4D1F" w:rsidRPr="00A37CDD" w:rsidRDefault="00DC4D1F" w:rsidP="00BF25F0">
            <w:pPr>
              <w:spacing w:after="0"/>
              <w:ind w:firstLine="0"/>
              <w:jc w:val="right"/>
              <w:rPr>
                <w:sz w:val="18"/>
                <w:szCs w:val="18"/>
                <w:lang w:eastAsia="lv-LV"/>
              </w:rPr>
            </w:pPr>
            <w:r w:rsidRPr="00A37CDD">
              <w:rPr>
                <w:sz w:val="18"/>
                <w:szCs w:val="18"/>
                <w:lang w:eastAsia="lv-LV"/>
              </w:rPr>
              <w:t>-3,6</w:t>
            </w:r>
          </w:p>
        </w:tc>
        <w:tc>
          <w:tcPr>
            <w:tcW w:w="706" w:type="dxa"/>
            <w:shd w:val="clear" w:color="auto" w:fill="auto"/>
            <w:tcMar>
              <w:left w:w="57" w:type="dxa"/>
              <w:right w:w="57" w:type="dxa"/>
            </w:tcMar>
            <w:vAlign w:val="center"/>
          </w:tcPr>
          <w:p w14:paraId="6204E2F6" w14:textId="77777777" w:rsidR="00DC4D1F" w:rsidRPr="00A37CDD" w:rsidRDefault="00DC4D1F" w:rsidP="00BF25F0">
            <w:pPr>
              <w:spacing w:after="0" w:line="259" w:lineRule="auto"/>
              <w:ind w:firstLine="0"/>
              <w:jc w:val="right"/>
              <w:rPr>
                <w:sz w:val="18"/>
                <w:szCs w:val="18"/>
                <w:lang w:eastAsia="lv-LV"/>
              </w:rPr>
            </w:pPr>
            <w:r w:rsidRPr="00A37CDD">
              <w:rPr>
                <w:sz w:val="18"/>
                <w:szCs w:val="18"/>
                <w:lang w:eastAsia="lv-LV"/>
              </w:rPr>
              <w:t>-14,2</w:t>
            </w:r>
          </w:p>
        </w:tc>
        <w:tc>
          <w:tcPr>
            <w:tcW w:w="705" w:type="dxa"/>
            <w:shd w:val="clear" w:color="auto" w:fill="auto"/>
            <w:tcMar>
              <w:left w:w="57" w:type="dxa"/>
              <w:right w:w="57" w:type="dxa"/>
            </w:tcMar>
            <w:vAlign w:val="center"/>
          </w:tcPr>
          <w:p w14:paraId="7083F1A6" w14:textId="77777777" w:rsidR="00DC4D1F" w:rsidRPr="00A37CDD" w:rsidRDefault="00DC4D1F" w:rsidP="00BF25F0">
            <w:pPr>
              <w:spacing w:after="0" w:line="259" w:lineRule="auto"/>
              <w:ind w:firstLine="0"/>
              <w:jc w:val="right"/>
              <w:rPr>
                <w:sz w:val="18"/>
                <w:szCs w:val="18"/>
                <w:lang w:eastAsia="lv-LV"/>
              </w:rPr>
            </w:pPr>
            <w:r w:rsidRPr="00A37CDD">
              <w:rPr>
                <w:sz w:val="18"/>
                <w:szCs w:val="18"/>
                <w:lang w:eastAsia="lv-LV"/>
              </w:rPr>
              <w:t>-13,1</w:t>
            </w:r>
          </w:p>
        </w:tc>
        <w:tc>
          <w:tcPr>
            <w:tcW w:w="631" w:type="dxa"/>
            <w:shd w:val="clear" w:color="auto" w:fill="auto"/>
            <w:tcMar>
              <w:left w:w="57" w:type="dxa"/>
              <w:right w:w="57" w:type="dxa"/>
            </w:tcMar>
            <w:vAlign w:val="center"/>
          </w:tcPr>
          <w:p w14:paraId="10DA57EE" w14:textId="77777777" w:rsidR="00DC4D1F" w:rsidRPr="00A37CDD" w:rsidRDefault="00DC4D1F" w:rsidP="00BF25F0">
            <w:pPr>
              <w:spacing w:after="0" w:line="259" w:lineRule="auto"/>
              <w:ind w:firstLine="0"/>
              <w:jc w:val="right"/>
              <w:rPr>
                <w:sz w:val="18"/>
                <w:szCs w:val="18"/>
                <w:lang w:eastAsia="lv-LV"/>
              </w:rPr>
            </w:pPr>
            <w:r w:rsidRPr="00A37CDD">
              <w:rPr>
                <w:sz w:val="18"/>
                <w:szCs w:val="18"/>
                <w:lang w:eastAsia="lv-LV"/>
              </w:rPr>
              <w:t>-11,9</w:t>
            </w:r>
          </w:p>
        </w:tc>
      </w:tr>
      <w:tr w:rsidR="00DC4D1F" w:rsidRPr="00EF1D74" w14:paraId="359E69E5" w14:textId="77777777" w:rsidTr="00BF25F0">
        <w:trPr>
          <w:gridAfter w:val="1"/>
          <w:wAfter w:w="15" w:type="dxa"/>
          <w:trHeight w:val="181"/>
          <w:jc w:val="center"/>
        </w:trPr>
        <w:tc>
          <w:tcPr>
            <w:tcW w:w="2962" w:type="dxa"/>
            <w:tcBorders>
              <w:bottom w:val="double" w:sz="4" w:space="0" w:color="auto"/>
            </w:tcBorders>
            <w:shd w:val="clear" w:color="auto" w:fill="auto"/>
            <w:vAlign w:val="center"/>
          </w:tcPr>
          <w:p w14:paraId="02F7414F" w14:textId="77777777" w:rsidR="00DC4D1F" w:rsidRPr="00EF1D74" w:rsidRDefault="00DC4D1F" w:rsidP="00BF25F0">
            <w:pPr>
              <w:spacing w:after="0"/>
              <w:ind w:left="166" w:firstLine="0"/>
              <w:jc w:val="left"/>
              <w:rPr>
                <w:noProof/>
                <w:sz w:val="18"/>
                <w:szCs w:val="18"/>
                <w:lang w:eastAsia="lv-LV"/>
              </w:rPr>
            </w:pPr>
            <w:r w:rsidRPr="00EF1D74">
              <w:rPr>
                <w:noProof/>
                <w:sz w:val="18"/>
                <w:szCs w:val="18"/>
                <w:lang w:eastAsia="lv-LV"/>
              </w:rPr>
              <w:t>Procentu izdevumi</w:t>
            </w:r>
          </w:p>
        </w:tc>
        <w:tc>
          <w:tcPr>
            <w:tcW w:w="848" w:type="dxa"/>
            <w:tcBorders>
              <w:bottom w:val="double" w:sz="4" w:space="0" w:color="auto"/>
            </w:tcBorders>
            <w:shd w:val="clear" w:color="auto" w:fill="auto"/>
            <w:tcMar>
              <w:left w:w="57" w:type="dxa"/>
              <w:right w:w="57" w:type="dxa"/>
            </w:tcMar>
            <w:vAlign w:val="center"/>
          </w:tcPr>
          <w:p w14:paraId="62911EA2" w14:textId="77777777" w:rsidR="00DC4D1F" w:rsidRPr="00764A50" w:rsidRDefault="00DC4D1F" w:rsidP="00BF25F0">
            <w:pPr>
              <w:spacing w:after="0"/>
              <w:ind w:firstLine="0"/>
              <w:jc w:val="right"/>
              <w:rPr>
                <w:sz w:val="18"/>
                <w:szCs w:val="18"/>
                <w:lang w:eastAsia="lv-LV"/>
              </w:rPr>
            </w:pPr>
            <w:r w:rsidRPr="00764A50">
              <w:rPr>
                <w:sz w:val="18"/>
                <w:szCs w:val="18"/>
                <w:lang w:eastAsia="lv-LV"/>
              </w:rPr>
              <w:t>262,2</w:t>
            </w:r>
          </w:p>
        </w:tc>
        <w:tc>
          <w:tcPr>
            <w:tcW w:w="847" w:type="dxa"/>
            <w:tcBorders>
              <w:bottom w:val="double" w:sz="4" w:space="0" w:color="auto"/>
            </w:tcBorders>
            <w:shd w:val="clear" w:color="auto" w:fill="auto"/>
            <w:tcMar>
              <w:left w:w="57" w:type="dxa"/>
              <w:right w:w="57" w:type="dxa"/>
            </w:tcMar>
            <w:vAlign w:val="center"/>
          </w:tcPr>
          <w:p w14:paraId="745109C3" w14:textId="77777777" w:rsidR="00DC4D1F" w:rsidRPr="00764A50" w:rsidRDefault="00DC4D1F" w:rsidP="00BF25F0">
            <w:pPr>
              <w:spacing w:after="0"/>
              <w:ind w:firstLine="0"/>
              <w:jc w:val="right"/>
              <w:rPr>
                <w:sz w:val="18"/>
                <w:szCs w:val="18"/>
                <w:lang w:eastAsia="lv-LV"/>
              </w:rPr>
            </w:pPr>
            <w:r w:rsidRPr="00764A50">
              <w:rPr>
                <w:sz w:val="18"/>
                <w:szCs w:val="18"/>
                <w:lang w:eastAsia="lv-LV"/>
              </w:rPr>
              <w:t>200,5</w:t>
            </w:r>
          </w:p>
        </w:tc>
        <w:tc>
          <w:tcPr>
            <w:tcW w:w="848" w:type="dxa"/>
            <w:tcBorders>
              <w:bottom w:val="double" w:sz="4" w:space="0" w:color="auto"/>
            </w:tcBorders>
            <w:shd w:val="clear" w:color="auto" w:fill="auto"/>
            <w:tcMar>
              <w:left w:w="57" w:type="dxa"/>
              <w:right w:w="57" w:type="dxa"/>
            </w:tcMar>
            <w:vAlign w:val="center"/>
          </w:tcPr>
          <w:p w14:paraId="63F077AC" w14:textId="77777777" w:rsidR="00DC4D1F" w:rsidRPr="00764A50" w:rsidRDefault="00DC4D1F" w:rsidP="00BF25F0">
            <w:pPr>
              <w:spacing w:after="0"/>
              <w:ind w:firstLine="0"/>
              <w:jc w:val="right"/>
              <w:rPr>
                <w:sz w:val="18"/>
                <w:szCs w:val="18"/>
                <w:lang w:eastAsia="lv-LV"/>
              </w:rPr>
            </w:pPr>
            <w:r w:rsidRPr="00764A50">
              <w:rPr>
                <w:sz w:val="18"/>
                <w:szCs w:val="18"/>
                <w:lang w:eastAsia="lv-LV"/>
              </w:rPr>
              <w:t>238,1</w:t>
            </w:r>
          </w:p>
        </w:tc>
        <w:tc>
          <w:tcPr>
            <w:tcW w:w="847" w:type="dxa"/>
            <w:tcBorders>
              <w:bottom w:val="double" w:sz="4" w:space="0" w:color="auto"/>
            </w:tcBorders>
            <w:shd w:val="clear" w:color="auto" w:fill="auto"/>
            <w:tcMar>
              <w:left w:w="57" w:type="dxa"/>
              <w:right w:w="57" w:type="dxa"/>
            </w:tcMar>
            <w:vAlign w:val="center"/>
          </w:tcPr>
          <w:p w14:paraId="1B2BE8D0" w14:textId="77777777" w:rsidR="00DC4D1F" w:rsidRPr="00764A50" w:rsidRDefault="00DC4D1F" w:rsidP="00BF25F0">
            <w:pPr>
              <w:spacing w:after="0"/>
              <w:ind w:firstLine="0"/>
              <w:jc w:val="right"/>
              <w:rPr>
                <w:sz w:val="18"/>
                <w:szCs w:val="18"/>
                <w:lang w:eastAsia="lv-LV"/>
              </w:rPr>
            </w:pPr>
            <w:r w:rsidRPr="00764A50">
              <w:rPr>
                <w:sz w:val="18"/>
                <w:szCs w:val="18"/>
                <w:lang w:eastAsia="lv-LV"/>
              </w:rPr>
              <w:t>241,6</w:t>
            </w:r>
          </w:p>
        </w:tc>
        <w:tc>
          <w:tcPr>
            <w:tcW w:w="706" w:type="dxa"/>
            <w:tcBorders>
              <w:bottom w:val="double" w:sz="4" w:space="0" w:color="auto"/>
            </w:tcBorders>
            <w:shd w:val="clear" w:color="auto" w:fill="auto"/>
            <w:tcMar>
              <w:left w:w="57" w:type="dxa"/>
              <w:right w:w="57" w:type="dxa"/>
            </w:tcMar>
            <w:vAlign w:val="center"/>
          </w:tcPr>
          <w:p w14:paraId="7E8F398B" w14:textId="77777777" w:rsidR="00DC4D1F" w:rsidRPr="00764A50" w:rsidRDefault="00DC4D1F" w:rsidP="00BF25F0">
            <w:pPr>
              <w:spacing w:after="0"/>
              <w:ind w:firstLine="0"/>
              <w:jc w:val="right"/>
              <w:rPr>
                <w:sz w:val="18"/>
                <w:szCs w:val="18"/>
                <w:lang w:eastAsia="lv-LV"/>
              </w:rPr>
            </w:pPr>
            <w:r w:rsidRPr="00764A50">
              <w:rPr>
                <w:sz w:val="18"/>
                <w:szCs w:val="18"/>
                <w:lang w:eastAsia="lv-LV"/>
              </w:rPr>
              <w:t>0,0</w:t>
            </w:r>
          </w:p>
        </w:tc>
        <w:tc>
          <w:tcPr>
            <w:tcW w:w="706" w:type="dxa"/>
            <w:tcBorders>
              <w:bottom w:val="double" w:sz="4" w:space="0" w:color="auto"/>
            </w:tcBorders>
            <w:shd w:val="clear" w:color="auto" w:fill="auto"/>
            <w:tcMar>
              <w:left w:w="57" w:type="dxa"/>
              <w:right w:w="57" w:type="dxa"/>
            </w:tcMar>
            <w:vAlign w:val="center"/>
          </w:tcPr>
          <w:p w14:paraId="579F7C5C" w14:textId="77777777" w:rsidR="00DC4D1F" w:rsidRPr="00764A50" w:rsidRDefault="00DC4D1F" w:rsidP="00BF25F0">
            <w:pPr>
              <w:spacing w:after="0" w:line="259" w:lineRule="auto"/>
              <w:ind w:firstLine="0"/>
              <w:jc w:val="right"/>
              <w:rPr>
                <w:sz w:val="18"/>
                <w:szCs w:val="18"/>
                <w:lang w:eastAsia="lv-LV"/>
              </w:rPr>
            </w:pPr>
            <w:r w:rsidRPr="00764A50">
              <w:rPr>
                <w:sz w:val="18"/>
                <w:szCs w:val="18"/>
                <w:lang w:eastAsia="lv-LV"/>
              </w:rPr>
              <w:t>0,3</w:t>
            </w:r>
          </w:p>
        </w:tc>
        <w:tc>
          <w:tcPr>
            <w:tcW w:w="705" w:type="dxa"/>
            <w:tcBorders>
              <w:bottom w:val="double" w:sz="4" w:space="0" w:color="auto"/>
            </w:tcBorders>
            <w:shd w:val="clear" w:color="auto" w:fill="auto"/>
            <w:tcMar>
              <w:left w:w="57" w:type="dxa"/>
              <w:right w:w="57" w:type="dxa"/>
            </w:tcMar>
            <w:vAlign w:val="center"/>
          </w:tcPr>
          <w:p w14:paraId="1C72C0CC" w14:textId="77777777" w:rsidR="00DC4D1F" w:rsidRPr="00764A50" w:rsidRDefault="00DC4D1F" w:rsidP="00BF25F0">
            <w:pPr>
              <w:spacing w:after="0" w:line="259" w:lineRule="auto"/>
              <w:ind w:firstLine="0"/>
              <w:jc w:val="right"/>
              <w:rPr>
                <w:sz w:val="18"/>
                <w:szCs w:val="18"/>
                <w:lang w:eastAsia="lv-LV"/>
              </w:rPr>
            </w:pPr>
            <w:r w:rsidRPr="00764A50">
              <w:rPr>
                <w:sz w:val="18"/>
                <w:szCs w:val="18"/>
                <w:lang w:eastAsia="lv-LV"/>
              </w:rPr>
              <w:t>2,7</w:t>
            </w:r>
          </w:p>
        </w:tc>
        <w:tc>
          <w:tcPr>
            <w:tcW w:w="631" w:type="dxa"/>
            <w:tcBorders>
              <w:bottom w:val="double" w:sz="4" w:space="0" w:color="auto"/>
            </w:tcBorders>
            <w:shd w:val="clear" w:color="auto" w:fill="auto"/>
            <w:tcMar>
              <w:left w:w="57" w:type="dxa"/>
              <w:right w:w="57" w:type="dxa"/>
            </w:tcMar>
            <w:vAlign w:val="center"/>
          </w:tcPr>
          <w:p w14:paraId="795B10BF" w14:textId="77777777" w:rsidR="00DC4D1F" w:rsidRPr="00764A50" w:rsidRDefault="00DC4D1F" w:rsidP="00BF25F0">
            <w:pPr>
              <w:spacing w:after="0" w:line="259" w:lineRule="auto"/>
              <w:ind w:firstLine="0"/>
              <w:jc w:val="right"/>
              <w:rPr>
                <w:sz w:val="18"/>
                <w:szCs w:val="18"/>
                <w:lang w:eastAsia="lv-LV"/>
              </w:rPr>
            </w:pPr>
            <w:r w:rsidRPr="00764A50">
              <w:rPr>
                <w:sz w:val="18"/>
                <w:szCs w:val="18"/>
                <w:lang w:eastAsia="lv-LV"/>
              </w:rPr>
              <w:t>5,7</w:t>
            </w:r>
          </w:p>
        </w:tc>
      </w:tr>
      <w:tr w:rsidR="00DC4D1F" w:rsidRPr="00EF1D74" w14:paraId="71D0C4DA" w14:textId="77777777" w:rsidTr="00BF25F0">
        <w:trPr>
          <w:gridAfter w:val="1"/>
          <w:wAfter w:w="15" w:type="dxa"/>
          <w:trHeight w:val="349"/>
          <w:jc w:val="center"/>
        </w:trPr>
        <w:tc>
          <w:tcPr>
            <w:tcW w:w="2962" w:type="dxa"/>
            <w:tcBorders>
              <w:top w:val="double" w:sz="4" w:space="0" w:color="auto"/>
              <w:left w:val="single" w:sz="4" w:space="0" w:color="auto"/>
            </w:tcBorders>
            <w:shd w:val="clear" w:color="auto" w:fill="auto"/>
            <w:vAlign w:val="center"/>
          </w:tcPr>
          <w:p w14:paraId="19514F6F" w14:textId="77777777" w:rsidR="00DC4D1F" w:rsidRPr="00EF1D74" w:rsidRDefault="00DC4D1F" w:rsidP="00BF25F0">
            <w:pPr>
              <w:spacing w:after="0"/>
              <w:ind w:firstLine="0"/>
              <w:jc w:val="left"/>
              <w:rPr>
                <w:noProof/>
                <w:sz w:val="18"/>
                <w:szCs w:val="18"/>
                <w:lang w:eastAsia="lv-LV"/>
              </w:rPr>
            </w:pPr>
            <w:r w:rsidRPr="00EF1D74">
              <w:rPr>
                <w:noProof/>
                <w:sz w:val="18"/>
                <w:szCs w:val="18"/>
                <w:lang w:eastAsia="lv-LV"/>
              </w:rPr>
              <w:t xml:space="preserve">   Procentu izdevumi</w:t>
            </w:r>
            <w:r w:rsidRPr="00EF1D74">
              <w:rPr>
                <w:noProof/>
                <w:sz w:val="18"/>
                <w:szCs w:val="18"/>
                <w:lang w:eastAsia="lv-LV"/>
              </w:rPr>
              <w:br/>
              <w:t xml:space="preserve">  (% likmes paliel. par 1 pp)</w:t>
            </w:r>
          </w:p>
        </w:tc>
        <w:tc>
          <w:tcPr>
            <w:tcW w:w="848" w:type="dxa"/>
            <w:tcBorders>
              <w:top w:val="double" w:sz="4" w:space="0" w:color="auto"/>
            </w:tcBorders>
            <w:shd w:val="clear" w:color="auto" w:fill="auto"/>
            <w:tcMar>
              <w:left w:w="57" w:type="dxa"/>
              <w:right w:w="57" w:type="dxa"/>
            </w:tcMar>
            <w:vAlign w:val="center"/>
          </w:tcPr>
          <w:p w14:paraId="5F61159C" w14:textId="77777777" w:rsidR="00DC4D1F" w:rsidRPr="00764A50" w:rsidRDefault="00DC4D1F" w:rsidP="00BF25F0">
            <w:pPr>
              <w:spacing w:after="0"/>
              <w:ind w:firstLine="0"/>
              <w:jc w:val="right"/>
              <w:rPr>
                <w:sz w:val="18"/>
                <w:szCs w:val="18"/>
                <w:lang w:eastAsia="lv-LV"/>
              </w:rPr>
            </w:pPr>
            <w:r w:rsidRPr="00764A50">
              <w:rPr>
                <w:sz w:val="18"/>
                <w:szCs w:val="18"/>
                <w:lang w:eastAsia="lv-LV"/>
              </w:rPr>
              <w:t>262,2</w:t>
            </w:r>
          </w:p>
        </w:tc>
        <w:tc>
          <w:tcPr>
            <w:tcW w:w="847" w:type="dxa"/>
            <w:tcBorders>
              <w:top w:val="double" w:sz="4" w:space="0" w:color="auto"/>
            </w:tcBorders>
            <w:shd w:val="clear" w:color="auto" w:fill="auto"/>
            <w:tcMar>
              <w:left w:w="57" w:type="dxa"/>
              <w:right w:w="57" w:type="dxa"/>
            </w:tcMar>
            <w:vAlign w:val="center"/>
          </w:tcPr>
          <w:p w14:paraId="2A86FC08" w14:textId="77777777" w:rsidR="00DC4D1F" w:rsidRPr="00764A50" w:rsidRDefault="00DC4D1F" w:rsidP="00BF25F0">
            <w:pPr>
              <w:spacing w:after="0"/>
              <w:ind w:firstLine="0"/>
              <w:jc w:val="right"/>
              <w:rPr>
                <w:sz w:val="18"/>
                <w:szCs w:val="18"/>
                <w:lang w:eastAsia="lv-LV"/>
              </w:rPr>
            </w:pPr>
            <w:r w:rsidRPr="00764A50">
              <w:rPr>
                <w:sz w:val="18"/>
                <w:szCs w:val="18"/>
                <w:lang w:eastAsia="lv-LV"/>
              </w:rPr>
              <w:t>208,3</w:t>
            </w:r>
          </w:p>
        </w:tc>
        <w:tc>
          <w:tcPr>
            <w:tcW w:w="848" w:type="dxa"/>
            <w:tcBorders>
              <w:top w:val="double" w:sz="4" w:space="0" w:color="auto"/>
            </w:tcBorders>
            <w:shd w:val="clear" w:color="auto" w:fill="auto"/>
            <w:tcMar>
              <w:left w:w="57" w:type="dxa"/>
              <w:right w:w="57" w:type="dxa"/>
            </w:tcMar>
            <w:vAlign w:val="center"/>
          </w:tcPr>
          <w:p w14:paraId="177F8A23" w14:textId="77777777" w:rsidR="00DC4D1F" w:rsidRPr="00764A50" w:rsidRDefault="00DC4D1F" w:rsidP="00BF25F0">
            <w:pPr>
              <w:spacing w:after="0"/>
              <w:ind w:firstLine="0"/>
              <w:jc w:val="right"/>
              <w:rPr>
                <w:sz w:val="18"/>
                <w:szCs w:val="18"/>
                <w:lang w:eastAsia="lv-LV"/>
              </w:rPr>
            </w:pPr>
            <w:r w:rsidRPr="00764A50">
              <w:rPr>
                <w:sz w:val="18"/>
                <w:szCs w:val="18"/>
                <w:lang w:eastAsia="lv-LV"/>
              </w:rPr>
              <w:t>270,1</w:t>
            </w:r>
          </w:p>
        </w:tc>
        <w:tc>
          <w:tcPr>
            <w:tcW w:w="847" w:type="dxa"/>
            <w:tcBorders>
              <w:top w:val="double" w:sz="4" w:space="0" w:color="auto"/>
            </w:tcBorders>
            <w:shd w:val="clear" w:color="auto" w:fill="auto"/>
            <w:tcMar>
              <w:left w:w="57" w:type="dxa"/>
              <w:right w:w="57" w:type="dxa"/>
            </w:tcMar>
            <w:vAlign w:val="center"/>
          </w:tcPr>
          <w:p w14:paraId="12E32248" w14:textId="77777777" w:rsidR="00DC4D1F" w:rsidRPr="00764A50" w:rsidRDefault="00DC4D1F" w:rsidP="00BF25F0">
            <w:pPr>
              <w:spacing w:after="0"/>
              <w:ind w:firstLine="0"/>
              <w:jc w:val="right"/>
              <w:rPr>
                <w:sz w:val="18"/>
                <w:szCs w:val="18"/>
                <w:lang w:eastAsia="lv-LV"/>
              </w:rPr>
            </w:pPr>
            <w:r w:rsidRPr="00764A50">
              <w:rPr>
                <w:sz w:val="18"/>
                <w:szCs w:val="18"/>
                <w:lang w:eastAsia="lv-LV"/>
              </w:rPr>
              <w:t>206,7</w:t>
            </w:r>
          </w:p>
        </w:tc>
        <w:tc>
          <w:tcPr>
            <w:tcW w:w="706" w:type="dxa"/>
            <w:tcBorders>
              <w:top w:val="double" w:sz="4" w:space="0" w:color="auto"/>
            </w:tcBorders>
            <w:shd w:val="clear" w:color="auto" w:fill="auto"/>
            <w:tcMar>
              <w:left w:w="57" w:type="dxa"/>
              <w:right w:w="57" w:type="dxa"/>
            </w:tcMar>
            <w:vAlign w:val="center"/>
          </w:tcPr>
          <w:p w14:paraId="2EA6D529" w14:textId="77777777" w:rsidR="00DC4D1F" w:rsidRPr="00764A50" w:rsidRDefault="00DC4D1F" w:rsidP="00BF25F0">
            <w:pPr>
              <w:spacing w:after="0"/>
              <w:ind w:firstLine="0"/>
              <w:jc w:val="right"/>
              <w:rPr>
                <w:sz w:val="18"/>
                <w:szCs w:val="18"/>
                <w:lang w:eastAsia="lv-LV"/>
              </w:rPr>
            </w:pPr>
            <w:r w:rsidRPr="00764A50">
              <w:rPr>
                <w:sz w:val="18"/>
                <w:szCs w:val="18"/>
                <w:lang w:eastAsia="lv-LV"/>
              </w:rPr>
              <w:t>0,0</w:t>
            </w:r>
          </w:p>
        </w:tc>
        <w:tc>
          <w:tcPr>
            <w:tcW w:w="706" w:type="dxa"/>
            <w:tcBorders>
              <w:top w:val="double" w:sz="4" w:space="0" w:color="auto"/>
            </w:tcBorders>
            <w:shd w:val="clear" w:color="auto" w:fill="auto"/>
            <w:tcMar>
              <w:left w:w="57" w:type="dxa"/>
              <w:right w:w="57" w:type="dxa"/>
            </w:tcMar>
            <w:vAlign w:val="center"/>
          </w:tcPr>
          <w:p w14:paraId="514C57CA" w14:textId="77777777" w:rsidR="00DC4D1F" w:rsidRPr="00764A50" w:rsidRDefault="00DC4D1F" w:rsidP="00BF25F0">
            <w:pPr>
              <w:spacing w:after="0" w:line="259" w:lineRule="auto"/>
              <w:ind w:firstLine="0"/>
              <w:jc w:val="right"/>
              <w:rPr>
                <w:sz w:val="18"/>
                <w:szCs w:val="18"/>
                <w:lang w:eastAsia="lv-LV"/>
              </w:rPr>
            </w:pPr>
            <w:r w:rsidRPr="00764A50">
              <w:rPr>
                <w:sz w:val="18"/>
                <w:szCs w:val="18"/>
                <w:lang w:eastAsia="lv-LV"/>
              </w:rPr>
              <w:t>8,1</w:t>
            </w:r>
          </w:p>
        </w:tc>
        <w:tc>
          <w:tcPr>
            <w:tcW w:w="705" w:type="dxa"/>
            <w:tcBorders>
              <w:top w:val="double" w:sz="4" w:space="0" w:color="auto"/>
            </w:tcBorders>
            <w:shd w:val="clear" w:color="auto" w:fill="auto"/>
            <w:tcMar>
              <w:left w:w="57" w:type="dxa"/>
              <w:right w:w="57" w:type="dxa"/>
            </w:tcMar>
            <w:vAlign w:val="center"/>
          </w:tcPr>
          <w:p w14:paraId="78D0CEAD" w14:textId="77777777" w:rsidR="00DC4D1F" w:rsidRPr="00764A50" w:rsidRDefault="00DC4D1F" w:rsidP="00BF25F0">
            <w:pPr>
              <w:spacing w:after="0" w:line="259" w:lineRule="auto"/>
              <w:ind w:firstLine="0"/>
              <w:jc w:val="right"/>
              <w:rPr>
                <w:sz w:val="18"/>
                <w:szCs w:val="18"/>
                <w:lang w:eastAsia="lv-LV"/>
              </w:rPr>
            </w:pPr>
            <w:r w:rsidRPr="00764A50">
              <w:rPr>
                <w:sz w:val="18"/>
                <w:szCs w:val="18"/>
                <w:lang w:eastAsia="lv-LV"/>
              </w:rPr>
              <w:t>34,7</w:t>
            </w:r>
          </w:p>
        </w:tc>
        <w:tc>
          <w:tcPr>
            <w:tcW w:w="631" w:type="dxa"/>
            <w:tcBorders>
              <w:top w:val="double" w:sz="4" w:space="0" w:color="auto"/>
              <w:right w:val="single" w:sz="4" w:space="0" w:color="auto"/>
            </w:tcBorders>
            <w:shd w:val="clear" w:color="auto" w:fill="auto"/>
            <w:tcMar>
              <w:left w:w="57" w:type="dxa"/>
              <w:right w:w="57" w:type="dxa"/>
            </w:tcMar>
            <w:vAlign w:val="center"/>
          </w:tcPr>
          <w:p w14:paraId="7D95AB12" w14:textId="77777777" w:rsidR="00DC4D1F" w:rsidRPr="00764A50" w:rsidRDefault="00DC4D1F" w:rsidP="00BF25F0">
            <w:pPr>
              <w:spacing w:after="0" w:line="259" w:lineRule="auto"/>
              <w:ind w:firstLine="0"/>
              <w:jc w:val="right"/>
              <w:rPr>
                <w:sz w:val="18"/>
                <w:szCs w:val="18"/>
                <w:lang w:eastAsia="lv-LV"/>
              </w:rPr>
            </w:pPr>
            <w:r w:rsidRPr="00764A50">
              <w:rPr>
                <w:sz w:val="18"/>
                <w:szCs w:val="18"/>
                <w:lang w:eastAsia="lv-LV"/>
              </w:rPr>
              <w:t>60,7</w:t>
            </w:r>
          </w:p>
        </w:tc>
      </w:tr>
      <w:tr w:rsidR="00DC4D1F" w:rsidRPr="00EF1D74" w14:paraId="564FACCC" w14:textId="77777777" w:rsidTr="00BF25F0">
        <w:trPr>
          <w:gridAfter w:val="1"/>
          <w:wAfter w:w="15" w:type="dxa"/>
          <w:trHeight w:val="361"/>
          <w:jc w:val="center"/>
        </w:trPr>
        <w:tc>
          <w:tcPr>
            <w:tcW w:w="2962" w:type="dxa"/>
            <w:tcBorders>
              <w:left w:val="single" w:sz="4" w:space="0" w:color="auto"/>
              <w:bottom w:val="double" w:sz="4" w:space="0" w:color="auto"/>
            </w:tcBorders>
            <w:shd w:val="clear" w:color="auto" w:fill="auto"/>
            <w:vAlign w:val="center"/>
          </w:tcPr>
          <w:p w14:paraId="711CCE03" w14:textId="77777777" w:rsidR="00DC4D1F" w:rsidRPr="00EF1D74" w:rsidRDefault="00DC4D1F" w:rsidP="00BF25F0">
            <w:pPr>
              <w:spacing w:after="0"/>
              <w:ind w:firstLine="0"/>
              <w:jc w:val="left"/>
              <w:rPr>
                <w:rFonts w:eastAsia="Calibri"/>
                <w:noProof/>
                <w:sz w:val="18"/>
                <w:szCs w:val="18"/>
              </w:rPr>
            </w:pPr>
            <w:r w:rsidRPr="00EF1D74">
              <w:rPr>
                <w:noProof/>
                <w:sz w:val="18"/>
                <w:szCs w:val="18"/>
                <w:lang w:eastAsia="lv-LV"/>
              </w:rPr>
              <w:t xml:space="preserve">   Procentu izdevumi</w:t>
            </w:r>
            <w:r w:rsidRPr="00EF1D74">
              <w:rPr>
                <w:noProof/>
                <w:sz w:val="18"/>
                <w:szCs w:val="18"/>
                <w:lang w:eastAsia="lv-LV"/>
              </w:rPr>
              <w:br/>
              <w:t xml:space="preserve">   (% likmes samaz. par 1 pp)</w:t>
            </w:r>
          </w:p>
        </w:tc>
        <w:tc>
          <w:tcPr>
            <w:tcW w:w="848" w:type="dxa"/>
            <w:tcBorders>
              <w:bottom w:val="double" w:sz="4" w:space="0" w:color="auto"/>
            </w:tcBorders>
            <w:shd w:val="clear" w:color="auto" w:fill="auto"/>
            <w:tcMar>
              <w:left w:w="57" w:type="dxa"/>
              <w:right w:w="57" w:type="dxa"/>
            </w:tcMar>
            <w:vAlign w:val="center"/>
          </w:tcPr>
          <w:p w14:paraId="79183BCD" w14:textId="77777777" w:rsidR="00DC4D1F" w:rsidRPr="00843E4D" w:rsidRDefault="00DC4D1F" w:rsidP="00BF25F0">
            <w:pPr>
              <w:spacing w:after="0"/>
              <w:ind w:firstLine="0"/>
              <w:jc w:val="right"/>
              <w:rPr>
                <w:sz w:val="18"/>
                <w:szCs w:val="18"/>
                <w:highlight w:val="yellow"/>
                <w:lang w:eastAsia="lv-LV"/>
              </w:rPr>
            </w:pPr>
            <w:r w:rsidRPr="00764A50">
              <w:rPr>
                <w:sz w:val="18"/>
                <w:szCs w:val="18"/>
                <w:lang w:eastAsia="lv-LV"/>
              </w:rPr>
              <w:t>262,2</w:t>
            </w:r>
          </w:p>
        </w:tc>
        <w:tc>
          <w:tcPr>
            <w:tcW w:w="847" w:type="dxa"/>
            <w:tcBorders>
              <w:bottom w:val="double" w:sz="4" w:space="0" w:color="auto"/>
            </w:tcBorders>
            <w:shd w:val="clear" w:color="auto" w:fill="auto"/>
            <w:tcMar>
              <w:left w:w="57" w:type="dxa"/>
              <w:right w:w="57" w:type="dxa"/>
            </w:tcMar>
            <w:vAlign w:val="center"/>
          </w:tcPr>
          <w:p w14:paraId="31BB2B46" w14:textId="77777777" w:rsidR="00DC4D1F" w:rsidRPr="00DD662B" w:rsidRDefault="00DC4D1F" w:rsidP="00BF25F0">
            <w:pPr>
              <w:spacing w:after="0"/>
              <w:ind w:firstLine="0"/>
              <w:jc w:val="right"/>
              <w:rPr>
                <w:sz w:val="18"/>
                <w:szCs w:val="18"/>
                <w:lang w:eastAsia="lv-LV"/>
              </w:rPr>
            </w:pPr>
            <w:r w:rsidRPr="00DD662B">
              <w:rPr>
                <w:sz w:val="18"/>
                <w:szCs w:val="18"/>
                <w:lang w:eastAsia="lv-LV"/>
              </w:rPr>
              <w:t>197,4</w:t>
            </w:r>
          </w:p>
        </w:tc>
        <w:tc>
          <w:tcPr>
            <w:tcW w:w="848" w:type="dxa"/>
            <w:tcBorders>
              <w:bottom w:val="double" w:sz="4" w:space="0" w:color="auto"/>
            </w:tcBorders>
            <w:shd w:val="clear" w:color="auto" w:fill="auto"/>
            <w:tcMar>
              <w:left w:w="57" w:type="dxa"/>
              <w:right w:w="57" w:type="dxa"/>
            </w:tcMar>
            <w:vAlign w:val="center"/>
          </w:tcPr>
          <w:p w14:paraId="7477E362" w14:textId="77777777" w:rsidR="00DC4D1F" w:rsidRPr="00DD662B" w:rsidRDefault="00DC4D1F" w:rsidP="00BF25F0">
            <w:pPr>
              <w:spacing w:after="0"/>
              <w:ind w:firstLine="0"/>
              <w:jc w:val="right"/>
              <w:rPr>
                <w:sz w:val="18"/>
                <w:szCs w:val="18"/>
                <w:lang w:eastAsia="lv-LV"/>
              </w:rPr>
            </w:pPr>
            <w:r w:rsidRPr="00DD662B">
              <w:rPr>
                <w:sz w:val="18"/>
                <w:szCs w:val="18"/>
                <w:lang w:eastAsia="lv-LV"/>
              </w:rPr>
              <w:t>216,2</w:t>
            </w:r>
          </w:p>
        </w:tc>
        <w:tc>
          <w:tcPr>
            <w:tcW w:w="847" w:type="dxa"/>
            <w:tcBorders>
              <w:bottom w:val="double" w:sz="4" w:space="0" w:color="auto"/>
            </w:tcBorders>
            <w:shd w:val="clear" w:color="auto" w:fill="auto"/>
            <w:tcMar>
              <w:left w:w="57" w:type="dxa"/>
              <w:right w:w="57" w:type="dxa"/>
            </w:tcMar>
            <w:vAlign w:val="center"/>
          </w:tcPr>
          <w:p w14:paraId="365B2754" w14:textId="77777777" w:rsidR="00DC4D1F" w:rsidRPr="00DD662B" w:rsidRDefault="00DC4D1F" w:rsidP="00BF25F0">
            <w:pPr>
              <w:spacing w:after="0"/>
              <w:ind w:firstLine="0"/>
              <w:jc w:val="right"/>
              <w:rPr>
                <w:sz w:val="18"/>
                <w:szCs w:val="18"/>
                <w:lang w:eastAsia="lv-LV"/>
              </w:rPr>
            </w:pPr>
            <w:r w:rsidRPr="00DD662B">
              <w:rPr>
                <w:sz w:val="18"/>
                <w:szCs w:val="18"/>
                <w:lang w:eastAsia="lv-LV"/>
              </w:rPr>
              <w:t>201,3</w:t>
            </w:r>
          </w:p>
        </w:tc>
        <w:tc>
          <w:tcPr>
            <w:tcW w:w="706" w:type="dxa"/>
            <w:tcBorders>
              <w:bottom w:val="double" w:sz="4" w:space="0" w:color="auto"/>
            </w:tcBorders>
            <w:shd w:val="clear" w:color="auto" w:fill="auto"/>
            <w:tcMar>
              <w:left w:w="57" w:type="dxa"/>
              <w:right w:w="57" w:type="dxa"/>
            </w:tcMar>
            <w:vAlign w:val="center"/>
          </w:tcPr>
          <w:p w14:paraId="62009DC0" w14:textId="77777777" w:rsidR="00DC4D1F" w:rsidRPr="00DD662B" w:rsidRDefault="00DC4D1F" w:rsidP="00BF25F0">
            <w:pPr>
              <w:spacing w:after="0"/>
              <w:ind w:firstLine="0"/>
              <w:jc w:val="right"/>
              <w:rPr>
                <w:sz w:val="18"/>
                <w:szCs w:val="18"/>
                <w:lang w:eastAsia="lv-LV"/>
              </w:rPr>
            </w:pPr>
            <w:r w:rsidRPr="00DD662B">
              <w:rPr>
                <w:sz w:val="18"/>
                <w:szCs w:val="18"/>
                <w:lang w:eastAsia="lv-LV"/>
              </w:rPr>
              <w:t>0,0</w:t>
            </w:r>
          </w:p>
        </w:tc>
        <w:tc>
          <w:tcPr>
            <w:tcW w:w="706" w:type="dxa"/>
            <w:tcBorders>
              <w:bottom w:val="double" w:sz="4" w:space="0" w:color="auto"/>
            </w:tcBorders>
            <w:shd w:val="clear" w:color="auto" w:fill="auto"/>
            <w:tcMar>
              <w:left w:w="57" w:type="dxa"/>
              <w:right w:w="57" w:type="dxa"/>
            </w:tcMar>
            <w:vAlign w:val="center"/>
          </w:tcPr>
          <w:p w14:paraId="4CB0BF97" w14:textId="77777777" w:rsidR="00DC4D1F" w:rsidRPr="00DD662B" w:rsidRDefault="00DC4D1F" w:rsidP="00BF25F0">
            <w:pPr>
              <w:spacing w:after="0" w:line="259" w:lineRule="auto"/>
              <w:ind w:firstLine="0"/>
              <w:jc w:val="right"/>
              <w:rPr>
                <w:sz w:val="18"/>
                <w:szCs w:val="18"/>
                <w:lang w:eastAsia="lv-LV"/>
              </w:rPr>
            </w:pPr>
            <w:r w:rsidRPr="00DD662B">
              <w:rPr>
                <w:sz w:val="18"/>
                <w:szCs w:val="18"/>
                <w:lang w:eastAsia="lv-LV"/>
              </w:rPr>
              <w:t>-2,8</w:t>
            </w:r>
          </w:p>
        </w:tc>
        <w:tc>
          <w:tcPr>
            <w:tcW w:w="705" w:type="dxa"/>
            <w:tcBorders>
              <w:bottom w:val="double" w:sz="4" w:space="0" w:color="auto"/>
            </w:tcBorders>
            <w:shd w:val="clear" w:color="auto" w:fill="auto"/>
            <w:tcMar>
              <w:left w:w="57" w:type="dxa"/>
              <w:right w:w="57" w:type="dxa"/>
            </w:tcMar>
            <w:vAlign w:val="center"/>
          </w:tcPr>
          <w:p w14:paraId="33B2F2D3" w14:textId="77777777" w:rsidR="00DC4D1F" w:rsidRPr="00DD662B" w:rsidRDefault="00DC4D1F" w:rsidP="00BF25F0">
            <w:pPr>
              <w:spacing w:after="0" w:line="259" w:lineRule="auto"/>
              <w:ind w:firstLine="0"/>
              <w:jc w:val="right"/>
              <w:rPr>
                <w:sz w:val="18"/>
                <w:szCs w:val="18"/>
                <w:lang w:eastAsia="lv-LV"/>
              </w:rPr>
            </w:pPr>
            <w:r w:rsidRPr="00DD662B">
              <w:rPr>
                <w:sz w:val="18"/>
                <w:szCs w:val="18"/>
                <w:lang w:eastAsia="lv-LV"/>
              </w:rPr>
              <w:t>-19,2</w:t>
            </w:r>
          </w:p>
        </w:tc>
        <w:tc>
          <w:tcPr>
            <w:tcW w:w="631" w:type="dxa"/>
            <w:tcBorders>
              <w:bottom w:val="double" w:sz="4" w:space="0" w:color="auto"/>
              <w:right w:val="single" w:sz="4" w:space="0" w:color="auto"/>
            </w:tcBorders>
            <w:shd w:val="clear" w:color="auto" w:fill="auto"/>
            <w:tcMar>
              <w:left w:w="57" w:type="dxa"/>
              <w:right w:w="57" w:type="dxa"/>
            </w:tcMar>
            <w:vAlign w:val="center"/>
          </w:tcPr>
          <w:p w14:paraId="731A62DD" w14:textId="77777777" w:rsidR="00DC4D1F" w:rsidRPr="00DD662B" w:rsidRDefault="00DC4D1F" w:rsidP="00BF25F0">
            <w:pPr>
              <w:spacing w:after="0" w:line="259" w:lineRule="auto"/>
              <w:ind w:firstLine="0"/>
              <w:jc w:val="right"/>
              <w:rPr>
                <w:sz w:val="18"/>
                <w:szCs w:val="18"/>
                <w:lang w:eastAsia="lv-LV"/>
              </w:rPr>
            </w:pPr>
            <w:r w:rsidRPr="00DD662B">
              <w:rPr>
                <w:sz w:val="18"/>
                <w:szCs w:val="18"/>
                <w:lang w:eastAsia="lv-LV"/>
              </w:rPr>
              <w:t>-34,7</w:t>
            </w:r>
          </w:p>
        </w:tc>
      </w:tr>
      <w:tr w:rsidR="00DC4D1F" w:rsidRPr="00EF1D74" w14:paraId="153E2CA0" w14:textId="77777777" w:rsidTr="00BF25F0">
        <w:trPr>
          <w:gridAfter w:val="1"/>
          <w:wAfter w:w="15" w:type="dxa"/>
          <w:trHeight w:val="333"/>
          <w:jc w:val="center"/>
        </w:trPr>
        <w:tc>
          <w:tcPr>
            <w:tcW w:w="2962" w:type="dxa"/>
            <w:tcBorders>
              <w:top w:val="double" w:sz="4" w:space="0" w:color="auto"/>
            </w:tcBorders>
            <w:shd w:val="clear" w:color="auto" w:fill="auto"/>
            <w:vAlign w:val="center"/>
          </w:tcPr>
          <w:p w14:paraId="49A4F955" w14:textId="77777777" w:rsidR="00DC4D1F" w:rsidRPr="00EF1D74" w:rsidRDefault="00DC4D1F" w:rsidP="00BF25F0">
            <w:pPr>
              <w:spacing w:after="0"/>
              <w:ind w:firstLine="0"/>
              <w:jc w:val="left"/>
              <w:rPr>
                <w:b/>
                <w:noProof/>
                <w:sz w:val="18"/>
                <w:szCs w:val="18"/>
                <w:lang w:eastAsia="lv-LV"/>
              </w:rPr>
            </w:pPr>
            <w:r w:rsidRPr="00EF1D74">
              <w:rPr>
                <w:b/>
                <w:noProof/>
                <w:sz w:val="18"/>
                <w:szCs w:val="18"/>
                <w:lang w:eastAsia="lv-LV"/>
              </w:rPr>
              <w:t>Vispārējās valdības parāds,</w:t>
            </w:r>
            <w:r w:rsidRPr="00EF1D74">
              <w:rPr>
                <w:b/>
                <w:noProof/>
                <w:sz w:val="18"/>
                <w:szCs w:val="18"/>
                <w:lang w:eastAsia="lv-LV"/>
              </w:rPr>
              <w:br/>
              <w:t xml:space="preserve">% no IKP </w:t>
            </w:r>
          </w:p>
        </w:tc>
        <w:tc>
          <w:tcPr>
            <w:tcW w:w="848" w:type="dxa"/>
            <w:tcBorders>
              <w:top w:val="double" w:sz="4" w:space="0" w:color="auto"/>
            </w:tcBorders>
            <w:shd w:val="clear" w:color="auto" w:fill="auto"/>
            <w:tcMar>
              <w:left w:w="57" w:type="dxa"/>
              <w:right w:w="57" w:type="dxa"/>
            </w:tcMar>
            <w:vAlign w:val="center"/>
          </w:tcPr>
          <w:p w14:paraId="58FE08F2" w14:textId="77777777" w:rsidR="00DC4D1F" w:rsidRPr="00E523E6" w:rsidRDefault="00DC4D1F" w:rsidP="00BF25F0">
            <w:pPr>
              <w:spacing w:after="0"/>
              <w:ind w:firstLine="0"/>
              <w:jc w:val="right"/>
              <w:rPr>
                <w:b/>
                <w:noProof/>
                <w:sz w:val="18"/>
                <w:szCs w:val="18"/>
                <w:lang w:eastAsia="lv-LV"/>
              </w:rPr>
            </w:pPr>
            <w:r w:rsidRPr="00E523E6">
              <w:rPr>
                <w:b/>
                <w:noProof/>
                <w:sz w:val="18"/>
                <w:szCs w:val="18"/>
                <w:lang w:eastAsia="lv-LV"/>
              </w:rPr>
              <w:t>49%</w:t>
            </w:r>
          </w:p>
        </w:tc>
        <w:tc>
          <w:tcPr>
            <w:tcW w:w="847" w:type="dxa"/>
            <w:tcBorders>
              <w:top w:val="double" w:sz="4" w:space="0" w:color="auto"/>
            </w:tcBorders>
            <w:shd w:val="clear" w:color="auto" w:fill="auto"/>
            <w:tcMar>
              <w:left w:w="57" w:type="dxa"/>
              <w:right w:w="57" w:type="dxa"/>
            </w:tcMar>
            <w:vAlign w:val="center"/>
          </w:tcPr>
          <w:p w14:paraId="24AA084D" w14:textId="77777777" w:rsidR="00DC4D1F" w:rsidRPr="00E523E6" w:rsidRDefault="00DC4D1F" w:rsidP="00BF25F0">
            <w:pPr>
              <w:spacing w:after="0"/>
              <w:ind w:firstLine="0"/>
              <w:jc w:val="right"/>
              <w:rPr>
                <w:b/>
                <w:noProof/>
                <w:sz w:val="18"/>
                <w:szCs w:val="18"/>
                <w:lang w:eastAsia="lv-LV"/>
              </w:rPr>
            </w:pPr>
            <w:r w:rsidRPr="00E523E6">
              <w:rPr>
                <w:b/>
                <w:noProof/>
                <w:sz w:val="18"/>
                <w:szCs w:val="18"/>
                <w:lang w:eastAsia="lv-LV"/>
              </w:rPr>
              <w:t>54%</w:t>
            </w:r>
          </w:p>
        </w:tc>
        <w:tc>
          <w:tcPr>
            <w:tcW w:w="848" w:type="dxa"/>
            <w:tcBorders>
              <w:top w:val="double" w:sz="4" w:space="0" w:color="auto"/>
            </w:tcBorders>
            <w:shd w:val="clear" w:color="auto" w:fill="auto"/>
            <w:tcMar>
              <w:left w:w="57" w:type="dxa"/>
              <w:right w:w="57" w:type="dxa"/>
            </w:tcMar>
            <w:vAlign w:val="center"/>
          </w:tcPr>
          <w:p w14:paraId="2A0D4A64" w14:textId="77777777" w:rsidR="00DC4D1F" w:rsidRPr="00E523E6" w:rsidRDefault="00DC4D1F" w:rsidP="00BF25F0">
            <w:pPr>
              <w:spacing w:after="0"/>
              <w:ind w:firstLine="0"/>
              <w:jc w:val="right"/>
              <w:rPr>
                <w:b/>
                <w:noProof/>
                <w:sz w:val="18"/>
                <w:szCs w:val="18"/>
                <w:lang w:eastAsia="lv-LV"/>
              </w:rPr>
            </w:pPr>
            <w:r w:rsidRPr="00E523E6">
              <w:rPr>
                <w:b/>
                <w:noProof/>
                <w:sz w:val="18"/>
                <w:szCs w:val="18"/>
                <w:lang w:eastAsia="lv-LV"/>
              </w:rPr>
              <w:t>53%</w:t>
            </w:r>
          </w:p>
        </w:tc>
        <w:tc>
          <w:tcPr>
            <w:tcW w:w="847" w:type="dxa"/>
            <w:tcBorders>
              <w:top w:val="double" w:sz="4" w:space="0" w:color="auto"/>
            </w:tcBorders>
            <w:shd w:val="clear" w:color="auto" w:fill="auto"/>
            <w:tcMar>
              <w:left w:w="57" w:type="dxa"/>
              <w:right w:w="57" w:type="dxa"/>
            </w:tcMar>
            <w:vAlign w:val="center"/>
          </w:tcPr>
          <w:p w14:paraId="5AEB9EB1" w14:textId="77777777" w:rsidR="00DC4D1F" w:rsidRPr="00E523E6" w:rsidRDefault="00DC4D1F" w:rsidP="00BF25F0">
            <w:pPr>
              <w:spacing w:after="0"/>
              <w:ind w:firstLine="0"/>
              <w:jc w:val="right"/>
              <w:rPr>
                <w:b/>
                <w:noProof/>
                <w:sz w:val="18"/>
                <w:szCs w:val="18"/>
                <w:lang w:eastAsia="lv-LV"/>
              </w:rPr>
            </w:pPr>
            <w:r w:rsidRPr="00E523E6">
              <w:rPr>
                <w:b/>
                <w:noProof/>
                <w:sz w:val="18"/>
                <w:szCs w:val="18"/>
                <w:lang w:eastAsia="lv-LV"/>
              </w:rPr>
              <w:t>53%</w:t>
            </w:r>
          </w:p>
        </w:tc>
        <w:tc>
          <w:tcPr>
            <w:tcW w:w="706" w:type="dxa"/>
            <w:tcBorders>
              <w:top w:val="double" w:sz="4" w:space="0" w:color="auto"/>
            </w:tcBorders>
            <w:shd w:val="clear" w:color="auto" w:fill="auto"/>
            <w:tcMar>
              <w:left w:w="57" w:type="dxa"/>
              <w:right w:w="57" w:type="dxa"/>
            </w:tcMar>
            <w:vAlign w:val="center"/>
          </w:tcPr>
          <w:p w14:paraId="1C33C744" w14:textId="77777777" w:rsidR="00DC4D1F" w:rsidRPr="00E523E6" w:rsidRDefault="00DC4D1F" w:rsidP="00BF25F0">
            <w:pPr>
              <w:spacing w:after="0"/>
              <w:ind w:firstLine="0"/>
              <w:jc w:val="right"/>
              <w:rPr>
                <w:b/>
                <w:noProof/>
                <w:sz w:val="18"/>
                <w:szCs w:val="18"/>
                <w:lang w:eastAsia="lv-LV"/>
              </w:rPr>
            </w:pPr>
            <w:r w:rsidRPr="00E523E6">
              <w:rPr>
                <w:b/>
                <w:noProof/>
                <w:sz w:val="18"/>
                <w:szCs w:val="18"/>
                <w:lang w:eastAsia="lv-LV"/>
              </w:rPr>
              <w:t>0,5 pp</w:t>
            </w:r>
          </w:p>
        </w:tc>
        <w:tc>
          <w:tcPr>
            <w:tcW w:w="706" w:type="dxa"/>
            <w:tcBorders>
              <w:top w:val="double" w:sz="4" w:space="0" w:color="auto"/>
            </w:tcBorders>
            <w:shd w:val="clear" w:color="auto" w:fill="auto"/>
            <w:tcMar>
              <w:left w:w="57" w:type="dxa"/>
              <w:right w:w="57" w:type="dxa"/>
            </w:tcMar>
            <w:vAlign w:val="center"/>
          </w:tcPr>
          <w:p w14:paraId="097042D0" w14:textId="77777777" w:rsidR="00DC4D1F" w:rsidRPr="00E523E6" w:rsidRDefault="00DC4D1F" w:rsidP="00BF25F0">
            <w:pPr>
              <w:spacing w:after="0" w:line="259" w:lineRule="auto"/>
              <w:ind w:firstLine="0"/>
              <w:jc w:val="right"/>
              <w:rPr>
                <w:b/>
                <w:noProof/>
                <w:sz w:val="18"/>
                <w:szCs w:val="18"/>
                <w:lang w:eastAsia="lv-LV"/>
              </w:rPr>
            </w:pPr>
            <w:r w:rsidRPr="00E523E6">
              <w:rPr>
                <w:b/>
                <w:noProof/>
                <w:sz w:val="18"/>
                <w:szCs w:val="18"/>
                <w:lang w:eastAsia="lv-LV"/>
              </w:rPr>
              <w:t>2,6 pp</w:t>
            </w:r>
          </w:p>
        </w:tc>
        <w:tc>
          <w:tcPr>
            <w:tcW w:w="705" w:type="dxa"/>
            <w:tcBorders>
              <w:top w:val="double" w:sz="4" w:space="0" w:color="auto"/>
            </w:tcBorders>
            <w:shd w:val="clear" w:color="auto" w:fill="auto"/>
            <w:tcMar>
              <w:left w:w="57" w:type="dxa"/>
              <w:right w:w="57" w:type="dxa"/>
            </w:tcMar>
            <w:vAlign w:val="center"/>
          </w:tcPr>
          <w:p w14:paraId="32BFE780" w14:textId="77777777" w:rsidR="00DC4D1F" w:rsidRPr="00E523E6" w:rsidRDefault="00DC4D1F" w:rsidP="00BF25F0">
            <w:pPr>
              <w:spacing w:after="0" w:line="259" w:lineRule="auto"/>
              <w:ind w:firstLine="0"/>
              <w:jc w:val="right"/>
              <w:rPr>
                <w:b/>
                <w:noProof/>
                <w:sz w:val="18"/>
                <w:szCs w:val="18"/>
                <w:lang w:eastAsia="lv-LV"/>
              </w:rPr>
            </w:pPr>
            <w:r w:rsidRPr="00E523E6">
              <w:rPr>
                <w:b/>
                <w:noProof/>
                <w:sz w:val="18"/>
                <w:szCs w:val="18"/>
                <w:lang w:eastAsia="lv-LV"/>
              </w:rPr>
              <w:t>3,3 pp</w:t>
            </w:r>
          </w:p>
        </w:tc>
        <w:tc>
          <w:tcPr>
            <w:tcW w:w="631" w:type="dxa"/>
            <w:tcBorders>
              <w:top w:val="double" w:sz="4" w:space="0" w:color="auto"/>
            </w:tcBorders>
            <w:shd w:val="clear" w:color="auto" w:fill="auto"/>
            <w:tcMar>
              <w:left w:w="57" w:type="dxa"/>
              <w:right w:w="57" w:type="dxa"/>
            </w:tcMar>
            <w:vAlign w:val="center"/>
          </w:tcPr>
          <w:p w14:paraId="0720ED59" w14:textId="77777777" w:rsidR="00DC4D1F" w:rsidRPr="00E523E6" w:rsidRDefault="00DC4D1F" w:rsidP="00BF25F0">
            <w:pPr>
              <w:spacing w:after="0" w:line="259" w:lineRule="auto"/>
              <w:ind w:firstLine="0"/>
              <w:jc w:val="right"/>
              <w:rPr>
                <w:b/>
                <w:noProof/>
                <w:sz w:val="18"/>
                <w:szCs w:val="18"/>
                <w:lang w:eastAsia="lv-LV"/>
              </w:rPr>
            </w:pPr>
            <w:r w:rsidRPr="00E523E6">
              <w:rPr>
                <w:b/>
                <w:noProof/>
                <w:sz w:val="18"/>
                <w:szCs w:val="18"/>
                <w:lang w:eastAsia="lv-LV"/>
              </w:rPr>
              <w:t>4,1 pp</w:t>
            </w:r>
          </w:p>
        </w:tc>
      </w:tr>
    </w:tbl>
    <w:p w14:paraId="0D42BFEF" w14:textId="77777777" w:rsidR="00DC4D1F" w:rsidRPr="00EF1D74" w:rsidRDefault="00DC4D1F" w:rsidP="00DC4D1F">
      <w:pPr>
        <w:autoSpaceDE w:val="0"/>
        <w:autoSpaceDN w:val="0"/>
        <w:adjustRightInd w:val="0"/>
        <w:spacing w:before="120"/>
        <w:ind w:firstLine="720"/>
        <w:rPr>
          <w:noProof/>
          <w:color w:val="000000"/>
          <w:szCs w:val="24"/>
          <w:lang w:eastAsia="lv-LV"/>
        </w:rPr>
      </w:pPr>
      <w:r w:rsidRPr="007F240E">
        <w:rPr>
          <w:noProof/>
          <w:color w:val="000000"/>
          <w:szCs w:val="24"/>
          <w:lang w:eastAsia="lv-LV"/>
        </w:rPr>
        <w:t>Papildus aplūkojam scenārijus, kuros aizņemšanās procentu likmes parāda pārfinansēšanai nosvārstās viena procentpukta robežās</w:t>
      </w:r>
      <w:r>
        <w:rPr>
          <w:noProof/>
          <w:color w:val="000000"/>
          <w:szCs w:val="24"/>
          <w:lang w:eastAsia="lv-LV"/>
        </w:rPr>
        <w:t xml:space="preserve"> – </w:t>
      </w:r>
      <w:r w:rsidRPr="007F240E">
        <w:rPr>
          <w:noProof/>
          <w:color w:val="000000"/>
          <w:szCs w:val="24"/>
          <w:lang w:eastAsia="lv-LV"/>
        </w:rPr>
        <w:t xml:space="preserve">par vienu procentpuktu palielinoties </w:t>
      </w:r>
      <w:r>
        <w:rPr>
          <w:noProof/>
          <w:color w:val="000000"/>
          <w:szCs w:val="24"/>
          <w:lang w:eastAsia="lv-LV"/>
        </w:rPr>
        <w:t>vai</w:t>
      </w:r>
      <w:r w:rsidRPr="007F240E">
        <w:rPr>
          <w:noProof/>
          <w:color w:val="000000"/>
          <w:szCs w:val="24"/>
          <w:lang w:eastAsia="lv-LV"/>
        </w:rPr>
        <w:t xml:space="preserve"> šādā apmērā samazinoties. Procentu likmēm par vienu procentpuktu palielinoties, procentu izdevumi 2022. gadā palielinātos par 8,1 milj. </w:t>
      </w:r>
      <w:r w:rsidRPr="007F240E">
        <w:rPr>
          <w:i/>
          <w:noProof/>
          <w:color w:val="000000"/>
          <w:szCs w:val="24"/>
          <w:lang w:eastAsia="lv-LV"/>
        </w:rPr>
        <w:t>euro</w:t>
      </w:r>
      <w:r w:rsidRPr="007F240E">
        <w:rPr>
          <w:noProof/>
          <w:color w:val="000000"/>
          <w:szCs w:val="24"/>
          <w:lang w:eastAsia="lv-LV"/>
        </w:rPr>
        <w:t xml:space="preserve">, 2023. gadā </w:t>
      </w:r>
      <w:r w:rsidRPr="00C537E9">
        <w:rPr>
          <w:noProof/>
          <w:color w:val="000000"/>
          <w:szCs w:val="24"/>
          <w:lang w:eastAsia="lv-LV"/>
        </w:rPr>
        <w:t xml:space="preserve">izdevumi būtu jau par 34,7 milj. </w:t>
      </w:r>
      <w:r w:rsidRPr="00C537E9">
        <w:rPr>
          <w:i/>
          <w:noProof/>
          <w:color w:val="000000"/>
          <w:szCs w:val="24"/>
          <w:lang w:eastAsia="lv-LV"/>
        </w:rPr>
        <w:t>euro</w:t>
      </w:r>
      <w:r w:rsidRPr="00C537E9">
        <w:rPr>
          <w:noProof/>
          <w:color w:val="000000"/>
          <w:szCs w:val="24"/>
          <w:lang w:eastAsia="lv-LV"/>
        </w:rPr>
        <w:t xml:space="preserve"> un 2024. gadā par 60,7 milj. </w:t>
      </w:r>
      <w:r w:rsidRPr="00C537E9">
        <w:rPr>
          <w:i/>
          <w:noProof/>
          <w:color w:val="000000"/>
          <w:szCs w:val="24"/>
          <w:lang w:eastAsia="lv-LV"/>
        </w:rPr>
        <w:t>euro</w:t>
      </w:r>
      <w:r w:rsidRPr="00C537E9">
        <w:rPr>
          <w:noProof/>
          <w:color w:val="000000"/>
          <w:szCs w:val="24"/>
          <w:lang w:eastAsia="lv-LV"/>
        </w:rPr>
        <w:t xml:space="preserve"> lielāki nekā bāzes </w:t>
      </w:r>
      <w:r w:rsidRPr="00DD662B">
        <w:rPr>
          <w:noProof/>
          <w:color w:val="000000"/>
          <w:szCs w:val="24"/>
          <w:lang w:eastAsia="lv-LV"/>
        </w:rPr>
        <w:t xml:space="preserve">scenārijā. Savukārt, procentu likmēm par vienu procentpuktu samazinoties, izdevumi 2022. gadā samazinātos par 2,8 milj. </w:t>
      </w:r>
      <w:r w:rsidRPr="00DD662B">
        <w:rPr>
          <w:i/>
          <w:noProof/>
          <w:color w:val="000000"/>
          <w:szCs w:val="24"/>
          <w:lang w:eastAsia="lv-LV"/>
        </w:rPr>
        <w:t>euro</w:t>
      </w:r>
      <w:r w:rsidRPr="00DD662B">
        <w:rPr>
          <w:noProof/>
          <w:color w:val="000000"/>
          <w:szCs w:val="24"/>
          <w:lang w:eastAsia="lv-LV"/>
        </w:rPr>
        <w:t xml:space="preserve">, 2023. gadā izdevumi būtu par 19,2 milj. </w:t>
      </w:r>
      <w:r w:rsidRPr="00DD662B">
        <w:rPr>
          <w:i/>
          <w:noProof/>
          <w:color w:val="000000"/>
          <w:szCs w:val="24"/>
          <w:lang w:eastAsia="lv-LV"/>
        </w:rPr>
        <w:t>euro</w:t>
      </w:r>
      <w:r w:rsidRPr="00DD662B">
        <w:rPr>
          <w:noProof/>
          <w:color w:val="000000"/>
          <w:szCs w:val="24"/>
          <w:lang w:eastAsia="lv-LV"/>
        </w:rPr>
        <w:t xml:space="preserve"> un 2024. gadā par 34,7 milj. </w:t>
      </w:r>
      <w:r w:rsidRPr="00DD662B">
        <w:rPr>
          <w:i/>
          <w:noProof/>
          <w:color w:val="000000"/>
          <w:szCs w:val="24"/>
          <w:lang w:eastAsia="lv-LV"/>
        </w:rPr>
        <w:t>euro</w:t>
      </w:r>
      <w:r w:rsidRPr="00DD662B">
        <w:rPr>
          <w:noProof/>
          <w:color w:val="000000"/>
          <w:szCs w:val="24"/>
          <w:lang w:eastAsia="lv-LV"/>
        </w:rPr>
        <w:t xml:space="preserve"> mazāki nekā bāzes scenārijā.</w:t>
      </w:r>
    </w:p>
    <w:p w14:paraId="49E93CA9" w14:textId="32EF20B0" w:rsidR="00EF1D74" w:rsidRDefault="00EF1D74" w:rsidP="00EF1D74">
      <w:pPr>
        <w:keepNext/>
        <w:keepLines/>
        <w:spacing w:before="240" w:after="240"/>
        <w:ind w:firstLine="0"/>
        <w:jc w:val="center"/>
        <w:outlineLvl w:val="1"/>
        <w:rPr>
          <w:b/>
          <w:sz w:val="36"/>
          <w:szCs w:val="36"/>
        </w:rPr>
      </w:pPr>
      <w:r w:rsidRPr="00EF1D74">
        <w:rPr>
          <w:b/>
          <w:sz w:val="36"/>
          <w:szCs w:val="36"/>
        </w:rPr>
        <w:t>1.6. Iepriekšējo makroekonomisko prognožu izvērtējums</w:t>
      </w:r>
    </w:p>
    <w:p w14:paraId="36A9405F" w14:textId="77777777" w:rsidR="00A05204" w:rsidRPr="00DF1711" w:rsidRDefault="00A05204" w:rsidP="00A05204">
      <w:pPr>
        <w:spacing w:before="120"/>
        <w:ind w:firstLine="567"/>
        <w:rPr>
          <w:rFonts w:eastAsia="Calibri"/>
          <w:szCs w:val="22"/>
        </w:rPr>
      </w:pPr>
      <w:r w:rsidRPr="00DF1711">
        <w:rPr>
          <w:rFonts w:eastAsia="Calibri"/>
          <w:szCs w:val="22"/>
        </w:rPr>
        <w:t xml:space="preserve">FM makroekonomiskās prognozes </w:t>
      </w:r>
      <w:r>
        <w:rPr>
          <w:rFonts w:eastAsia="Calibri"/>
          <w:szCs w:val="22"/>
        </w:rPr>
        <w:t>2022. gada</w:t>
      </w:r>
      <w:r w:rsidRPr="00DF1711">
        <w:rPr>
          <w:rFonts w:eastAsia="Calibri"/>
          <w:szCs w:val="22"/>
        </w:rPr>
        <w:t xml:space="preserve"> budžeta vajadzībām tika izstrādātas 2021</w:t>
      </w:r>
      <w:r>
        <w:rPr>
          <w:rFonts w:eastAsia="Calibri"/>
          <w:szCs w:val="22"/>
        </w:rPr>
        <w:t>. gad</w:t>
      </w:r>
      <w:r w:rsidRPr="00DF1711">
        <w:rPr>
          <w:rFonts w:eastAsia="Calibri"/>
          <w:szCs w:val="22"/>
        </w:rPr>
        <w:t xml:space="preserve">a jūnijā, balstoties uz pēdējiem uz to brīdi pieejamajiem datiem un augstas nenoteiktības apstākļos, ņemot vērā </w:t>
      </w:r>
      <w:r>
        <w:rPr>
          <w:rFonts w:eastAsia="Calibri"/>
          <w:szCs w:val="22"/>
        </w:rPr>
        <w:t>Covid</w:t>
      </w:r>
      <w:r>
        <w:rPr>
          <w:rFonts w:eastAsia="Calibri"/>
          <w:szCs w:val="22"/>
        </w:rPr>
        <w:noBreakHyphen/>
        <w:t>19</w:t>
      </w:r>
      <w:r w:rsidRPr="00DF1711">
        <w:rPr>
          <w:rFonts w:eastAsia="Calibri"/>
          <w:szCs w:val="22"/>
        </w:rPr>
        <w:t xml:space="preserve"> izplatības neprognozējamību. Pēdējos piecos gados FM prognozes kopumā ir atbildušas ekonomiskajam trendam, </w:t>
      </w:r>
      <w:r>
        <w:rPr>
          <w:rFonts w:eastAsia="Calibri"/>
          <w:szCs w:val="22"/>
        </w:rPr>
        <w:t>tomēr</w:t>
      </w:r>
      <w:r w:rsidRPr="00DF1711">
        <w:rPr>
          <w:rFonts w:eastAsia="Calibri"/>
          <w:szCs w:val="22"/>
        </w:rPr>
        <w:t xml:space="preserve"> 2020</w:t>
      </w:r>
      <w:r>
        <w:rPr>
          <w:rFonts w:eastAsia="Calibri"/>
          <w:szCs w:val="22"/>
        </w:rPr>
        <w:t>. gad</w:t>
      </w:r>
      <w:r w:rsidRPr="00DF1711">
        <w:rPr>
          <w:rFonts w:eastAsia="Calibri"/>
          <w:szCs w:val="22"/>
        </w:rPr>
        <w:t xml:space="preserve">a </w:t>
      </w:r>
      <w:r>
        <w:rPr>
          <w:rFonts w:eastAsia="Calibri"/>
          <w:szCs w:val="22"/>
        </w:rPr>
        <w:t xml:space="preserve">prognoze bija </w:t>
      </w:r>
      <w:r w:rsidRPr="00E3390A">
        <w:rPr>
          <w:rFonts w:eastAsia="Calibri"/>
          <w:szCs w:val="22"/>
        </w:rPr>
        <w:t>zemāka nekā fakts, jo pandēmijas dziļums un ietekme uz ekonomiku ir saistīta ar lielu nenoteiktību.</w:t>
      </w:r>
      <w:r w:rsidRPr="00DF1711">
        <w:rPr>
          <w:rFonts w:eastAsia="Calibri"/>
          <w:szCs w:val="22"/>
        </w:rPr>
        <w:t xml:space="preserve"> Kopumā prognozēm nav vērojamas sistemātiskas kļūdas, līdz ar to prognozēšanas process kopumā ir vērtējams kā apmierinošs.</w:t>
      </w:r>
    </w:p>
    <w:p w14:paraId="16175FA5" w14:textId="77777777" w:rsidR="00A05204" w:rsidRDefault="00A05204" w:rsidP="00A05204">
      <w:pPr>
        <w:spacing w:before="120"/>
        <w:ind w:firstLine="567"/>
        <w:rPr>
          <w:rFonts w:eastAsia="Calibri"/>
          <w:szCs w:val="22"/>
        </w:rPr>
      </w:pPr>
      <w:r w:rsidRPr="00DF1711">
        <w:rPr>
          <w:rFonts w:eastAsia="Calibri"/>
          <w:szCs w:val="22"/>
        </w:rPr>
        <w:t>IKP pieauguma prognožu novirze no fakta piecos pēdējos gados vidēji bija 1,5 procentpunkti, bet neskaitot 2020</w:t>
      </w:r>
      <w:r>
        <w:rPr>
          <w:rFonts w:eastAsia="Calibri"/>
          <w:szCs w:val="22"/>
        </w:rPr>
        <w:t>. gad</w:t>
      </w:r>
      <w:r w:rsidRPr="00DF1711">
        <w:rPr>
          <w:rFonts w:eastAsia="Calibri"/>
          <w:szCs w:val="22"/>
        </w:rPr>
        <w:t>u</w:t>
      </w:r>
      <w:r>
        <w:rPr>
          <w:rFonts w:eastAsia="Calibri"/>
          <w:szCs w:val="22"/>
        </w:rPr>
        <w:t>,</w:t>
      </w:r>
      <w:r w:rsidRPr="00DF1711">
        <w:rPr>
          <w:rFonts w:eastAsia="Calibri"/>
          <w:szCs w:val="22"/>
        </w:rPr>
        <w:t xml:space="preserve"> tikai -0,1 procentpunktu. Turklāt prognožu </w:t>
      </w:r>
      <w:r w:rsidRPr="00DF1711">
        <w:rPr>
          <w:rFonts w:eastAsia="Calibri"/>
          <w:szCs w:val="22"/>
        </w:rPr>
        <w:lastRenderedPageBreak/>
        <w:t>novirzes gan pozitīvā, gan negatīvā virzienā ir bijušas vienād</w:t>
      </w:r>
      <w:r>
        <w:rPr>
          <w:rFonts w:eastAsia="Calibri"/>
          <w:szCs w:val="22"/>
        </w:rPr>
        <w:t>ā</w:t>
      </w:r>
      <w:r w:rsidRPr="00DF1711">
        <w:rPr>
          <w:rFonts w:eastAsia="Calibri"/>
          <w:szCs w:val="22"/>
        </w:rPr>
        <w:t xml:space="preserve"> skait</w:t>
      </w:r>
      <w:r>
        <w:rPr>
          <w:rFonts w:eastAsia="Calibri"/>
          <w:szCs w:val="22"/>
        </w:rPr>
        <w:t>ā</w:t>
      </w:r>
      <w:r w:rsidRPr="00DF1711">
        <w:rPr>
          <w:rFonts w:eastAsia="Calibri"/>
          <w:szCs w:val="22"/>
        </w:rPr>
        <w:t>, norādot, ka tās nav ar sistemātisku novirzi vienā virzienā. 2020</w:t>
      </w:r>
      <w:r>
        <w:rPr>
          <w:rFonts w:eastAsia="Calibri"/>
          <w:szCs w:val="22"/>
        </w:rPr>
        <w:t>. gad</w:t>
      </w:r>
      <w:r w:rsidRPr="00DF1711">
        <w:rPr>
          <w:rFonts w:eastAsia="Calibri"/>
          <w:szCs w:val="22"/>
        </w:rPr>
        <w:t xml:space="preserve">s </w:t>
      </w:r>
      <w:r>
        <w:rPr>
          <w:rFonts w:eastAsia="Calibri"/>
          <w:szCs w:val="22"/>
        </w:rPr>
        <w:t>ir izņēmums</w:t>
      </w:r>
      <w:r w:rsidRPr="00DF1711">
        <w:rPr>
          <w:rFonts w:eastAsia="Calibri"/>
          <w:szCs w:val="22"/>
        </w:rPr>
        <w:t xml:space="preserve"> ar to, ka </w:t>
      </w:r>
      <w:r>
        <w:rPr>
          <w:rFonts w:eastAsia="Calibri"/>
          <w:szCs w:val="22"/>
        </w:rPr>
        <w:t>Covid</w:t>
      </w:r>
      <w:r>
        <w:rPr>
          <w:rFonts w:eastAsia="Calibri"/>
          <w:szCs w:val="22"/>
        </w:rPr>
        <w:noBreakHyphen/>
        <w:t>19 radīja netipisku novirzi no biznesa cikla</w:t>
      </w:r>
      <w:r w:rsidRPr="00E3390A">
        <w:rPr>
          <w:rFonts w:eastAsia="Calibri"/>
          <w:szCs w:val="22"/>
        </w:rPr>
        <w:t>. Salīdzinājumam</w:t>
      </w:r>
      <w:r w:rsidRPr="00DF1711">
        <w:rPr>
          <w:rFonts w:eastAsia="Calibri"/>
          <w:szCs w:val="22"/>
        </w:rPr>
        <w:t>, tāpēc arī starptautisko institūciju IKP pieauguma prognožu kļūda 2020</w:t>
      </w:r>
      <w:r>
        <w:rPr>
          <w:rFonts w:eastAsia="Calibri"/>
          <w:szCs w:val="22"/>
        </w:rPr>
        <w:t>. gad</w:t>
      </w:r>
      <w:r w:rsidRPr="00DF1711">
        <w:rPr>
          <w:rFonts w:eastAsia="Calibri"/>
          <w:szCs w:val="22"/>
        </w:rPr>
        <w:t>am bija pat lielāka nekā Finanšu ministrijai. Arī 2022. un 2023</w:t>
      </w:r>
      <w:r>
        <w:rPr>
          <w:rFonts w:eastAsia="Calibri"/>
          <w:szCs w:val="22"/>
        </w:rPr>
        <w:t>. gad</w:t>
      </w:r>
      <w:r w:rsidRPr="00DF1711">
        <w:rPr>
          <w:rFonts w:eastAsia="Calibri"/>
          <w:szCs w:val="22"/>
        </w:rPr>
        <w:t>s</w:t>
      </w:r>
      <w:r>
        <w:rPr>
          <w:rFonts w:eastAsia="Calibri"/>
          <w:szCs w:val="22"/>
        </w:rPr>
        <w:t>,</w:t>
      </w:r>
      <w:r w:rsidRPr="00DF1711">
        <w:rPr>
          <w:rFonts w:eastAsia="Calibri"/>
          <w:szCs w:val="22"/>
        </w:rPr>
        <w:t xml:space="preserve"> domājams</w:t>
      </w:r>
      <w:r>
        <w:rPr>
          <w:rFonts w:eastAsia="Calibri"/>
          <w:szCs w:val="22"/>
        </w:rPr>
        <w:t>,</w:t>
      </w:r>
      <w:r w:rsidRPr="00DF1711">
        <w:rPr>
          <w:rFonts w:eastAsia="Calibri"/>
          <w:szCs w:val="22"/>
        </w:rPr>
        <w:t xml:space="preserve"> būs ar lielu prognožu novirzi no faktiskajiem datiem, ņemot vērā lielo nenoteiktību, kādu rada </w:t>
      </w:r>
      <w:r>
        <w:rPr>
          <w:rFonts w:eastAsia="Calibri"/>
          <w:szCs w:val="22"/>
        </w:rPr>
        <w:t>Covid</w:t>
      </w:r>
      <w:r>
        <w:rPr>
          <w:rFonts w:eastAsia="Calibri"/>
          <w:szCs w:val="22"/>
        </w:rPr>
        <w:noBreakHyphen/>
        <w:t>19</w:t>
      </w:r>
      <w:r w:rsidRPr="00DF1711">
        <w:rPr>
          <w:rFonts w:eastAsia="Calibri"/>
          <w:szCs w:val="22"/>
        </w:rPr>
        <w:t xml:space="preserve"> ietekme uz ekonomisko attīstību turpmākajos gados.</w:t>
      </w:r>
    </w:p>
    <w:p w14:paraId="1AC5D702" w14:textId="77777777" w:rsidR="00A05204" w:rsidRPr="00A05204" w:rsidRDefault="00A05204" w:rsidP="00A05204">
      <w:pPr>
        <w:ind w:firstLine="0"/>
      </w:pPr>
    </w:p>
    <w:sectPr w:rsidR="00A05204" w:rsidRPr="00A05204" w:rsidSect="00AA6973">
      <w:headerReference w:type="even" r:id="rId52"/>
      <w:headerReference w:type="default" r:id="rId53"/>
      <w:footerReference w:type="default" r:id="rId54"/>
      <w:footerReference w:type="first" r:id="rId55"/>
      <w:pgSz w:w="11906" w:h="16838" w:code="9"/>
      <w:pgMar w:top="1418" w:right="1134" w:bottom="1134" w:left="1701" w:header="720" w:footer="720" w:gutter="0"/>
      <w:pgNumType w:start="7"/>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DF8DA25" w14:textId="77777777" w:rsidR="0090538F" w:rsidRDefault="0090538F">
      <w:r>
        <w:separator/>
      </w:r>
    </w:p>
  </w:endnote>
  <w:endnote w:type="continuationSeparator" w:id="0">
    <w:p w14:paraId="45AE9915" w14:textId="77777777" w:rsidR="0090538F" w:rsidRDefault="0090538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BA"/>
    <w:family w:val="roman"/>
    <w:pitch w:val="variable"/>
    <w:sig w:usb0="E0002EFF" w:usb1="C000785B" w:usb2="00000009" w:usb3="00000000" w:csb0="000001FF" w:csb1="00000000"/>
  </w:font>
  <w:font w:name="Cambria">
    <w:panose1 w:val="02040503050406030204"/>
    <w:charset w:val="BA"/>
    <w:family w:val="roman"/>
    <w:pitch w:val="variable"/>
    <w:sig w:usb0="E00006FF" w:usb1="420024FF" w:usb2="02000000" w:usb3="00000000" w:csb0="0000019F" w:csb1="00000000"/>
  </w:font>
  <w:font w:name="Tahoma">
    <w:panose1 w:val="020B0604030504040204"/>
    <w:charset w:val="BA"/>
    <w:family w:val="swiss"/>
    <w:pitch w:val="variable"/>
    <w:sig w:usb0="E1002EFF" w:usb1="C000605B" w:usb2="00000029" w:usb3="00000000" w:csb0="000101FF" w:csb1="00000000"/>
  </w:font>
  <w:font w:name="Calibri">
    <w:panose1 w:val="020F0502020204030204"/>
    <w:charset w:val="BA"/>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CDA82E" w14:textId="4D8196CC" w:rsidR="0090538F" w:rsidRDefault="0090538F">
    <w:pPr>
      <w:pStyle w:val="Footer"/>
    </w:pPr>
    <w:r>
      <w:rPr>
        <w:noProof/>
      </w:rPr>
      <w:fldChar w:fldCharType="begin"/>
    </w:r>
    <w:r>
      <w:rPr>
        <w:noProof/>
      </w:rPr>
      <w:instrText xml:space="preserve"> FILENAME   \* MERGEFORMAT </w:instrText>
    </w:r>
    <w:r>
      <w:rPr>
        <w:noProof/>
      </w:rPr>
      <w:fldChar w:fldCharType="separate"/>
    </w:r>
    <w:r w:rsidR="00D56B46">
      <w:rPr>
        <w:noProof/>
      </w:rPr>
      <w:t>FMPask_1_111021_proj2022.docx</w:t>
    </w:r>
    <w:r>
      <w:rPr>
        <w:noProof/>
      </w:rPr>
      <w:fldChar w:fldCharType="end"/>
    </w:r>
    <w: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4017BC" w14:textId="0A81F072" w:rsidR="0090538F" w:rsidRDefault="0090538F">
    <w:pPr>
      <w:pStyle w:val="Footer"/>
    </w:pPr>
    <w:r>
      <w:rPr>
        <w:sz w:val="24"/>
      </w:rPr>
      <w:fldChar w:fldCharType="begin"/>
    </w:r>
    <w:r>
      <w:rPr>
        <w:sz w:val="24"/>
      </w:rPr>
      <w:instrText xml:space="preserve"> FILENAME </w:instrText>
    </w:r>
    <w:r>
      <w:rPr>
        <w:sz w:val="24"/>
      </w:rPr>
      <w:fldChar w:fldCharType="separate"/>
    </w:r>
    <w:r w:rsidR="00D56B46">
      <w:rPr>
        <w:noProof/>
        <w:sz w:val="24"/>
      </w:rPr>
      <w:t>FMPask_1_111021_proj2022.docx</w:t>
    </w:r>
    <w:r>
      <w:rPr>
        <w:sz w:val="24"/>
      </w:rPr>
      <w:fldChar w:fldCharType="end"/>
    </w:r>
    <w:r>
      <w:rPr>
        <w:sz w:val="24"/>
      </w:rPr>
      <w:t xml:space="preserve">; </w:t>
    </w:r>
    <w:r>
      <w:rPr>
        <w:sz w:val="24"/>
      </w:rPr>
      <w:fldChar w:fldCharType="begin"/>
    </w:r>
    <w:r>
      <w:rPr>
        <w:sz w:val="24"/>
      </w:rPr>
      <w:instrText xml:space="preserve"> TITLE  \* MERGEFORMAT </w:instrText>
    </w:r>
    <w:r>
      <w:rPr>
        <w:sz w:val="24"/>
      </w:rPr>
      <w:fldChar w:fldCharType="separate"/>
    </w:r>
    <w:r w:rsidR="00D56B46">
      <w:rPr>
        <w:sz w:val="24"/>
      </w:rPr>
      <w:t>Likumprojekta "Par valsts budžetu 2022. gadam" paskaidrojumi, 1.nodaļa Makroekonomiskās attīstības apraksts</w:t>
    </w:r>
    <w:r>
      <w:rPr>
        <w:sz w:val="24"/>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8C57178" w14:textId="77777777" w:rsidR="0090538F" w:rsidRDefault="0090538F" w:rsidP="00645A26">
      <w:pPr>
        <w:spacing w:after="0"/>
        <w:ind w:firstLine="0"/>
      </w:pPr>
      <w:r>
        <w:separator/>
      </w:r>
    </w:p>
  </w:footnote>
  <w:footnote w:type="continuationSeparator" w:id="0">
    <w:p w14:paraId="51BA52F7" w14:textId="77777777" w:rsidR="0090538F" w:rsidRDefault="0090538F" w:rsidP="00DB6196">
      <w:pPr>
        <w:spacing w:after="0"/>
        <w:ind w:firstLine="0"/>
      </w:pPr>
      <w:r>
        <w:continuationSeparator/>
      </w:r>
    </w:p>
  </w:footnote>
  <w:footnote w:id="1">
    <w:p w14:paraId="3F9D6E5B" w14:textId="77777777" w:rsidR="00EF1D74" w:rsidRPr="0005677D" w:rsidRDefault="00EF1D74" w:rsidP="002E0797">
      <w:pPr>
        <w:pStyle w:val="FootnoteText"/>
        <w:tabs>
          <w:tab w:val="left" w:pos="7185"/>
        </w:tabs>
        <w:jc w:val="both"/>
      </w:pPr>
      <w:r w:rsidRPr="0005677D">
        <w:rPr>
          <w:rStyle w:val="FootnoteReference"/>
        </w:rPr>
        <w:footnoteRef/>
      </w:r>
      <w:r w:rsidRPr="00B0256F">
        <w:rPr>
          <w:sz w:val="18"/>
          <w:szCs w:val="18"/>
        </w:rPr>
        <w:t xml:space="preserve">Datu avoti: Ja nav norādīts citādi - Centrālā Statistikas pārvalde (CSP) un </w:t>
      </w:r>
      <w:r>
        <w:rPr>
          <w:sz w:val="18"/>
          <w:szCs w:val="18"/>
        </w:rPr>
        <w:t>FM</w:t>
      </w:r>
      <w:r w:rsidRPr="00B0256F">
        <w:rPr>
          <w:sz w:val="18"/>
          <w:szCs w:val="18"/>
        </w:rPr>
        <w:t xml:space="preserve"> prognozes</w:t>
      </w:r>
      <w:r>
        <w:rPr>
          <w:sz w:val="18"/>
          <w:szCs w:val="18"/>
        </w:rPr>
        <w:t xml:space="preserve">. Dati atbilstoši Centrālās statistikas pārvaldes datu bāzēs pieejamajai informācijai </w:t>
      </w:r>
      <w:r w:rsidRPr="005379CA">
        <w:rPr>
          <w:sz w:val="18"/>
          <w:szCs w:val="18"/>
        </w:rPr>
        <w:t>līdz 30.09.2020.</w:t>
      </w:r>
      <w:r>
        <w:rPr>
          <w:sz w:val="18"/>
          <w:szCs w:val="18"/>
        </w:rPr>
        <w:t>, ietverot arī 30.09.2020. veikto IKP datu revīziju.</w:t>
      </w:r>
    </w:p>
  </w:footnote>
  <w:footnote w:id="2">
    <w:p w14:paraId="7AC460C2" w14:textId="77777777" w:rsidR="00D56B46" w:rsidRPr="00181CD3" w:rsidRDefault="00D56B46" w:rsidP="00D56B46">
      <w:pPr>
        <w:pStyle w:val="FootnoteText"/>
        <w:jc w:val="both"/>
      </w:pPr>
      <w:r w:rsidRPr="00181CD3">
        <w:rPr>
          <w:vertAlign w:val="superscript"/>
        </w:rPr>
        <w:footnoteRef/>
      </w:r>
      <w:r w:rsidRPr="00181CD3">
        <w:rPr>
          <w:vertAlign w:val="superscript"/>
        </w:rPr>
        <w:t xml:space="preserve"> </w:t>
      </w:r>
      <w:r w:rsidRPr="00181CD3">
        <w:t xml:space="preserve">http://eur-lex.europa.eu: Jaunās regulas veido arī par Eiropas Semestra pamatu. Eiropas Semestris ir ES ekonomikas un budžeta politikas saskaņošanas ikgadējais cikls, kura ietvaros ES dalībvalstis saņem Eiropas komisijas ieteikumus - ieteikumi tiek sniegti Stabilitātes un izaugsmes </w:t>
      </w:r>
      <w:proofErr w:type="spellStart"/>
      <w:r w:rsidRPr="00181CD3">
        <w:t>pakta</w:t>
      </w:r>
      <w:proofErr w:type="spellEnd"/>
      <w:r w:rsidRPr="00181CD3">
        <w:t xml:space="preserve"> un makroekonomikas nelīdzsvarotības novēršanas procedūras kontekstā.</w:t>
      </w:r>
    </w:p>
  </w:footnote>
  <w:footnote w:id="3">
    <w:p w14:paraId="3420D25E" w14:textId="77777777" w:rsidR="00D56B46" w:rsidRPr="00164009" w:rsidRDefault="00D56B46" w:rsidP="00D56B46">
      <w:pPr>
        <w:pStyle w:val="FootnoteText"/>
        <w:jc w:val="both"/>
      </w:pPr>
      <w:r w:rsidRPr="00164009">
        <w:rPr>
          <w:rStyle w:val="FootnoteReference"/>
        </w:rPr>
        <w:footnoteRef/>
      </w:r>
      <w:r w:rsidRPr="00164009">
        <w:t xml:space="preserve"> Nominālās vienības darbaspēka izmaksas (</w:t>
      </w:r>
      <w:r w:rsidRPr="00164009">
        <w:rPr>
          <w:i/>
          <w:lang w:val="en-GB"/>
        </w:rPr>
        <w:t>Nominal Unit Labour Costs</w:t>
      </w:r>
      <w:r w:rsidRPr="00164009">
        <w:t>) mēra vidējās darbaspēka izmaksas uz vienu saražoto produkcijas vienību</w:t>
      </w:r>
      <w:r>
        <w:t>.</w:t>
      </w:r>
    </w:p>
  </w:footnote>
  <w:footnote w:id="4">
    <w:p w14:paraId="78F5D1D9" w14:textId="31E36155" w:rsidR="00D56B46" w:rsidRPr="00B94F9E" w:rsidRDefault="00D56B46" w:rsidP="00D56B46">
      <w:pPr>
        <w:pStyle w:val="FootnoteText"/>
        <w:rPr>
          <w:rFonts w:eastAsiaTheme="minorHAnsi"/>
          <w:color w:val="000000"/>
        </w:rPr>
      </w:pPr>
      <w:r w:rsidRPr="00B94F9E">
        <w:rPr>
          <w:vertAlign w:val="superscript"/>
        </w:rPr>
        <w:footnoteRef/>
      </w:r>
      <w:r w:rsidRPr="00B94F9E">
        <w:t xml:space="preserve"> </w:t>
      </w:r>
      <w:r w:rsidR="00927476" w:rsidRPr="00927476">
        <w:t xml:space="preserve">http://ec.europa.eu/; </w:t>
      </w:r>
      <w:proofErr w:type="spellStart"/>
      <w:r w:rsidR="00927476" w:rsidRPr="00927476">
        <w:t>Alert</w:t>
      </w:r>
      <w:proofErr w:type="spellEnd"/>
      <w:r w:rsidR="00927476" w:rsidRPr="00927476">
        <w:t xml:space="preserve"> </w:t>
      </w:r>
      <w:proofErr w:type="spellStart"/>
      <w:r w:rsidR="00927476" w:rsidRPr="00927476">
        <w:t>Mechanism</w:t>
      </w:r>
      <w:proofErr w:type="spellEnd"/>
      <w:r w:rsidR="00927476" w:rsidRPr="00927476">
        <w:t xml:space="preserve"> </w:t>
      </w:r>
      <w:proofErr w:type="spellStart"/>
      <w:r w:rsidR="00927476" w:rsidRPr="00927476">
        <w:t>Report</w:t>
      </w:r>
      <w:proofErr w:type="spellEnd"/>
      <w:r w:rsidR="00927476" w:rsidRPr="00927476">
        <w:t xml:space="preserve"> 2021</w:t>
      </w:r>
    </w:p>
  </w:footnote>
  <w:footnote w:id="5">
    <w:p w14:paraId="0F49EB9D" w14:textId="58237C3E" w:rsidR="00BB2E38" w:rsidRPr="006E4EE0" w:rsidRDefault="00BB2E38" w:rsidP="00BB2E38">
      <w:pPr>
        <w:pStyle w:val="FootnoteText"/>
        <w:jc w:val="both"/>
        <w:rPr>
          <w:sz w:val="18"/>
        </w:rPr>
      </w:pPr>
      <w:r w:rsidRPr="00AC4200">
        <w:rPr>
          <w:rStyle w:val="FootnoteReference"/>
          <w:sz w:val="18"/>
          <w:szCs w:val="18"/>
        </w:rPr>
        <w:footnoteRef/>
      </w:r>
      <w:r w:rsidRPr="00AC4200">
        <w:t xml:space="preserve"> </w:t>
      </w:r>
      <w:r w:rsidR="00927476" w:rsidRPr="00927476">
        <w:rPr>
          <w:sz w:val="18"/>
        </w:rPr>
        <w:t>2021. gada ziņojumā par Latviju tiek izmantoti 2019. gada statistikas dati</w:t>
      </w:r>
    </w:p>
  </w:footnote>
  <w:footnote w:id="6">
    <w:p w14:paraId="7F5A4827" w14:textId="1B3D5C37" w:rsidR="00BB2E38" w:rsidRDefault="00BB2E38" w:rsidP="009D03DA">
      <w:pPr>
        <w:pStyle w:val="FootnoteText"/>
        <w:jc w:val="both"/>
      </w:pPr>
      <w:r>
        <w:rPr>
          <w:rStyle w:val="FootnoteReference"/>
        </w:rPr>
        <w:footnoteRef/>
      </w:r>
      <w:r>
        <w:t xml:space="preserve"> </w:t>
      </w:r>
      <w:r w:rsidR="00927476" w:rsidRPr="00927476">
        <w:rPr>
          <w:sz w:val="18"/>
        </w:rPr>
        <w:t xml:space="preserve">pēdējā ailē ir norādīts provizorisks novērtējums par 2020. gadu no </w:t>
      </w:r>
      <w:proofErr w:type="spellStart"/>
      <w:r w:rsidR="00927476" w:rsidRPr="00927476">
        <w:rPr>
          <w:sz w:val="18"/>
        </w:rPr>
        <w:t>Eurostat</w:t>
      </w:r>
      <w:proofErr w:type="spellEnd"/>
      <w:r w:rsidR="00927476" w:rsidRPr="00927476">
        <w:rPr>
          <w:sz w:val="18"/>
        </w:rPr>
        <w:t xml:space="preserve"> datiem, kas tiks izmantots par pamatu 2022. gada AMR ziņojuma sagatavošanā, kas tiks publicēts 2021. gada nogalē</w:t>
      </w:r>
    </w:p>
  </w:footnote>
  <w:footnote w:id="7">
    <w:p w14:paraId="0BD3EEB9" w14:textId="77777777" w:rsidR="00DC4D1F" w:rsidRPr="00B70782" w:rsidRDefault="00DC4D1F" w:rsidP="00DC4D1F">
      <w:pPr>
        <w:pStyle w:val="FootnoteText"/>
        <w:rPr>
          <w:sz w:val="16"/>
          <w:szCs w:val="16"/>
        </w:rPr>
      </w:pPr>
      <w:r w:rsidRPr="00B70782">
        <w:rPr>
          <w:rStyle w:val="FootnoteReference"/>
          <w:sz w:val="16"/>
          <w:szCs w:val="16"/>
        </w:rPr>
        <w:footnoteRef/>
      </w:r>
      <w:r w:rsidRPr="00B70782">
        <w:rPr>
          <w:sz w:val="16"/>
          <w:szCs w:val="16"/>
        </w:rPr>
        <w:t xml:space="preserve"> Procentu likmei saglabājoties kā bāzes sc</w:t>
      </w:r>
      <w:r>
        <w:rPr>
          <w:sz w:val="16"/>
          <w:szCs w:val="16"/>
        </w:rPr>
        <w:t>enārijā</w:t>
      </w:r>
      <w:r w:rsidRPr="00B70782">
        <w:rPr>
          <w:sz w:val="16"/>
          <w:szCs w:val="16"/>
        </w:rPr>
        <w:t>.</w:t>
      </w:r>
    </w:p>
  </w:footnote>
  <w:footnote w:id="8">
    <w:p w14:paraId="54C9E414" w14:textId="77777777" w:rsidR="00DC4D1F" w:rsidRPr="00B70782" w:rsidRDefault="00DC4D1F" w:rsidP="00DC4D1F">
      <w:pPr>
        <w:pStyle w:val="FootnoteText"/>
        <w:rPr>
          <w:sz w:val="16"/>
          <w:szCs w:val="16"/>
        </w:rPr>
      </w:pPr>
      <w:r w:rsidRPr="00B70782">
        <w:rPr>
          <w:rStyle w:val="FootnoteReference"/>
          <w:sz w:val="16"/>
          <w:szCs w:val="16"/>
        </w:rPr>
        <w:footnoteRef/>
      </w:r>
      <w:r w:rsidRPr="00B70782">
        <w:rPr>
          <w:sz w:val="16"/>
          <w:szCs w:val="16"/>
        </w:rPr>
        <w:t xml:space="preserve"> Procentu likmei saglabājoties kā bāzes sc</w:t>
      </w:r>
      <w:r>
        <w:rPr>
          <w:sz w:val="16"/>
          <w:szCs w:val="16"/>
        </w:rPr>
        <w:t>enārijā</w:t>
      </w:r>
      <w:r w:rsidRPr="00B70782">
        <w:rPr>
          <w:sz w:val="16"/>
          <w:szCs w:val="16"/>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717EA5" w14:textId="77777777" w:rsidR="0090538F" w:rsidRDefault="0090538F">
    <w:pPr>
      <w:pStyle w:val="Head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56</w:t>
    </w:r>
    <w:r>
      <w:rPr>
        <w:rStyle w:val="PageNumber"/>
      </w:rPr>
      <w:fldChar w:fldCharType="end"/>
    </w:r>
  </w:p>
  <w:p w14:paraId="3E144759" w14:textId="77777777" w:rsidR="0090538F" w:rsidRDefault="0090538F">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489374387"/>
      <w:docPartObj>
        <w:docPartGallery w:val="Page Numbers (Top of Page)"/>
        <w:docPartUnique/>
      </w:docPartObj>
    </w:sdtPr>
    <w:sdtEndPr>
      <w:rPr>
        <w:noProof/>
      </w:rPr>
    </w:sdtEndPr>
    <w:sdtContent>
      <w:p w14:paraId="06A5F1CE" w14:textId="77777777" w:rsidR="0090538F" w:rsidRDefault="0090538F" w:rsidP="00DB77B1">
        <w:pPr>
          <w:pStyle w:val="Header"/>
          <w:tabs>
            <w:tab w:val="left" w:pos="4275"/>
            <w:tab w:val="center" w:pos="4535"/>
          </w:tabs>
          <w:jc w:val="left"/>
          <w:rPr>
            <w:noProof/>
          </w:rPr>
        </w:pPr>
        <w:r>
          <w:tab/>
        </w:r>
        <w:r>
          <w:tab/>
        </w:r>
        <w:r>
          <w:tab/>
        </w:r>
        <w:r>
          <w:fldChar w:fldCharType="begin"/>
        </w:r>
        <w:r>
          <w:instrText xml:space="preserve"> PAGE   \* MERGEFORMAT </w:instrText>
        </w:r>
        <w:r>
          <w:fldChar w:fldCharType="separate"/>
        </w:r>
        <w:r w:rsidR="00160EBA">
          <w:rPr>
            <w:noProof/>
          </w:rPr>
          <w:t>25</w:t>
        </w:r>
        <w:r>
          <w:rPr>
            <w:noProof/>
          </w:rPr>
          <w:fldChar w:fldCharType="end"/>
        </w:r>
      </w:p>
      <w:p w14:paraId="273A2AA1" w14:textId="77777777" w:rsidR="0090538F" w:rsidRDefault="00927476">
        <w:pPr>
          <w:pStyle w:val="Header"/>
          <w:jc w:val="center"/>
        </w:pPr>
      </w:p>
    </w:sdtContent>
  </w:sdt>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9"/>
    <w:multiLevelType w:val="singleLevel"/>
    <w:tmpl w:val="CF22DAC8"/>
    <w:lvl w:ilvl="0">
      <w:start w:val="1"/>
      <w:numFmt w:val="bullet"/>
      <w:lvlText w:val=""/>
      <w:lvlJc w:val="left"/>
      <w:pPr>
        <w:tabs>
          <w:tab w:val="num" w:pos="360"/>
        </w:tabs>
        <w:ind w:left="360" w:hanging="360"/>
      </w:pPr>
      <w:rPr>
        <w:rFonts w:ascii="Symbol" w:hAnsi="Symbol" w:hint="default"/>
      </w:rPr>
    </w:lvl>
  </w:abstractNum>
  <w:abstractNum w:abstractNumId="1" w15:restartNumberingAfterBreak="0">
    <w:nsid w:val="04781B87"/>
    <w:multiLevelType w:val="hybridMultilevel"/>
    <w:tmpl w:val="14462D7E"/>
    <w:lvl w:ilvl="0" w:tplc="FC48DC70">
      <w:start w:val="1"/>
      <w:numFmt w:val="decimal"/>
      <w:lvlText w:val="%1."/>
      <w:lvlJc w:val="left"/>
      <w:pPr>
        <w:ind w:left="1582" w:hanging="360"/>
      </w:pPr>
      <w:rPr>
        <w:rFonts w:ascii="Times New Roman" w:hAnsi="Times New Roman" w:hint="default"/>
        <w:sz w:val="24"/>
      </w:rPr>
    </w:lvl>
    <w:lvl w:ilvl="1" w:tplc="04260019" w:tentative="1">
      <w:start w:val="1"/>
      <w:numFmt w:val="lowerLetter"/>
      <w:lvlText w:val="%2."/>
      <w:lvlJc w:val="left"/>
      <w:pPr>
        <w:ind w:left="2302" w:hanging="360"/>
      </w:pPr>
    </w:lvl>
    <w:lvl w:ilvl="2" w:tplc="0426001B" w:tentative="1">
      <w:start w:val="1"/>
      <w:numFmt w:val="lowerRoman"/>
      <w:lvlText w:val="%3."/>
      <w:lvlJc w:val="right"/>
      <w:pPr>
        <w:ind w:left="3022" w:hanging="180"/>
      </w:pPr>
    </w:lvl>
    <w:lvl w:ilvl="3" w:tplc="0426000F" w:tentative="1">
      <w:start w:val="1"/>
      <w:numFmt w:val="decimal"/>
      <w:lvlText w:val="%4."/>
      <w:lvlJc w:val="left"/>
      <w:pPr>
        <w:ind w:left="3742" w:hanging="360"/>
      </w:pPr>
    </w:lvl>
    <w:lvl w:ilvl="4" w:tplc="04260019" w:tentative="1">
      <w:start w:val="1"/>
      <w:numFmt w:val="lowerLetter"/>
      <w:lvlText w:val="%5."/>
      <w:lvlJc w:val="left"/>
      <w:pPr>
        <w:ind w:left="4462" w:hanging="360"/>
      </w:pPr>
    </w:lvl>
    <w:lvl w:ilvl="5" w:tplc="0426001B" w:tentative="1">
      <w:start w:val="1"/>
      <w:numFmt w:val="lowerRoman"/>
      <w:lvlText w:val="%6."/>
      <w:lvlJc w:val="right"/>
      <w:pPr>
        <w:ind w:left="5182" w:hanging="180"/>
      </w:pPr>
    </w:lvl>
    <w:lvl w:ilvl="6" w:tplc="0426000F" w:tentative="1">
      <w:start w:val="1"/>
      <w:numFmt w:val="decimal"/>
      <w:lvlText w:val="%7."/>
      <w:lvlJc w:val="left"/>
      <w:pPr>
        <w:ind w:left="5902" w:hanging="360"/>
      </w:pPr>
    </w:lvl>
    <w:lvl w:ilvl="7" w:tplc="04260019" w:tentative="1">
      <w:start w:val="1"/>
      <w:numFmt w:val="lowerLetter"/>
      <w:lvlText w:val="%8."/>
      <w:lvlJc w:val="left"/>
      <w:pPr>
        <w:ind w:left="6622" w:hanging="360"/>
      </w:pPr>
    </w:lvl>
    <w:lvl w:ilvl="8" w:tplc="0426001B" w:tentative="1">
      <w:start w:val="1"/>
      <w:numFmt w:val="lowerRoman"/>
      <w:lvlText w:val="%9."/>
      <w:lvlJc w:val="right"/>
      <w:pPr>
        <w:ind w:left="7342" w:hanging="180"/>
      </w:pPr>
    </w:lvl>
  </w:abstractNum>
  <w:abstractNum w:abstractNumId="2" w15:restartNumberingAfterBreak="0">
    <w:nsid w:val="6A4F3174"/>
    <w:multiLevelType w:val="hybridMultilevel"/>
    <w:tmpl w:val="F918AD8C"/>
    <w:lvl w:ilvl="0" w:tplc="537640EE">
      <w:start w:val="1"/>
      <w:numFmt w:val="decimal"/>
      <w:lvlText w:val="%1."/>
      <w:lvlJc w:val="left"/>
      <w:pPr>
        <w:ind w:left="502" w:hanging="360"/>
      </w:pPr>
      <w:rPr>
        <w:b/>
      </w:rPr>
    </w:lvl>
    <w:lvl w:ilvl="1" w:tplc="04260019" w:tentative="1">
      <w:start w:val="1"/>
      <w:numFmt w:val="lowerLetter"/>
      <w:lvlText w:val="%2."/>
      <w:lvlJc w:val="left"/>
      <w:pPr>
        <w:ind w:left="1222" w:hanging="360"/>
      </w:pPr>
    </w:lvl>
    <w:lvl w:ilvl="2" w:tplc="0426001B" w:tentative="1">
      <w:start w:val="1"/>
      <w:numFmt w:val="lowerRoman"/>
      <w:lvlText w:val="%3."/>
      <w:lvlJc w:val="right"/>
      <w:pPr>
        <w:ind w:left="1942" w:hanging="180"/>
      </w:pPr>
    </w:lvl>
    <w:lvl w:ilvl="3" w:tplc="0426000F" w:tentative="1">
      <w:start w:val="1"/>
      <w:numFmt w:val="decimal"/>
      <w:lvlText w:val="%4."/>
      <w:lvlJc w:val="left"/>
      <w:pPr>
        <w:ind w:left="2662" w:hanging="360"/>
      </w:pPr>
    </w:lvl>
    <w:lvl w:ilvl="4" w:tplc="04260019" w:tentative="1">
      <w:start w:val="1"/>
      <w:numFmt w:val="lowerLetter"/>
      <w:lvlText w:val="%5."/>
      <w:lvlJc w:val="left"/>
      <w:pPr>
        <w:ind w:left="3382" w:hanging="360"/>
      </w:pPr>
    </w:lvl>
    <w:lvl w:ilvl="5" w:tplc="0426001B" w:tentative="1">
      <w:start w:val="1"/>
      <w:numFmt w:val="lowerRoman"/>
      <w:lvlText w:val="%6."/>
      <w:lvlJc w:val="right"/>
      <w:pPr>
        <w:ind w:left="4102" w:hanging="180"/>
      </w:pPr>
    </w:lvl>
    <w:lvl w:ilvl="6" w:tplc="0426000F" w:tentative="1">
      <w:start w:val="1"/>
      <w:numFmt w:val="decimal"/>
      <w:lvlText w:val="%7."/>
      <w:lvlJc w:val="left"/>
      <w:pPr>
        <w:ind w:left="4822" w:hanging="360"/>
      </w:pPr>
    </w:lvl>
    <w:lvl w:ilvl="7" w:tplc="04260019" w:tentative="1">
      <w:start w:val="1"/>
      <w:numFmt w:val="lowerLetter"/>
      <w:lvlText w:val="%8."/>
      <w:lvlJc w:val="left"/>
      <w:pPr>
        <w:ind w:left="5542" w:hanging="360"/>
      </w:pPr>
    </w:lvl>
    <w:lvl w:ilvl="8" w:tplc="0426001B" w:tentative="1">
      <w:start w:val="1"/>
      <w:numFmt w:val="lowerRoman"/>
      <w:lvlText w:val="%9."/>
      <w:lvlJc w:val="right"/>
      <w:pPr>
        <w:ind w:left="6262" w:hanging="180"/>
      </w:pPr>
    </w:lvl>
  </w:abstractNum>
  <w:num w:numId="1">
    <w:abstractNumId w:val="0"/>
  </w:num>
  <w:num w:numId="2">
    <w:abstractNumId w:val="2"/>
  </w:num>
  <w:num w:numId="3">
    <w:abstractNumId w:val="1"/>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720"/>
  <w:displayHorizontalDrawingGridEvery w:val="0"/>
  <w:displayVerticalDrawingGridEvery w:val="0"/>
  <w:doNotUseMarginsForDrawingGridOrigin/>
  <w:noPunctuationKerning/>
  <w:characterSpacingControl w:val="doNotCompress"/>
  <w:hdrShapeDefaults>
    <o:shapedefaults v:ext="edit" spidmax="11264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C3E42"/>
    <w:rsid w:val="00002C5F"/>
    <w:rsid w:val="0000670F"/>
    <w:rsid w:val="0000682B"/>
    <w:rsid w:val="0001194A"/>
    <w:rsid w:val="0001300E"/>
    <w:rsid w:val="00013083"/>
    <w:rsid w:val="00013716"/>
    <w:rsid w:val="00013B3E"/>
    <w:rsid w:val="00014540"/>
    <w:rsid w:val="0001655C"/>
    <w:rsid w:val="00016781"/>
    <w:rsid w:val="000179DE"/>
    <w:rsid w:val="00022D76"/>
    <w:rsid w:val="000231C3"/>
    <w:rsid w:val="00023EDF"/>
    <w:rsid w:val="00024872"/>
    <w:rsid w:val="00026213"/>
    <w:rsid w:val="000403B5"/>
    <w:rsid w:val="000458D6"/>
    <w:rsid w:val="00046E7F"/>
    <w:rsid w:val="00047E93"/>
    <w:rsid w:val="000502AC"/>
    <w:rsid w:val="00051EF4"/>
    <w:rsid w:val="00055D14"/>
    <w:rsid w:val="0005622E"/>
    <w:rsid w:val="000566CA"/>
    <w:rsid w:val="000614B0"/>
    <w:rsid w:val="000632B3"/>
    <w:rsid w:val="0007385D"/>
    <w:rsid w:val="00074A9A"/>
    <w:rsid w:val="000764DB"/>
    <w:rsid w:val="0008141D"/>
    <w:rsid w:val="00081BC4"/>
    <w:rsid w:val="00083327"/>
    <w:rsid w:val="000958AB"/>
    <w:rsid w:val="000958F4"/>
    <w:rsid w:val="000960A7"/>
    <w:rsid w:val="00096EC5"/>
    <w:rsid w:val="000A07D3"/>
    <w:rsid w:val="000A334D"/>
    <w:rsid w:val="000A4274"/>
    <w:rsid w:val="000A7CC4"/>
    <w:rsid w:val="000B2F12"/>
    <w:rsid w:val="000B3D83"/>
    <w:rsid w:val="000B4795"/>
    <w:rsid w:val="000B598E"/>
    <w:rsid w:val="000B79BF"/>
    <w:rsid w:val="000C0784"/>
    <w:rsid w:val="000C2DB1"/>
    <w:rsid w:val="000D1731"/>
    <w:rsid w:val="000D24B7"/>
    <w:rsid w:val="000D4778"/>
    <w:rsid w:val="000D6DFA"/>
    <w:rsid w:val="000E0972"/>
    <w:rsid w:val="000E3734"/>
    <w:rsid w:val="000E4833"/>
    <w:rsid w:val="000F44FB"/>
    <w:rsid w:val="000F6E28"/>
    <w:rsid w:val="001002F9"/>
    <w:rsid w:val="00103754"/>
    <w:rsid w:val="001055B8"/>
    <w:rsid w:val="00105631"/>
    <w:rsid w:val="00105843"/>
    <w:rsid w:val="001079E4"/>
    <w:rsid w:val="0011131F"/>
    <w:rsid w:val="00112F83"/>
    <w:rsid w:val="00126C0C"/>
    <w:rsid w:val="00131D32"/>
    <w:rsid w:val="00131DFD"/>
    <w:rsid w:val="001378E6"/>
    <w:rsid w:val="00142A21"/>
    <w:rsid w:val="00144403"/>
    <w:rsid w:val="0014530B"/>
    <w:rsid w:val="00145391"/>
    <w:rsid w:val="00146152"/>
    <w:rsid w:val="00147642"/>
    <w:rsid w:val="00147F25"/>
    <w:rsid w:val="0015262B"/>
    <w:rsid w:val="00154954"/>
    <w:rsid w:val="00154FD9"/>
    <w:rsid w:val="00155400"/>
    <w:rsid w:val="001559B9"/>
    <w:rsid w:val="0016040A"/>
    <w:rsid w:val="00160EBA"/>
    <w:rsid w:val="00171462"/>
    <w:rsid w:val="00172DAF"/>
    <w:rsid w:val="00174E16"/>
    <w:rsid w:val="001774F4"/>
    <w:rsid w:val="00177995"/>
    <w:rsid w:val="00177B25"/>
    <w:rsid w:val="00183DBC"/>
    <w:rsid w:val="00185380"/>
    <w:rsid w:val="00187C22"/>
    <w:rsid w:val="00191B6D"/>
    <w:rsid w:val="001946EF"/>
    <w:rsid w:val="001952BA"/>
    <w:rsid w:val="00196CD0"/>
    <w:rsid w:val="001A199E"/>
    <w:rsid w:val="001A2B14"/>
    <w:rsid w:val="001A3888"/>
    <w:rsid w:val="001B159B"/>
    <w:rsid w:val="001B3A5F"/>
    <w:rsid w:val="001B525A"/>
    <w:rsid w:val="001B5AE8"/>
    <w:rsid w:val="001B6350"/>
    <w:rsid w:val="001B690F"/>
    <w:rsid w:val="001B6E35"/>
    <w:rsid w:val="001B73EC"/>
    <w:rsid w:val="001C6E10"/>
    <w:rsid w:val="001D0BA1"/>
    <w:rsid w:val="001D4AB6"/>
    <w:rsid w:val="001D5168"/>
    <w:rsid w:val="001D58DC"/>
    <w:rsid w:val="001E002E"/>
    <w:rsid w:val="001E239E"/>
    <w:rsid w:val="001E4938"/>
    <w:rsid w:val="001E4F38"/>
    <w:rsid w:val="001E5341"/>
    <w:rsid w:val="001E70B0"/>
    <w:rsid w:val="001F57A4"/>
    <w:rsid w:val="001F67EF"/>
    <w:rsid w:val="001F7E9B"/>
    <w:rsid w:val="00200D66"/>
    <w:rsid w:val="00202209"/>
    <w:rsid w:val="00205F43"/>
    <w:rsid w:val="002105E2"/>
    <w:rsid w:val="00211DBC"/>
    <w:rsid w:val="00212A19"/>
    <w:rsid w:val="00212A4E"/>
    <w:rsid w:val="00213F4C"/>
    <w:rsid w:val="00214E25"/>
    <w:rsid w:val="00217609"/>
    <w:rsid w:val="0022268B"/>
    <w:rsid w:val="0022541A"/>
    <w:rsid w:val="00225B28"/>
    <w:rsid w:val="00230726"/>
    <w:rsid w:val="00231A83"/>
    <w:rsid w:val="0023209D"/>
    <w:rsid w:val="00235100"/>
    <w:rsid w:val="002357C2"/>
    <w:rsid w:val="0023672D"/>
    <w:rsid w:val="00236CF5"/>
    <w:rsid w:val="002409B9"/>
    <w:rsid w:val="00241A89"/>
    <w:rsid w:val="00244018"/>
    <w:rsid w:val="002443EE"/>
    <w:rsid w:val="00244943"/>
    <w:rsid w:val="0024496D"/>
    <w:rsid w:val="00247097"/>
    <w:rsid w:val="00247951"/>
    <w:rsid w:val="00247CEF"/>
    <w:rsid w:val="002503AB"/>
    <w:rsid w:val="00253A2B"/>
    <w:rsid w:val="00260553"/>
    <w:rsid w:val="00261EA2"/>
    <w:rsid w:val="0026280F"/>
    <w:rsid w:val="00263D0E"/>
    <w:rsid w:val="00265147"/>
    <w:rsid w:val="00266FF3"/>
    <w:rsid w:val="00267F8A"/>
    <w:rsid w:val="002742C0"/>
    <w:rsid w:val="00274E24"/>
    <w:rsid w:val="00275868"/>
    <w:rsid w:val="002779BC"/>
    <w:rsid w:val="0028173F"/>
    <w:rsid w:val="002845B9"/>
    <w:rsid w:val="00286031"/>
    <w:rsid w:val="00286577"/>
    <w:rsid w:val="00290582"/>
    <w:rsid w:val="0029292B"/>
    <w:rsid w:val="0029355E"/>
    <w:rsid w:val="002936F1"/>
    <w:rsid w:val="002938BD"/>
    <w:rsid w:val="002A1516"/>
    <w:rsid w:val="002B0226"/>
    <w:rsid w:val="002B27F3"/>
    <w:rsid w:val="002C1CE4"/>
    <w:rsid w:val="002C1DE4"/>
    <w:rsid w:val="002C4CCA"/>
    <w:rsid w:val="002C52ED"/>
    <w:rsid w:val="002C68AF"/>
    <w:rsid w:val="002C6B81"/>
    <w:rsid w:val="002C6D7B"/>
    <w:rsid w:val="002D17E0"/>
    <w:rsid w:val="002D2492"/>
    <w:rsid w:val="002D523B"/>
    <w:rsid w:val="002D6048"/>
    <w:rsid w:val="002D69F9"/>
    <w:rsid w:val="002E0797"/>
    <w:rsid w:val="002E1629"/>
    <w:rsid w:val="002E2976"/>
    <w:rsid w:val="002E3B98"/>
    <w:rsid w:val="002E74D1"/>
    <w:rsid w:val="002E7CF8"/>
    <w:rsid w:val="002F0733"/>
    <w:rsid w:val="002F379F"/>
    <w:rsid w:val="002F61F3"/>
    <w:rsid w:val="002F76F3"/>
    <w:rsid w:val="00300626"/>
    <w:rsid w:val="0030100C"/>
    <w:rsid w:val="0030153B"/>
    <w:rsid w:val="00302693"/>
    <w:rsid w:val="00306BF2"/>
    <w:rsid w:val="003109B8"/>
    <w:rsid w:val="00311C5B"/>
    <w:rsid w:val="00314A65"/>
    <w:rsid w:val="00315EA8"/>
    <w:rsid w:val="00324B13"/>
    <w:rsid w:val="003258F3"/>
    <w:rsid w:val="0033149C"/>
    <w:rsid w:val="0033217F"/>
    <w:rsid w:val="0033559A"/>
    <w:rsid w:val="00337A7C"/>
    <w:rsid w:val="00340CF2"/>
    <w:rsid w:val="00341239"/>
    <w:rsid w:val="00342115"/>
    <w:rsid w:val="00343EB0"/>
    <w:rsid w:val="00343F4E"/>
    <w:rsid w:val="00344E80"/>
    <w:rsid w:val="00346639"/>
    <w:rsid w:val="00347547"/>
    <w:rsid w:val="003477E8"/>
    <w:rsid w:val="00347967"/>
    <w:rsid w:val="00350B06"/>
    <w:rsid w:val="00351D59"/>
    <w:rsid w:val="00355240"/>
    <w:rsid w:val="00355D79"/>
    <w:rsid w:val="00357DE5"/>
    <w:rsid w:val="003610C2"/>
    <w:rsid w:val="00361A17"/>
    <w:rsid w:val="00363409"/>
    <w:rsid w:val="00373045"/>
    <w:rsid w:val="00373BDD"/>
    <w:rsid w:val="00377FD6"/>
    <w:rsid w:val="0038136B"/>
    <w:rsid w:val="003813B0"/>
    <w:rsid w:val="00381942"/>
    <w:rsid w:val="00387DE5"/>
    <w:rsid w:val="00392D30"/>
    <w:rsid w:val="00393E8A"/>
    <w:rsid w:val="003970BC"/>
    <w:rsid w:val="003A1E81"/>
    <w:rsid w:val="003A48F6"/>
    <w:rsid w:val="003A498A"/>
    <w:rsid w:val="003A65BC"/>
    <w:rsid w:val="003A6F01"/>
    <w:rsid w:val="003A7C75"/>
    <w:rsid w:val="003B3117"/>
    <w:rsid w:val="003B5971"/>
    <w:rsid w:val="003B63B3"/>
    <w:rsid w:val="003C0F79"/>
    <w:rsid w:val="003C2663"/>
    <w:rsid w:val="003C29FE"/>
    <w:rsid w:val="003C2D1E"/>
    <w:rsid w:val="003C35B5"/>
    <w:rsid w:val="003C3925"/>
    <w:rsid w:val="003C400B"/>
    <w:rsid w:val="003C45D1"/>
    <w:rsid w:val="003D14D5"/>
    <w:rsid w:val="003D26C1"/>
    <w:rsid w:val="003D3828"/>
    <w:rsid w:val="003D43E7"/>
    <w:rsid w:val="003D7B34"/>
    <w:rsid w:val="003E08FF"/>
    <w:rsid w:val="003E606D"/>
    <w:rsid w:val="003F2423"/>
    <w:rsid w:val="003F34D7"/>
    <w:rsid w:val="003F35B1"/>
    <w:rsid w:val="003F3AAC"/>
    <w:rsid w:val="003F4BB1"/>
    <w:rsid w:val="003F5EB0"/>
    <w:rsid w:val="003F745F"/>
    <w:rsid w:val="00400DDE"/>
    <w:rsid w:val="00405BEF"/>
    <w:rsid w:val="00411751"/>
    <w:rsid w:val="00411D9E"/>
    <w:rsid w:val="0041283F"/>
    <w:rsid w:val="00415A3D"/>
    <w:rsid w:val="00420BF0"/>
    <w:rsid w:val="004216A0"/>
    <w:rsid w:val="00423A61"/>
    <w:rsid w:val="00424F7F"/>
    <w:rsid w:val="00425ADB"/>
    <w:rsid w:val="004271AC"/>
    <w:rsid w:val="00431319"/>
    <w:rsid w:val="00432E87"/>
    <w:rsid w:val="00434853"/>
    <w:rsid w:val="00434F0F"/>
    <w:rsid w:val="004408CA"/>
    <w:rsid w:val="0044180E"/>
    <w:rsid w:val="00443719"/>
    <w:rsid w:val="004479A1"/>
    <w:rsid w:val="0045110A"/>
    <w:rsid w:val="00451A22"/>
    <w:rsid w:val="00452A8A"/>
    <w:rsid w:val="004553A0"/>
    <w:rsid w:val="00455725"/>
    <w:rsid w:val="00460C08"/>
    <w:rsid w:val="00464D70"/>
    <w:rsid w:val="00466645"/>
    <w:rsid w:val="00467996"/>
    <w:rsid w:val="004724BA"/>
    <w:rsid w:val="00474510"/>
    <w:rsid w:val="004745CD"/>
    <w:rsid w:val="004755A2"/>
    <w:rsid w:val="004761E5"/>
    <w:rsid w:val="00480ADB"/>
    <w:rsid w:val="004847F5"/>
    <w:rsid w:val="00495DDD"/>
    <w:rsid w:val="004A1762"/>
    <w:rsid w:val="004A2816"/>
    <w:rsid w:val="004A3F5B"/>
    <w:rsid w:val="004A5E59"/>
    <w:rsid w:val="004A5FFB"/>
    <w:rsid w:val="004A634B"/>
    <w:rsid w:val="004A75F4"/>
    <w:rsid w:val="004A7D43"/>
    <w:rsid w:val="004B581C"/>
    <w:rsid w:val="004B742D"/>
    <w:rsid w:val="004C1D9A"/>
    <w:rsid w:val="004D0832"/>
    <w:rsid w:val="004D2D2B"/>
    <w:rsid w:val="004D35E0"/>
    <w:rsid w:val="004D420B"/>
    <w:rsid w:val="004D4910"/>
    <w:rsid w:val="004D6476"/>
    <w:rsid w:val="004E2527"/>
    <w:rsid w:val="004E6B0A"/>
    <w:rsid w:val="004F2064"/>
    <w:rsid w:val="004F2C63"/>
    <w:rsid w:val="004F2C94"/>
    <w:rsid w:val="004F455D"/>
    <w:rsid w:val="004F6429"/>
    <w:rsid w:val="004F6BFD"/>
    <w:rsid w:val="00503460"/>
    <w:rsid w:val="0050460F"/>
    <w:rsid w:val="00505586"/>
    <w:rsid w:val="00505B19"/>
    <w:rsid w:val="005068E4"/>
    <w:rsid w:val="005072A5"/>
    <w:rsid w:val="00510902"/>
    <w:rsid w:val="00510A4F"/>
    <w:rsid w:val="005125E7"/>
    <w:rsid w:val="0051261E"/>
    <w:rsid w:val="005139F0"/>
    <w:rsid w:val="0051417D"/>
    <w:rsid w:val="005203A5"/>
    <w:rsid w:val="005216E4"/>
    <w:rsid w:val="00521CE9"/>
    <w:rsid w:val="00522797"/>
    <w:rsid w:val="00523C8C"/>
    <w:rsid w:val="00523E62"/>
    <w:rsid w:val="00525806"/>
    <w:rsid w:val="00526596"/>
    <w:rsid w:val="00526F4F"/>
    <w:rsid w:val="00530C29"/>
    <w:rsid w:val="005368B5"/>
    <w:rsid w:val="00537EDC"/>
    <w:rsid w:val="00540E20"/>
    <w:rsid w:val="00541A4F"/>
    <w:rsid w:val="00542403"/>
    <w:rsid w:val="0054446B"/>
    <w:rsid w:val="00550904"/>
    <w:rsid w:val="00556BB5"/>
    <w:rsid w:val="00557082"/>
    <w:rsid w:val="00560628"/>
    <w:rsid w:val="00566114"/>
    <w:rsid w:val="00567120"/>
    <w:rsid w:val="005709BB"/>
    <w:rsid w:val="005726EA"/>
    <w:rsid w:val="005749FC"/>
    <w:rsid w:val="00575675"/>
    <w:rsid w:val="00577591"/>
    <w:rsid w:val="00577C70"/>
    <w:rsid w:val="00580CC7"/>
    <w:rsid w:val="0058665D"/>
    <w:rsid w:val="00590259"/>
    <w:rsid w:val="00591519"/>
    <w:rsid w:val="00591E97"/>
    <w:rsid w:val="005933B1"/>
    <w:rsid w:val="005942B4"/>
    <w:rsid w:val="005A4908"/>
    <w:rsid w:val="005A5703"/>
    <w:rsid w:val="005A6228"/>
    <w:rsid w:val="005A6EF1"/>
    <w:rsid w:val="005A7DA4"/>
    <w:rsid w:val="005C0AE0"/>
    <w:rsid w:val="005C5800"/>
    <w:rsid w:val="005C71B0"/>
    <w:rsid w:val="005D0340"/>
    <w:rsid w:val="005D2CB8"/>
    <w:rsid w:val="005D5B91"/>
    <w:rsid w:val="005D661C"/>
    <w:rsid w:val="005E217F"/>
    <w:rsid w:val="005E6843"/>
    <w:rsid w:val="005E6D10"/>
    <w:rsid w:val="005E70EB"/>
    <w:rsid w:val="005F012B"/>
    <w:rsid w:val="005F4CB3"/>
    <w:rsid w:val="005F5453"/>
    <w:rsid w:val="005F574A"/>
    <w:rsid w:val="005F7596"/>
    <w:rsid w:val="006015AA"/>
    <w:rsid w:val="00604CEF"/>
    <w:rsid w:val="00605640"/>
    <w:rsid w:val="00610CFD"/>
    <w:rsid w:val="0061285C"/>
    <w:rsid w:val="0061430B"/>
    <w:rsid w:val="00614CBC"/>
    <w:rsid w:val="006155B6"/>
    <w:rsid w:val="006171BD"/>
    <w:rsid w:val="00617C07"/>
    <w:rsid w:val="0062233D"/>
    <w:rsid w:val="0062587A"/>
    <w:rsid w:val="00625C89"/>
    <w:rsid w:val="006273F3"/>
    <w:rsid w:val="00632978"/>
    <w:rsid w:val="00632C63"/>
    <w:rsid w:val="00635327"/>
    <w:rsid w:val="00643F4E"/>
    <w:rsid w:val="00644A38"/>
    <w:rsid w:val="00645A26"/>
    <w:rsid w:val="0064620E"/>
    <w:rsid w:val="00652F7F"/>
    <w:rsid w:val="0065483B"/>
    <w:rsid w:val="006551B3"/>
    <w:rsid w:val="00656AD9"/>
    <w:rsid w:val="0066216A"/>
    <w:rsid w:val="00662177"/>
    <w:rsid w:val="006632C6"/>
    <w:rsid w:val="00663713"/>
    <w:rsid w:val="00664397"/>
    <w:rsid w:val="00664A5D"/>
    <w:rsid w:val="00664CD3"/>
    <w:rsid w:val="0066559C"/>
    <w:rsid w:val="00666978"/>
    <w:rsid w:val="00670AAC"/>
    <w:rsid w:val="00677880"/>
    <w:rsid w:val="006802CD"/>
    <w:rsid w:val="006804DD"/>
    <w:rsid w:val="0068326E"/>
    <w:rsid w:val="00695565"/>
    <w:rsid w:val="006A2154"/>
    <w:rsid w:val="006A28D5"/>
    <w:rsid w:val="006A5E95"/>
    <w:rsid w:val="006A6B7A"/>
    <w:rsid w:val="006A75C7"/>
    <w:rsid w:val="006A7F21"/>
    <w:rsid w:val="006B1DDE"/>
    <w:rsid w:val="006B2B5C"/>
    <w:rsid w:val="006B4A35"/>
    <w:rsid w:val="006B5C30"/>
    <w:rsid w:val="006B63EE"/>
    <w:rsid w:val="006B7542"/>
    <w:rsid w:val="006C41CB"/>
    <w:rsid w:val="006C4C54"/>
    <w:rsid w:val="006C5ADE"/>
    <w:rsid w:val="006C6708"/>
    <w:rsid w:val="006D04C0"/>
    <w:rsid w:val="006D2326"/>
    <w:rsid w:val="006D288D"/>
    <w:rsid w:val="006D3844"/>
    <w:rsid w:val="006D6693"/>
    <w:rsid w:val="006D6738"/>
    <w:rsid w:val="006D75AA"/>
    <w:rsid w:val="006E1B3F"/>
    <w:rsid w:val="006E24CE"/>
    <w:rsid w:val="006E45AD"/>
    <w:rsid w:val="006F1951"/>
    <w:rsid w:val="006F2CDA"/>
    <w:rsid w:val="006F68BC"/>
    <w:rsid w:val="006F7038"/>
    <w:rsid w:val="006F769D"/>
    <w:rsid w:val="00701434"/>
    <w:rsid w:val="00701903"/>
    <w:rsid w:val="0070239E"/>
    <w:rsid w:val="0070532A"/>
    <w:rsid w:val="007074EB"/>
    <w:rsid w:val="00711574"/>
    <w:rsid w:val="0072578D"/>
    <w:rsid w:val="007261ED"/>
    <w:rsid w:val="00731546"/>
    <w:rsid w:val="007330E2"/>
    <w:rsid w:val="0073314C"/>
    <w:rsid w:val="0073495C"/>
    <w:rsid w:val="00744942"/>
    <w:rsid w:val="00745481"/>
    <w:rsid w:val="00746799"/>
    <w:rsid w:val="0075396F"/>
    <w:rsid w:val="007557A5"/>
    <w:rsid w:val="007574F6"/>
    <w:rsid w:val="0076237E"/>
    <w:rsid w:val="00763A06"/>
    <w:rsid w:val="00765557"/>
    <w:rsid w:val="007662D6"/>
    <w:rsid w:val="00766B6B"/>
    <w:rsid w:val="007674AB"/>
    <w:rsid w:val="00767C9C"/>
    <w:rsid w:val="00770247"/>
    <w:rsid w:val="0077391F"/>
    <w:rsid w:val="007747FC"/>
    <w:rsid w:val="007766A7"/>
    <w:rsid w:val="0077730E"/>
    <w:rsid w:val="0077756E"/>
    <w:rsid w:val="00777B21"/>
    <w:rsid w:val="00777BF3"/>
    <w:rsid w:val="00780A29"/>
    <w:rsid w:val="007810BF"/>
    <w:rsid w:val="00781292"/>
    <w:rsid w:val="00782EF6"/>
    <w:rsid w:val="00783177"/>
    <w:rsid w:val="00783325"/>
    <w:rsid w:val="00783956"/>
    <w:rsid w:val="00784258"/>
    <w:rsid w:val="00787D88"/>
    <w:rsid w:val="00795939"/>
    <w:rsid w:val="00797C92"/>
    <w:rsid w:val="007A03F1"/>
    <w:rsid w:val="007A2BBC"/>
    <w:rsid w:val="007A3A10"/>
    <w:rsid w:val="007A54DB"/>
    <w:rsid w:val="007B03B5"/>
    <w:rsid w:val="007B4BCB"/>
    <w:rsid w:val="007C117F"/>
    <w:rsid w:val="007C4DAE"/>
    <w:rsid w:val="007C5130"/>
    <w:rsid w:val="007C7486"/>
    <w:rsid w:val="007D0015"/>
    <w:rsid w:val="007D00C2"/>
    <w:rsid w:val="007D05B7"/>
    <w:rsid w:val="007D090D"/>
    <w:rsid w:val="007D179F"/>
    <w:rsid w:val="007D1EEC"/>
    <w:rsid w:val="007E1BA6"/>
    <w:rsid w:val="007E4415"/>
    <w:rsid w:val="007E4922"/>
    <w:rsid w:val="007F0830"/>
    <w:rsid w:val="007F64A9"/>
    <w:rsid w:val="007F79C0"/>
    <w:rsid w:val="007F7FD6"/>
    <w:rsid w:val="00801425"/>
    <w:rsid w:val="00801947"/>
    <w:rsid w:val="00805884"/>
    <w:rsid w:val="00812001"/>
    <w:rsid w:val="008131ED"/>
    <w:rsid w:val="00814342"/>
    <w:rsid w:val="0082138D"/>
    <w:rsid w:val="008218D6"/>
    <w:rsid w:val="00824665"/>
    <w:rsid w:val="008248F8"/>
    <w:rsid w:val="00824A53"/>
    <w:rsid w:val="008300A2"/>
    <w:rsid w:val="00831298"/>
    <w:rsid w:val="008347CC"/>
    <w:rsid w:val="00834DF8"/>
    <w:rsid w:val="00840729"/>
    <w:rsid w:val="00840F75"/>
    <w:rsid w:val="008412AA"/>
    <w:rsid w:val="00845DD4"/>
    <w:rsid w:val="00846CA0"/>
    <w:rsid w:val="00850B80"/>
    <w:rsid w:val="00852A7A"/>
    <w:rsid w:val="00854EFF"/>
    <w:rsid w:val="008562A6"/>
    <w:rsid w:val="00856C2C"/>
    <w:rsid w:val="008600E3"/>
    <w:rsid w:val="008615A5"/>
    <w:rsid w:val="00863A95"/>
    <w:rsid w:val="008645D1"/>
    <w:rsid w:val="00865BA9"/>
    <w:rsid w:val="00866C94"/>
    <w:rsid w:val="00867B4A"/>
    <w:rsid w:val="008712EF"/>
    <w:rsid w:val="00874245"/>
    <w:rsid w:val="00874279"/>
    <w:rsid w:val="008745F3"/>
    <w:rsid w:val="00881947"/>
    <w:rsid w:val="00885482"/>
    <w:rsid w:val="0089031C"/>
    <w:rsid w:val="00893A59"/>
    <w:rsid w:val="00893F15"/>
    <w:rsid w:val="00895BB9"/>
    <w:rsid w:val="008A3E4E"/>
    <w:rsid w:val="008A7B75"/>
    <w:rsid w:val="008B066E"/>
    <w:rsid w:val="008B0A04"/>
    <w:rsid w:val="008B3B03"/>
    <w:rsid w:val="008B6F4A"/>
    <w:rsid w:val="008B7862"/>
    <w:rsid w:val="008C0FFC"/>
    <w:rsid w:val="008C14FA"/>
    <w:rsid w:val="008C428F"/>
    <w:rsid w:val="008C71C1"/>
    <w:rsid w:val="008D06A1"/>
    <w:rsid w:val="008D0D83"/>
    <w:rsid w:val="008D1EF4"/>
    <w:rsid w:val="008D3735"/>
    <w:rsid w:val="008D6000"/>
    <w:rsid w:val="008D7A67"/>
    <w:rsid w:val="008E1BF9"/>
    <w:rsid w:val="008E1FD6"/>
    <w:rsid w:val="008E2DC0"/>
    <w:rsid w:val="008E6189"/>
    <w:rsid w:val="008E6DBF"/>
    <w:rsid w:val="008F1AD1"/>
    <w:rsid w:val="008F40BA"/>
    <w:rsid w:val="008F4DA9"/>
    <w:rsid w:val="008F729A"/>
    <w:rsid w:val="00901A25"/>
    <w:rsid w:val="00902A74"/>
    <w:rsid w:val="00904E51"/>
    <w:rsid w:val="0090538F"/>
    <w:rsid w:val="00911EA2"/>
    <w:rsid w:val="0091263C"/>
    <w:rsid w:val="0091343F"/>
    <w:rsid w:val="0091397B"/>
    <w:rsid w:val="0091490D"/>
    <w:rsid w:val="00916900"/>
    <w:rsid w:val="00921D63"/>
    <w:rsid w:val="00924A7D"/>
    <w:rsid w:val="00926FAE"/>
    <w:rsid w:val="00927076"/>
    <w:rsid w:val="009273C5"/>
    <w:rsid w:val="00927476"/>
    <w:rsid w:val="009279DF"/>
    <w:rsid w:val="0093213A"/>
    <w:rsid w:val="00932388"/>
    <w:rsid w:val="00933B2F"/>
    <w:rsid w:val="00934FBE"/>
    <w:rsid w:val="00941712"/>
    <w:rsid w:val="00941D9B"/>
    <w:rsid w:val="0094612F"/>
    <w:rsid w:val="00946F51"/>
    <w:rsid w:val="009473EA"/>
    <w:rsid w:val="0095082A"/>
    <w:rsid w:val="009509D4"/>
    <w:rsid w:val="00951842"/>
    <w:rsid w:val="00951CEC"/>
    <w:rsid w:val="00952F55"/>
    <w:rsid w:val="00956824"/>
    <w:rsid w:val="00960129"/>
    <w:rsid w:val="009622DF"/>
    <w:rsid w:val="00971902"/>
    <w:rsid w:val="009736FA"/>
    <w:rsid w:val="00974D49"/>
    <w:rsid w:val="00977F58"/>
    <w:rsid w:val="00990D0F"/>
    <w:rsid w:val="00993573"/>
    <w:rsid w:val="00996481"/>
    <w:rsid w:val="009A3F26"/>
    <w:rsid w:val="009A5091"/>
    <w:rsid w:val="009A6CB8"/>
    <w:rsid w:val="009A7BE8"/>
    <w:rsid w:val="009B001C"/>
    <w:rsid w:val="009B1370"/>
    <w:rsid w:val="009B64B1"/>
    <w:rsid w:val="009B7D8F"/>
    <w:rsid w:val="009C3C8E"/>
    <w:rsid w:val="009C3E42"/>
    <w:rsid w:val="009C3F75"/>
    <w:rsid w:val="009C408D"/>
    <w:rsid w:val="009C5EE6"/>
    <w:rsid w:val="009D03DA"/>
    <w:rsid w:val="009D142F"/>
    <w:rsid w:val="009D1D06"/>
    <w:rsid w:val="009D2821"/>
    <w:rsid w:val="009D3CA6"/>
    <w:rsid w:val="009D5645"/>
    <w:rsid w:val="009E1769"/>
    <w:rsid w:val="009E1D25"/>
    <w:rsid w:val="009E1FCE"/>
    <w:rsid w:val="009E36C9"/>
    <w:rsid w:val="009E6CD1"/>
    <w:rsid w:val="009F0D72"/>
    <w:rsid w:val="009F1C65"/>
    <w:rsid w:val="009F48B2"/>
    <w:rsid w:val="009F79FE"/>
    <w:rsid w:val="00A002D7"/>
    <w:rsid w:val="00A01143"/>
    <w:rsid w:val="00A01A7F"/>
    <w:rsid w:val="00A03EA9"/>
    <w:rsid w:val="00A05204"/>
    <w:rsid w:val="00A06F98"/>
    <w:rsid w:val="00A10A81"/>
    <w:rsid w:val="00A10FF9"/>
    <w:rsid w:val="00A210AD"/>
    <w:rsid w:val="00A243D5"/>
    <w:rsid w:val="00A259BA"/>
    <w:rsid w:val="00A3010F"/>
    <w:rsid w:val="00A3608B"/>
    <w:rsid w:val="00A411DB"/>
    <w:rsid w:val="00A43F70"/>
    <w:rsid w:val="00A44A58"/>
    <w:rsid w:val="00A459B9"/>
    <w:rsid w:val="00A521EF"/>
    <w:rsid w:val="00A52CEA"/>
    <w:rsid w:val="00A53DC0"/>
    <w:rsid w:val="00A545F9"/>
    <w:rsid w:val="00A55CBC"/>
    <w:rsid w:val="00A57CF8"/>
    <w:rsid w:val="00A60A1C"/>
    <w:rsid w:val="00A63D1C"/>
    <w:rsid w:val="00A6439B"/>
    <w:rsid w:val="00A656DE"/>
    <w:rsid w:val="00A72827"/>
    <w:rsid w:val="00A75CBE"/>
    <w:rsid w:val="00A804AE"/>
    <w:rsid w:val="00A8131D"/>
    <w:rsid w:val="00A8711C"/>
    <w:rsid w:val="00A960A8"/>
    <w:rsid w:val="00A97944"/>
    <w:rsid w:val="00AA3C96"/>
    <w:rsid w:val="00AA6973"/>
    <w:rsid w:val="00AA7403"/>
    <w:rsid w:val="00AA7EDF"/>
    <w:rsid w:val="00AB7FBE"/>
    <w:rsid w:val="00AC661F"/>
    <w:rsid w:val="00AC7F49"/>
    <w:rsid w:val="00AE1073"/>
    <w:rsid w:val="00AE2A5D"/>
    <w:rsid w:val="00AE7600"/>
    <w:rsid w:val="00AE7663"/>
    <w:rsid w:val="00AF0E6D"/>
    <w:rsid w:val="00AF4655"/>
    <w:rsid w:val="00B01018"/>
    <w:rsid w:val="00B015C1"/>
    <w:rsid w:val="00B05D46"/>
    <w:rsid w:val="00B06F6B"/>
    <w:rsid w:val="00B07904"/>
    <w:rsid w:val="00B12C01"/>
    <w:rsid w:val="00B13AE2"/>
    <w:rsid w:val="00B14F5B"/>
    <w:rsid w:val="00B20C1E"/>
    <w:rsid w:val="00B24967"/>
    <w:rsid w:val="00B272FC"/>
    <w:rsid w:val="00B27D32"/>
    <w:rsid w:val="00B31226"/>
    <w:rsid w:val="00B32ECB"/>
    <w:rsid w:val="00B3502B"/>
    <w:rsid w:val="00B363FA"/>
    <w:rsid w:val="00B36AA0"/>
    <w:rsid w:val="00B373E9"/>
    <w:rsid w:val="00B37CF2"/>
    <w:rsid w:val="00B418E3"/>
    <w:rsid w:val="00B44AB3"/>
    <w:rsid w:val="00B537C1"/>
    <w:rsid w:val="00B62750"/>
    <w:rsid w:val="00B63FCD"/>
    <w:rsid w:val="00B64C65"/>
    <w:rsid w:val="00B66950"/>
    <w:rsid w:val="00B72890"/>
    <w:rsid w:val="00B76C33"/>
    <w:rsid w:val="00B76EFF"/>
    <w:rsid w:val="00B80E41"/>
    <w:rsid w:val="00B82FAE"/>
    <w:rsid w:val="00B9165B"/>
    <w:rsid w:val="00B93F27"/>
    <w:rsid w:val="00B96200"/>
    <w:rsid w:val="00BA067D"/>
    <w:rsid w:val="00BA15C7"/>
    <w:rsid w:val="00BA238C"/>
    <w:rsid w:val="00BA39B2"/>
    <w:rsid w:val="00BA3E8F"/>
    <w:rsid w:val="00BA779E"/>
    <w:rsid w:val="00BB2E38"/>
    <w:rsid w:val="00BB534D"/>
    <w:rsid w:val="00BC03B1"/>
    <w:rsid w:val="00BC0638"/>
    <w:rsid w:val="00BC1ED9"/>
    <w:rsid w:val="00BC1FD1"/>
    <w:rsid w:val="00BC61BD"/>
    <w:rsid w:val="00BC63D4"/>
    <w:rsid w:val="00BD01D6"/>
    <w:rsid w:val="00BD0A49"/>
    <w:rsid w:val="00BD3A49"/>
    <w:rsid w:val="00BD3C82"/>
    <w:rsid w:val="00BD7FDC"/>
    <w:rsid w:val="00BE0E10"/>
    <w:rsid w:val="00BE18FC"/>
    <w:rsid w:val="00BE1E98"/>
    <w:rsid w:val="00BE2C7B"/>
    <w:rsid w:val="00BE3708"/>
    <w:rsid w:val="00BE3AD8"/>
    <w:rsid w:val="00BF0D87"/>
    <w:rsid w:val="00BF15B2"/>
    <w:rsid w:val="00BF3753"/>
    <w:rsid w:val="00BF4556"/>
    <w:rsid w:val="00BF5B5E"/>
    <w:rsid w:val="00C0099A"/>
    <w:rsid w:val="00C018E7"/>
    <w:rsid w:val="00C03AB0"/>
    <w:rsid w:val="00C041E7"/>
    <w:rsid w:val="00C05817"/>
    <w:rsid w:val="00C07CF0"/>
    <w:rsid w:val="00C1052A"/>
    <w:rsid w:val="00C120A8"/>
    <w:rsid w:val="00C15B8C"/>
    <w:rsid w:val="00C161C0"/>
    <w:rsid w:val="00C21187"/>
    <w:rsid w:val="00C27116"/>
    <w:rsid w:val="00C3200D"/>
    <w:rsid w:val="00C3220C"/>
    <w:rsid w:val="00C32B3C"/>
    <w:rsid w:val="00C37C48"/>
    <w:rsid w:val="00C40D02"/>
    <w:rsid w:val="00C40F60"/>
    <w:rsid w:val="00C4214B"/>
    <w:rsid w:val="00C428F2"/>
    <w:rsid w:val="00C44BA7"/>
    <w:rsid w:val="00C4506F"/>
    <w:rsid w:val="00C4556E"/>
    <w:rsid w:val="00C46D73"/>
    <w:rsid w:val="00C501E1"/>
    <w:rsid w:val="00C517EB"/>
    <w:rsid w:val="00C533C0"/>
    <w:rsid w:val="00C5471E"/>
    <w:rsid w:val="00C556FC"/>
    <w:rsid w:val="00C55ADB"/>
    <w:rsid w:val="00C659DF"/>
    <w:rsid w:val="00C660E5"/>
    <w:rsid w:val="00C71C8E"/>
    <w:rsid w:val="00C72083"/>
    <w:rsid w:val="00C7433B"/>
    <w:rsid w:val="00C7786B"/>
    <w:rsid w:val="00C80C52"/>
    <w:rsid w:val="00C80D53"/>
    <w:rsid w:val="00C81742"/>
    <w:rsid w:val="00C83817"/>
    <w:rsid w:val="00C87A70"/>
    <w:rsid w:val="00C87E2D"/>
    <w:rsid w:val="00C938FD"/>
    <w:rsid w:val="00C96ACB"/>
    <w:rsid w:val="00CA172B"/>
    <w:rsid w:val="00CA4750"/>
    <w:rsid w:val="00CA479F"/>
    <w:rsid w:val="00CA687D"/>
    <w:rsid w:val="00CB61E4"/>
    <w:rsid w:val="00CB72CF"/>
    <w:rsid w:val="00CB7424"/>
    <w:rsid w:val="00CC0876"/>
    <w:rsid w:val="00CC6705"/>
    <w:rsid w:val="00CC67D3"/>
    <w:rsid w:val="00CC6C20"/>
    <w:rsid w:val="00CD5E06"/>
    <w:rsid w:val="00CE0B5D"/>
    <w:rsid w:val="00CE1CF4"/>
    <w:rsid w:val="00CE2E5F"/>
    <w:rsid w:val="00CF07D5"/>
    <w:rsid w:val="00CF120B"/>
    <w:rsid w:val="00CF27D5"/>
    <w:rsid w:val="00CF2AC9"/>
    <w:rsid w:val="00CF4017"/>
    <w:rsid w:val="00CF5279"/>
    <w:rsid w:val="00CF587F"/>
    <w:rsid w:val="00D0083A"/>
    <w:rsid w:val="00D02406"/>
    <w:rsid w:val="00D07277"/>
    <w:rsid w:val="00D0727E"/>
    <w:rsid w:val="00D1683C"/>
    <w:rsid w:val="00D16D1B"/>
    <w:rsid w:val="00D20C53"/>
    <w:rsid w:val="00D21423"/>
    <w:rsid w:val="00D219E6"/>
    <w:rsid w:val="00D22811"/>
    <w:rsid w:val="00D23C53"/>
    <w:rsid w:val="00D25080"/>
    <w:rsid w:val="00D30F3A"/>
    <w:rsid w:val="00D31860"/>
    <w:rsid w:val="00D330FC"/>
    <w:rsid w:val="00D361E9"/>
    <w:rsid w:val="00D42873"/>
    <w:rsid w:val="00D440B5"/>
    <w:rsid w:val="00D51601"/>
    <w:rsid w:val="00D53F94"/>
    <w:rsid w:val="00D547D7"/>
    <w:rsid w:val="00D56B46"/>
    <w:rsid w:val="00D570E3"/>
    <w:rsid w:val="00D57101"/>
    <w:rsid w:val="00D57392"/>
    <w:rsid w:val="00D60156"/>
    <w:rsid w:val="00D66AE2"/>
    <w:rsid w:val="00D66D56"/>
    <w:rsid w:val="00D71806"/>
    <w:rsid w:val="00D71D9E"/>
    <w:rsid w:val="00D72627"/>
    <w:rsid w:val="00D75D9C"/>
    <w:rsid w:val="00D75FBA"/>
    <w:rsid w:val="00D760C5"/>
    <w:rsid w:val="00D76300"/>
    <w:rsid w:val="00D808D8"/>
    <w:rsid w:val="00D80C4E"/>
    <w:rsid w:val="00D834F6"/>
    <w:rsid w:val="00D83E55"/>
    <w:rsid w:val="00D8635E"/>
    <w:rsid w:val="00D90326"/>
    <w:rsid w:val="00D915CC"/>
    <w:rsid w:val="00D92209"/>
    <w:rsid w:val="00D96301"/>
    <w:rsid w:val="00DA0600"/>
    <w:rsid w:val="00DA54B9"/>
    <w:rsid w:val="00DA7D70"/>
    <w:rsid w:val="00DB047A"/>
    <w:rsid w:val="00DB0AEA"/>
    <w:rsid w:val="00DB1459"/>
    <w:rsid w:val="00DB3C50"/>
    <w:rsid w:val="00DB47C1"/>
    <w:rsid w:val="00DB490E"/>
    <w:rsid w:val="00DB5DF8"/>
    <w:rsid w:val="00DB6196"/>
    <w:rsid w:val="00DB77B1"/>
    <w:rsid w:val="00DC0D4E"/>
    <w:rsid w:val="00DC17EB"/>
    <w:rsid w:val="00DC4D1F"/>
    <w:rsid w:val="00DC5E65"/>
    <w:rsid w:val="00DC6669"/>
    <w:rsid w:val="00DC67EC"/>
    <w:rsid w:val="00DD0DAF"/>
    <w:rsid w:val="00DD2842"/>
    <w:rsid w:val="00DD68C3"/>
    <w:rsid w:val="00DD7C17"/>
    <w:rsid w:val="00DE0775"/>
    <w:rsid w:val="00DE0C72"/>
    <w:rsid w:val="00DE13CB"/>
    <w:rsid w:val="00DE20C2"/>
    <w:rsid w:val="00DE26AC"/>
    <w:rsid w:val="00DE561F"/>
    <w:rsid w:val="00DE6CC1"/>
    <w:rsid w:val="00DE72D0"/>
    <w:rsid w:val="00DE773D"/>
    <w:rsid w:val="00DE796B"/>
    <w:rsid w:val="00DE7C3C"/>
    <w:rsid w:val="00DF0457"/>
    <w:rsid w:val="00DF176D"/>
    <w:rsid w:val="00DF3E16"/>
    <w:rsid w:val="00DF4C1E"/>
    <w:rsid w:val="00E00614"/>
    <w:rsid w:val="00E01CB6"/>
    <w:rsid w:val="00E1131C"/>
    <w:rsid w:val="00E1157E"/>
    <w:rsid w:val="00E11EF1"/>
    <w:rsid w:val="00E11FF6"/>
    <w:rsid w:val="00E20858"/>
    <w:rsid w:val="00E22697"/>
    <w:rsid w:val="00E25819"/>
    <w:rsid w:val="00E25E5D"/>
    <w:rsid w:val="00E26F17"/>
    <w:rsid w:val="00E27AE0"/>
    <w:rsid w:val="00E304CE"/>
    <w:rsid w:val="00E321F5"/>
    <w:rsid w:val="00E3397A"/>
    <w:rsid w:val="00E3397F"/>
    <w:rsid w:val="00E33B11"/>
    <w:rsid w:val="00E33F6E"/>
    <w:rsid w:val="00E35194"/>
    <w:rsid w:val="00E401E3"/>
    <w:rsid w:val="00E411F4"/>
    <w:rsid w:val="00E4152B"/>
    <w:rsid w:val="00E42808"/>
    <w:rsid w:val="00E45ECE"/>
    <w:rsid w:val="00E46046"/>
    <w:rsid w:val="00E466EF"/>
    <w:rsid w:val="00E46FD3"/>
    <w:rsid w:val="00E50AFB"/>
    <w:rsid w:val="00E50D69"/>
    <w:rsid w:val="00E52E7E"/>
    <w:rsid w:val="00E63DE8"/>
    <w:rsid w:val="00E707B9"/>
    <w:rsid w:val="00E70A7A"/>
    <w:rsid w:val="00E71BC4"/>
    <w:rsid w:val="00E73F78"/>
    <w:rsid w:val="00E81887"/>
    <w:rsid w:val="00E8318A"/>
    <w:rsid w:val="00E873E4"/>
    <w:rsid w:val="00E944BD"/>
    <w:rsid w:val="00E95922"/>
    <w:rsid w:val="00EA09DB"/>
    <w:rsid w:val="00EA1C0F"/>
    <w:rsid w:val="00EA247F"/>
    <w:rsid w:val="00EA5003"/>
    <w:rsid w:val="00EB24BE"/>
    <w:rsid w:val="00EB5338"/>
    <w:rsid w:val="00EB6924"/>
    <w:rsid w:val="00EC032A"/>
    <w:rsid w:val="00EC0653"/>
    <w:rsid w:val="00EC0CB9"/>
    <w:rsid w:val="00EC0D38"/>
    <w:rsid w:val="00EC1150"/>
    <w:rsid w:val="00EC1548"/>
    <w:rsid w:val="00EC1890"/>
    <w:rsid w:val="00EC1A53"/>
    <w:rsid w:val="00EC4C40"/>
    <w:rsid w:val="00ED12B2"/>
    <w:rsid w:val="00ED319D"/>
    <w:rsid w:val="00ED3FCC"/>
    <w:rsid w:val="00ED6624"/>
    <w:rsid w:val="00ED69F7"/>
    <w:rsid w:val="00EE310B"/>
    <w:rsid w:val="00EE4242"/>
    <w:rsid w:val="00EE46AA"/>
    <w:rsid w:val="00EE4ED4"/>
    <w:rsid w:val="00EE5DCE"/>
    <w:rsid w:val="00EF19FF"/>
    <w:rsid w:val="00EF1D74"/>
    <w:rsid w:val="00EF2630"/>
    <w:rsid w:val="00EF63F0"/>
    <w:rsid w:val="00EF7670"/>
    <w:rsid w:val="00F011DC"/>
    <w:rsid w:val="00F02DA3"/>
    <w:rsid w:val="00F0558A"/>
    <w:rsid w:val="00F06CE3"/>
    <w:rsid w:val="00F12309"/>
    <w:rsid w:val="00F15F08"/>
    <w:rsid w:val="00F20D4A"/>
    <w:rsid w:val="00F23F96"/>
    <w:rsid w:val="00F24DCA"/>
    <w:rsid w:val="00F24E3C"/>
    <w:rsid w:val="00F258EE"/>
    <w:rsid w:val="00F27EA0"/>
    <w:rsid w:val="00F304E1"/>
    <w:rsid w:val="00F31D58"/>
    <w:rsid w:val="00F31DC1"/>
    <w:rsid w:val="00F31DED"/>
    <w:rsid w:val="00F32C83"/>
    <w:rsid w:val="00F3336D"/>
    <w:rsid w:val="00F3465B"/>
    <w:rsid w:val="00F3641E"/>
    <w:rsid w:val="00F366B0"/>
    <w:rsid w:val="00F37858"/>
    <w:rsid w:val="00F40681"/>
    <w:rsid w:val="00F414D6"/>
    <w:rsid w:val="00F45402"/>
    <w:rsid w:val="00F46FA3"/>
    <w:rsid w:val="00F5158B"/>
    <w:rsid w:val="00F51A70"/>
    <w:rsid w:val="00F51EA5"/>
    <w:rsid w:val="00F5365E"/>
    <w:rsid w:val="00F53B6D"/>
    <w:rsid w:val="00F54F04"/>
    <w:rsid w:val="00F56FDD"/>
    <w:rsid w:val="00F57A43"/>
    <w:rsid w:val="00F60EDC"/>
    <w:rsid w:val="00F61845"/>
    <w:rsid w:val="00F62188"/>
    <w:rsid w:val="00F65290"/>
    <w:rsid w:val="00F65931"/>
    <w:rsid w:val="00F66422"/>
    <w:rsid w:val="00F67FAD"/>
    <w:rsid w:val="00F733C1"/>
    <w:rsid w:val="00F74FF8"/>
    <w:rsid w:val="00F75C45"/>
    <w:rsid w:val="00F82F07"/>
    <w:rsid w:val="00F84705"/>
    <w:rsid w:val="00F84885"/>
    <w:rsid w:val="00F84898"/>
    <w:rsid w:val="00F84C32"/>
    <w:rsid w:val="00F84D19"/>
    <w:rsid w:val="00F8612B"/>
    <w:rsid w:val="00F865DD"/>
    <w:rsid w:val="00F87537"/>
    <w:rsid w:val="00F9139A"/>
    <w:rsid w:val="00F92D50"/>
    <w:rsid w:val="00F96212"/>
    <w:rsid w:val="00FA18A7"/>
    <w:rsid w:val="00FA3277"/>
    <w:rsid w:val="00FA5896"/>
    <w:rsid w:val="00FA7643"/>
    <w:rsid w:val="00FB038A"/>
    <w:rsid w:val="00FB08E7"/>
    <w:rsid w:val="00FC1507"/>
    <w:rsid w:val="00FC2104"/>
    <w:rsid w:val="00FC4073"/>
    <w:rsid w:val="00FC56F6"/>
    <w:rsid w:val="00FC73F4"/>
    <w:rsid w:val="00FD0102"/>
    <w:rsid w:val="00FD269D"/>
    <w:rsid w:val="00FD44DF"/>
    <w:rsid w:val="00FD7254"/>
    <w:rsid w:val="00FD756D"/>
    <w:rsid w:val="00FE1AE6"/>
    <w:rsid w:val="00FE2270"/>
    <w:rsid w:val="00FE3779"/>
    <w:rsid w:val="00FE6051"/>
    <w:rsid w:val="00FF0151"/>
    <w:rsid w:val="00FF0DAB"/>
    <w:rsid w:val="00FF1FCD"/>
    <w:rsid w:val="00FF3CCA"/>
    <w:rsid w:val="00FF75E3"/>
  </w:rsids>
  <m:mathPr>
    <m:mathFont m:val="Cambria Math"/>
    <m:brkBin m:val="before"/>
    <m:brkBinSub m:val="--"/>
    <m:smallFrac m:val="0"/>
    <m:dispDef/>
    <m:lMargin m:val="0"/>
    <m:rMargin m:val="0"/>
    <m:defJc m:val="centerGroup"/>
    <m:wrapIndent m:val="1440"/>
    <m:intLim m:val="subSup"/>
    <m:naryLim m:val="undOvr"/>
  </m:mathPr>
  <w:themeFontLang w:val="lv-LV"/>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12641"/>
    <o:shapelayout v:ext="edit">
      <o:idmap v:ext="edit" data="1"/>
    </o:shapelayout>
  </w:shapeDefaults>
  <w:decimalSymbol w:val=","/>
  <w:listSeparator w:val=";"/>
  <w14:docId w14:val="52BDD49F"/>
  <w15:docId w15:val="{58579858-0989-47E7-95FC-4A3E5A2A78F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lv-LV" w:eastAsia="lv-LV"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068E4"/>
    <w:pPr>
      <w:spacing w:after="120"/>
      <w:ind w:firstLine="709"/>
      <w:jc w:val="both"/>
    </w:pPr>
    <w:rPr>
      <w:sz w:val="24"/>
      <w:lang w:eastAsia="en-US"/>
    </w:rPr>
  </w:style>
  <w:style w:type="paragraph" w:styleId="Heading1">
    <w:name w:val="heading 1"/>
    <w:basedOn w:val="Normal"/>
    <w:next w:val="Normal"/>
    <w:link w:val="Heading1Char"/>
    <w:uiPriority w:val="9"/>
    <w:qFormat/>
    <w:rsid w:val="001B73EC"/>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paragraph" w:styleId="Heading2">
    <w:name w:val="heading 2"/>
    <w:basedOn w:val="Normal"/>
    <w:next w:val="Normal"/>
    <w:link w:val="Heading2Char"/>
    <w:uiPriority w:val="9"/>
    <w:unhideWhenUsed/>
    <w:qFormat/>
    <w:rsid w:val="001B73EC"/>
    <w:pPr>
      <w:keepNext/>
      <w:keepLines/>
      <w:spacing w:before="40" w:after="0"/>
      <w:outlineLvl w:val="1"/>
    </w:pPr>
    <w:rPr>
      <w:rFonts w:asciiTheme="majorHAnsi" w:eastAsiaTheme="majorEastAsia" w:hAnsiTheme="majorHAnsi" w:cstheme="majorBidi"/>
      <w:color w:val="365F91" w:themeColor="accent1" w:themeShade="BF"/>
      <w:sz w:val="26"/>
      <w:szCs w:val="26"/>
    </w:rPr>
  </w:style>
  <w:style w:type="paragraph" w:styleId="Heading3">
    <w:name w:val="heading 3"/>
    <w:basedOn w:val="Normal"/>
    <w:next w:val="Normal"/>
    <w:link w:val="Heading3Char"/>
    <w:uiPriority w:val="9"/>
    <w:unhideWhenUsed/>
    <w:qFormat/>
    <w:rsid w:val="001B73EC"/>
    <w:pPr>
      <w:keepNext/>
      <w:keepLines/>
      <w:spacing w:before="40" w:after="0"/>
      <w:outlineLvl w:val="2"/>
    </w:pPr>
    <w:rPr>
      <w:rFonts w:asciiTheme="majorHAnsi" w:eastAsiaTheme="majorEastAsia" w:hAnsiTheme="majorHAnsi" w:cstheme="majorBidi"/>
      <w:color w:val="243F60" w:themeColor="accent1" w:themeShade="7F"/>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1B73EC"/>
    <w:rPr>
      <w:rFonts w:asciiTheme="majorHAnsi" w:eastAsiaTheme="majorEastAsia" w:hAnsiTheme="majorHAnsi" w:cstheme="majorBidi"/>
      <w:color w:val="365F91" w:themeColor="accent1" w:themeShade="BF"/>
      <w:sz w:val="32"/>
      <w:szCs w:val="32"/>
      <w:lang w:eastAsia="en-US"/>
    </w:rPr>
  </w:style>
  <w:style w:type="character" w:customStyle="1" w:styleId="Heading2Char">
    <w:name w:val="Heading 2 Char"/>
    <w:basedOn w:val="DefaultParagraphFont"/>
    <w:link w:val="Heading2"/>
    <w:uiPriority w:val="9"/>
    <w:rsid w:val="001B73EC"/>
    <w:rPr>
      <w:rFonts w:asciiTheme="majorHAnsi" w:eastAsiaTheme="majorEastAsia" w:hAnsiTheme="majorHAnsi" w:cstheme="majorBidi"/>
      <w:color w:val="365F91" w:themeColor="accent1" w:themeShade="BF"/>
      <w:sz w:val="26"/>
      <w:szCs w:val="26"/>
      <w:lang w:eastAsia="en-US"/>
    </w:rPr>
  </w:style>
  <w:style w:type="character" w:customStyle="1" w:styleId="Heading3Char">
    <w:name w:val="Heading 3 Char"/>
    <w:basedOn w:val="DefaultParagraphFont"/>
    <w:link w:val="Heading3"/>
    <w:uiPriority w:val="9"/>
    <w:rsid w:val="001B73EC"/>
    <w:rPr>
      <w:rFonts w:asciiTheme="majorHAnsi" w:eastAsiaTheme="majorEastAsia" w:hAnsiTheme="majorHAnsi" w:cstheme="majorBidi"/>
      <w:color w:val="243F60" w:themeColor="accent1" w:themeShade="7F"/>
      <w:sz w:val="24"/>
      <w:szCs w:val="24"/>
      <w:lang w:eastAsia="en-US"/>
    </w:rPr>
  </w:style>
  <w:style w:type="paragraph" w:styleId="Footer">
    <w:name w:val="footer"/>
    <w:basedOn w:val="Normal"/>
    <w:link w:val="FooterChar"/>
    <w:rsid w:val="00977512"/>
    <w:pPr>
      <w:tabs>
        <w:tab w:val="center" w:pos="4153"/>
        <w:tab w:val="right" w:pos="8306"/>
      </w:tabs>
      <w:spacing w:after="0"/>
      <w:ind w:firstLine="0"/>
    </w:pPr>
    <w:rPr>
      <w:sz w:val="20"/>
    </w:rPr>
  </w:style>
  <w:style w:type="paragraph" w:customStyle="1" w:styleId="H4">
    <w:name w:val="H4"/>
    <w:rsid w:val="005068E4"/>
    <w:pPr>
      <w:spacing w:after="120"/>
      <w:jc w:val="center"/>
      <w:outlineLvl w:val="3"/>
    </w:pPr>
    <w:rPr>
      <w:b/>
      <w:sz w:val="28"/>
      <w:lang w:eastAsia="en-US"/>
    </w:rPr>
  </w:style>
  <w:style w:type="paragraph" w:customStyle="1" w:styleId="H3">
    <w:name w:val="H3"/>
    <w:rsid w:val="005068E4"/>
    <w:pPr>
      <w:spacing w:after="120"/>
      <w:jc w:val="center"/>
      <w:outlineLvl w:val="2"/>
    </w:pPr>
    <w:rPr>
      <w:b/>
      <w:sz w:val="32"/>
      <w:lang w:eastAsia="en-US"/>
    </w:rPr>
  </w:style>
  <w:style w:type="paragraph" w:customStyle="1" w:styleId="H2">
    <w:name w:val="H2"/>
    <w:rsid w:val="005068E4"/>
    <w:pPr>
      <w:spacing w:after="120"/>
      <w:jc w:val="center"/>
      <w:outlineLvl w:val="1"/>
    </w:pPr>
    <w:rPr>
      <w:b/>
      <w:sz w:val="36"/>
      <w:lang w:eastAsia="en-US"/>
    </w:rPr>
  </w:style>
  <w:style w:type="paragraph" w:customStyle="1" w:styleId="H1">
    <w:name w:val="H1"/>
    <w:rsid w:val="005068E4"/>
    <w:pPr>
      <w:spacing w:after="120"/>
      <w:jc w:val="center"/>
      <w:outlineLvl w:val="0"/>
    </w:pPr>
    <w:rPr>
      <w:b/>
      <w:sz w:val="44"/>
      <w:lang w:eastAsia="en-US"/>
    </w:rPr>
  </w:style>
  <w:style w:type="paragraph" w:customStyle="1" w:styleId="T">
    <w:name w:val="T"/>
    <w:basedOn w:val="Normal"/>
    <w:uiPriority w:val="99"/>
    <w:qFormat/>
    <w:rsid w:val="005068E4"/>
    <w:pPr>
      <w:keepNext/>
      <w:ind w:firstLine="0"/>
      <w:jc w:val="center"/>
    </w:pPr>
    <w:rPr>
      <w:b/>
      <w:i/>
    </w:rPr>
  </w:style>
  <w:style w:type="paragraph" w:customStyle="1" w:styleId="Z">
    <w:name w:val="Z"/>
    <w:basedOn w:val="T"/>
    <w:uiPriority w:val="99"/>
    <w:qFormat/>
    <w:rsid w:val="005068E4"/>
    <w:pPr>
      <w:keepNext w:val="0"/>
    </w:pPr>
  </w:style>
  <w:style w:type="character" w:styleId="PageNumber">
    <w:name w:val="page number"/>
    <w:basedOn w:val="DefaultParagraphFont"/>
    <w:rsid w:val="00977512"/>
  </w:style>
  <w:style w:type="paragraph" w:styleId="Header">
    <w:name w:val="header"/>
    <w:basedOn w:val="Normal"/>
    <w:link w:val="HeaderChar"/>
    <w:uiPriority w:val="99"/>
    <w:rsid w:val="00977512"/>
    <w:pPr>
      <w:tabs>
        <w:tab w:val="center" w:pos="4153"/>
        <w:tab w:val="right" w:pos="8306"/>
      </w:tabs>
      <w:spacing w:after="0"/>
      <w:ind w:firstLine="0"/>
    </w:pPr>
  </w:style>
  <w:style w:type="character" w:customStyle="1" w:styleId="HeaderChar">
    <w:name w:val="Header Char"/>
    <w:basedOn w:val="DefaultParagraphFont"/>
    <w:link w:val="Header"/>
    <w:uiPriority w:val="99"/>
    <w:rsid w:val="009F48B2"/>
    <w:rPr>
      <w:sz w:val="24"/>
      <w:lang w:eastAsia="en-US"/>
    </w:rPr>
  </w:style>
  <w:style w:type="paragraph" w:styleId="FootnoteText">
    <w:name w:val="footnote text"/>
    <w:aliases w:val="Footnote,Fußnote,Fußnote Char Char Char,single space,ft Rakstz. Rakstz.,ft Rakstz.,ft,-E Fußnotentext,Fußnotentext Ursprung,Vēres teksts Char Char Char Char Char,Char Char Char Char Char Char Char Char Char Char Char Char,footnote tex"/>
    <w:basedOn w:val="Normal"/>
    <w:link w:val="FootnoteTextChar"/>
    <w:uiPriority w:val="99"/>
    <w:qFormat/>
    <w:rsid w:val="00977512"/>
    <w:pPr>
      <w:spacing w:after="0"/>
      <w:ind w:firstLine="0"/>
      <w:jc w:val="left"/>
    </w:pPr>
    <w:rPr>
      <w:sz w:val="20"/>
    </w:rPr>
  </w:style>
  <w:style w:type="character" w:customStyle="1" w:styleId="FootnoteTextChar">
    <w:name w:val="Footnote Text Char"/>
    <w:aliases w:val="Footnote Char,Fußnote Char,Fußnote Char Char Char Char,single space Char,ft Rakstz. Rakstz. Char,ft Rakstz. Char,ft Char,-E Fußnotentext Char,Fußnotentext Ursprung Char,Vēres teksts Char Char Char Char Char Char,footnote tex Char"/>
    <w:basedOn w:val="DefaultParagraphFont"/>
    <w:link w:val="FootnoteText"/>
    <w:uiPriority w:val="99"/>
    <w:rsid w:val="00DD0DAF"/>
    <w:rPr>
      <w:lang w:eastAsia="en-US"/>
    </w:rPr>
  </w:style>
  <w:style w:type="paragraph" w:customStyle="1" w:styleId="tabteksts">
    <w:name w:val="tab_teksts"/>
    <w:basedOn w:val="Normal"/>
    <w:qFormat/>
    <w:rsid w:val="005068E4"/>
    <w:pPr>
      <w:spacing w:after="0"/>
      <w:ind w:firstLine="0"/>
      <w:jc w:val="left"/>
    </w:pPr>
    <w:rPr>
      <w:sz w:val="18"/>
    </w:rPr>
  </w:style>
  <w:style w:type="paragraph" w:customStyle="1" w:styleId="BalloonText1">
    <w:name w:val="Balloon Text1"/>
    <w:basedOn w:val="Normal"/>
    <w:semiHidden/>
    <w:rsid w:val="00977512"/>
    <w:rPr>
      <w:rFonts w:ascii="Tahoma" w:hAnsi="Tahoma" w:cs="Tahoma"/>
      <w:sz w:val="16"/>
      <w:szCs w:val="16"/>
    </w:rPr>
  </w:style>
  <w:style w:type="paragraph" w:styleId="BalloonText">
    <w:name w:val="Balloon Text"/>
    <w:basedOn w:val="Normal"/>
    <w:link w:val="BalloonTextChar"/>
    <w:uiPriority w:val="99"/>
    <w:semiHidden/>
    <w:rsid w:val="00977512"/>
    <w:rPr>
      <w:rFonts w:ascii="Tahoma" w:hAnsi="Tahoma" w:cs="Tahoma"/>
      <w:sz w:val="16"/>
      <w:szCs w:val="16"/>
    </w:rPr>
  </w:style>
  <w:style w:type="table" w:styleId="TableGrid">
    <w:name w:val="Table Grid"/>
    <w:basedOn w:val="TableNormal"/>
    <w:uiPriority w:val="39"/>
    <w:rsid w:val="00F24E3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otnoteReference">
    <w:name w:val="footnote reference"/>
    <w:aliases w:val="Footnote Reference Number,Footnote symbol,Footnote Reference Superscript,ftref,Footnote Refernece,Odwołanie przypisu,BVI fnr,Footnotes refss,SUPERS,Ref,de nota al pie,-E Fußnotenzeichen,Footnote reference number,Times 10 Point,E,E FNZ"/>
    <w:basedOn w:val="DefaultParagraphFont"/>
    <w:link w:val="Char2"/>
    <w:uiPriority w:val="99"/>
    <w:unhideWhenUsed/>
    <w:qFormat/>
    <w:rsid w:val="00881947"/>
    <w:rPr>
      <w:vertAlign w:val="superscript"/>
    </w:rPr>
  </w:style>
  <w:style w:type="paragraph" w:styleId="EndnoteText">
    <w:name w:val="endnote text"/>
    <w:basedOn w:val="Normal"/>
    <w:link w:val="EndnoteTextChar"/>
    <w:uiPriority w:val="99"/>
    <w:semiHidden/>
    <w:unhideWhenUsed/>
    <w:rsid w:val="00131D32"/>
    <w:pPr>
      <w:spacing w:after="0"/>
    </w:pPr>
    <w:rPr>
      <w:sz w:val="20"/>
    </w:rPr>
  </w:style>
  <w:style w:type="character" w:customStyle="1" w:styleId="EndnoteTextChar">
    <w:name w:val="Endnote Text Char"/>
    <w:basedOn w:val="DefaultParagraphFont"/>
    <w:link w:val="EndnoteText"/>
    <w:uiPriority w:val="99"/>
    <w:semiHidden/>
    <w:rsid w:val="00131D32"/>
    <w:rPr>
      <w:lang w:eastAsia="en-US"/>
    </w:rPr>
  </w:style>
  <w:style w:type="character" w:styleId="EndnoteReference">
    <w:name w:val="endnote reference"/>
    <w:basedOn w:val="DefaultParagraphFont"/>
    <w:uiPriority w:val="99"/>
    <w:semiHidden/>
    <w:unhideWhenUsed/>
    <w:rsid w:val="00131D32"/>
    <w:rPr>
      <w:vertAlign w:val="superscript"/>
    </w:rPr>
  </w:style>
  <w:style w:type="paragraph" w:styleId="CommentText">
    <w:name w:val="annotation text"/>
    <w:basedOn w:val="Normal"/>
    <w:link w:val="CommentTextChar"/>
    <w:uiPriority w:val="99"/>
    <w:unhideWhenUsed/>
    <w:rsid w:val="009A7BE8"/>
    <w:rPr>
      <w:sz w:val="20"/>
    </w:rPr>
  </w:style>
  <w:style w:type="character" w:customStyle="1" w:styleId="CommentTextChar">
    <w:name w:val="Comment Text Char"/>
    <w:basedOn w:val="DefaultParagraphFont"/>
    <w:link w:val="CommentText"/>
    <w:uiPriority w:val="99"/>
    <w:rsid w:val="009A7BE8"/>
    <w:rPr>
      <w:lang w:eastAsia="en-US"/>
    </w:rPr>
  </w:style>
  <w:style w:type="paragraph" w:customStyle="1" w:styleId="funkcijas">
    <w:name w:val="funkcijas"/>
    <w:basedOn w:val="Normal"/>
    <w:qFormat/>
    <w:rsid w:val="005068E4"/>
    <w:pPr>
      <w:ind w:firstLine="0"/>
    </w:pPr>
    <w:rPr>
      <w:bCs/>
      <w:u w:val="single"/>
    </w:rPr>
  </w:style>
  <w:style w:type="paragraph" w:customStyle="1" w:styleId="Funkcijasbold">
    <w:name w:val="Funkcijas_bold"/>
    <w:basedOn w:val="Normal"/>
    <w:qFormat/>
    <w:rsid w:val="005068E4"/>
    <w:pPr>
      <w:ind w:firstLine="0"/>
    </w:pPr>
    <w:rPr>
      <w:b/>
      <w:bCs/>
    </w:rPr>
  </w:style>
  <w:style w:type="paragraph" w:customStyle="1" w:styleId="izdevumi">
    <w:name w:val="izdevumi"/>
    <w:basedOn w:val="Normal"/>
    <w:qFormat/>
    <w:rsid w:val="005068E4"/>
    <w:pPr>
      <w:widowControl w:val="0"/>
      <w:spacing w:before="120"/>
      <w:ind w:left="567" w:firstLine="0"/>
    </w:pPr>
    <w:rPr>
      <w:i/>
    </w:rPr>
  </w:style>
  <w:style w:type="paragraph" w:customStyle="1" w:styleId="paraksti">
    <w:name w:val="paraksti"/>
    <w:basedOn w:val="Normal"/>
    <w:qFormat/>
    <w:rsid w:val="005068E4"/>
    <w:pPr>
      <w:ind w:firstLine="0"/>
    </w:pPr>
    <w:rPr>
      <w:i/>
      <w:sz w:val="18"/>
    </w:rPr>
  </w:style>
  <w:style w:type="paragraph" w:customStyle="1" w:styleId="programmas">
    <w:name w:val="programmas"/>
    <w:basedOn w:val="Normal"/>
    <w:qFormat/>
    <w:rsid w:val="005068E4"/>
    <w:pPr>
      <w:widowControl w:val="0"/>
      <w:spacing w:before="240"/>
      <w:ind w:firstLine="0"/>
      <w:jc w:val="center"/>
    </w:pPr>
    <w:rPr>
      <w:b/>
      <w:lang w:val="en-US"/>
    </w:rPr>
  </w:style>
  <w:style w:type="paragraph" w:customStyle="1" w:styleId="samazpaliel">
    <w:name w:val="samaz_paliel"/>
    <w:basedOn w:val="Normal"/>
    <w:qFormat/>
    <w:rsid w:val="005068E4"/>
    <w:pPr>
      <w:widowControl w:val="0"/>
      <w:ind w:firstLine="0"/>
    </w:pPr>
    <w:rPr>
      <w:b/>
      <w:u w:val="single"/>
    </w:rPr>
  </w:style>
  <w:style w:type="paragraph" w:customStyle="1" w:styleId="Tabuluvirsraksti">
    <w:name w:val="Tabulu_virsraksti"/>
    <w:basedOn w:val="Normal"/>
    <w:qFormat/>
    <w:rsid w:val="005068E4"/>
    <w:pPr>
      <w:ind w:firstLine="0"/>
      <w:jc w:val="center"/>
    </w:pPr>
  </w:style>
  <w:style w:type="paragraph" w:styleId="ListParagraph">
    <w:name w:val="List Paragraph"/>
    <w:aliases w:val="2,H&amp;P List Paragraph,Akapit z listą BS,Numbered Para 1,Dot pt,No Spacing1,List Paragraph Char Char Char,Indicator Text,List Paragraph1,Bullet 1,Bullet Points,MAIN CONTENT,IFCL - List Paragraph,List Paragraph12,OBC Bullet,F5 List Paragraph"/>
    <w:basedOn w:val="Normal"/>
    <w:link w:val="ListParagraphChar"/>
    <w:uiPriority w:val="34"/>
    <w:qFormat/>
    <w:rsid w:val="001B73EC"/>
    <w:pPr>
      <w:ind w:left="720"/>
      <w:contextualSpacing/>
    </w:pPr>
  </w:style>
  <w:style w:type="character" w:customStyle="1" w:styleId="ListParagraphChar">
    <w:name w:val="List Paragraph Char"/>
    <w:aliases w:val="2 Char,H&amp;P List Paragraph Char,Akapit z listą BS Char,Numbered Para 1 Char,Dot pt Char,No Spacing1 Char,List Paragraph Char Char Char Char,Indicator Text Char,List Paragraph1 Char,Bullet 1 Char,Bullet Points Char,MAIN CONTENT Char"/>
    <w:link w:val="ListParagraph"/>
    <w:uiPriority w:val="34"/>
    <w:qFormat/>
    <w:locked/>
    <w:rsid w:val="00D20C53"/>
    <w:rPr>
      <w:sz w:val="24"/>
      <w:lang w:eastAsia="en-US"/>
    </w:rPr>
  </w:style>
  <w:style w:type="character" w:styleId="Hyperlink">
    <w:name w:val="Hyperlink"/>
    <w:basedOn w:val="DefaultParagraphFont"/>
    <w:uiPriority w:val="99"/>
    <w:unhideWhenUsed/>
    <w:rsid w:val="00046E7F"/>
    <w:rPr>
      <w:color w:val="0000FF" w:themeColor="hyperlink"/>
      <w:u w:val="single"/>
    </w:rPr>
  </w:style>
  <w:style w:type="paragraph" w:styleId="CommentSubject">
    <w:name w:val="annotation subject"/>
    <w:basedOn w:val="CommentText"/>
    <w:next w:val="CommentText"/>
    <w:link w:val="CommentSubjectChar"/>
    <w:uiPriority w:val="99"/>
    <w:semiHidden/>
    <w:unhideWhenUsed/>
    <w:rsid w:val="00046E7F"/>
    <w:rPr>
      <w:b/>
      <w:bCs/>
    </w:rPr>
  </w:style>
  <w:style w:type="character" w:customStyle="1" w:styleId="CommentSubjectChar">
    <w:name w:val="Comment Subject Char"/>
    <w:basedOn w:val="CommentTextChar"/>
    <w:link w:val="CommentSubject"/>
    <w:uiPriority w:val="99"/>
    <w:semiHidden/>
    <w:rsid w:val="00046E7F"/>
    <w:rPr>
      <w:b/>
      <w:bCs/>
      <w:lang w:eastAsia="en-US"/>
    </w:rPr>
  </w:style>
  <w:style w:type="paragraph" w:styleId="NormalWeb">
    <w:name w:val="Normal (Web)"/>
    <w:basedOn w:val="Normal"/>
    <w:uiPriority w:val="99"/>
    <w:semiHidden/>
    <w:unhideWhenUsed/>
    <w:rsid w:val="001952BA"/>
    <w:pPr>
      <w:spacing w:before="100" w:beforeAutospacing="1" w:after="100" w:afterAutospacing="1"/>
      <w:ind w:firstLine="0"/>
      <w:jc w:val="left"/>
    </w:pPr>
    <w:rPr>
      <w:szCs w:val="24"/>
      <w:lang w:eastAsia="lv-LV"/>
    </w:rPr>
  </w:style>
  <w:style w:type="paragraph" w:styleId="BodyText">
    <w:name w:val="Body Text"/>
    <w:basedOn w:val="Normal"/>
    <w:link w:val="BodyTextChar"/>
    <w:uiPriority w:val="1"/>
    <w:qFormat/>
    <w:rsid w:val="005A4908"/>
    <w:pPr>
      <w:widowControl w:val="0"/>
      <w:autoSpaceDE w:val="0"/>
      <w:autoSpaceDN w:val="0"/>
      <w:spacing w:after="0"/>
      <w:ind w:firstLine="0"/>
      <w:jc w:val="left"/>
    </w:pPr>
    <w:rPr>
      <w:szCs w:val="24"/>
      <w:lang w:eastAsia="lv-LV" w:bidi="lv-LV"/>
    </w:rPr>
  </w:style>
  <w:style w:type="character" w:customStyle="1" w:styleId="BodyTextChar">
    <w:name w:val="Body Text Char"/>
    <w:basedOn w:val="DefaultParagraphFont"/>
    <w:link w:val="BodyText"/>
    <w:uiPriority w:val="1"/>
    <w:rsid w:val="005A4908"/>
    <w:rPr>
      <w:sz w:val="24"/>
      <w:szCs w:val="24"/>
      <w:lang w:bidi="lv-LV"/>
    </w:rPr>
  </w:style>
  <w:style w:type="numbering" w:customStyle="1" w:styleId="NoList1">
    <w:name w:val="No List1"/>
    <w:next w:val="NoList"/>
    <w:uiPriority w:val="99"/>
    <w:semiHidden/>
    <w:unhideWhenUsed/>
    <w:rsid w:val="00EF1D74"/>
  </w:style>
  <w:style w:type="character" w:customStyle="1" w:styleId="FooterChar">
    <w:name w:val="Footer Char"/>
    <w:basedOn w:val="DefaultParagraphFont"/>
    <w:link w:val="Footer"/>
    <w:rsid w:val="00EF1D74"/>
    <w:rPr>
      <w:lang w:eastAsia="en-US"/>
    </w:rPr>
  </w:style>
  <w:style w:type="character" w:customStyle="1" w:styleId="BalloonTextChar">
    <w:name w:val="Balloon Text Char"/>
    <w:basedOn w:val="DefaultParagraphFont"/>
    <w:link w:val="BalloonText"/>
    <w:uiPriority w:val="99"/>
    <w:semiHidden/>
    <w:rsid w:val="00EF1D74"/>
    <w:rPr>
      <w:rFonts w:ascii="Tahoma" w:hAnsi="Tahoma" w:cs="Tahoma"/>
      <w:sz w:val="16"/>
      <w:szCs w:val="16"/>
      <w:lang w:eastAsia="en-US"/>
    </w:rPr>
  </w:style>
  <w:style w:type="table" w:customStyle="1" w:styleId="TableGrid1">
    <w:name w:val="Table Grid1"/>
    <w:basedOn w:val="TableNormal"/>
    <w:next w:val="TableGrid"/>
    <w:uiPriority w:val="39"/>
    <w:rsid w:val="00EF1D7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EF1D74"/>
    <w:rPr>
      <w:sz w:val="16"/>
      <w:szCs w:val="16"/>
    </w:rPr>
  </w:style>
  <w:style w:type="paragraph" w:customStyle="1" w:styleId="Virsraksts1">
    <w:name w:val="Virsraksts1"/>
    <w:basedOn w:val="Heading1"/>
    <w:qFormat/>
    <w:rsid w:val="00EF1D74"/>
    <w:pPr>
      <w:keepLines w:val="0"/>
      <w:spacing w:after="60"/>
    </w:pPr>
    <w:rPr>
      <w:rFonts w:ascii="Times New Roman" w:eastAsia="Times New Roman" w:hAnsi="Times New Roman" w:cs="Times New Roman"/>
      <w:b/>
      <w:bCs/>
      <w:color w:val="auto"/>
      <w:kern w:val="32"/>
      <w:sz w:val="40"/>
      <w:szCs w:val="40"/>
    </w:rPr>
  </w:style>
  <w:style w:type="paragraph" w:customStyle="1" w:styleId="Virsraksts2">
    <w:name w:val="Virsraksts2"/>
    <w:basedOn w:val="Virsraksts1"/>
    <w:qFormat/>
    <w:rsid w:val="00EF1D74"/>
    <w:pPr>
      <w:jc w:val="center"/>
    </w:pPr>
    <w:rPr>
      <w:sz w:val="36"/>
    </w:rPr>
  </w:style>
  <w:style w:type="paragraph" w:customStyle="1" w:styleId="Virsraksts3">
    <w:name w:val="Virsraksts3"/>
    <w:basedOn w:val="Virsraksts2"/>
    <w:qFormat/>
    <w:rsid w:val="00EF1D74"/>
    <w:rPr>
      <w:sz w:val="32"/>
      <w:lang w:eastAsia="lv-LV"/>
    </w:rPr>
  </w:style>
  <w:style w:type="table" w:customStyle="1" w:styleId="LightList-Accent11">
    <w:name w:val="Light List - Accent 11"/>
    <w:basedOn w:val="TableNormal"/>
    <w:next w:val="LightList-Accent1"/>
    <w:uiPriority w:val="61"/>
    <w:rsid w:val="00EF1D74"/>
    <w:rPr>
      <w:rFonts w:ascii="Calibri" w:eastAsia="Calibri" w:hAnsi="Calibri"/>
      <w:sz w:val="22"/>
      <w:szCs w:val="22"/>
      <w:lang w:val="en-US" w:eastAsia="en-US"/>
    </w:r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pPr>
        <w:spacing w:before="0" w:after="0" w:line="240" w:lineRule="auto"/>
      </w:pPr>
      <w:rPr>
        <w:b/>
        <w:bCs/>
        <w:color w:val="FFFFFF"/>
      </w:rPr>
      <w:tblPr/>
      <w:tcPr>
        <w:shd w:val="clear" w:color="auto" w:fill="5B9BD5"/>
      </w:tcPr>
    </w:tblStylePr>
    <w:tblStylePr w:type="lastRow">
      <w:pPr>
        <w:spacing w:before="0" w:after="0" w:line="240" w:lineRule="auto"/>
      </w:pPr>
      <w:rPr>
        <w:b/>
        <w:bCs/>
      </w:rPr>
      <w:tblPr/>
      <w:tcPr>
        <w:tcBorders>
          <w:top w:val="double" w:sz="6" w:space="0" w:color="5B9BD5"/>
          <w:left w:val="single" w:sz="8" w:space="0" w:color="5B9BD5"/>
          <w:bottom w:val="single" w:sz="8" w:space="0" w:color="5B9BD5"/>
          <w:right w:val="single" w:sz="8" w:space="0" w:color="5B9BD5"/>
        </w:tcBorders>
      </w:tcPr>
    </w:tblStylePr>
    <w:tblStylePr w:type="firstCol">
      <w:rPr>
        <w:b/>
        <w:bCs/>
      </w:rPr>
    </w:tblStylePr>
    <w:tblStylePr w:type="lastCol">
      <w:rPr>
        <w:b/>
        <w:bCs/>
      </w:rPr>
    </w:tblStylePr>
    <w:tblStylePr w:type="band1Vert">
      <w:tblPr/>
      <w:tcPr>
        <w:tcBorders>
          <w:top w:val="single" w:sz="8" w:space="0" w:color="5B9BD5"/>
          <w:left w:val="single" w:sz="8" w:space="0" w:color="5B9BD5"/>
          <w:bottom w:val="single" w:sz="8" w:space="0" w:color="5B9BD5"/>
          <w:right w:val="single" w:sz="8" w:space="0" w:color="5B9BD5"/>
        </w:tcBorders>
      </w:tcPr>
    </w:tblStylePr>
    <w:tblStylePr w:type="band1Horz">
      <w:tblPr/>
      <w:tcPr>
        <w:tcBorders>
          <w:top w:val="single" w:sz="8" w:space="0" w:color="5B9BD5"/>
          <w:left w:val="single" w:sz="8" w:space="0" w:color="5B9BD5"/>
          <w:bottom w:val="single" w:sz="8" w:space="0" w:color="5B9BD5"/>
          <w:right w:val="single" w:sz="8" w:space="0" w:color="5B9BD5"/>
        </w:tcBorders>
      </w:tcPr>
    </w:tblStylePr>
  </w:style>
  <w:style w:type="character" w:customStyle="1" w:styleId="CharAttribute0">
    <w:name w:val="CharAttribute0"/>
    <w:rsid w:val="00EF1D74"/>
    <w:rPr>
      <w:rFonts w:ascii="Times New Roman" w:eastAsia="Times New Roman"/>
    </w:rPr>
  </w:style>
  <w:style w:type="table" w:customStyle="1" w:styleId="TableGrid3">
    <w:name w:val="Table Grid3"/>
    <w:basedOn w:val="TableNormal"/>
    <w:next w:val="TableGrid"/>
    <w:uiPriority w:val="39"/>
    <w:rsid w:val="00EF1D74"/>
    <w:rPr>
      <w:rFonts w:eastAsia="Calibri"/>
      <w:sz w:val="24"/>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rsid w:val="00EF1D74"/>
    <w:rPr>
      <w:rFonts w:eastAsia="Calibri"/>
      <w:sz w:val="24"/>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0">
    <w:name w:val="TableGrid"/>
    <w:rsid w:val="00EF1D74"/>
    <w:rPr>
      <w:rFonts w:ascii="Calibri" w:hAnsi="Calibri"/>
      <w:sz w:val="22"/>
      <w:szCs w:val="22"/>
    </w:rPr>
    <w:tblPr>
      <w:tblCellMar>
        <w:top w:w="0" w:type="dxa"/>
        <w:left w:w="0" w:type="dxa"/>
        <w:bottom w:w="0" w:type="dxa"/>
        <w:right w:w="0" w:type="dxa"/>
      </w:tblCellMar>
    </w:tblPr>
  </w:style>
  <w:style w:type="table" w:customStyle="1" w:styleId="TableGrid6">
    <w:name w:val="Table Grid6"/>
    <w:basedOn w:val="TableNormal"/>
    <w:next w:val="TableGrid"/>
    <w:uiPriority w:val="39"/>
    <w:rsid w:val="00EF1D7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2">
    <w:name w:val="Char2"/>
    <w:aliases w:val="Char Char Char Char"/>
    <w:basedOn w:val="Normal"/>
    <w:next w:val="Normal"/>
    <w:link w:val="FootnoteReference"/>
    <w:uiPriority w:val="99"/>
    <w:rsid w:val="00EF1D74"/>
    <w:pPr>
      <w:spacing w:after="160" w:line="240" w:lineRule="exact"/>
      <w:ind w:firstLine="0"/>
      <w:textAlignment w:val="baseline"/>
    </w:pPr>
    <w:rPr>
      <w:sz w:val="20"/>
      <w:vertAlign w:val="superscript"/>
      <w:lang w:eastAsia="lv-LV"/>
    </w:rPr>
  </w:style>
  <w:style w:type="table" w:customStyle="1" w:styleId="ListTable2-Accent11">
    <w:name w:val="List Table 2 - Accent 11"/>
    <w:basedOn w:val="TableNormal"/>
    <w:next w:val="ListTable2-Accent1"/>
    <w:uiPriority w:val="47"/>
    <w:rsid w:val="00EF1D74"/>
    <w:rPr>
      <w:rFonts w:ascii="Calibri" w:hAnsi="Calibri"/>
      <w:sz w:val="22"/>
      <w:szCs w:val="22"/>
      <w:lang w:eastAsia="en-US"/>
    </w:rPr>
    <w:tblPr>
      <w:tblStyleRowBandSize w:val="1"/>
      <w:tblStyleColBandSize w:val="1"/>
      <w:tblBorders>
        <w:top w:val="single" w:sz="4" w:space="0" w:color="9CC2E5"/>
        <w:bottom w:val="single" w:sz="4" w:space="0" w:color="9CC2E5"/>
        <w:insideH w:val="single" w:sz="4" w:space="0" w:color="9CC2E5"/>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paragraph" w:customStyle="1" w:styleId="Default">
    <w:name w:val="Default"/>
    <w:rsid w:val="00EF1D74"/>
    <w:pPr>
      <w:autoSpaceDE w:val="0"/>
      <w:autoSpaceDN w:val="0"/>
      <w:adjustRightInd w:val="0"/>
      <w:spacing w:before="120" w:after="120"/>
      <w:ind w:left="284" w:firstLine="720"/>
      <w:jc w:val="both"/>
    </w:pPr>
    <w:rPr>
      <w:color w:val="000000"/>
      <w:sz w:val="24"/>
      <w:szCs w:val="24"/>
    </w:rPr>
  </w:style>
  <w:style w:type="paragraph" w:customStyle="1" w:styleId="footnotetex1">
    <w:name w:val="footnote tex1"/>
    <w:basedOn w:val="Normal"/>
    <w:next w:val="FootnoteText"/>
    <w:unhideWhenUsed/>
    <w:qFormat/>
    <w:rsid w:val="00EF1D74"/>
    <w:pPr>
      <w:spacing w:after="0"/>
      <w:ind w:firstLine="0"/>
      <w:jc w:val="left"/>
    </w:pPr>
    <w:rPr>
      <w:rFonts w:eastAsia="Calibri"/>
      <w:sz w:val="20"/>
    </w:rPr>
  </w:style>
  <w:style w:type="paragraph" w:customStyle="1" w:styleId="Style3">
    <w:name w:val="Style3"/>
    <w:basedOn w:val="Heading3"/>
    <w:link w:val="Style3Char"/>
    <w:qFormat/>
    <w:rsid w:val="00EF1D74"/>
    <w:pPr>
      <w:spacing w:before="200" w:line="259" w:lineRule="auto"/>
      <w:ind w:firstLine="0"/>
      <w:jc w:val="center"/>
    </w:pPr>
    <w:rPr>
      <w:b/>
      <w:bCs/>
      <w:sz w:val="28"/>
      <w:szCs w:val="32"/>
    </w:rPr>
  </w:style>
  <w:style w:type="character" w:customStyle="1" w:styleId="Style3Char">
    <w:name w:val="Style3 Char"/>
    <w:basedOn w:val="Heading3Char"/>
    <w:link w:val="Style3"/>
    <w:rsid w:val="00EF1D74"/>
    <w:rPr>
      <w:rFonts w:asciiTheme="majorHAnsi" w:eastAsiaTheme="majorEastAsia" w:hAnsiTheme="majorHAnsi" w:cstheme="majorBidi"/>
      <w:b/>
      <w:bCs/>
      <w:color w:val="243F60" w:themeColor="accent1" w:themeShade="7F"/>
      <w:sz w:val="28"/>
      <w:szCs w:val="32"/>
      <w:lang w:eastAsia="en-US"/>
    </w:rPr>
  </w:style>
  <w:style w:type="table" w:customStyle="1" w:styleId="TableGrid2">
    <w:name w:val="Table Grid2"/>
    <w:basedOn w:val="TableNormal"/>
    <w:next w:val="TableGrid"/>
    <w:uiPriority w:val="39"/>
    <w:rsid w:val="00EF1D74"/>
    <w:rPr>
      <w:rFonts w:eastAsia="Calibri"/>
      <w:sz w:val="24"/>
      <w:szCs w:val="24"/>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FFFFFF"/>
    </w:tcPr>
  </w:style>
  <w:style w:type="table" w:customStyle="1" w:styleId="ListTable2-Accent111">
    <w:name w:val="List Table 2 - Accent 111"/>
    <w:basedOn w:val="TableNormal"/>
    <w:next w:val="ListTable2-Accent1"/>
    <w:uiPriority w:val="47"/>
    <w:rsid w:val="00EF1D74"/>
    <w:rPr>
      <w:rFonts w:ascii="Calibri" w:hAnsi="Calibri"/>
      <w:sz w:val="22"/>
      <w:szCs w:val="22"/>
      <w:lang w:eastAsia="en-US"/>
    </w:rPr>
    <w:tblPr>
      <w:tblStyleRowBandSize w:val="1"/>
      <w:tblStyleColBandSize w:val="1"/>
      <w:tblBorders>
        <w:top w:val="single" w:sz="4" w:space="0" w:color="9CC2E5"/>
        <w:bottom w:val="single" w:sz="4" w:space="0" w:color="9CC2E5"/>
        <w:insideH w:val="single" w:sz="4" w:space="0" w:color="9CC2E5"/>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ghtList-Accent1">
    <w:name w:val="Light List Accent 1"/>
    <w:basedOn w:val="TableNormal"/>
    <w:uiPriority w:val="61"/>
    <w:semiHidden/>
    <w:unhideWhenUsed/>
    <w:rsid w:val="00EF1D74"/>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stTable2-Accent1">
    <w:name w:val="List Table 2 Accent 1"/>
    <w:basedOn w:val="TableNormal"/>
    <w:uiPriority w:val="47"/>
    <w:rsid w:val="00EF1D74"/>
    <w:tblPr>
      <w:tblStyleRowBandSize w:val="1"/>
      <w:tblStyleColBandSize w:val="1"/>
      <w:tblBorders>
        <w:top w:val="single" w:sz="4" w:space="0" w:color="95B3D7" w:themeColor="accent1" w:themeTint="99"/>
        <w:bottom w:val="single" w:sz="4" w:space="0" w:color="95B3D7" w:themeColor="accent1" w:themeTint="99"/>
        <w:insideH w:val="single" w:sz="4" w:space="0" w:color="95B3D7"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paragraph" w:customStyle="1" w:styleId="Tabulasvirsraksts">
    <w:name w:val="Tabulas virsraksts"/>
    <w:basedOn w:val="Normal"/>
    <w:link w:val="TabulasvirsrakstsChar"/>
    <w:qFormat/>
    <w:rsid w:val="00537EDC"/>
    <w:pPr>
      <w:spacing w:before="240" w:after="240" w:line="259" w:lineRule="auto"/>
      <w:ind w:firstLine="0"/>
      <w:jc w:val="center"/>
    </w:pPr>
    <w:rPr>
      <w:rFonts w:eastAsiaTheme="minorHAnsi"/>
      <w:b/>
      <w:szCs w:val="24"/>
    </w:rPr>
  </w:style>
  <w:style w:type="character" w:customStyle="1" w:styleId="TabulasvirsrakstsChar">
    <w:name w:val="Tabulas virsraksts Char"/>
    <w:basedOn w:val="DefaultParagraphFont"/>
    <w:link w:val="Tabulasvirsraksts"/>
    <w:rsid w:val="00537EDC"/>
    <w:rPr>
      <w:rFonts w:eastAsiaTheme="minorHAnsi"/>
      <w:b/>
      <w:sz w:val="24"/>
      <w:szCs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3133556">
      <w:bodyDiv w:val="1"/>
      <w:marLeft w:val="0"/>
      <w:marRight w:val="0"/>
      <w:marTop w:val="0"/>
      <w:marBottom w:val="0"/>
      <w:divBdr>
        <w:top w:val="none" w:sz="0" w:space="0" w:color="auto"/>
        <w:left w:val="none" w:sz="0" w:space="0" w:color="auto"/>
        <w:bottom w:val="none" w:sz="0" w:space="0" w:color="auto"/>
        <w:right w:val="none" w:sz="0" w:space="0" w:color="auto"/>
      </w:divBdr>
    </w:div>
    <w:div w:id="135337847">
      <w:bodyDiv w:val="1"/>
      <w:marLeft w:val="0"/>
      <w:marRight w:val="0"/>
      <w:marTop w:val="0"/>
      <w:marBottom w:val="0"/>
      <w:divBdr>
        <w:top w:val="none" w:sz="0" w:space="0" w:color="auto"/>
        <w:left w:val="none" w:sz="0" w:space="0" w:color="auto"/>
        <w:bottom w:val="none" w:sz="0" w:space="0" w:color="auto"/>
        <w:right w:val="none" w:sz="0" w:space="0" w:color="auto"/>
      </w:divBdr>
    </w:div>
    <w:div w:id="138884154">
      <w:bodyDiv w:val="1"/>
      <w:marLeft w:val="0"/>
      <w:marRight w:val="0"/>
      <w:marTop w:val="0"/>
      <w:marBottom w:val="0"/>
      <w:divBdr>
        <w:top w:val="none" w:sz="0" w:space="0" w:color="auto"/>
        <w:left w:val="none" w:sz="0" w:space="0" w:color="auto"/>
        <w:bottom w:val="none" w:sz="0" w:space="0" w:color="auto"/>
        <w:right w:val="none" w:sz="0" w:space="0" w:color="auto"/>
      </w:divBdr>
    </w:div>
    <w:div w:id="262883669">
      <w:bodyDiv w:val="1"/>
      <w:marLeft w:val="0"/>
      <w:marRight w:val="0"/>
      <w:marTop w:val="0"/>
      <w:marBottom w:val="0"/>
      <w:divBdr>
        <w:top w:val="none" w:sz="0" w:space="0" w:color="auto"/>
        <w:left w:val="none" w:sz="0" w:space="0" w:color="auto"/>
        <w:bottom w:val="none" w:sz="0" w:space="0" w:color="auto"/>
        <w:right w:val="none" w:sz="0" w:space="0" w:color="auto"/>
      </w:divBdr>
    </w:div>
    <w:div w:id="351037250">
      <w:bodyDiv w:val="1"/>
      <w:marLeft w:val="0"/>
      <w:marRight w:val="0"/>
      <w:marTop w:val="0"/>
      <w:marBottom w:val="0"/>
      <w:divBdr>
        <w:top w:val="none" w:sz="0" w:space="0" w:color="auto"/>
        <w:left w:val="none" w:sz="0" w:space="0" w:color="auto"/>
        <w:bottom w:val="none" w:sz="0" w:space="0" w:color="auto"/>
        <w:right w:val="none" w:sz="0" w:space="0" w:color="auto"/>
      </w:divBdr>
    </w:div>
    <w:div w:id="405107043">
      <w:bodyDiv w:val="1"/>
      <w:marLeft w:val="0"/>
      <w:marRight w:val="0"/>
      <w:marTop w:val="0"/>
      <w:marBottom w:val="0"/>
      <w:divBdr>
        <w:top w:val="none" w:sz="0" w:space="0" w:color="auto"/>
        <w:left w:val="none" w:sz="0" w:space="0" w:color="auto"/>
        <w:bottom w:val="none" w:sz="0" w:space="0" w:color="auto"/>
        <w:right w:val="none" w:sz="0" w:space="0" w:color="auto"/>
      </w:divBdr>
    </w:div>
    <w:div w:id="420377936">
      <w:bodyDiv w:val="1"/>
      <w:marLeft w:val="0"/>
      <w:marRight w:val="0"/>
      <w:marTop w:val="0"/>
      <w:marBottom w:val="0"/>
      <w:divBdr>
        <w:top w:val="none" w:sz="0" w:space="0" w:color="auto"/>
        <w:left w:val="none" w:sz="0" w:space="0" w:color="auto"/>
        <w:bottom w:val="none" w:sz="0" w:space="0" w:color="auto"/>
        <w:right w:val="none" w:sz="0" w:space="0" w:color="auto"/>
      </w:divBdr>
    </w:div>
    <w:div w:id="430903372">
      <w:bodyDiv w:val="1"/>
      <w:marLeft w:val="0"/>
      <w:marRight w:val="0"/>
      <w:marTop w:val="0"/>
      <w:marBottom w:val="0"/>
      <w:divBdr>
        <w:top w:val="none" w:sz="0" w:space="0" w:color="auto"/>
        <w:left w:val="none" w:sz="0" w:space="0" w:color="auto"/>
        <w:bottom w:val="none" w:sz="0" w:space="0" w:color="auto"/>
        <w:right w:val="none" w:sz="0" w:space="0" w:color="auto"/>
      </w:divBdr>
    </w:div>
    <w:div w:id="475336791">
      <w:bodyDiv w:val="1"/>
      <w:marLeft w:val="0"/>
      <w:marRight w:val="0"/>
      <w:marTop w:val="0"/>
      <w:marBottom w:val="0"/>
      <w:divBdr>
        <w:top w:val="none" w:sz="0" w:space="0" w:color="auto"/>
        <w:left w:val="none" w:sz="0" w:space="0" w:color="auto"/>
        <w:bottom w:val="none" w:sz="0" w:space="0" w:color="auto"/>
        <w:right w:val="none" w:sz="0" w:space="0" w:color="auto"/>
      </w:divBdr>
    </w:div>
    <w:div w:id="505167166">
      <w:bodyDiv w:val="1"/>
      <w:marLeft w:val="0"/>
      <w:marRight w:val="0"/>
      <w:marTop w:val="0"/>
      <w:marBottom w:val="0"/>
      <w:divBdr>
        <w:top w:val="none" w:sz="0" w:space="0" w:color="auto"/>
        <w:left w:val="none" w:sz="0" w:space="0" w:color="auto"/>
        <w:bottom w:val="none" w:sz="0" w:space="0" w:color="auto"/>
        <w:right w:val="none" w:sz="0" w:space="0" w:color="auto"/>
      </w:divBdr>
    </w:div>
    <w:div w:id="533232111">
      <w:bodyDiv w:val="1"/>
      <w:marLeft w:val="0"/>
      <w:marRight w:val="0"/>
      <w:marTop w:val="0"/>
      <w:marBottom w:val="0"/>
      <w:divBdr>
        <w:top w:val="none" w:sz="0" w:space="0" w:color="auto"/>
        <w:left w:val="none" w:sz="0" w:space="0" w:color="auto"/>
        <w:bottom w:val="none" w:sz="0" w:space="0" w:color="auto"/>
        <w:right w:val="none" w:sz="0" w:space="0" w:color="auto"/>
      </w:divBdr>
    </w:div>
    <w:div w:id="552162225">
      <w:bodyDiv w:val="1"/>
      <w:marLeft w:val="0"/>
      <w:marRight w:val="0"/>
      <w:marTop w:val="0"/>
      <w:marBottom w:val="0"/>
      <w:divBdr>
        <w:top w:val="none" w:sz="0" w:space="0" w:color="auto"/>
        <w:left w:val="none" w:sz="0" w:space="0" w:color="auto"/>
        <w:bottom w:val="none" w:sz="0" w:space="0" w:color="auto"/>
        <w:right w:val="none" w:sz="0" w:space="0" w:color="auto"/>
      </w:divBdr>
    </w:div>
    <w:div w:id="767309626">
      <w:bodyDiv w:val="1"/>
      <w:marLeft w:val="0"/>
      <w:marRight w:val="0"/>
      <w:marTop w:val="0"/>
      <w:marBottom w:val="0"/>
      <w:divBdr>
        <w:top w:val="none" w:sz="0" w:space="0" w:color="auto"/>
        <w:left w:val="none" w:sz="0" w:space="0" w:color="auto"/>
        <w:bottom w:val="none" w:sz="0" w:space="0" w:color="auto"/>
        <w:right w:val="none" w:sz="0" w:space="0" w:color="auto"/>
      </w:divBdr>
    </w:div>
    <w:div w:id="780418143">
      <w:bodyDiv w:val="1"/>
      <w:marLeft w:val="0"/>
      <w:marRight w:val="0"/>
      <w:marTop w:val="0"/>
      <w:marBottom w:val="0"/>
      <w:divBdr>
        <w:top w:val="none" w:sz="0" w:space="0" w:color="auto"/>
        <w:left w:val="none" w:sz="0" w:space="0" w:color="auto"/>
        <w:bottom w:val="none" w:sz="0" w:space="0" w:color="auto"/>
        <w:right w:val="none" w:sz="0" w:space="0" w:color="auto"/>
      </w:divBdr>
    </w:div>
    <w:div w:id="811293612">
      <w:bodyDiv w:val="1"/>
      <w:marLeft w:val="0"/>
      <w:marRight w:val="0"/>
      <w:marTop w:val="0"/>
      <w:marBottom w:val="0"/>
      <w:divBdr>
        <w:top w:val="none" w:sz="0" w:space="0" w:color="auto"/>
        <w:left w:val="none" w:sz="0" w:space="0" w:color="auto"/>
        <w:bottom w:val="none" w:sz="0" w:space="0" w:color="auto"/>
        <w:right w:val="none" w:sz="0" w:space="0" w:color="auto"/>
      </w:divBdr>
    </w:div>
    <w:div w:id="910968073">
      <w:bodyDiv w:val="1"/>
      <w:marLeft w:val="0"/>
      <w:marRight w:val="0"/>
      <w:marTop w:val="0"/>
      <w:marBottom w:val="0"/>
      <w:divBdr>
        <w:top w:val="none" w:sz="0" w:space="0" w:color="auto"/>
        <w:left w:val="none" w:sz="0" w:space="0" w:color="auto"/>
        <w:bottom w:val="none" w:sz="0" w:space="0" w:color="auto"/>
        <w:right w:val="none" w:sz="0" w:space="0" w:color="auto"/>
      </w:divBdr>
    </w:div>
    <w:div w:id="912086294">
      <w:bodyDiv w:val="1"/>
      <w:marLeft w:val="0"/>
      <w:marRight w:val="0"/>
      <w:marTop w:val="0"/>
      <w:marBottom w:val="0"/>
      <w:divBdr>
        <w:top w:val="none" w:sz="0" w:space="0" w:color="auto"/>
        <w:left w:val="none" w:sz="0" w:space="0" w:color="auto"/>
        <w:bottom w:val="none" w:sz="0" w:space="0" w:color="auto"/>
        <w:right w:val="none" w:sz="0" w:space="0" w:color="auto"/>
      </w:divBdr>
    </w:div>
    <w:div w:id="973484375">
      <w:bodyDiv w:val="1"/>
      <w:marLeft w:val="0"/>
      <w:marRight w:val="0"/>
      <w:marTop w:val="0"/>
      <w:marBottom w:val="0"/>
      <w:divBdr>
        <w:top w:val="none" w:sz="0" w:space="0" w:color="auto"/>
        <w:left w:val="none" w:sz="0" w:space="0" w:color="auto"/>
        <w:bottom w:val="none" w:sz="0" w:space="0" w:color="auto"/>
        <w:right w:val="none" w:sz="0" w:space="0" w:color="auto"/>
      </w:divBdr>
    </w:div>
    <w:div w:id="977295454">
      <w:bodyDiv w:val="1"/>
      <w:marLeft w:val="0"/>
      <w:marRight w:val="0"/>
      <w:marTop w:val="0"/>
      <w:marBottom w:val="0"/>
      <w:divBdr>
        <w:top w:val="none" w:sz="0" w:space="0" w:color="auto"/>
        <w:left w:val="none" w:sz="0" w:space="0" w:color="auto"/>
        <w:bottom w:val="none" w:sz="0" w:space="0" w:color="auto"/>
        <w:right w:val="none" w:sz="0" w:space="0" w:color="auto"/>
      </w:divBdr>
    </w:div>
    <w:div w:id="980309391">
      <w:bodyDiv w:val="1"/>
      <w:marLeft w:val="0"/>
      <w:marRight w:val="0"/>
      <w:marTop w:val="0"/>
      <w:marBottom w:val="0"/>
      <w:divBdr>
        <w:top w:val="none" w:sz="0" w:space="0" w:color="auto"/>
        <w:left w:val="none" w:sz="0" w:space="0" w:color="auto"/>
        <w:bottom w:val="none" w:sz="0" w:space="0" w:color="auto"/>
        <w:right w:val="none" w:sz="0" w:space="0" w:color="auto"/>
      </w:divBdr>
    </w:div>
    <w:div w:id="988830195">
      <w:bodyDiv w:val="1"/>
      <w:marLeft w:val="0"/>
      <w:marRight w:val="0"/>
      <w:marTop w:val="0"/>
      <w:marBottom w:val="0"/>
      <w:divBdr>
        <w:top w:val="none" w:sz="0" w:space="0" w:color="auto"/>
        <w:left w:val="none" w:sz="0" w:space="0" w:color="auto"/>
        <w:bottom w:val="none" w:sz="0" w:space="0" w:color="auto"/>
        <w:right w:val="none" w:sz="0" w:space="0" w:color="auto"/>
      </w:divBdr>
    </w:div>
    <w:div w:id="997153122">
      <w:bodyDiv w:val="1"/>
      <w:marLeft w:val="0"/>
      <w:marRight w:val="0"/>
      <w:marTop w:val="0"/>
      <w:marBottom w:val="0"/>
      <w:divBdr>
        <w:top w:val="none" w:sz="0" w:space="0" w:color="auto"/>
        <w:left w:val="none" w:sz="0" w:space="0" w:color="auto"/>
        <w:bottom w:val="none" w:sz="0" w:space="0" w:color="auto"/>
        <w:right w:val="none" w:sz="0" w:space="0" w:color="auto"/>
      </w:divBdr>
    </w:div>
    <w:div w:id="1006982210">
      <w:bodyDiv w:val="1"/>
      <w:marLeft w:val="0"/>
      <w:marRight w:val="0"/>
      <w:marTop w:val="0"/>
      <w:marBottom w:val="0"/>
      <w:divBdr>
        <w:top w:val="none" w:sz="0" w:space="0" w:color="auto"/>
        <w:left w:val="none" w:sz="0" w:space="0" w:color="auto"/>
        <w:bottom w:val="none" w:sz="0" w:space="0" w:color="auto"/>
        <w:right w:val="none" w:sz="0" w:space="0" w:color="auto"/>
      </w:divBdr>
    </w:div>
    <w:div w:id="1011644879">
      <w:bodyDiv w:val="1"/>
      <w:marLeft w:val="0"/>
      <w:marRight w:val="0"/>
      <w:marTop w:val="0"/>
      <w:marBottom w:val="0"/>
      <w:divBdr>
        <w:top w:val="none" w:sz="0" w:space="0" w:color="auto"/>
        <w:left w:val="none" w:sz="0" w:space="0" w:color="auto"/>
        <w:bottom w:val="none" w:sz="0" w:space="0" w:color="auto"/>
        <w:right w:val="none" w:sz="0" w:space="0" w:color="auto"/>
      </w:divBdr>
    </w:div>
    <w:div w:id="1078674701">
      <w:bodyDiv w:val="1"/>
      <w:marLeft w:val="0"/>
      <w:marRight w:val="0"/>
      <w:marTop w:val="0"/>
      <w:marBottom w:val="0"/>
      <w:divBdr>
        <w:top w:val="none" w:sz="0" w:space="0" w:color="auto"/>
        <w:left w:val="none" w:sz="0" w:space="0" w:color="auto"/>
        <w:bottom w:val="none" w:sz="0" w:space="0" w:color="auto"/>
        <w:right w:val="none" w:sz="0" w:space="0" w:color="auto"/>
      </w:divBdr>
    </w:div>
    <w:div w:id="1115976285">
      <w:bodyDiv w:val="1"/>
      <w:marLeft w:val="0"/>
      <w:marRight w:val="0"/>
      <w:marTop w:val="0"/>
      <w:marBottom w:val="0"/>
      <w:divBdr>
        <w:top w:val="none" w:sz="0" w:space="0" w:color="auto"/>
        <w:left w:val="none" w:sz="0" w:space="0" w:color="auto"/>
        <w:bottom w:val="none" w:sz="0" w:space="0" w:color="auto"/>
        <w:right w:val="none" w:sz="0" w:space="0" w:color="auto"/>
      </w:divBdr>
    </w:div>
    <w:div w:id="1211962919">
      <w:bodyDiv w:val="1"/>
      <w:marLeft w:val="0"/>
      <w:marRight w:val="0"/>
      <w:marTop w:val="0"/>
      <w:marBottom w:val="0"/>
      <w:divBdr>
        <w:top w:val="none" w:sz="0" w:space="0" w:color="auto"/>
        <w:left w:val="none" w:sz="0" w:space="0" w:color="auto"/>
        <w:bottom w:val="none" w:sz="0" w:space="0" w:color="auto"/>
        <w:right w:val="none" w:sz="0" w:space="0" w:color="auto"/>
      </w:divBdr>
    </w:div>
    <w:div w:id="1219510770">
      <w:bodyDiv w:val="1"/>
      <w:marLeft w:val="0"/>
      <w:marRight w:val="0"/>
      <w:marTop w:val="0"/>
      <w:marBottom w:val="0"/>
      <w:divBdr>
        <w:top w:val="none" w:sz="0" w:space="0" w:color="auto"/>
        <w:left w:val="none" w:sz="0" w:space="0" w:color="auto"/>
        <w:bottom w:val="none" w:sz="0" w:space="0" w:color="auto"/>
        <w:right w:val="none" w:sz="0" w:space="0" w:color="auto"/>
      </w:divBdr>
    </w:div>
    <w:div w:id="1292325838">
      <w:bodyDiv w:val="1"/>
      <w:marLeft w:val="0"/>
      <w:marRight w:val="0"/>
      <w:marTop w:val="0"/>
      <w:marBottom w:val="0"/>
      <w:divBdr>
        <w:top w:val="none" w:sz="0" w:space="0" w:color="auto"/>
        <w:left w:val="none" w:sz="0" w:space="0" w:color="auto"/>
        <w:bottom w:val="none" w:sz="0" w:space="0" w:color="auto"/>
        <w:right w:val="none" w:sz="0" w:space="0" w:color="auto"/>
      </w:divBdr>
    </w:div>
    <w:div w:id="1318606789">
      <w:bodyDiv w:val="1"/>
      <w:marLeft w:val="0"/>
      <w:marRight w:val="0"/>
      <w:marTop w:val="0"/>
      <w:marBottom w:val="0"/>
      <w:divBdr>
        <w:top w:val="none" w:sz="0" w:space="0" w:color="auto"/>
        <w:left w:val="none" w:sz="0" w:space="0" w:color="auto"/>
        <w:bottom w:val="none" w:sz="0" w:space="0" w:color="auto"/>
        <w:right w:val="none" w:sz="0" w:space="0" w:color="auto"/>
      </w:divBdr>
    </w:div>
    <w:div w:id="1354577367">
      <w:bodyDiv w:val="1"/>
      <w:marLeft w:val="0"/>
      <w:marRight w:val="0"/>
      <w:marTop w:val="0"/>
      <w:marBottom w:val="0"/>
      <w:divBdr>
        <w:top w:val="none" w:sz="0" w:space="0" w:color="auto"/>
        <w:left w:val="none" w:sz="0" w:space="0" w:color="auto"/>
        <w:bottom w:val="none" w:sz="0" w:space="0" w:color="auto"/>
        <w:right w:val="none" w:sz="0" w:space="0" w:color="auto"/>
      </w:divBdr>
    </w:div>
    <w:div w:id="1665283794">
      <w:bodyDiv w:val="1"/>
      <w:marLeft w:val="0"/>
      <w:marRight w:val="0"/>
      <w:marTop w:val="0"/>
      <w:marBottom w:val="0"/>
      <w:divBdr>
        <w:top w:val="none" w:sz="0" w:space="0" w:color="auto"/>
        <w:left w:val="none" w:sz="0" w:space="0" w:color="auto"/>
        <w:bottom w:val="none" w:sz="0" w:space="0" w:color="auto"/>
        <w:right w:val="none" w:sz="0" w:space="0" w:color="auto"/>
      </w:divBdr>
    </w:div>
    <w:div w:id="1678533496">
      <w:bodyDiv w:val="1"/>
      <w:marLeft w:val="0"/>
      <w:marRight w:val="0"/>
      <w:marTop w:val="0"/>
      <w:marBottom w:val="0"/>
      <w:divBdr>
        <w:top w:val="none" w:sz="0" w:space="0" w:color="auto"/>
        <w:left w:val="none" w:sz="0" w:space="0" w:color="auto"/>
        <w:bottom w:val="none" w:sz="0" w:space="0" w:color="auto"/>
        <w:right w:val="none" w:sz="0" w:space="0" w:color="auto"/>
      </w:divBdr>
    </w:div>
    <w:div w:id="1986660274">
      <w:bodyDiv w:val="1"/>
      <w:marLeft w:val="0"/>
      <w:marRight w:val="0"/>
      <w:marTop w:val="0"/>
      <w:marBottom w:val="0"/>
      <w:divBdr>
        <w:top w:val="none" w:sz="0" w:space="0" w:color="auto"/>
        <w:left w:val="none" w:sz="0" w:space="0" w:color="auto"/>
        <w:bottom w:val="none" w:sz="0" w:space="0" w:color="auto"/>
        <w:right w:val="none" w:sz="0" w:space="0" w:color="auto"/>
      </w:divBdr>
    </w:div>
    <w:div w:id="2006081695">
      <w:bodyDiv w:val="1"/>
      <w:marLeft w:val="0"/>
      <w:marRight w:val="0"/>
      <w:marTop w:val="0"/>
      <w:marBottom w:val="0"/>
      <w:divBdr>
        <w:top w:val="none" w:sz="0" w:space="0" w:color="auto"/>
        <w:left w:val="none" w:sz="0" w:space="0" w:color="auto"/>
        <w:bottom w:val="none" w:sz="0" w:space="0" w:color="auto"/>
        <w:right w:val="none" w:sz="0" w:space="0" w:color="auto"/>
      </w:divBdr>
    </w:div>
    <w:div w:id="2135560164">
      <w:bodyDiv w:val="1"/>
      <w:marLeft w:val="0"/>
      <w:marRight w:val="0"/>
      <w:marTop w:val="0"/>
      <w:marBottom w:val="0"/>
      <w:divBdr>
        <w:top w:val="none" w:sz="0" w:space="0" w:color="auto"/>
        <w:left w:val="none" w:sz="0" w:space="0" w:color="auto"/>
        <w:bottom w:val="none" w:sz="0" w:space="0" w:color="auto"/>
        <w:right w:val="none" w:sz="0" w:space="0" w:color="auto"/>
      </w:divBdr>
    </w:div>
    <w:div w:id="21364123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chart" Target="charts/chart6.xml"/><Relationship Id="rId18" Type="http://schemas.openxmlformats.org/officeDocument/2006/relationships/chart" Target="charts/chart11.xml"/><Relationship Id="rId26" Type="http://schemas.openxmlformats.org/officeDocument/2006/relationships/chart" Target="charts/chart19.xml"/><Relationship Id="rId39" Type="http://schemas.openxmlformats.org/officeDocument/2006/relationships/chart" Target="charts/chart32.xml"/><Relationship Id="rId21" Type="http://schemas.openxmlformats.org/officeDocument/2006/relationships/chart" Target="charts/chart14.xml"/><Relationship Id="rId34" Type="http://schemas.openxmlformats.org/officeDocument/2006/relationships/chart" Target="charts/chart27.xml"/><Relationship Id="rId42" Type="http://schemas.openxmlformats.org/officeDocument/2006/relationships/chart" Target="charts/chart35.xml"/><Relationship Id="rId47" Type="http://schemas.openxmlformats.org/officeDocument/2006/relationships/chart" Target="charts/chart40.xml"/><Relationship Id="rId50" Type="http://schemas.openxmlformats.org/officeDocument/2006/relationships/chart" Target="charts/chart43.xml"/><Relationship Id="rId55" Type="http://schemas.openxmlformats.org/officeDocument/2006/relationships/footer" Target="footer2.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chart" Target="charts/chart9.xml"/><Relationship Id="rId29" Type="http://schemas.openxmlformats.org/officeDocument/2006/relationships/chart" Target="charts/chart22.xml"/><Relationship Id="rId11" Type="http://schemas.openxmlformats.org/officeDocument/2006/relationships/chart" Target="charts/chart4.xml"/><Relationship Id="rId24" Type="http://schemas.openxmlformats.org/officeDocument/2006/relationships/chart" Target="charts/chart17.xml"/><Relationship Id="rId32" Type="http://schemas.openxmlformats.org/officeDocument/2006/relationships/chart" Target="charts/chart25.xml"/><Relationship Id="rId37" Type="http://schemas.openxmlformats.org/officeDocument/2006/relationships/chart" Target="charts/chart30.xml"/><Relationship Id="rId40" Type="http://schemas.openxmlformats.org/officeDocument/2006/relationships/chart" Target="charts/chart33.xml"/><Relationship Id="rId45" Type="http://schemas.openxmlformats.org/officeDocument/2006/relationships/chart" Target="charts/chart38.xml"/><Relationship Id="rId53" Type="http://schemas.openxmlformats.org/officeDocument/2006/relationships/header" Target="header2.xml"/><Relationship Id="rId5" Type="http://schemas.openxmlformats.org/officeDocument/2006/relationships/webSettings" Target="webSettings.xml"/><Relationship Id="rId19" Type="http://schemas.openxmlformats.org/officeDocument/2006/relationships/chart" Target="charts/chart12.xml"/><Relationship Id="rId4" Type="http://schemas.openxmlformats.org/officeDocument/2006/relationships/settings" Target="settings.xml"/><Relationship Id="rId9" Type="http://schemas.openxmlformats.org/officeDocument/2006/relationships/chart" Target="charts/chart2.xml"/><Relationship Id="rId14" Type="http://schemas.openxmlformats.org/officeDocument/2006/relationships/chart" Target="charts/chart7.xml"/><Relationship Id="rId22" Type="http://schemas.openxmlformats.org/officeDocument/2006/relationships/chart" Target="charts/chart15.xml"/><Relationship Id="rId27" Type="http://schemas.openxmlformats.org/officeDocument/2006/relationships/chart" Target="charts/chart20.xml"/><Relationship Id="rId30" Type="http://schemas.openxmlformats.org/officeDocument/2006/relationships/chart" Target="charts/chart23.xml"/><Relationship Id="rId35" Type="http://schemas.openxmlformats.org/officeDocument/2006/relationships/chart" Target="charts/chart28.xml"/><Relationship Id="rId43" Type="http://schemas.openxmlformats.org/officeDocument/2006/relationships/chart" Target="charts/chart36.xml"/><Relationship Id="rId48" Type="http://schemas.openxmlformats.org/officeDocument/2006/relationships/chart" Target="charts/chart41.xml"/><Relationship Id="rId56" Type="http://schemas.openxmlformats.org/officeDocument/2006/relationships/fontTable" Target="fontTable.xml"/><Relationship Id="rId8" Type="http://schemas.openxmlformats.org/officeDocument/2006/relationships/chart" Target="charts/chart1.xml"/><Relationship Id="rId51" Type="http://schemas.openxmlformats.org/officeDocument/2006/relationships/chart" Target="charts/chart44.xml"/><Relationship Id="rId3" Type="http://schemas.openxmlformats.org/officeDocument/2006/relationships/styles" Target="styles.xml"/><Relationship Id="rId12" Type="http://schemas.openxmlformats.org/officeDocument/2006/relationships/chart" Target="charts/chart5.xml"/><Relationship Id="rId17" Type="http://schemas.openxmlformats.org/officeDocument/2006/relationships/chart" Target="charts/chart10.xml"/><Relationship Id="rId25" Type="http://schemas.openxmlformats.org/officeDocument/2006/relationships/chart" Target="charts/chart18.xml"/><Relationship Id="rId33" Type="http://schemas.openxmlformats.org/officeDocument/2006/relationships/chart" Target="charts/chart26.xml"/><Relationship Id="rId38" Type="http://schemas.openxmlformats.org/officeDocument/2006/relationships/chart" Target="charts/chart31.xml"/><Relationship Id="rId46" Type="http://schemas.openxmlformats.org/officeDocument/2006/relationships/chart" Target="charts/chart39.xml"/><Relationship Id="rId20" Type="http://schemas.openxmlformats.org/officeDocument/2006/relationships/chart" Target="charts/chart13.xml"/><Relationship Id="rId41" Type="http://schemas.openxmlformats.org/officeDocument/2006/relationships/chart" Target="charts/chart34.xml"/><Relationship Id="rId54"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chart" Target="charts/chart8.xml"/><Relationship Id="rId23" Type="http://schemas.openxmlformats.org/officeDocument/2006/relationships/chart" Target="charts/chart16.xml"/><Relationship Id="rId28" Type="http://schemas.openxmlformats.org/officeDocument/2006/relationships/chart" Target="charts/chart21.xml"/><Relationship Id="rId36" Type="http://schemas.openxmlformats.org/officeDocument/2006/relationships/chart" Target="charts/chart29.xml"/><Relationship Id="rId49" Type="http://schemas.openxmlformats.org/officeDocument/2006/relationships/chart" Target="charts/chart42.xml"/><Relationship Id="rId57" Type="http://schemas.openxmlformats.org/officeDocument/2006/relationships/theme" Target="theme/theme1.xml"/><Relationship Id="rId10" Type="http://schemas.openxmlformats.org/officeDocument/2006/relationships/chart" Target="charts/chart3.xml"/><Relationship Id="rId31" Type="http://schemas.openxmlformats.org/officeDocument/2006/relationships/chart" Target="charts/chart24.xml"/><Relationship Id="rId44" Type="http://schemas.openxmlformats.org/officeDocument/2006/relationships/chart" Target="charts/chart37.xml"/><Relationship Id="rId52"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Ministrija\dokuments_Ministru_kabinetam.dot"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file:///\\fk\tand\TAND\Ieva%20Veja\bud&#382;eta%20paskaidrojumi\2022\IKP\ikp_.xlsx" TargetMode="External"/><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3" Type="http://schemas.openxmlformats.org/officeDocument/2006/relationships/themeOverride" Target="../theme/themeOverride4.xml"/><Relationship Id="rId2" Type="http://schemas.microsoft.com/office/2011/relationships/chartColorStyle" Target="colors9.xml"/><Relationship Id="rId1" Type="http://schemas.microsoft.com/office/2011/relationships/chartStyle" Target="style9.xml"/><Relationship Id="rId4" Type="http://schemas.openxmlformats.org/officeDocument/2006/relationships/package" Target="../embeddings/Microsoft_Excel_Worksheet3.xlsx"/></Relationships>
</file>

<file path=word/charts/_rels/chart11.xml.rels><?xml version="1.0" encoding="UTF-8" standalone="yes"?>
<Relationships xmlns="http://schemas.openxmlformats.org/package/2006/relationships"><Relationship Id="rId3" Type="http://schemas.openxmlformats.org/officeDocument/2006/relationships/themeOverride" Target="../theme/themeOverride5.xml"/><Relationship Id="rId2" Type="http://schemas.microsoft.com/office/2011/relationships/chartColorStyle" Target="colors10.xml"/><Relationship Id="rId1" Type="http://schemas.microsoft.com/office/2011/relationships/chartStyle" Target="style10.xml"/><Relationship Id="rId4" Type="http://schemas.openxmlformats.org/officeDocument/2006/relationships/package" Target="../embeddings/Microsoft_Excel_Worksheet4.xlsx"/></Relationships>
</file>

<file path=word/charts/_rels/chart12.xml.rels><?xml version="1.0" encoding="UTF-8" standalone="yes"?>
<Relationships xmlns="http://schemas.openxmlformats.org/package/2006/relationships"><Relationship Id="rId2" Type="http://schemas.openxmlformats.org/officeDocument/2006/relationships/package" Target="../embeddings/Microsoft_Excel_Worksheet5.xlsx"/><Relationship Id="rId1" Type="http://schemas.openxmlformats.org/officeDocument/2006/relationships/themeOverride" Target="../theme/themeOverride6.xml"/></Relationships>
</file>

<file path=word/charts/_rels/chart13.xml.rels><?xml version="1.0" encoding="UTF-8" standalone="yes"?>
<Relationships xmlns="http://schemas.openxmlformats.org/package/2006/relationships"><Relationship Id="rId3" Type="http://schemas.openxmlformats.org/officeDocument/2006/relationships/themeOverride" Target="../theme/themeOverride7.xml"/><Relationship Id="rId2" Type="http://schemas.microsoft.com/office/2011/relationships/chartColorStyle" Target="colors11.xml"/><Relationship Id="rId1" Type="http://schemas.microsoft.com/office/2011/relationships/chartStyle" Target="style11.xml"/><Relationship Id="rId4" Type="http://schemas.openxmlformats.org/officeDocument/2006/relationships/package" Target="../embeddings/Microsoft_Excel_Worksheet6.xlsx"/></Relationships>
</file>

<file path=word/charts/_rels/chart14.xml.rels><?xml version="1.0" encoding="UTF-8" standalone="yes"?>
<Relationships xmlns="http://schemas.openxmlformats.org/package/2006/relationships"><Relationship Id="rId3" Type="http://schemas.openxmlformats.org/officeDocument/2006/relationships/themeOverride" Target="../theme/themeOverride8.xml"/><Relationship Id="rId2" Type="http://schemas.microsoft.com/office/2011/relationships/chartColorStyle" Target="colors12.xml"/><Relationship Id="rId1" Type="http://schemas.microsoft.com/office/2011/relationships/chartStyle" Target="style12.xml"/><Relationship Id="rId4" Type="http://schemas.openxmlformats.org/officeDocument/2006/relationships/package" Target="../embeddings/Microsoft_Excel_Worksheet7.xlsx"/></Relationships>
</file>

<file path=word/charts/_rels/chart15.xml.rels><?xml version="1.0" encoding="UTF-8" standalone="yes"?>
<Relationships xmlns="http://schemas.openxmlformats.org/package/2006/relationships"><Relationship Id="rId3" Type="http://schemas.openxmlformats.org/officeDocument/2006/relationships/themeOverride" Target="../theme/themeOverride9.xml"/><Relationship Id="rId2" Type="http://schemas.microsoft.com/office/2011/relationships/chartColorStyle" Target="colors13.xml"/><Relationship Id="rId1" Type="http://schemas.microsoft.com/office/2011/relationships/chartStyle" Target="style13.xml"/><Relationship Id="rId4" Type="http://schemas.openxmlformats.org/officeDocument/2006/relationships/package" Target="../embeddings/Microsoft_Excel_Worksheet8.xlsx"/></Relationships>
</file>

<file path=word/charts/_rels/chart16.xml.rels><?xml version="1.0" encoding="UTF-8" standalone="yes"?>
<Relationships xmlns="http://schemas.openxmlformats.org/package/2006/relationships"><Relationship Id="rId2" Type="http://schemas.openxmlformats.org/officeDocument/2006/relationships/package" Target="../embeddings/Microsoft_Excel_Worksheet9.xlsx"/><Relationship Id="rId1" Type="http://schemas.openxmlformats.org/officeDocument/2006/relationships/themeOverride" Target="../theme/themeOverride10.xml"/></Relationships>
</file>

<file path=word/charts/_rels/chart17.xml.rels><?xml version="1.0" encoding="UTF-8" standalone="yes"?>
<Relationships xmlns="http://schemas.openxmlformats.org/package/2006/relationships"><Relationship Id="rId3" Type="http://schemas.openxmlformats.org/officeDocument/2006/relationships/package" Target="../embeddings/Microsoft_Excel_Worksheet10.xlsx"/><Relationship Id="rId2" Type="http://schemas.openxmlformats.org/officeDocument/2006/relationships/image" Target="../media/image1.jpg"/><Relationship Id="rId1" Type="http://schemas.openxmlformats.org/officeDocument/2006/relationships/themeOverride" Target="../theme/themeOverride11.xml"/></Relationships>
</file>

<file path=word/charts/_rels/chart18.xml.rels><?xml version="1.0" encoding="UTF-8" standalone="yes"?>
<Relationships xmlns="http://schemas.openxmlformats.org/package/2006/relationships"><Relationship Id="rId3" Type="http://schemas.openxmlformats.org/officeDocument/2006/relationships/themeOverride" Target="../theme/themeOverride12.xml"/><Relationship Id="rId2" Type="http://schemas.microsoft.com/office/2011/relationships/chartColorStyle" Target="colors14.xml"/><Relationship Id="rId1" Type="http://schemas.microsoft.com/office/2011/relationships/chartStyle" Target="style14.xml"/><Relationship Id="rId4" Type="http://schemas.openxmlformats.org/officeDocument/2006/relationships/oleObject" Target="file:///\\fk\tand\TAND\Diana%20Ondza\B&#362;VNIEC&#298;BA\B&#363;vn.%20apjomi.xlsx" TargetMode="External"/></Relationships>
</file>

<file path=word/charts/_rels/chart19.xml.rels><?xml version="1.0" encoding="UTF-8" standalone="yes"?>
<Relationships xmlns="http://schemas.openxmlformats.org/package/2006/relationships"><Relationship Id="rId3" Type="http://schemas.openxmlformats.org/officeDocument/2006/relationships/themeOverride" Target="../theme/themeOverride13.xml"/><Relationship Id="rId2" Type="http://schemas.microsoft.com/office/2011/relationships/chartColorStyle" Target="colors15.xml"/><Relationship Id="rId1" Type="http://schemas.microsoft.com/office/2011/relationships/chartStyle" Target="style15.xml"/><Relationship Id="rId4" Type="http://schemas.openxmlformats.org/officeDocument/2006/relationships/oleObject" Target="../embeddings/oleObject1.bin"/></Relationships>
</file>

<file path=word/charts/_rels/chart2.xml.rels><?xml version="1.0" encoding="UTF-8" standalone="yes"?>
<Relationships xmlns="http://schemas.openxmlformats.org/package/2006/relationships"><Relationship Id="rId3" Type="http://schemas.openxmlformats.org/officeDocument/2006/relationships/oleObject" Target="file:///\\fk\tand\TAND\_Prezentacija\Prezentacijas-DATA.xlsx" TargetMode="External"/><Relationship Id="rId2" Type="http://schemas.microsoft.com/office/2011/relationships/chartColorStyle" Target="colors2.xml"/><Relationship Id="rId1" Type="http://schemas.microsoft.com/office/2011/relationships/chartStyle" Target="style2.xml"/></Relationships>
</file>

<file path=word/charts/_rels/chart20.xml.rels><?xml version="1.0" encoding="UTF-8" standalone="yes"?>
<Relationships xmlns="http://schemas.openxmlformats.org/package/2006/relationships"><Relationship Id="rId3" Type="http://schemas.openxmlformats.org/officeDocument/2006/relationships/themeOverride" Target="../theme/themeOverride14.xml"/><Relationship Id="rId2" Type="http://schemas.microsoft.com/office/2011/relationships/chartColorStyle" Target="colors16.xml"/><Relationship Id="rId1" Type="http://schemas.microsoft.com/office/2011/relationships/chartStyle" Target="style16.xml"/><Relationship Id="rId4" Type="http://schemas.openxmlformats.org/officeDocument/2006/relationships/package" Target="../embeddings/Microsoft_Excel_Worksheet11.xlsx"/></Relationships>
</file>

<file path=word/charts/_rels/chart21.xml.rels><?xml version="1.0" encoding="UTF-8" standalone="yes"?>
<Relationships xmlns="http://schemas.openxmlformats.org/package/2006/relationships"><Relationship Id="rId3" Type="http://schemas.openxmlformats.org/officeDocument/2006/relationships/themeOverride" Target="../theme/themeOverride15.xml"/><Relationship Id="rId2" Type="http://schemas.microsoft.com/office/2011/relationships/chartColorStyle" Target="colors17.xml"/><Relationship Id="rId1" Type="http://schemas.microsoft.com/office/2011/relationships/chartStyle" Target="style17.xml"/><Relationship Id="rId4" Type="http://schemas.openxmlformats.org/officeDocument/2006/relationships/oleObject" Target="../embeddings/oleObject2.bin"/></Relationships>
</file>

<file path=word/charts/_rels/chart22.xml.rels><?xml version="1.0" encoding="UTF-8" standalone="yes"?>
<Relationships xmlns="http://schemas.openxmlformats.org/package/2006/relationships"><Relationship Id="rId3" Type="http://schemas.openxmlformats.org/officeDocument/2006/relationships/package" Target="../embeddings/Microsoft_Excel_Worksheet12.xlsx"/><Relationship Id="rId2" Type="http://schemas.microsoft.com/office/2011/relationships/chartColorStyle" Target="colors18.xml"/><Relationship Id="rId1" Type="http://schemas.microsoft.com/office/2011/relationships/chartStyle" Target="style18.xml"/></Relationships>
</file>

<file path=word/charts/_rels/chart23.xml.rels><?xml version="1.0" encoding="UTF-8" standalone="yes"?>
<Relationships xmlns="http://schemas.openxmlformats.org/package/2006/relationships"><Relationship Id="rId3" Type="http://schemas.openxmlformats.org/officeDocument/2006/relationships/package" Target="../embeddings/Microsoft_Excel_Worksheet13.xlsx"/><Relationship Id="rId2" Type="http://schemas.microsoft.com/office/2011/relationships/chartColorStyle" Target="colors19.xml"/><Relationship Id="rId1" Type="http://schemas.microsoft.com/office/2011/relationships/chartStyle" Target="style19.xml"/></Relationships>
</file>

<file path=word/charts/_rels/chart24.xml.rels><?xml version="1.0" encoding="UTF-8" standalone="yes"?>
<Relationships xmlns="http://schemas.openxmlformats.org/package/2006/relationships"><Relationship Id="rId3" Type="http://schemas.openxmlformats.org/officeDocument/2006/relationships/themeOverride" Target="../theme/themeOverride16.xml"/><Relationship Id="rId2" Type="http://schemas.microsoft.com/office/2011/relationships/chartColorStyle" Target="colors20.xml"/><Relationship Id="rId1" Type="http://schemas.microsoft.com/office/2011/relationships/chartStyle" Target="style20.xml"/><Relationship Id="rId4" Type="http://schemas.openxmlformats.org/officeDocument/2006/relationships/package" Target="../embeddings/Microsoft_Excel_Worksheet14.xlsx"/></Relationships>
</file>

<file path=word/charts/_rels/chart25.xml.rels><?xml version="1.0" encoding="UTF-8" standalone="yes"?>
<Relationships xmlns="http://schemas.openxmlformats.org/package/2006/relationships"><Relationship Id="rId3" Type="http://schemas.openxmlformats.org/officeDocument/2006/relationships/themeOverride" Target="../theme/themeOverride17.xml"/><Relationship Id="rId2" Type="http://schemas.microsoft.com/office/2011/relationships/chartColorStyle" Target="colors21.xml"/><Relationship Id="rId1" Type="http://schemas.microsoft.com/office/2011/relationships/chartStyle" Target="style21.xml"/><Relationship Id="rId4" Type="http://schemas.openxmlformats.org/officeDocument/2006/relationships/package" Target="../embeddings/Microsoft_Excel_Worksheet15.xlsx"/></Relationships>
</file>

<file path=word/charts/_rels/chart26.xml.rels><?xml version="1.0" encoding="UTF-8" standalone="yes"?>
<Relationships xmlns="http://schemas.openxmlformats.org/package/2006/relationships"><Relationship Id="rId3" Type="http://schemas.openxmlformats.org/officeDocument/2006/relationships/themeOverride" Target="../theme/themeOverride18.xml"/><Relationship Id="rId2" Type="http://schemas.microsoft.com/office/2011/relationships/chartColorStyle" Target="colors22.xml"/><Relationship Id="rId1" Type="http://schemas.microsoft.com/office/2011/relationships/chartStyle" Target="style22.xml"/><Relationship Id="rId4" Type="http://schemas.openxmlformats.org/officeDocument/2006/relationships/package" Target="../embeddings/Microsoft_Excel_Worksheet16.xlsx"/></Relationships>
</file>

<file path=word/charts/_rels/chart27.xml.rels><?xml version="1.0" encoding="UTF-8" standalone="yes"?>
<Relationships xmlns="http://schemas.openxmlformats.org/package/2006/relationships"><Relationship Id="rId1" Type="http://schemas.openxmlformats.org/officeDocument/2006/relationships/oleObject" Target="file:///\\fk\tand\TAND\_Makro_modeli\Infl&#257;cija\Inflation_main.xlsx" TargetMode="External"/></Relationships>
</file>

<file path=word/charts/_rels/chart28.xml.rels><?xml version="1.0" encoding="UTF-8" standalone="yes"?>
<Relationships xmlns="http://schemas.openxmlformats.org/package/2006/relationships"><Relationship Id="rId3" Type="http://schemas.openxmlformats.org/officeDocument/2006/relationships/themeOverride" Target="../theme/themeOverride19.xml"/><Relationship Id="rId2" Type="http://schemas.microsoft.com/office/2011/relationships/chartColorStyle" Target="colors23.xml"/><Relationship Id="rId1" Type="http://schemas.microsoft.com/office/2011/relationships/chartStyle" Target="style23.xml"/><Relationship Id="rId4" Type="http://schemas.openxmlformats.org/officeDocument/2006/relationships/package" Target="../embeddings/Microsoft_Excel_Worksheet17.xlsx"/></Relationships>
</file>

<file path=word/charts/_rels/chart29.xml.rels><?xml version="1.0" encoding="UTF-8" standalone="yes"?>
<Relationships xmlns="http://schemas.openxmlformats.org/package/2006/relationships"><Relationship Id="rId2" Type="http://schemas.openxmlformats.org/officeDocument/2006/relationships/package" Target="../embeddings/Microsoft_Excel_Worksheet18.xlsx"/><Relationship Id="rId1" Type="http://schemas.openxmlformats.org/officeDocument/2006/relationships/themeOverride" Target="../theme/themeOverride20.xml"/></Relationships>
</file>

<file path=word/charts/_rels/chart3.xml.rels><?xml version="1.0" encoding="UTF-8" standalone="yes"?>
<Relationships xmlns="http://schemas.openxmlformats.org/package/2006/relationships"><Relationship Id="rId3" Type="http://schemas.openxmlformats.org/officeDocument/2006/relationships/oleObject" Target="file:///\\fk\tand\TAND\_Prezentacija\Prezentacijas-DATA.xlsx" TargetMode="External"/><Relationship Id="rId2" Type="http://schemas.microsoft.com/office/2011/relationships/chartColorStyle" Target="colors3.xml"/><Relationship Id="rId1" Type="http://schemas.microsoft.com/office/2011/relationships/chartStyle" Target="style3.xml"/></Relationships>
</file>

<file path=word/charts/_rels/chart30.xml.rels><?xml version="1.0" encoding="UTF-8" standalone="yes"?>
<Relationships xmlns="http://schemas.openxmlformats.org/package/2006/relationships"><Relationship Id="rId2" Type="http://schemas.openxmlformats.org/officeDocument/2006/relationships/package" Target="../embeddings/Microsoft_Excel_Worksheet19.xlsx"/><Relationship Id="rId1" Type="http://schemas.openxmlformats.org/officeDocument/2006/relationships/themeOverride" Target="../theme/themeOverride21.xml"/></Relationships>
</file>

<file path=word/charts/_rels/chart31.xml.rels><?xml version="1.0" encoding="UTF-8" standalone="yes"?>
<Relationships xmlns="http://schemas.openxmlformats.org/package/2006/relationships"><Relationship Id="rId3" Type="http://schemas.openxmlformats.org/officeDocument/2006/relationships/themeOverride" Target="../theme/themeOverride22.xml"/><Relationship Id="rId2" Type="http://schemas.microsoft.com/office/2011/relationships/chartColorStyle" Target="colors24.xml"/><Relationship Id="rId1" Type="http://schemas.microsoft.com/office/2011/relationships/chartStyle" Target="style24.xml"/><Relationship Id="rId4" Type="http://schemas.openxmlformats.org/officeDocument/2006/relationships/package" Target="../embeddings/Microsoft_Excel_Worksheet20.xlsx"/></Relationships>
</file>

<file path=word/charts/_rels/chart32.xml.rels><?xml version="1.0" encoding="UTF-8" standalone="yes"?>
<Relationships xmlns="http://schemas.openxmlformats.org/package/2006/relationships"><Relationship Id="rId3" Type="http://schemas.openxmlformats.org/officeDocument/2006/relationships/oleObject" Target="Book1" TargetMode="External"/><Relationship Id="rId2" Type="http://schemas.microsoft.com/office/2011/relationships/chartColorStyle" Target="colors25.xml"/><Relationship Id="rId1" Type="http://schemas.microsoft.com/office/2011/relationships/chartStyle" Target="style25.xml"/></Relationships>
</file>

<file path=word/charts/_rels/chart33.xml.rels><?xml version="1.0" encoding="UTF-8" standalone="yes"?>
<Relationships xmlns="http://schemas.openxmlformats.org/package/2006/relationships"><Relationship Id="rId3" Type="http://schemas.openxmlformats.org/officeDocument/2006/relationships/themeOverride" Target="../theme/themeOverride23.xml"/><Relationship Id="rId2" Type="http://schemas.microsoft.com/office/2011/relationships/chartColorStyle" Target="colors26.xml"/><Relationship Id="rId1" Type="http://schemas.microsoft.com/office/2011/relationships/chartStyle" Target="style26.xml"/><Relationship Id="rId4" Type="http://schemas.openxmlformats.org/officeDocument/2006/relationships/package" Target="../embeddings/Microsoft_Excel_Worksheet21.xlsx"/></Relationships>
</file>

<file path=word/charts/_rels/chart34.xml.rels><?xml version="1.0" encoding="UTF-8" standalone="yes"?>
<Relationships xmlns="http://schemas.openxmlformats.org/package/2006/relationships"><Relationship Id="rId3" Type="http://schemas.openxmlformats.org/officeDocument/2006/relationships/themeOverride" Target="../theme/themeOverride24.xml"/><Relationship Id="rId2" Type="http://schemas.microsoft.com/office/2011/relationships/chartColorStyle" Target="colors27.xml"/><Relationship Id="rId1" Type="http://schemas.microsoft.com/office/2011/relationships/chartStyle" Target="style27.xml"/><Relationship Id="rId4" Type="http://schemas.openxmlformats.org/officeDocument/2006/relationships/package" Target="../embeddings/Microsoft_Excel_Worksheet22.xlsx"/></Relationships>
</file>

<file path=word/charts/_rels/chart35.xml.rels><?xml version="1.0" encoding="UTF-8" standalone="yes"?>
<Relationships xmlns="http://schemas.openxmlformats.org/package/2006/relationships"><Relationship Id="rId3" Type="http://schemas.openxmlformats.org/officeDocument/2006/relationships/chartUserShapes" Target="../drawings/drawing3.xml"/><Relationship Id="rId2" Type="http://schemas.openxmlformats.org/officeDocument/2006/relationships/oleObject" Target="file:///\\fk\tand\TAND\Ieva%20Veja\bud&#382;eta%20paskaidrojumi\2020\iedz&#299;vot&#257;ju%20ien&#257;kumi\ien&#257;kumi%20p&#275;c%20PPS%20no%20ES%20vid&#275;j&#257;.xlsx" TargetMode="External"/><Relationship Id="rId1" Type="http://schemas.openxmlformats.org/officeDocument/2006/relationships/themeOverride" Target="../theme/themeOverride25.xml"/></Relationships>
</file>

<file path=word/charts/_rels/chart36.xml.rels><?xml version="1.0" encoding="UTF-8" standalone="yes"?>
<Relationships xmlns="http://schemas.openxmlformats.org/package/2006/relationships"><Relationship Id="rId3" Type="http://schemas.openxmlformats.org/officeDocument/2006/relationships/oleObject" Target="file:///C:\Users\FM.DESKTOP-559G9O3\Desktop\Info_zi&#326;ojums_Bud&#382;ets\Bud&#382;eta_paskaidrojumi\nama_10_gdp.xls" TargetMode="External"/><Relationship Id="rId2" Type="http://schemas.microsoft.com/office/2011/relationships/chartColorStyle" Target="colors28.xml"/><Relationship Id="rId1" Type="http://schemas.microsoft.com/office/2011/relationships/chartStyle" Target="style28.xml"/></Relationships>
</file>

<file path=word/charts/_rels/chart37.xml.rels><?xml version="1.0" encoding="UTF-8" standalone="yes"?>
<Relationships xmlns="http://schemas.openxmlformats.org/package/2006/relationships"><Relationship Id="rId3" Type="http://schemas.openxmlformats.org/officeDocument/2006/relationships/oleObject" Target="file:///C:\Users\FM.DESKTOP-559G9O3\Desktop\Info_zi&#326;ojums_Bud&#382;ets\Bud&#382;eta_paskaidrojumi\ATD020m_20210915-165106.xlsx" TargetMode="External"/><Relationship Id="rId2" Type="http://schemas.microsoft.com/office/2011/relationships/chartColorStyle" Target="colors29.xml"/><Relationship Id="rId1" Type="http://schemas.microsoft.com/office/2011/relationships/chartStyle" Target="style29.xml"/></Relationships>
</file>

<file path=word/charts/_rels/chart38.xml.rels><?xml version="1.0" encoding="UTF-8" standalone="yes"?>
<Relationships xmlns="http://schemas.openxmlformats.org/package/2006/relationships"><Relationship Id="rId3" Type="http://schemas.openxmlformats.org/officeDocument/2006/relationships/oleObject" Target="file:///C:\Users\FM.DESKTOP-559G9O3\Desktop\Info_zi&#326;ojums_Bud&#382;ets\Bud&#382;eta_paskaidrojumi\ATD020m_20210915-165106.xlsx" TargetMode="External"/><Relationship Id="rId2" Type="http://schemas.microsoft.com/office/2011/relationships/chartColorStyle" Target="colors30.xml"/><Relationship Id="rId1" Type="http://schemas.microsoft.com/office/2011/relationships/chartStyle" Target="style30.xml"/></Relationships>
</file>

<file path=word/charts/_rels/chart39.xml.rels><?xml version="1.0" encoding="UTF-8" standalone="yes"?>
<Relationships xmlns="http://schemas.openxmlformats.org/package/2006/relationships"><Relationship Id="rId1" Type="http://schemas.openxmlformats.org/officeDocument/2006/relationships/oleObject" Target="file:///\\fk\tand\TAND\_Prezentacija\Prezentacijas-DATA.xlsx"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fk\tand\TAND\Diana%20Ondza\IKP\eu%202020.xls" TargetMode="External"/></Relationships>
</file>

<file path=word/charts/_rels/chart40.xml.rels><?xml version="1.0" encoding="UTF-8" standalone="yes"?>
<Relationships xmlns="http://schemas.openxmlformats.org/package/2006/relationships"><Relationship Id="rId3" Type="http://schemas.openxmlformats.org/officeDocument/2006/relationships/oleObject" Target="file:///\\fk\tand\TAND\_Prezentacija\Prezentacijas-DATA.xlsx" TargetMode="External"/><Relationship Id="rId2" Type="http://schemas.microsoft.com/office/2011/relationships/chartColorStyle" Target="colors31.xml"/><Relationship Id="rId1" Type="http://schemas.microsoft.com/office/2011/relationships/chartStyle" Target="style31.xml"/></Relationships>
</file>

<file path=word/charts/_rels/chart41.xml.rels><?xml version="1.0" encoding="UTF-8" standalone="yes"?>
<Relationships xmlns="http://schemas.openxmlformats.org/package/2006/relationships"><Relationship Id="rId3" Type="http://schemas.openxmlformats.org/officeDocument/2006/relationships/oleObject" Target="file:///\\fk\tand\TAND\_Prezentacija\Prezentacijas-DATA.xlsx" TargetMode="External"/><Relationship Id="rId2" Type="http://schemas.microsoft.com/office/2011/relationships/chartColorStyle" Target="colors32.xml"/><Relationship Id="rId1" Type="http://schemas.microsoft.com/office/2011/relationships/chartStyle" Target="style32.xml"/></Relationships>
</file>

<file path=word/charts/_rels/chart42.xml.rels><?xml version="1.0" encoding="UTF-8" standalone="yes"?>
<Relationships xmlns="http://schemas.openxmlformats.org/package/2006/relationships"><Relationship Id="rId1" Type="http://schemas.openxmlformats.org/officeDocument/2006/relationships/oleObject" Target="file:///\\fk\tand\TAND\_Prezentacija\Prezentacijas-DATA.xlsx" TargetMode="External"/></Relationships>
</file>

<file path=word/charts/_rels/chart43.xml.rels><?xml version="1.0" encoding="UTF-8" standalone="yes"?>
<Relationships xmlns="http://schemas.openxmlformats.org/package/2006/relationships"><Relationship Id="rId1" Type="http://schemas.openxmlformats.org/officeDocument/2006/relationships/oleObject" Target="file:///\\fk\tand\TAND\_Prezentacija\Prezentacijas-DATA.xlsx" TargetMode="External"/></Relationships>
</file>

<file path=word/charts/_rels/chart44.xml.rels><?xml version="1.0" encoding="UTF-8" standalone="yes"?>
<Relationships xmlns="http://schemas.openxmlformats.org/package/2006/relationships"><Relationship Id="rId3" Type="http://schemas.openxmlformats.org/officeDocument/2006/relationships/package" Target="../embeddings/Microsoft_Excel_Worksheet23.xlsx"/><Relationship Id="rId2" Type="http://schemas.microsoft.com/office/2011/relationships/chartColorStyle" Target="colors33.xml"/><Relationship Id="rId1" Type="http://schemas.microsoft.com/office/2011/relationships/chartStyle" Target="style33.xml"/></Relationships>
</file>

<file path=word/charts/_rels/chart5.xml.rels><?xml version="1.0" encoding="UTF-8" standalone="yes"?>
<Relationships xmlns="http://schemas.openxmlformats.org/package/2006/relationships"><Relationship Id="rId3" Type="http://schemas.openxmlformats.org/officeDocument/2006/relationships/oleObject" Target="file:///\\fk\tand\TAND\Diana%20Ondza\IKP\ikp_.xlsx" TargetMode="Externa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chartUserShapes" Target="../drawings/drawing1.xml"/></Relationships>
</file>

<file path=word/charts/_rels/chart6.xml.rels><?xml version="1.0" encoding="UTF-8" standalone="yes"?>
<Relationships xmlns="http://schemas.openxmlformats.org/package/2006/relationships"><Relationship Id="rId3" Type="http://schemas.openxmlformats.org/officeDocument/2006/relationships/oleObject" Target="file:///\\fk\tand\TAND\Diana%20Ondza\IKP\ikp_.xlsx" TargetMode="External"/><Relationship Id="rId2" Type="http://schemas.microsoft.com/office/2011/relationships/chartColorStyle" Target="colors5.xml"/><Relationship Id="rId1" Type="http://schemas.microsoft.com/office/2011/relationships/chartStyle" Target="style5.xml"/><Relationship Id="rId4" Type="http://schemas.openxmlformats.org/officeDocument/2006/relationships/chartUserShapes" Target="../drawings/drawing2.xml"/></Relationships>
</file>

<file path=word/charts/_rels/chart7.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6.xml"/><Relationship Id="rId1" Type="http://schemas.microsoft.com/office/2011/relationships/chartStyle" Target="style6.xml"/><Relationship Id="rId4" Type="http://schemas.openxmlformats.org/officeDocument/2006/relationships/package" Target="../embeddings/Microsoft_Excel_Worksheet.xlsx"/></Relationships>
</file>

<file path=word/charts/_rels/chart8.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7.xml"/><Relationship Id="rId1" Type="http://schemas.microsoft.com/office/2011/relationships/chartStyle" Target="style7.xml"/><Relationship Id="rId4" Type="http://schemas.openxmlformats.org/officeDocument/2006/relationships/package" Target="../embeddings/Microsoft_Excel_Worksheet1.xlsx"/></Relationships>
</file>

<file path=word/charts/_rels/chart9.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8.xml"/><Relationship Id="rId1" Type="http://schemas.microsoft.com/office/2011/relationships/chartStyle" Target="style8.xml"/><Relationship Id="rId4" Type="http://schemas.openxmlformats.org/officeDocument/2006/relationships/package" Target="../embeddings/Microsoft_Excel_Worksheet2.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'IKP cet'!$F$3</c:f>
              <c:strCache>
                <c:ptCount val="1"/>
                <c:pt idx="0">
                  <c:v>pret iepriekšējā gada atbilstošo periodu (sezonāli neizlīdzināts)</c:v>
                </c:pt>
              </c:strCache>
            </c:strRef>
          </c:tx>
          <c:spPr>
            <a:pattFill prst="dkUpDiag">
              <a:fgClr>
                <a:schemeClr val="tx1">
                  <a:lumMod val="65000"/>
                  <a:lumOff val="35000"/>
                </a:schemeClr>
              </a:fgClr>
              <a:bgClr>
                <a:schemeClr val="bg1"/>
              </a:bgClr>
            </a:pattFill>
            <a:ln>
              <a:solidFill>
                <a:schemeClr val="tx1">
                  <a:lumMod val="65000"/>
                  <a:lumOff val="35000"/>
                </a:schemeClr>
              </a:solidFill>
            </a:ln>
            <a:effectLst/>
          </c:spPr>
          <c:invertIfNegative val="0"/>
          <c:cat>
            <c:multiLvlStrRef>
              <c:f>'IKP cet'!$B$44:$C$89</c:f>
              <c:multiLvlStrCache>
                <c:ptCount val="46"/>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pt idx="19">
                    <c:v>IV</c:v>
                  </c:pt>
                  <c:pt idx="20">
                    <c:v>I</c:v>
                  </c:pt>
                  <c:pt idx="21">
                    <c:v>II</c:v>
                  </c:pt>
                  <c:pt idx="22">
                    <c:v>III</c:v>
                  </c:pt>
                  <c:pt idx="23">
                    <c:v>IV</c:v>
                  </c:pt>
                  <c:pt idx="24">
                    <c:v>I</c:v>
                  </c:pt>
                  <c:pt idx="25">
                    <c:v>II</c:v>
                  </c:pt>
                  <c:pt idx="26">
                    <c:v>III</c:v>
                  </c:pt>
                  <c:pt idx="27">
                    <c:v>IV</c:v>
                  </c:pt>
                  <c:pt idx="28">
                    <c:v>I</c:v>
                  </c:pt>
                  <c:pt idx="29">
                    <c:v>II</c:v>
                  </c:pt>
                  <c:pt idx="30">
                    <c:v>III</c:v>
                  </c:pt>
                  <c:pt idx="31">
                    <c:v>IV</c:v>
                  </c:pt>
                  <c:pt idx="32">
                    <c:v>I</c:v>
                  </c:pt>
                  <c:pt idx="33">
                    <c:v>II</c:v>
                  </c:pt>
                  <c:pt idx="34">
                    <c:v>III</c:v>
                  </c:pt>
                  <c:pt idx="35">
                    <c:v>IV</c:v>
                  </c:pt>
                  <c:pt idx="36">
                    <c:v>I</c:v>
                  </c:pt>
                  <c:pt idx="37">
                    <c:v>II</c:v>
                  </c:pt>
                  <c:pt idx="38">
                    <c:v>III</c:v>
                  </c:pt>
                  <c:pt idx="39">
                    <c:v>IV</c:v>
                  </c:pt>
                  <c:pt idx="40">
                    <c:v>I</c:v>
                  </c:pt>
                  <c:pt idx="41">
                    <c:v>II</c:v>
                  </c:pt>
                  <c:pt idx="42">
                    <c:v>III</c:v>
                  </c:pt>
                  <c:pt idx="43">
                    <c:v>IV</c:v>
                  </c:pt>
                  <c:pt idx="44">
                    <c:v>I</c:v>
                  </c:pt>
                  <c:pt idx="45">
                    <c:v>II</c:v>
                  </c:pt>
                </c:lvl>
                <c:lvl>
                  <c:pt idx="0">
                    <c:v>2010</c:v>
                  </c:pt>
                  <c:pt idx="4">
                    <c:v>2011</c:v>
                  </c:pt>
                  <c:pt idx="8">
                    <c:v>2012</c:v>
                  </c:pt>
                  <c:pt idx="12">
                    <c:v>2013</c:v>
                  </c:pt>
                  <c:pt idx="16">
                    <c:v>2014</c:v>
                  </c:pt>
                  <c:pt idx="20">
                    <c:v>2015</c:v>
                  </c:pt>
                  <c:pt idx="24">
                    <c:v>2016</c:v>
                  </c:pt>
                  <c:pt idx="28">
                    <c:v>2017</c:v>
                  </c:pt>
                  <c:pt idx="32">
                    <c:v>2018</c:v>
                  </c:pt>
                  <c:pt idx="36">
                    <c:v>2019</c:v>
                  </c:pt>
                  <c:pt idx="40">
                    <c:v>2020</c:v>
                  </c:pt>
                  <c:pt idx="44">
                    <c:v>2021</c:v>
                  </c:pt>
                </c:lvl>
              </c:multiLvlStrCache>
            </c:multiLvlStrRef>
          </c:cat>
          <c:val>
            <c:numRef>
              <c:f>'IKP cet'!$F$44:$F$89</c:f>
              <c:numCache>
                <c:formatCode>0.0</c:formatCode>
                <c:ptCount val="46"/>
                <c:pt idx="0">
                  <c:v>-10.662417860956737</c:v>
                </c:pt>
                <c:pt idx="1">
                  <c:v>-5.6361637198409369</c:v>
                </c:pt>
                <c:pt idx="2">
                  <c:v>-1.0266293399669451</c:v>
                </c:pt>
                <c:pt idx="3">
                  <c:v>-0.64939096470600077</c:v>
                </c:pt>
                <c:pt idx="4">
                  <c:v>2.4458137292426585</c:v>
                </c:pt>
                <c:pt idx="5">
                  <c:v>6.3411961675672046</c:v>
                </c:pt>
                <c:pt idx="6">
                  <c:v>9.2207724907931805</c:v>
                </c:pt>
                <c:pt idx="7">
                  <c:v>7.3296216867215378</c:v>
                </c:pt>
                <c:pt idx="8">
                  <c:v>8.2035974942459404</c:v>
                </c:pt>
                <c:pt idx="9">
                  <c:v>4.2204659032448006</c:v>
                </c:pt>
                <c:pt idx="10">
                  <c:v>3.1233126905280955</c:v>
                </c:pt>
                <c:pt idx="11">
                  <c:v>2.2427201392034277</c:v>
                </c:pt>
                <c:pt idx="12">
                  <c:v>1.0055038559092964</c:v>
                </c:pt>
                <c:pt idx="13">
                  <c:v>2.0952042627529863</c:v>
                </c:pt>
                <c:pt idx="14">
                  <c:v>3.0357960202045717</c:v>
                </c:pt>
                <c:pt idx="15">
                  <c:v>2.9006438079175894</c:v>
                </c:pt>
                <c:pt idx="16">
                  <c:v>1.7213837347007939</c:v>
                </c:pt>
                <c:pt idx="17">
                  <c:v>1.284518419260138</c:v>
                </c:pt>
                <c:pt idx="18">
                  <c:v>1.0703307730395579</c:v>
                </c:pt>
                <c:pt idx="19">
                  <c:v>0.35187018448051788</c:v>
                </c:pt>
                <c:pt idx="20">
                  <c:v>3.2735902633979919</c:v>
                </c:pt>
                <c:pt idx="21">
                  <c:v>4.2536374288382603</c:v>
                </c:pt>
                <c:pt idx="22">
                  <c:v>4.5729136149899432</c:v>
                </c:pt>
                <c:pt idx="23">
                  <c:v>3.8362371578826071</c:v>
                </c:pt>
                <c:pt idx="24">
                  <c:v>3.1545118651152819</c:v>
                </c:pt>
                <c:pt idx="25">
                  <c:v>2.6989391784486543</c:v>
                </c:pt>
                <c:pt idx="26">
                  <c:v>1.1301407983447262</c:v>
                </c:pt>
                <c:pt idx="27">
                  <c:v>2.6359596601508741</c:v>
                </c:pt>
                <c:pt idx="28">
                  <c:v>3.062301685304945</c:v>
                </c:pt>
                <c:pt idx="29">
                  <c:v>3.0544179844454931</c:v>
                </c:pt>
                <c:pt idx="30">
                  <c:v>3.8757412230222315</c:v>
                </c:pt>
                <c:pt idx="31">
                  <c:v>2.9897167834163696</c:v>
                </c:pt>
                <c:pt idx="32">
                  <c:v>1.9156539641803931</c:v>
                </c:pt>
                <c:pt idx="33">
                  <c:v>4.5700355167959401</c:v>
                </c:pt>
                <c:pt idx="34">
                  <c:v>4.3556786325395223</c:v>
                </c:pt>
                <c:pt idx="35">
                  <c:v>4.9406388539453445</c:v>
                </c:pt>
                <c:pt idx="36">
                  <c:v>3.381626966797171</c:v>
                </c:pt>
                <c:pt idx="37">
                  <c:v>1.7295607872258785</c:v>
                </c:pt>
                <c:pt idx="38">
                  <c:v>2.6096620652091929</c:v>
                </c:pt>
                <c:pt idx="39">
                  <c:v>0.65176273910188343</c:v>
                </c:pt>
                <c:pt idx="40">
                  <c:v>-1.1203276382343148</c:v>
                </c:pt>
                <c:pt idx="41">
                  <c:v>-8.9041253061583205</c:v>
                </c:pt>
                <c:pt idx="42">
                  <c:v>-2.8006453475423285</c:v>
                </c:pt>
                <c:pt idx="43">
                  <c:v>-1.5179741408332603</c:v>
                </c:pt>
                <c:pt idx="44">
                  <c:v>-1.279889061291442</c:v>
                </c:pt>
                <c:pt idx="45">
                  <c:v>11.132382611340702</c:v>
                </c:pt>
              </c:numCache>
            </c:numRef>
          </c:val>
          <c:extLst>
            <c:ext xmlns:c16="http://schemas.microsoft.com/office/drawing/2014/chart" uri="{C3380CC4-5D6E-409C-BE32-E72D297353CC}">
              <c16:uniqueId val="{00000000-7E3A-4D4D-B261-605A77378A40}"/>
            </c:ext>
          </c:extLst>
        </c:ser>
        <c:dLbls>
          <c:showLegendKey val="0"/>
          <c:showVal val="0"/>
          <c:showCatName val="0"/>
          <c:showSerName val="0"/>
          <c:showPercent val="0"/>
          <c:showBubbleSize val="0"/>
        </c:dLbls>
        <c:gapWidth val="50"/>
        <c:overlap val="-27"/>
        <c:axId val="291496352"/>
        <c:axId val="291495176"/>
      </c:barChart>
      <c:lineChart>
        <c:grouping val="standard"/>
        <c:varyColors val="0"/>
        <c:ser>
          <c:idx val="1"/>
          <c:order val="1"/>
          <c:tx>
            <c:strRef>
              <c:f>'IKP cet'!$G$3</c:f>
              <c:strCache>
                <c:ptCount val="1"/>
                <c:pt idx="0">
                  <c:v>pret iepriekšējo periodu (sezonāli izlīdzināts)</c:v>
                </c:pt>
              </c:strCache>
            </c:strRef>
          </c:tx>
          <c:spPr>
            <a:ln w="31750" cap="rnd">
              <a:solidFill>
                <a:srgbClr val="0070C0"/>
              </a:solidFill>
              <a:round/>
            </a:ln>
            <a:effectLst/>
          </c:spPr>
          <c:marker>
            <c:symbol val="none"/>
          </c:marker>
          <c:cat>
            <c:multiLvlStrRef>
              <c:f>'IKP cet'!$B$44:$C$89</c:f>
              <c:multiLvlStrCache>
                <c:ptCount val="46"/>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pt idx="19">
                    <c:v>IV</c:v>
                  </c:pt>
                  <c:pt idx="20">
                    <c:v>I</c:v>
                  </c:pt>
                  <c:pt idx="21">
                    <c:v>II</c:v>
                  </c:pt>
                  <c:pt idx="22">
                    <c:v>III</c:v>
                  </c:pt>
                  <c:pt idx="23">
                    <c:v>IV</c:v>
                  </c:pt>
                  <c:pt idx="24">
                    <c:v>I</c:v>
                  </c:pt>
                  <c:pt idx="25">
                    <c:v>II</c:v>
                  </c:pt>
                  <c:pt idx="26">
                    <c:v>III</c:v>
                  </c:pt>
                  <c:pt idx="27">
                    <c:v>IV</c:v>
                  </c:pt>
                  <c:pt idx="28">
                    <c:v>I</c:v>
                  </c:pt>
                  <c:pt idx="29">
                    <c:v>II</c:v>
                  </c:pt>
                  <c:pt idx="30">
                    <c:v>III</c:v>
                  </c:pt>
                  <c:pt idx="31">
                    <c:v>IV</c:v>
                  </c:pt>
                  <c:pt idx="32">
                    <c:v>I</c:v>
                  </c:pt>
                  <c:pt idx="33">
                    <c:v>II</c:v>
                  </c:pt>
                  <c:pt idx="34">
                    <c:v>III</c:v>
                  </c:pt>
                  <c:pt idx="35">
                    <c:v>IV</c:v>
                  </c:pt>
                  <c:pt idx="36">
                    <c:v>I</c:v>
                  </c:pt>
                  <c:pt idx="37">
                    <c:v>II</c:v>
                  </c:pt>
                  <c:pt idx="38">
                    <c:v>III</c:v>
                  </c:pt>
                  <c:pt idx="39">
                    <c:v>IV</c:v>
                  </c:pt>
                  <c:pt idx="40">
                    <c:v>I</c:v>
                  </c:pt>
                  <c:pt idx="41">
                    <c:v>II</c:v>
                  </c:pt>
                  <c:pt idx="42">
                    <c:v>III</c:v>
                  </c:pt>
                  <c:pt idx="43">
                    <c:v>IV</c:v>
                  </c:pt>
                  <c:pt idx="44">
                    <c:v>I</c:v>
                  </c:pt>
                  <c:pt idx="45">
                    <c:v>II</c:v>
                  </c:pt>
                </c:lvl>
                <c:lvl>
                  <c:pt idx="0">
                    <c:v>2010</c:v>
                  </c:pt>
                  <c:pt idx="4">
                    <c:v>2011</c:v>
                  </c:pt>
                  <c:pt idx="8">
                    <c:v>2012</c:v>
                  </c:pt>
                  <c:pt idx="12">
                    <c:v>2013</c:v>
                  </c:pt>
                  <c:pt idx="16">
                    <c:v>2014</c:v>
                  </c:pt>
                  <c:pt idx="20">
                    <c:v>2015</c:v>
                  </c:pt>
                  <c:pt idx="24">
                    <c:v>2016</c:v>
                  </c:pt>
                  <c:pt idx="28">
                    <c:v>2017</c:v>
                  </c:pt>
                  <c:pt idx="32">
                    <c:v>2018</c:v>
                  </c:pt>
                  <c:pt idx="36">
                    <c:v>2019</c:v>
                  </c:pt>
                  <c:pt idx="40">
                    <c:v>2020</c:v>
                  </c:pt>
                  <c:pt idx="44">
                    <c:v>2021</c:v>
                  </c:pt>
                </c:lvl>
              </c:multiLvlStrCache>
            </c:multiLvlStrRef>
          </c:cat>
          <c:val>
            <c:numRef>
              <c:f>'IKP cet'!$G$44:$G$89</c:f>
              <c:numCache>
                <c:formatCode>0.0</c:formatCode>
                <c:ptCount val="46"/>
                <c:pt idx="0">
                  <c:v>-0.73500597058821882</c:v>
                </c:pt>
                <c:pt idx="1">
                  <c:v>-0.59469321140345244</c:v>
                </c:pt>
                <c:pt idx="2">
                  <c:v>-0.30595260689761972</c:v>
                </c:pt>
                <c:pt idx="3">
                  <c:v>1.2222051346468277</c:v>
                </c:pt>
                <c:pt idx="4">
                  <c:v>1.7813071191976206</c:v>
                </c:pt>
                <c:pt idx="5">
                  <c:v>3.504593825597567</c:v>
                </c:pt>
                <c:pt idx="6">
                  <c:v>1.9246499410467521</c:v>
                </c:pt>
                <c:pt idx="7">
                  <c:v>0.30289954395850316</c:v>
                </c:pt>
                <c:pt idx="8">
                  <c:v>2.098351287724995</c:v>
                </c:pt>
                <c:pt idx="9">
                  <c:v>-0.30762637423293882</c:v>
                </c:pt>
                <c:pt idx="10">
                  <c:v>1.0327761985562489</c:v>
                </c:pt>
                <c:pt idx="11">
                  <c:v>0.2662226713369904</c:v>
                </c:pt>
                <c:pt idx="12">
                  <c:v>0.75684363775107499</c:v>
                </c:pt>
                <c:pt idx="13">
                  <c:v>0.10379155311586885</c:v>
                </c:pt>
                <c:pt idx="14">
                  <c:v>1.333015102338706</c:v>
                </c:pt>
                <c:pt idx="15">
                  <c:v>0.84223254467346464</c:v>
                </c:pt>
                <c:pt idx="16">
                  <c:v>-0.88233371821964113</c:v>
                </c:pt>
                <c:pt idx="17">
                  <c:v>0.55583726246314313</c:v>
                </c:pt>
                <c:pt idx="18">
                  <c:v>0.45785842023340706</c:v>
                </c:pt>
                <c:pt idx="19">
                  <c:v>0.56021402594564051</c:v>
                </c:pt>
                <c:pt idx="20">
                  <c:v>1.6113314010439694</c:v>
                </c:pt>
                <c:pt idx="21">
                  <c:v>1.3954164022050577</c:v>
                </c:pt>
                <c:pt idx="22">
                  <c:v>0.81166468428334326</c:v>
                </c:pt>
                <c:pt idx="23">
                  <c:v>-0.13931832048025683</c:v>
                </c:pt>
                <c:pt idx="24">
                  <c:v>1.6283541788391886</c:v>
                </c:pt>
                <c:pt idx="25">
                  <c:v>-0.6643159628531663</c:v>
                </c:pt>
                <c:pt idx="26">
                  <c:v>0.2214137642085916</c:v>
                </c:pt>
                <c:pt idx="27">
                  <c:v>1.1872579791072582</c:v>
                </c:pt>
                <c:pt idx="28">
                  <c:v>1.3024599282892808</c:v>
                </c:pt>
                <c:pt idx="29">
                  <c:v>0.866482836563776</c:v>
                </c:pt>
                <c:pt idx="30">
                  <c:v>0.54301171928925385</c:v>
                </c:pt>
                <c:pt idx="31">
                  <c:v>0.5263179744099773</c:v>
                </c:pt>
                <c:pt idx="32">
                  <c:v>1.0144546713461153</c:v>
                </c:pt>
                <c:pt idx="33">
                  <c:v>1.77528079679972</c:v>
                </c:pt>
                <c:pt idx="34">
                  <c:v>1.3754623667015977</c:v>
                </c:pt>
                <c:pt idx="35">
                  <c:v>0.87029566983034101</c:v>
                </c:pt>
                <c:pt idx="36">
                  <c:v>-0.45099793058015791</c:v>
                </c:pt>
                <c:pt idx="37">
                  <c:v>0.65696006898139103</c:v>
                </c:pt>
                <c:pt idx="38">
                  <c:v>0.44729655426151282</c:v>
                </c:pt>
                <c:pt idx="39">
                  <c:v>-4.5691181385166146E-2</c:v>
                </c:pt>
                <c:pt idx="40">
                  <c:v>-2.2043310629624813</c:v>
                </c:pt>
                <c:pt idx="41">
                  <c:v>-6.8951658040044634</c:v>
                </c:pt>
                <c:pt idx="42">
                  <c:v>6.7732467046921698</c:v>
                </c:pt>
                <c:pt idx="43">
                  <c:v>0.95935229031506708</c:v>
                </c:pt>
                <c:pt idx="44">
                  <c:v>-1.5524526834097969</c:v>
                </c:pt>
                <c:pt idx="45">
                  <c:v>4.4030050774548641</c:v>
                </c:pt>
              </c:numCache>
            </c:numRef>
          </c:val>
          <c:smooth val="0"/>
          <c:extLst>
            <c:ext xmlns:c16="http://schemas.microsoft.com/office/drawing/2014/chart" uri="{C3380CC4-5D6E-409C-BE32-E72D297353CC}">
              <c16:uniqueId val="{00000001-7E3A-4D4D-B261-605A77378A40}"/>
            </c:ext>
          </c:extLst>
        </c:ser>
        <c:dLbls>
          <c:showLegendKey val="0"/>
          <c:showVal val="0"/>
          <c:showCatName val="0"/>
          <c:showSerName val="0"/>
          <c:showPercent val="0"/>
          <c:showBubbleSize val="0"/>
        </c:dLbls>
        <c:marker val="1"/>
        <c:smooth val="0"/>
        <c:axId val="291496352"/>
        <c:axId val="291495176"/>
      </c:lineChart>
      <c:catAx>
        <c:axId val="291496352"/>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v-LV"/>
          </a:p>
        </c:txPr>
        <c:crossAx val="291495176"/>
        <c:crosses val="autoZero"/>
        <c:auto val="1"/>
        <c:lblAlgn val="ctr"/>
        <c:lblOffset val="100"/>
        <c:tickLblSkip val="1"/>
        <c:tickMarkSkip val="1"/>
        <c:noMultiLvlLbl val="0"/>
      </c:catAx>
      <c:valAx>
        <c:axId val="291495176"/>
        <c:scaling>
          <c:orientation val="minMax"/>
          <c:max val="12"/>
          <c:min val="-12"/>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v-LV"/>
          </a:p>
        </c:txPr>
        <c:crossAx val="291496352"/>
        <c:crosses val="autoZero"/>
        <c:crossBetween val="between"/>
        <c:majorUnit val="2"/>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v-LV"/>
        </a:p>
      </c:txPr>
    </c:legend>
    <c:plotVisOnly val="1"/>
    <c:dispBlanksAs val="gap"/>
    <c:showDLblsOverMax val="0"/>
  </c:chart>
  <c:spPr>
    <a:solidFill>
      <a:schemeClr val="bg1"/>
    </a:solidFill>
    <a:ln w="9525" cap="flat" cmpd="sng" algn="ctr">
      <a:solidFill>
        <a:schemeClr val="bg1"/>
      </a:solidFill>
      <a:round/>
    </a:ln>
    <a:effectLst/>
  </c:spPr>
  <c:txPr>
    <a:bodyPr/>
    <a:lstStyle/>
    <a:p>
      <a:pPr>
        <a:defRPr/>
      </a:pPr>
      <a:endParaRPr lang="lv-LV"/>
    </a:p>
  </c:txPr>
  <c:externalData r:id="rId3">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31109264210641713"/>
          <c:y val="2.0120608556315582E-2"/>
          <c:w val="0.6520601472110974"/>
          <c:h val="0.81321594100518613"/>
        </c:manualLayout>
      </c:layout>
      <c:barChart>
        <c:barDir val="bar"/>
        <c:grouping val="clustered"/>
        <c:varyColors val="0"/>
        <c:ser>
          <c:idx val="0"/>
          <c:order val="0"/>
          <c:tx>
            <c:strRef>
              <c:f>'Subsect graf'!$Z$4</c:f>
              <c:strCache>
                <c:ptCount val="1"/>
                <c:pt idx="0">
                  <c:v>2021 I-VII</c:v>
                </c:pt>
              </c:strCache>
            </c:strRef>
          </c:tx>
          <c:spPr>
            <a:solidFill>
              <a:srgbClr val="00B050"/>
            </a:solidFill>
            <a:ln>
              <a:noFill/>
            </a:ln>
            <a:effectLst/>
          </c:spPr>
          <c:invertIfNegative val="0"/>
          <c:dPt>
            <c:idx val="0"/>
            <c:invertIfNegative val="0"/>
            <c:bubble3D val="0"/>
            <c:spPr>
              <a:solidFill>
                <a:srgbClr val="00B050"/>
              </a:solidFill>
              <a:ln>
                <a:noFill/>
              </a:ln>
              <a:effectLst/>
            </c:spPr>
            <c:extLst>
              <c:ext xmlns:c16="http://schemas.microsoft.com/office/drawing/2014/chart" uri="{C3380CC4-5D6E-409C-BE32-E72D297353CC}">
                <c16:uniqueId val="{00000001-C766-4DB6-925A-649FE5C3FF91}"/>
              </c:ext>
            </c:extLst>
          </c:dPt>
          <c:dPt>
            <c:idx val="1"/>
            <c:invertIfNegative val="0"/>
            <c:bubble3D val="0"/>
            <c:spPr>
              <a:solidFill>
                <a:srgbClr val="00B050"/>
              </a:solidFill>
              <a:ln>
                <a:noFill/>
              </a:ln>
              <a:effectLst/>
            </c:spPr>
            <c:extLst>
              <c:ext xmlns:c16="http://schemas.microsoft.com/office/drawing/2014/chart" uri="{C3380CC4-5D6E-409C-BE32-E72D297353CC}">
                <c16:uniqueId val="{00000003-C766-4DB6-925A-649FE5C3FF91}"/>
              </c:ext>
            </c:extLst>
          </c:dPt>
          <c:dPt>
            <c:idx val="4"/>
            <c:invertIfNegative val="0"/>
            <c:bubble3D val="0"/>
            <c:spPr>
              <a:solidFill>
                <a:srgbClr val="00B050"/>
              </a:solidFill>
              <a:ln>
                <a:noFill/>
              </a:ln>
              <a:effectLst/>
            </c:spPr>
            <c:extLst>
              <c:ext xmlns:c16="http://schemas.microsoft.com/office/drawing/2014/chart" uri="{C3380CC4-5D6E-409C-BE32-E72D297353CC}">
                <c16:uniqueId val="{00000005-C766-4DB6-925A-649FE5C3FF91}"/>
              </c:ext>
            </c:extLst>
          </c:dPt>
          <c:dPt>
            <c:idx val="5"/>
            <c:invertIfNegative val="0"/>
            <c:bubble3D val="0"/>
            <c:spPr>
              <a:solidFill>
                <a:srgbClr val="00B050"/>
              </a:solidFill>
              <a:ln>
                <a:noFill/>
              </a:ln>
              <a:effectLst/>
            </c:spPr>
            <c:extLst>
              <c:ext xmlns:c16="http://schemas.microsoft.com/office/drawing/2014/chart" uri="{C3380CC4-5D6E-409C-BE32-E72D297353CC}">
                <c16:uniqueId val="{00000007-C766-4DB6-925A-649FE5C3FF91}"/>
              </c:ext>
            </c:extLst>
          </c:dPt>
          <c:dPt>
            <c:idx val="6"/>
            <c:invertIfNegative val="0"/>
            <c:bubble3D val="0"/>
            <c:spPr>
              <a:solidFill>
                <a:srgbClr val="00B050"/>
              </a:solidFill>
              <a:ln>
                <a:noFill/>
              </a:ln>
              <a:effectLst/>
            </c:spPr>
            <c:extLst>
              <c:ext xmlns:c16="http://schemas.microsoft.com/office/drawing/2014/chart" uri="{C3380CC4-5D6E-409C-BE32-E72D297353CC}">
                <c16:uniqueId val="{00000009-C766-4DB6-925A-649FE5C3FF91}"/>
              </c:ext>
            </c:extLst>
          </c:dPt>
          <c:dPt>
            <c:idx val="7"/>
            <c:invertIfNegative val="0"/>
            <c:bubble3D val="0"/>
            <c:spPr>
              <a:solidFill>
                <a:srgbClr val="00B050"/>
              </a:solidFill>
              <a:ln>
                <a:noFill/>
              </a:ln>
              <a:effectLst/>
            </c:spPr>
            <c:extLst>
              <c:ext xmlns:c16="http://schemas.microsoft.com/office/drawing/2014/chart" uri="{C3380CC4-5D6E-409C-BE32-E72D297353CC}">
                <c16:uniqueId val="{0000000B-C766-4DB6-925A-649FE5C3FF91}"/>
              </c:ext>
            </c:extLst>
          </c:dPt>
          <c:dPt>
            <c:idx val="9"/>
            <c:invertIfNegative val="0"/>
            <c:bubble3D val="0"/>
            <c:spPr>
              <a:solidFill>
                <a:srgbClr val="00B050"/>
              </a:solidFill>
              <a:ln>
                <a:noFill/>
              </a:ln>
              <a:effectLst/>
            </c:spPr>
            <c:extLst>
              <c:ext xmlns:c16="http://schemas.microsoft.com/office/drawing/2014/chart" uri="{C3380CC4-5D6E-409C-BE32-E72D297353CC}">
                <c16:uniqueId val="{0000000D-C766-4DB6-925A-649FE5C3FF91}"/>
              </c:ext>
            </c:extLst>
          </c:dPt>
          <c:dPt>
            <c:idx val="10"/>
            <c:invertIfNegative val="0"/>
            <c:bubble3D val="0"/>
            <c:spPr>
              <a:solidFill>
                <a:srgbClr val="00B050"/>
              </a:solidFill>
              <a:ln>
                <a:noFill/>
              </a:ln>
              <a:effectLst/>
            </c:spPr>
            <c:extLst>
              <c:ext xmlns:c16="http://schemas.microsoft.com/office/drawing/2014/chart" uri="{C3380CC4-5D6E-409C-BE32-E72D297353CC}">
                <c16:uniqueId val="{0000000F-C766-4DB6-925A-649FE5C3FF91}"/>
              </c:ext>
            </c:extLst>
          </c:dPt>
          <c:dPt>
            <c:idx val="11"/>
            <c:invertIfNegative val="0"/>
            <c:bubble3D val="0"/>
            <c:spPr>
              <a:solidFill>
                <a:srgbClr val="00B050"/>
              </a:solidFill>
              <a:ln>
                <a:noFill/>
              </a:ln>
              <a:effectLst/>
            </c:spPr>
            <c:extLst>
              <c:ext xmlns:c16="http://schemas.microsoft.com/office/drawing/2014/chart" uri="{C3380CC4-5D6E-409C-BE32-E72D297353CC}">
                <c16:uniqueId val="{00000011-C766-4DB6-925A-649FE5C3FF91}"/>
              </c:ext>
            </c:extLst>
          </c:dPt>
          <c:dPt>
            <c:idx val="12"/>
            <c:invertIfNegative val="0"/>
            <c:bubble3D val="0"/>
            <c:spPr>
              <a:solidFill>
                <a:srgbClr val="00B050"/>
              </a:solidFill>
              <a:ln>
                <a:noFill/>
              </a:ln>
              <a:effectLst/>
            </c:spPr>
            <c:extLst>
              <c:ext xmlns:c16="http://schemas.microsoft.com/office/drawing/2014/chart" uri="{C3380CC4-5D6E-409C-BE32-E72D297353CC}">
                <c16:uniqueId val="{00000013-C766-4DB6-925A-649FE5C3FF91}"/>
              </c:ext>
            </c:extLst>
          </c:dPt>
          <c:dPt>
            <c:idx val="13"/>
            <c:invertIfNegative val="0"/>
            <c:bubble3D val="0"/>
            <c:spPr>
              <a:solidFill>
                <a:srgbClr val="00B050"/>
              </a:solidFill>
              <a:ln>
                <a:noFill/>
              </a:ln>
              <a:effectLst/>
            </c:spPr>
            <c:extLst>
              <c:ext xmlns:c16="http://schemas.microsoft.com/office/drawing/2014/chart" uri="{C3380CC4-5D6E-409C-BE32-E72D297353CC}">
                <c16:uniqueId val="{00000015-C766-4DB6-925A-649FE5C3FF91}"/>
              </c:ext>
            </c:extLst>
          </c:dPt>
          <c:dLbls>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v-LV"/>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'Subsect graf'!$V$5:$V$17</c:f>
              <c:strCache>
                <c:ptCount val="13"/>
                <c:pt idx="0">
                  <c:v>ELEKTROENERĢIJA UN GĀZES APGĀDE</c:v>
                </c:pt>
                <c:pt idx="1">
                  <c:v>Mēbeļu ražošana</c:v>
                </c:pt>
                <c:pt idx="2">
                  <c:v>Mašīnbūve </c:v>
                </c:pt>
                <c:pt idx="3">
                  <c:v>Gatavo metālizstrādājumu ražošana</c:v>
                </c:pt>
                <c:pt idx="4">
                  <c:v>Nemetālisko minerālu ražošana</c:v>
                </c:pt>
                <c:pt idx="5">
                  <c:v>Ķīmiskās vielas un produkti</c:v>
                </c:pt>
                <c:pt idx="6">
                  <c:v>Poligrāfija un papīra izstr. ražošana</c:v>
                </c:pt>
                <c:pt idx="7">
                  <c:v>Kokapstrāde</c:v>
                </c:pt>
                <c:pt idx="8">
                  <c:v>Vieglā rūpniecība</c:v>
                </c:pt>
                <c:pt idx="9">
                  <c:v>Pārtika un dzērieni</c:v>
                </c:pt>
                <c:pt idx="10">
                  <c:v>APSTRĀDES RŪPNIECĪBA</c:v>
                </c:pt>
                <c:pt idx="11">
                  <c:v>IEGUVES RŪPNIECĪBA</c:v>
                </c:pt>
                <c:pt idx="12">
                  <c:v>RŪPNIECĪBA</c:v>
                </c:pt>
              </c:strCache>
            </c:strRef>
          </c:cat>
          <c:val>
            <c:numRef>
              <c:f>'Subsect graf'!$Z$5:$Z$17</c:f>
              <c:numCache>
                <c:formatCode>0.0</c:formatCode>
                <c:ptCount val="13"/>
                <c:pt idx="0">
                  <c:v>6.6358733073215381</c:v>
                </c:pt>
                <c:pt idx="1">
                  <c:v>27.345075016307916</c:v>
                </c:pt>
                <c:pt idx="2">
                  <c:v>19.654780208297922</c:v>
                </c:pt>
                <c:pt idx="3">
                  <c:v>9.4588631302402248</c:v>
                </c:pt>
                <c:pt idx="4">
                  <c:v>4.9953184705316955</c:v>
                </c:pt>
                <c:pt idx="5">
                  <c:v>16.624441880299013</c:v>
                </c:pt>
                <c:pt idx="6">
                  <c:v>12.440905868778652</c:v>
                </c:pt>
                <c:pt idx="7">
                  <c:v>8.8718617144388325</c:v>
                </c:pt>
                <c:pt idx="8">
                  <c:v>12.712743775902723</c:v>
                </c:pt>
                <c:pt idx="9">
                  <c:v>-9.8477440968738353E-2</c:v>
                </c:pt>
                <c:pt idx="10">
                  <c:v>8.8506366810433335</c:v>
                </c:pt>
                <c:pt idx="11">
                  <c:v>6.7259141854409732</c:v>
                </c:pt>
                <c:pt idx="12">
                  <c:v>8.3423718949234171</c:v>
                </c:pt>
              </c:numCache>
            </c:numRef>
          </c:val>
          <c:extLst>
            <c:ext xmlns:c16="http://schemas.microsoft.com/office/drawing/2014/chart" uri="{C3380CC4-5D6E-409C-BE32-E72D297353CC}">
              <c16:uniqueId val="{00000016-C766-4DB6-925A-649FE5C3FF91}"/>
            </c:ext>
          </c:extLst>
        </c:ser>
        <c:ser>
          <c:idx val="1"/>
          <c:order val="1"/>
          <c:tx>
            <c:strRef>
              <c:f>'Subsect graf'!$X$4</c:f>
              <c:strCache>
                <c:ptCount val="1"/>
                <c:pt idx="0">
                  <c:v>2020</c:v>
                </c:pt>
              </c:strCache>
            </c:strRef>
          </c:tx>
          <c:spPr>
            <a:solidFill>
              <a:schemeClr val="bg2">
                <a:lumMod val="75000"/>
              </a:schemeClr>
            </a:solidFill>
            <a:ln>
              <a:noFill/>
            </a:ln>
            <a:effectLst/>
          </c:spPr>
          <c:invertIfNegative val="0"/>
          <c:val>
            <c:numRef>
              <c:f>'Subsect graf'!$X$5:$X$17</c:f>
              <c:numCache>
                <c:formatCode>0.0</c:formatCode>
                <c:ptCount val="13"/>
                <c:pt idx="0">
                  <c:v>-7.1718956113892176</c:v>
                </c:pt>
                <c:pt idx="1">
                  <c:v>-1.2552527082770979</c:v>
                </c:pt>
                <c:pt idx="2">
                  <c:v>-3.8847787545255832</c:v>
                </c:pt>
                <c:pt idx="3">
                  <c:v>-3.334530718543391</c:v>
                </c:pt>
                <c:pt idx="4">
                  <c:v>-1.7634376525465001</c:v>
                </c:pt>
                <c:pt idx="5">
                  <c:v>3.0195933743713255</c:v>
                </c:pt>
                <c:pt idx="6">
                  <c:v>4.8128292718126868</c:v>
                </c:pt>
                <c:pt idx="7">
                  <c:v>4.1034687179190712</c:v>
                </c:pt>
                <c:pt idx="8">
                  <c:v>-9.8087025503315672</c:v>
                </c:pt>
                <c:pt idx="9">
                  <c:v>-2.0418774243522244</c:v>
                </c:pt>
                <c:pt idx="10">
                  <c:v>-1.1552889266252038</c:v>
                </c:pt>
                <c:pt idx="11">
                  <c:v>8.7169754994989148</c:v>
                </c:pt>
                <c:pt idx="12">
                  <c:v>-1.68560929755596</c:v>
                </c:pt>
              </c:numCache>
            </c:numRef>
          </c:val>
          <c:extLst>
            <c:ext xmlns:c16="http://schemas.microsoft.com/office/drawing/2014/chart" uri="{C3380CC4-5D6E-409C-BE32-E72D297353CC}">
              <c16:uniqueId val="{00000017-C766-4DB6-925A-649FE5C3FF91}"/>
            </c:ext>
          </c:extLst>
        </c:ser>
        <c:dLbls>
          <c:showLegendKey val="0"/>
          <c:showVal val="0"/>
          <c:showCatName val="0"/>
          <c:showSerName val="0"/>
          <c:showPercent val="0"/>
          <c:showBubbleSize val="0"/>
        </c:dLbls>
        <c:gapWidth val="50"/>
        <c:axId val="239680264"/>
        <c:axId val="239680656"/>
      </c:barChart>
      <c:catAx>
        <c:axId val="23968026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v-LV"/>
          </a:p>
        </c:txPr>
        <c:crossAx val="239680656"/>
        <c:crosses val="autoZero"/>
        <c:auto val="1"/>
        <c:lblAlgn val="ctr"/>
        <c:lblOffset val="100"/>
        <c:noMultiLvlLbl val="0"/>
      </c:catAx>
      <c:valAx>
        <c:axId val="239680656"/>
        <c:scaling>
          <c:orientation val="minMax"/>
          <c:max val="30"/>
          <c:min val="-12"/>
        </c:scaling>
        <c:delete val="0"/>
        <c:axPos val="b"/>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v-LV"/>
          </a:p>
        </c:txPr>
        <c:crossAx val="239680264"/>
        <c:crosses val="autoZero"/>
        <c:crossBetween val="between"/>
        <c:majorUnit val="4"/>
      </c:valAx>
      <c:spPr>
        <a:noFill/>
        <a:ln>
          <a:noFill/>
        </a:ln>
        <a:effectLst/>
      </c:spPr>
    </c:plotArea>
    <c:legend>
      <c:legendPos val="b"/>
      <c:layout>
        <c:manualLayout>
          <c:xMode val="edge"/>
          <c:yMode val="edge"/>
          <c:x val="0.45497443570177964"/>
          <c:y val="0.91298101879489457"/>
          <c:w val="0.30738269977838006"/>
          <c:h val="6.7592596399012231E-2"/>
        </c:manualLayout>
      </c:layout>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v-LV"/>
        </a:p>
      </c:txPr>
    </c:legend>
    <c:plotVisOnly val="1"/>
    <c:dispBlanksAs val="gap"/>
    <c:showDLblsOverMax val="0"/>
  </c:chart>
  <c:spPr>
    <a:solidFill>
      <a:schemeClr val="bg1"/>
    </a:solidFill>
    <a:ln w="9525" cap="flat" cmpd="sng" algn="ctr">
      <a:noFill/>
      <a:round/>
    </a:ln>
    <a:effectLst/>
  </c:spPr>
  <c:txPr>
    <a:bodyPr/>
    <a:lstStyle/>
    <a:p>
      <a:pPr>
        <a:defRPr sz="900">
          <a:solidFill>
            <a:sysClr val="windowText" lastClr="000000"/>
          </a:solidFill>
          <a:latin typeface="Times New Roman" panose="02020603050405020304" pitchFamily="18" charset="0"/>
          <a:cs typeface="Times New Roman" panose="02020603050405020304" pitchFamily="18" charset="0"/>
        </a:defRPr>
      </a:pPr>
      <a:endParaRPr lang="lv-LV"/>
    </a:p>
  </c:txPr>
  <c:externalData r:id="rId4">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6.5447297096964993E-2"/>
          <c:y val="0.11235878882872904"/>
          <c:w val="0.9138012477016686"/>
          <c:h val="0.62928921464775989"/>
        </c:manualLayout>
      </c:layout>
      <c:areaChart>
        <c:grouping val="standard"/>
        <c:varyColors val="0"/>
        <c:ser>
          <c:idx val="0"/>
          <c:order val="0"/>
          <c:tx>
            <c:strRef>
              <c:f>'Apgr. indeksi'!$A$115</c:f>
              <c:strCache>
                <c:ptCount val="1"/>
                <c:pt idx="0">
                  <c:v>Visa apstrādes rūpniecības produkcija</c:v>
                </c:pt>
              </c:strCache>
            </c:strRef>
          </c:tx>
          <c:spPr>
            <a:pattFill prst="pct25">
              <a:fgClr>
                <a:schemeClr val="tx1">
                  <a:lumMod val="50000"/>
                  <a:lumOff val="50000"/>
                </a:schemeClr>
              </a:fgClr>
              <a:bgClr>
                <a:schemeClr val="bg1"/>
              </a:bgClr>
            </a:pattFill>
            <a:ln w="0">
              <a:solidFill>
                <a:schemeClr val="tx1">
                  <a:lumMod val="50000"/>
                  <a:lumOff val="50000"/>
                </a:schemeClr>
              </a:solidFill>
            </a:ln>
            <a:effectLst/>
          </c:spPr>
          <c:cat>
            <c:multiLvlStrRef>
              <c:f>'Apgr. indeksi'!$HJ$111:$IZ$112</c:f>
              <c:multiLvlStrCache>
                <c:ptCount val="43"/>
                <c:lvl>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pt idx="19">
                    <c:v>VIII</c:v>
                  </c:pt>
                  <c:pt idx="20">
                    <c:v>IX</c:v>
                  </c:pt>
                  <c:pt idx="21">
                    <c:v>X</c:v>
                  </c:pt>
                  <c:pt idx="22">
                    <c:v>XI</c:v>
                  </c:pt>
                  <c:pt idx="23">
                    <c:v>XII</c:v>
                  </c:pt>
                  <c:pt idx="24">
                    <c:v>I</c:v>
                  </c:pt>
                  <c:pt idx="25">
                    <c:v>II</c:v>
                  </c:pt>
                  <c:pt idx="26">
                    <c:v>III</c:v>
                  </c:pt>
                  <c:pt idx="27">
                    <c:v>IV</c:v>
                  </c:pt>
                  <c:pt idx="28">
                    <c:v>V</c:v>
                  </c:pt>
                  <c:pt idx="29">
                    <c:v>VI</c:v>
                  </c:pt>
                  <c:pt idx="30">
                    <c:v>VII</c:v>
                  </c:pt>
                  <c:pt idx="31">
                    <c:v>VIII</c:v>
                  </c:pt>
                  <c:pt idx="32">
                    <c:v>IX</c:v>
                  </c:pt>
                  <c:pt idx="33">
                    <c:v>X</c:v>
                  </c:pt>
                  <c:pt idx="34">
                    <c:v>XI</c:v>
                  </c:pt>
                  <c:pt idx="35">
                    <c:v>XII</c:v>
                  </c:pt>
                  <c:pt idx="36">
                    <c:v>I</c:v>
                  </c:pt>
                  <c:pt idx="37">
                    <c:v>II</c:v>
                  </c:pt>
                  <c:pt idx="38">
                    <c:v>III</c:v>
                  </c:pt>
                  <c:pt idx="39">
                    <c:v>VI</c:v>
                  </c:pt>
                  <c:pt idx="40">
                    <c:v>V</c:v>
                  </c:pt>
                  <c:pt idx="41">
                    <c:v>VI</c:v>
                  </c:pt>
                  <c:pt idx="42">
                    <c:v>VII</c:v>
                  </c:pt>
                </c:lvl>
                <c:lvl>
                  <c:pt idx="0">
                    <c:v>2018</c:v>
                  </c:pt>
                  <c:pt idx="12">
                    <c:v>2019</c:v>
                  </c:pt>
                  <c:pt idx="24">
                    <c:v>2020</c:v>
                  </c:pt>
                  <c:pt idx="36">
                    <c:v>2021</c:v>
                  </c:pt>
                </c:lvl>
              </c:multiLvlStrCache>
            </c:multiLvlStrRef>
          </c:cat>
          <c:val>
            <c:numRef>
              <c:f>'Apgr. indeksi'!$HJ$115:$IZ$115</c:f>
              <c:numCache>
                <c:formatCode>0.0</c:formatCode>
                <c:ptCount val="43"/>
                <c:pt idx="0">
                  <c:v>10.620300751879697</c:v>
                </c:pt>
                <c:pt idx="1">
                  <c:v>9.9811676082862562</c:v>
                </c:pt>
                <c:pt idx="2">
                  <c:v>8.2733812949640253</c:v>
                </c:pt>
                <c:pt idx="3">
                  <c:v>6.5934065934065842</c:v>
                </c:pt>
                <c:pt idx="4">
                  <c:v>10</c:v>
                </c:pt>
                <c:pt idx="5">
                  <c:v>8.0071174377224139</c:v>
                </c:pt>
                <c:pt idx="6">
                  <c:v>9.1155234657039728</c:v>
                </c:pt>
                <c:pt idx="7">
                  <c:v>9.4488188976377927</c:v>
                </c:pt>
                <c:pt idx="8">
                  <c:v>8.9380530973451329</c:v>
                </c:pt>
                <c:pt idx="9">
                  <c:v>9.4024604569420092</c:v>
                </c:pt>
                <c:pt idx="10">
                  <c:v>7.101086048454448</c:v>
                </c:pt>
                <c:pt idx="11">
                  <c:v>10.70811744386873</c:v>
                </c:pt>
                <c:pt idx="12">
                  <c:v>1.9541206457094233</c:v>
                </c:pt>
                <c:pt idx="13">
                  <c:v>3.8527397260273943</c:v>
                </c:pt>
                <c:pt idx="14">
                  <c:v>9.1362126245847151</c:v>
                </c:pt>
                <c:pt idx="15">
                  <c:v>8.9347079037800654</c:v>
                </c:pt>
                <c:pt idx="16">
                  <c:v>7.2240259740259773</c:v>
                </c:pt>
                <c:pt idx="17">
                  <c:v>4.6952224052718208</c:v>
                </c:pt>
                <c:pt idx="18">
                  <c:v>8.2712985938783845E-2</c:v>
                </c:pt>
                <c:pt idx="19">
                  <c:v>3.2773780975219751</c:v>
                </c:pt>
                <c:pt idx="20">
                  <c:v>5.6051990251827846</c:v>
                </c:pt>
                <c:pt idx="21">
                  <c:v>8.1124497991967814</c:v>
                </c:pt>
                <c:pt idx="22">
                  <c:v>0.31201248049923436</c:v>
                </c:pt>
                <c:pt idx="23">
                  <c:v>-11.856474258970351</c:v>
                </c:pt>
                <c:pt idx="24">
                  <c:v>1.9166666666666714</c:v>
                </c:pt>
                <c:pt idx="25">
                  <c:v>5.1112943116240785</c:v>
                </c:pt>
                <c:pt idx="26">
                  <c:v>-1.4459665144596698</c:v>
                </c:pt>
                <c:pt idx="27">
                  <c:v>-5.7570977917981025</c:v>
                </c:pt>
                <c:pt idx="28">
                  <c:v>-7.5700227100681303</c:v>
                </c:pt>
                <c:pt idx="29">
                  <c:v>-7.8678206136899576E-2</c:v>
                </c:pt>
                <c:pt idx="30">
                  <c:v>6.0330578512396897</c:v>
                </c:pt>
                <c:pt idx="31">
                  <c:v>0.23219814241487313</c:v>
                </c:pt>
                <c:pt idx="32">
                  <c:v>1.3076923076922924</c:v>
                </c:pt>
                <c:pt idx="33">
                  <c:v>5.5720653789004473</c:v>
                </c:pt>
                <c:pt idx="34">
                  <c:v>6.998444790046662</c:v>
                </c:pt>
                <c:pt idx="35">
                  <c:v>12.389380530973455</c:v>
                </c:pt>
                <c:pt idx="36">
                  <c:v>2.371218315617341</c:v>
                </c:pt>
                <c:pt idx="37">
                  <c:v>2.9803921568627629</c:v>
                </c:pt>
                <c:pt idx="38">
                  <c:v>14.362934362934368</c:v>
                </c:pt>
                <c:pt idx="39">
                  <c:v>26.694560669456067</c:v>
                </c:pt>
                <c:pt idx="40">
                  <c:v>26.04422604422605</c:v>
                </c:pt>
                <c:pt idx="41">
                  <c:v>31.259842519685037</c:v>
                </c:pt>
                <c:pt idx="42">
                  <c:v>26.968043647700696</c:v>
                </c:pt>
              </c:numCache>
            </c:numRef>
          </c:val>
          <c:extLst>
            <c:ext xmlns:c16="http://schemas.microsoft.com/office/drawing/2014/chart" uri="{C3380CC4-5D6E-409C-BE32-E72D297353CC}">
              <c16:uniqueId val="{00000000-CE4C-40C4-BFC7-37E3EA97A5BC}"/>
            </c:ext>
          </c:extLst>
        </c:ser>
        <c:dLbls>
          <c:showLegendKey val="0"/>
          <c:showVal val="0"/>
          <c:showCatName val="0"/>
          <c:showSerName val="0"/>
          <c:showPercent val="0"/>
          <c:showBubbleSize val="0"/>
        </c:dLbls>
        <c:axId val="116528976"/>
        <c:axId val="116529368"/>
      </c:areaChart>
      <c:lineChart>
        <c:grouping val="standard"/>
        <c:varyColors val="0"/>
        <c:ser>
          <c:idx val="1"/>
          <c:order val="1"/>
          <c:tx>
            <c:strRef>
              <c:f>'Apgr. indeksi'!$A$147</c:f>
              <c:strCache>
                <c:ptCount val="1"/>
                <c:pt idx="0">
                  <c:v>Vietējais tirgus</c:v>
                </c:pt>
              </c:strCache>
            </c:strRef>
          </c:tx>
          <c:spPr>
            <a:ln w="28575" cap="rnd">
              <a:solidFill>
                <a:srgbClr val="00B050"/>
              </a:solidFill>
              <a:round/>
            </a:ln>
            <a:effectLst/>
          </c:spPr>
          <c:marker>
            <c:symbol val="none"/>
          </c:marker>
          <c:cat>
            <c:multiLvlStrRef>
              <c:f>'Apgr. indeksi'!$FZ$111:$IZ$112</c:f>
              <c:multiLvlStrCache>
                <c:ptCount val="79"/>
                <c:lvl>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pt idx="19">
                    <c:v>VIII</c:v>
                  </c:pt>
                  <c:pt idx="20">
                    <c:v>IX</c:v>
                  </c:pt>
                  <c:pt idx="21">
                    <c:v>X</c:v>
                  </c:pt>
                  <c:pt idx="22">
                    <c:v>XI</c:v>
                  </c:pt>
                  <c:pt idx="23">
                    <c:v>XII</c:v>
                  </c:pt>
                  <c:pt idx="24">
                    <c:v>I</c:v>
                  </c:pt>
                  <c:pt idx="25">
                    <c:v>II</c:v>
                  </c:pt>
                  <c:pt idx="26">
                    <c:v>III</c:v>
                  </c:pt>
                  <c:pt idx="27">
                    <c:v>IV</c:v>
                  </c:pt>
                  <c:pt idx="28">
                    <c:v>V</c:v>
                  </c:pt>
                  <c:pt idx="29">
                    <c:v>VI</c:v>
                  </c:pt>
                  <c:pt idx="30">
                    <c:v>VII</c:v>
                  </c:pt>
                  <c:pt idx="31">
                    <c:v>VIII</c:v>
                  </c:pt>
                  <c:pt idx="32">
                    <c:v>IX</c:v>
                  </c:pt>
                  <c:pt idx="33">
                    <c:v>X</c:v>
                  </c:pt>
                  <c:pt idx="34">
                    <c:v>XI</c:v>
                  </c:pt>
                  <c:pt idx="35">
                    <c:v>XII</c:v>
                  </c:pt>
                  <c:pt idx="36">
                    <c:v>I</c:v>
                  </c:pt>
                  <c:pt idx="37">
                    <c:v>II</c:v>
                  </c:pt>
                  <c:pt idx="38">
                    <c:v>III</c:v>
                  </c:pt>
                  <c:pt idx="39">
                    <c:v>IV</c:v>
                  </c:pt>
                  <c:pt idx="40">
                    <c:v>V</c:v>
                  </c:pt>
                  <c:pt idx="41">
                    <c:v>VI</c:v>
                  </c:pt>
                  <c:pt idx="42">
                    <c:v>VII</c:v>
                  </c:pt>
                  <c:pt idx="43">
                    <c:v>VIII</c:v>
                  </c:pt>
                  <c:pt idx="44">
                    <c:v>IX</c:v>
                  </c:pt>
                  <c:pt idx="45">
                    <c:v>X</c:v>
                  </c:pt>
                  <c:pt idx="46">
                    <c:v>XI</c:v>
                  </c:pt>
                  <c:pt idx="47">
                    <c:v>XII</c:v>
                  </c:pt>
                  <c:pt idx="48">
                    <c:v>I</c:v>
                  </c:pt>
                  <c:pt idx="49">
                    <c:v>II</c:v>
                  </c:pt>
                  <c:pt idx="50">
                    <c:v>III</c:v>
                  </c:pt>
                  <c:pt idx="51">
                    <c:v>IV</c:v>
                  </c:pt>
                  <c:pt idx="52">
                    <c:v>V</c:v>
                  </c:pt>
                  <c:pt idx="53">
                    <c:v>VI</c:v>
                  </c:pt>
                  <c:pt idx="54">
                    <c:v>VII</c:v>
                  </c:pt>
                  <c:pt idx="55">
                    <c:v>VIII</c:v>
                  </c:pt>
                  <c:pt idx="56">
                    <c:v>IX</c:v>
                  </c:pt>
                  <c:pt idx="57">
                    <c:v>X</c:v>
                  </c:pt>
                  <c:pt idx="58">
                    <c:v>XI</c:v>
                  </c:pt>
                  <c:pt idx="59">
                    <c:v>XII</c:v>
                  </c:pt>
                  <c:pt idx="60">
                    <c:v>I</c:v>
                  </c:pt>
                  <c:pt idx="61">
                    <c:v>II</c:v>
                  </c:pt>
                  <c:pt idx="62">
                    <c:v>III</c:v>
                  </c:pt>
                  <c:pt idx="63">
                    <c:v>IV</c:v>
                  </c:pt>
                  <c:pt idx="64">
                    <c:v>V</c:v>
                  </c:pt>
                  <c:pt idx="65">
                    <c:v>VI</c:v>
                  </c:pt>
                  <c:pt idx="66">
                    <c:v>VII</c:v>
                  </c:pt>
                  <c:pt idx="67">
                    <c:v>VIII</c:v>
                  </c:pt>
                  <c:pt idx="68">
                    <c:v>IX</c:v>
                  </c:pt>
                  <c:pt idx="69">
                    <c:v>X</c:v>
                  </c:pt>
                  <c:pt idx="70">
                    <c:v>XI</c:v>
                  </c:pt>
                  <c:pt idx="71">
                    <c:v>XII</c:v>
                  </c:pt>
                  <c:pt idx="72">
                    <c:v>I</c:v>
                  </c:pt>
                  <c:pt idx="73">
                    <c:v>II</c:v>
                  </c:pt>
                  <c:pt idx="74">
                    <c:v>III</c:v>
                  </c:pt>
                  <c:pt idx="75">
                    <c:v>VI</c:v>
                  </c:pt>
                  <c:pt idx="76">
                    <c:v>V</c:v>
                  </c:pt>
                  <c:pt idx="77">
                    <c:v>VI</c:v>
                  </c:pt>
                  <c:pt idx="78">
                    <c:v>VII</c:v>
                  </c:pt>
                </c:lvl>
                <c:lvl>
                  <c:pt idx="0">
                    <c:v>2015</c:v>
                  </c:pt>
                  <c:pt idx="12">
                    <c:v>2016</c:v>
                  </c:pt>
                  <c:pt idx="24">
                    <c:v>2017</c:v>
                  </c:pt>
                  <c:pt idx="36">
                    <c:v>2018</c:v>
                  </c:pt>
                  <c:pt idx="48">
                    <c:v>2019</c:v>
                  </c:pt>
                  <c:pt idx="60">
                    <c:v>2020</c:v>
                  </c:pt>
                  <c:pt idx="72">
                    <c:v>2021</c:v>
                  </c:pt>
                </c:lvl>
              </c:multiLvlStrCache>
            </c:multiLvlStrRef>
          </c:cat>
          <c:val>
            <c:numRef>
              <c:f>'Apgr. indeksi'!$HJ$150:$IZ$150</c:f>
              <c:numCache>
                <c:formatCode>0.0</c:formatCode>
                <c:ptCount val="43"/>
                <c:pt idx="0">
                  <c:v>13.586413586413599</c:v>
                </c:pt>
                <c:pt idx="1">
                  <c:v>9.4685990338164316</c:v>
                </c:pt>
                <c:pt idx="2">
                  <c:v>12.743190661478607</c:v>
                </c:pt>
                <c:pt idx="3">
                  <c:v>8.095238095238102</c:v>
                </c:pt>
                <c:pt idx="4">
                  <c:v>11.588785046728972</c:v>
                </c:pt>
                <c:pt idx="5">
                  <c:v>8.5205992509363284</c:v>
                </c:pt>
                <c:pt idx="6">
                  <c:v>10.055865921787699</c:v>
                </c:pt>
                <c:pt idx="7">
                  <c:v>8.3180987202924968</c:v>
                </c:pt>
                <c:pt idx="8">
                  <c:v>8.8560885608856097</c:v>
                </c:pt>
                <c:pt idx="9">
                  <c:v>8.1632653061224545</c:v>
                </c:pt>
                <c:pt idx="10">
                  <c:v>7.6576576576576514</c:v>
                </c:pt>
                <c:pt idx="11">
                  <c:v>8.4821428571428612</c:v>
                </c:pt>
                <c:pt idx="12">
                  <c:v>-4.3095866314863684</c:v>
                </c:pt>
                <c:pt idx="13">
                  <c:v>-4.9426301853486336</c:v>
                </c:pt>
                <c:pt idx="14">
                  <c:v>2.0707506471095769</c:v>
                </c:pt>
                <c:pt idx="15">
                  <c:v>6.7841409691629906</c:v>
                </c:pt>
                <c:pt idx="16">
                  <c:v>7.7889447236180729</c:v>
                </c:pt>
                <c:pt idx="17">
                  <c:v>10.353753235547885</c:v>
                </c:pt>
                <c:pt idx="18">
                  <c:v>6.1759729272419577</c:v>
                </c:pt>
                <c:pt idx="19">
                  <c:v>8.438818565400851</c:v>
                </c:pt>
                <c:pt idx="20">
                  <c:v>3.3050847457627128</c:v>
                </c:pt>
                <c:pt idx="21">
                  <c:v>15.866209262435689</c:v>
                </c:pt>
                <c:pt idx="22">
                  <c:v>4.1004184100418399</c:v>
                </c:pt>
                <c:pt idx="23">
                  <c:v>-0.3292181069958815</c:v>
                </c:pt>
                <c:pt idx="24">
                  <c:v>-1.9301470588235219</c:v>
                </c:pt>
                <c:pt idx="25">
                  <c:v>-0.92850510677808984</c:v>
                </c:pt>
                <c:pt idx="26">
                  <c:v>3.5502958579881749</c:v>
                </c:pt>
                <c:pt idx="27">
                  <c:v>-4.9504950495049513</c:v>
                </c:pt>
                <c:pt idx="28">
                  <c:v>-5.2836052836052687</c:v>
                </c:pt>
                <c:pt idx="29">
                  <c:v>-3.7529319781078954</c:v>
                </c:pt>
                <c:pt idx="30">
                  <c:v>-0.95617529880478003</c:v>
                </c:pt>
                <c:pt idx="31">
                  <c:v>-2.7237354085603158</c:v>
                </c:pt>
                <c:pt idx="32">
                  <c:v>1.3945857260049195</c:v>
                </c:pt>
                <c:pt idx="33">
                  <c:v>-3.4048852701702401</c:v>
                </c:pt>
                <c:pt idx="34">
                  <c:v>2.4115755627009605</c:v>
                </c:pt>
                <c:pt idx="35">
                  <c:v>0.16515276630883591</c:v>
                </c:pt>
                <c:pt idx="36">
                  <c:v>0.84348641049672324</c:v>
                </c:pt>
                <c:pt idx="37">
                  <c:v>3.6551077788191151</c:v>
                </c:pt>
                <c:pt idx="38">
                  <c:v>6.5306122448979522</c:v>
                </c:pt>
                <c:pt idx="39">
                  <c:v>16.753472222222214</c:v>
                </c:pt>
                <c:pt idx="40">
                  <c:v>16.406890894175547</c:v>
                </c:pt>
                <c:pt idx="41">
                  <c:v>29.163281884646636</c:v>
                </c:pt>
                <c:pt idx="42">
                  <c:v>26.790024135156884</c:v>
                </c:pt>
              </c:numCache>
            </c:numRef>
          </c:val>
          <c:smooth val="1"/>
          <c:extLst>
            <c:ext xmlns:c16="http://schemas.microsoft.com/office/drawing/2014/chart" uri="{C3380CC4-5D6E-409C-BE32-E72D297353CC}">
              <c16:uniqueId val="{00000001-CE4C-40C4-BFC7-37E3EA97A5BC}"/>
            </c:ext>
          </c:extLst>
        </c:ser>
        <c:ser>
          <c:idx val="2"/>
          <c:order val="2"/>
          <c:tx>
            <c:strRef>
              <c:f>'Apgr. indeksi'!$A$182</c:f>
              <c:strCache>
                <c:ptCount val="1"/>
                <c:pt idx="0">
                  <c:v>Eksports</c:v>
                </c:pt>
              </c:strCache>
            </c:strRef>
          </c:tx>
          <c:spPr>
            <a:ln w="28575" cap="rnd">
              <a:solidFill>
                <a:srgbClr val="0070C0"/>
              </a:solidFill>
              <a:round/>
            </a:ln>
            <a:effectLst/>
          </c:spPr>
          <c:marker>
            <c:symbol val="none"/>
          </c:marker>
          <c:cat>
            <c:multiLvlStrRef>
              <c:f>'Apgr. indeksi'!$FZ$111:$IZ$112</c:f>
              <c:multiLvlStrCache>
                <c:ptCount val="79"/>
                <c:lvl>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pt idx="19">
                    <c:v>VIII</c:v>
                  </c:pt>
                  <c:pt idx="20">
                    <c:v>IX</c:v>
                  </c:pt>
                  <c:pt idx="21">
                    <c:v>X</c:v>
                  </c:pt>
                  <c:pt idx="22">
                    <c:v>XI</c:v>
                  </c:pt>
                  <c:pt idx="23">
                    <c:v>XII</c:v>
                  </c:pt>
                  <c:pt idx="24">
                    <c:v>I</c:v>
                  </c:pt>
                  <c:pt idx="25">
                    <c:v>II</c:v>
                  </c:pt>
                  <c:pt idx="26">
                    <c:v>III</c:v>
                  </c:pt>
                  <c:pt idx="27">
                    <c:v>IV</c:v>
                  </c:pt>
                  <c:pt idx="28">
                    <c:v>V</c:v>
                  </c:pt>
                  <c:pt idx="29">
                    <c:v>VI</c:v>
                  </c:pt>
                  <c:pt idx="30">
                    <c:v>VII</c:v>
                  </c:pt>
                  <c:pt idx="31">
                    <c:v>VIII</c:v>
                  </c:pt>
                  <c:pt idx="32">
                    <c:v>IX</c:v>
                  </c:pt>
                  <c:pt idx="33">
                    <c:v>X</c:v>
                  </c:pt>
                  <c:pt idx="34">
                    <c:v>XI</c:v>
                  </c:pt>
                  <c:pt idx="35">
                    <c:v>XII</c:v>
                  </c:pt>
                  <c:pt idx="36">
                    <c:v>I</c:v>
                  </c:pt>
                  <c:pt idx="37">
                    <c:v>II</c:v>
                  </c:pt>
                  <c:pt idx="38">
                    <c:v>III</c:v>
                  </c:pt>
                  <c:pt idx="39">
                    <c:v>IV</c:v>
                  </c:pt>
                  <c:pt idx="40">
                    <c:v>V</c:v>
                  </c:pt>
                  <c:pt idx="41">
                    <c:v>VI</c:v>
                  </c:pt>
                  <c:pt idx="42">
                    <c:v>VII</c:v>
                  </c:pt>
                  <c:pt idx="43">
                    <c:v>VIII</c:v>
                  </c:pt>
                  <c:pt idx="44">
                    <c:v>IX</c:v>
                  </c:pt>
                  <c:pt idx="45">
                    <c:v>X</c:v>
                  </c:pt>
                  <c:pt idx="46">
                    <c:v>XI</c:v>
                  </c:pt>
                  <c:pt idx="47">
                    <c:v>XII</c:v>
                  </c:pt>
                  <c:pt idx="48">
                    <c:v>I</c:v>
                  </c:pt>
                  <c:pt idx="49">
                    <c:v>II</c:v>
                  </c:pt>
                  <c:pt idx="50">
                    <c:v>III</c:v>
                  </c:pt>
                  <c:pt idx="51">
                    <c:v>IV</c:v>
                  </c:pt>
                  <c:pt idx="52">
                    <c:v>V</c:v>
                  </c:pt>
                  <c:pt idx="53">
                    <c:v>VI</c:v>
                  </c:pt>
                  <c:pt idx="54">
                    <c:v>VII</c:v>
                  </c:pt>
                  <c:pt idx="55">
                    <c:v>VIII</c:v>
                  </c:pt>
                  <c:pt idx="56">
                    <c:v>IX</c:v>
                  </c:pt>
                  <c:pt idx="57">
                    <c:v>X</c:v>
                  </c:pt>
                  <c:pt idx="58">
                    <c:v>XI</c:v>
                  </c:pt>
                  <c:pt idx="59">
                    <c:v>XII</c:v>
                  </c:pt>
                  <c:pt idx="60">
                    <c:v>I</c:v>
                  </c:pt>
                  <c:pt idx="61">
                    <c:v>II</c:v>
                  </c:pt>
                  <c:pt idx="62">
                    <c:v>III</c:v>
                  </c:pt>
                  <c:pt idx="63">
                    <c:v>IV</c:v>
                  </c:pt>
                  <c:pt idx="64">
                    <c:v>V</c:v>
                  </c:pt>
                  <c:pt idx="65">
                    <c:v>VI</c:v>
                  </c:pt>
                  <c:pt idx="66">
                    <c:v>VII</c:v>
                  </c:pt>
                  <c:pt idx="67">
                    <c:v>VIII</c:v>
                  </c:pt>
                  <c:pt idx="68">
                    <c:v>IX</c:v>
                  </c:pt>
                  <c:pt idx="69">
                    <c:v>X</c:v>
                  </c:pt>
                  <c:pt idx="70">
                    <c:v>XI</c:v>
                  </c:pt>
                  <c:pt idx="71">
                    <c:v>XII</c:v>
                  </c:pt>
                  <c:pt idx="72">
                    <c:v>I</c:v>
                  </c:pt>
                  <c:pt idx="73">
                    <c:v>II</c:v>
                  </c:pt>
                  <c:pt idx="74">
                    <c:v>III</c:v>
                  </c:pt>
                  <c:pt idx="75">
                    <c:v>VI</c:v>
                  </c:pt>
                  <c:pt idx="76">
                    <c:v>V</c:v>
                  </c:pt>
                  <c:pt idx="77">
                    <c:v>VI</c:v>
                  </c:pt>
                  <c:pt idx="78">
                    <c:v>VII</c:v>
                  </c:pt>
                </c:lvl>
                <c:lvl>
                  <c:pt idx="0">
                    <c:v>2015</c:v>
                  </c:pt>
                  <c:pt idx="12">
                    <c:v>2016</c:v>
                  </c:pt>
                  <c:pt idx="24">
                    <c:v>2017</c:v>
                  </c:pt>
                  <c:pt idx="36">
                    <c:v>2018</c:v>
                  </c:pt>
                  <c:pt idx="48">
                    <c:v>2019</c:v>
                  </c:pt>
                  <c:pt idx="60">
                    <c:v>2020</c:v>
                  </c:pt>
                  <c:pt idx="72">
                    <c:v>2021</c:v>
                  </c:pt>
                </c:lvl>
              </c:multiLvlStrCache>
            </c:multiLvlStrRef>
          </c:cat>
          <c:val>
            <c:numRef>
              <c:f>'Apgr. indeksi'!$HJ$185:$IZ$185</c:f>
              <c:numCache>
                <c:formatCode>0.0</c:formatCode>
                <c:ptCount val="43"/>
                <c:pt idx="0">
                  <c:v>9.0909090909090935</c:v>
                </c:pt>
                <c:pt idx="1">
                  <c:v>10.204081632653057</c:v>
                </c:pt>
                <c:pt idx="2">
                  <c:v>6.0344827586206833</c:v>
                </c:pt>
                <c:pt idx="3">
                  <c:v>5.7347670250896101</c:v>
                </c:pt>
                <c:pt idx="4">
                  <c:v>9.1463414634146432</c:v>
                </c:pt>
                <c:pt idx="5">
                  <c:v>7.8787878787878753</c:v>
                </c:pt>
                <c:pt idx="6">
                  <c:v>8.6069210292812812</c:v>
                </c:pt>
                <c:pt idx="7">
                  <c:v>10.17094017094017</c:v>
                </c:pt>
                <c:pt idx="8">
                  <c:v>8.9965397923875514</c:v>
                </c:pt>
                <c:pt idx="9">
                  <c:v>9.9829351535836111</c:v>
                </c:pt>
                <c:pt idx="10">
                  <c:v>6.8218298555377288</c:v>
                </c:pt>
                <c:pt idx="11">
                  <c:v>11.959287531806609</c:v>
                </c:pt>
                <c:pt idx="12">
                  <c:v>5.25</c:v>
                </c:pt>
                <c:pt idx="13">
                  <c:v>8.5858585858585883</c:v>
                </c:pt>
                <c:pt idx="14">
                  <c:v>12.845528455284565</c:v>
                </c:pt>
                <c:pt idx="15">
                  <c:v>10.169491525423723</c:v>
                </c:pt>
                <c:pt idx="16">
                  <c:v>6.9433359936153209</c:v>
                </c:pt>
                <c:pt idx="17">
                  <c:v>1.68539325842697</c:v>
                </c:pt>
                <c:pt idx="18">
                  <c:v>-3.1862745098039227</c:v>
                </c:pt>
                <c:pt idx="19">
                  <c:v>0.5430566330488773</c:v>
                </c:pt>
                <c:pt idx="20">
                  <c:v>6.9047619047618838</c:v>
                </c:pt>
                <c:pt idx="21">
                  <c:v>4.1892940263770413</c:v>
                </c:pt>
                <c:pt idx="22">
                  <c:v>-1.6528925619834638</c:v>
                </c:pt>
                <c:pt idx="23">
                  <c:v>-17.878787878787875</c:v>
                </c:pt>
                <c:pt idx="24">
                  <c:v>3.8796516231195426</c:v>
                </c:pt>
                <c:pt idx="25">
                  <c:v>7.9844961240310255</c:v>
                </c:pt>
                <c:pt idx="26">
                  <c:v>-3.8184438040345867</c:v>
                </c:pt>
                <c:pt idx="27">
                  <c:v>-6.2307692307692264</c:v>
                </c:pt>
                <c:pt idx="28">
                  <c:v>-8.7313432835820919</c:v>
                </c:pt>
                <c:pt idx="29">
                  <c:v>1.9731649565903524</c:v>
                </c:pt>
                <c:pt idx="30">
                  <c:v>10.210970464135016</c:v>
                </c:pt>
                <c:pt idx="31">
                  <c:v>1.8518518518518619</c:v>
                </c:pt>
                <c:pt idx="32">
                  <c:v>1.1135857461024443</c:v>
                </c:pt>
                <c:pt idx="33">
                  <c:v>10.647803425167524</c:v>
                </c:pt>
                <c:pt idx="34">
                  <c:v>9.4728800611153616</c:v>
                </c:pt>
                <c:pt idx="35">
                  <c:v>20.110701107011053</c:v>
                </c:pt>
                <c:pt idx="36">
                  <c:v>3.0487804878048763</c:v>
                </c:pt>
                <c:pt idx="37">
                  <c:v>2.6561378320172224</c:v>
                </c:pt>
                <c:pt idx="38">
                  <c:v>18.352059925093627</c:v>
                </c:pt>
                <c:pt idx="39">
                  <c:v>32.075471698113205</c:v>
                </c:pt>
                <c:pt idx="40">
                  <c:v>31.316434995911692</c:v>
                </c:pt>
                <c:pt idx="41">
                  <c:v>32.430340557275542</c:v>
                </c:pt>
                <c:pt idx="42">
                  <c:v>27.105666156202147</c:v>
                </c:pt>
              </c:numCache>
            </c:numRef>
          </c:val>
          <c:smooth val="1"/>
          <c:extLst>
            <c:ext xmlns:c16="http://schemas.microsoft.com/office/drawing/2014/chart" uri="{C3380CC4-5D6E-409C-BE32-E72D297353CC}">
              <c16:uniqueId val="{00000002-CE4C-40C4-BFC7-37E3EA97A5BC}"/>
            </c:ext>
          </c:extLst>
        </c:ser>
        <c:dLbls>
          <c:showLegendKey val="0"/>
          <c:showVal val="0"/>
          <c:showCatName val="0"/>
          <c:showSerName val="0"/>
          <c:showPercent val="0"/>
          <c:showBubbleSize val="0"/>
        </c:dLbls>
        <c:marker val="1"/>
        <c:smooth val="0"/>
        <c:axId val="116528976"/>
        <c:axId val="116529368"/>
      </c:lineChart>
      <c:catAx>
        <c:axId val="116528976"/>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lv-LV"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v-LV"/>
          </a:p>
        </c:txPr>
        <c:crossAx val="116529368"/>
        <c:crosses val="autoZero"/>
        <c:auto val="1"/>
        <c:lblAlgn val="ctr"/>
        <c:lblOffset val="100"/>
        <c:noMultiLvlLbl val="0"/>
      </c:catAx>
      <c:valAx>
        <c:axId val="116529368"/>
        <c:scaling>
          <c:orientation val="minMax"/>
          <c:max val="40"/>
          <c:min val="-20"/>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lang="lv-LV"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v-LV"/>
          </a:p>
        </c:txPr>
        <c:crossAx val="116528976"/>
        <c:crosses val="autoZero"/>
        <c:crossBetween val="between"/>
      </c:valAx>
      <c:spPr>
        <a:noFill/>
        <a:ln>
          <a:noFill/>
        </a:ln>
        <a:effectLst/>
      </c:spPr>
    </c:plotArea>
    <c:legend>
      <c:legendPos val="b"/>
      <c:layout>
        <c:manualLayout>
          <c:xMode val="edge"/>
          <c:yMode val="edge"/>
          <c:x val="5.2407803105998699E-2"/>
          <c:y val="0.91412958722949234"/>
          <c:w val="0.9"/>
          <c:h val="8.5870412770507706E-2"/>
        </c:manualLayout>
      </c:layout>
      <c:overlay val="0"/>
      <c:spPr>
        <a:noFill/>
        <a:ln>
          <a:noFill/>
        </a:ln>
        <a:effectLst/>
      </c:spPr>
      <c:txPr>
        <a:bodyPr rot="0" spcFirstLastPara="1" vertOverflow="ellipsis" vert="horz" wrap="square" anchor="ctr" anchorCtr="1"/>
        <a:lstStyle/>
        <a:p>
          <a:pPr>
            <a:defRPr lang="lv-LV"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v-LV"/>
        </a:p>
      </c:txPr>
    </c:legend>
    <c:plotVisOnly val="1"/>
    <c:dispBlanksAs val="gap"/>
    <c:showDLblsOverMax val="0"/>
  </c:chart>
  <c:spPr>
    <a:solidFill>
      <a:schemeClr val="bg1"/>
    </a:solidFill>
    <a:ln w="9525" cap="flat" cmpd="sng" algn="ctr">
      <a:noFill/>
      <a:round/>
    </a:ln>
    <a:effectLst/>
  </c:spPr>
  <c:txPr>
    <a:bodyPr/>
    <a:lstStyle/>
    <a:p>
      <a:pPr algn="ctr">
        <a:defRPr lang="lv-LV"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v-LV"/>
    </a:p>
  </c:txPr>
  <c:externalData r:id="rId4">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6.3280385868711139E-2"/>
          <c:y val="3.6107487303732012E-2"/>
          <c:w val="0.91036442045080024"/>
          <c:h val="0.5732768726646762"/>
        </c:manualLayout>
      </c:layout>
      <c:barChart>
        <c:barDir val="col"/>
        <c:grouping val="clustered"/>
        <c:varyColors val="0"/>
        <c:ser>
          <c:idx val="0"/>
          <c:order val="0"/>
          <c:spPr>
            <a:solidFill>
              <a:schemeClr val="tx1">
                <a:lumMod val="65000"/>
                <a:lumOff val="35000"/>
              </a:schemeClr>
            </a:solidFill>
            <a:ln>
              <a:noFill/>
            </a:ln>
            <a:effectLst/>
          </c:spPr>
          <c:invertIfNegative val="0"/>
          <c:dPt>
            <c:idx val="1"/>
            <c:invertIfNegative val="0"/>
            <c:bubble3D val="0"/>
            <c:extLst>
              <c:ext xmlns:c16="http://schemas.microsoft.com/office/drawing/2014/chart" uri="{C3380CC4-5D6E-409C-BE32-E72D297353CC}">
                <c16:uniqueId val="{00000000-5B27-4997-9BEE-3516FE685351}"/>
              </c:ext>
            </c:extLst>
          </c:dPt>
          <c:dPt>
            <c:idx val="2"/>
            <c:invertIfNegative val="0"/>
            <c:bubble3D val="0"/>
            <c:spPr>
              <a:solidFill>
                <a:srgbClr val="FF0000"/>
              </a:solidFill>
              <a:ln>
                <a:noFill/>
              </a:ln>
              <a:effectLst/>
            </c:spPr>
            <c:extLst>
              <c:ext xmlns:c16="http://schemas.microsoft.com/office/drawing/2014/chart" uri="{C3380CC4-5D6E-409C-BE32-E72D297353CC}">
                <c16:uniqueId val="{00000002-5B27-4997-9BEE-3516FE685351}"/>
              </c:ext>
            </c:extLst>
          </c:dPt>
          <c:dPt>
            <c:idx val="5"/>
            <c:invertIfNegative val="0"/>
            <c:bubble3D val="0"/>
            <c:spPr>
              <a:solidFill>
                <a:srgbClr val="00B0F0"/>
              </a:solidFill>
              <a:ln>
                <a:noFill/>
              </a:ln>
              <a:effectLst/>
            </c:spPr>
            <c:extLst>
              <c:ext xmlns:c16="http://schemas.microsoft.com/office/drawing/2014/chart" uri="{C3380CC4-5D6E-409C-BE32-E72D297353CC}">
                <c16:uniqueId val="{00000004-5B27-4997-9BEE-3516FE685351}"/>
              </c:ext>
            </c:extLst>
          </c:dPt>
          <c:dPt>
            <c:idx val="8"/>
            <c:invertIfNegative val="0"/>
            <c:bubble3D val="0"/>
            <c:extLst>
              <c:ext xmlns:c16="http://schemas.microsoft.com/office/drawing/2014/chart" uri="{C3380CC4-5D6E-409C-BE32-E72D297353CC}">
                <c16:uniqueId val="{00000005-5B27-4997-9BEE-3516FE685351}"/>
              </c:ext>
            </c:extLst>
          </c:dPt>
          <c:dPt>
            <c:idx val="12"/>
            <c:invertIfNegative val="0"/>
            <c:bubble3D val="0"/>
            <c:spPr>
              <a:solidFill>
                <a:schemeClr val="accent1">
                  <a:lumMod val="75000"/>
                </a:schemeClr>
              </a:solidFill>
              <a:ln>
                <a:noFill/>
              </a:ln>
              <a:effectLst/>
            </c:spPr>
            <c:extLst>
              <c:ext xmlns:c16="http://schemas.microsoft.com/office/drawing/2014/chart" uri="{C3380CC4-5D6E-409C-BE32-E72D297353CC}">
                <c16:uniqueId val="{00000007-5B27-4997-9BEE-3516FE685351}"/>
              </c:ext>
            </c:extLst>
          </c:dPt>
          <c:dPt>
            <c:idx val="14"/>
            <c:invertIfNegative val="0"/>
            <c:bubble3D val="0"/>
            <c:spPr>
              <a:solidFill>
                <a:srgbClr val="00B050"/>
              </a:solidFill>
              <a:ln>
                <a:noFill/>
              </a:ln>
              <a:effectLst/>
            </c:spPr>
            <c:extLst>
              <c:ext xmlns:c16="http://schemas.microsoft.com/office/drawing/2014/chart" uri="{C3380CC4-5D6E-409C-BE32-E72D297353CC}">
                <c16:uniqueId val="{00000009-5B27-4997-9BEE-3516FE685351}"/>
              </c:ext>
            </c:extLst>
          </c:dPt>
          <c:dPt>
            <c:idx val="16"/>
            <c:invertIfNegative val="0"/>
            <c:bubble3D val="0"/>
            <c:extLst>
              <c:ext xmlns:c16="http://schemas.microsoft.com/office/drawing/2014/chart" uri="{C3380CC4-5D6E-409C-BE32-E72D297353CC}">
                <c16:uniqueId val="{0000000A-5B27-4997-9BEE-3516FE685351}"/>
              </c:ext>
            </c:extLst>
          </c:dPt>
          <c:dLbls>
            <c:dLbl>
              <c:idx val="2"/>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5B27-4997-9BEE-3516FE685351}"/>
                </c:ext>
              </c:extLst>
            </c:dLbl>
            <c:dLbl>
              <c:idx val="5"/>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5B27-4997-9BEE-3516FE685351}"/>
                </c:ext>
              </c:extLst>
            </c:dLbl>
            <c:dLbl>
              <c:idx val="12"/>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5B27-4997-9BEE-3516FE685351}"/>
                </c:ext>
              </c:extLst>
            </c:dLbl>
            <c:dLbl>
              <c:idx val="14"/>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5B27-4997-9BEE-3516FE685351}"/>
                </c:ext>
              </c:extLst>
            </c:dLbl>
            <c:spPr>
              <a:noFill/>
              <a:ln>
                <a:noFill/>
              </a:ln>
              <a:effectLst/>
            </c:spPr>
            <c:showLegendKey val="0"/>
            <c:showVal val="0"/>
            <c:showCatName val="0"/>
            <c:showSerName val="0"/>
            <c:showPercent val="0"/>
            <c:showBubbleSize val="0"/>
            <c:extLst>
              <c:ext xmlns:c15="http://schemas.microsoft.com/office/drawing/2012/chart" uri="{CE6537A1-D6FC-4f65-9D91-7224C49458BB}">
                <c15:showLeaderLines val="1"/>
              </c:ext>
            </c:extLst>
          </c:dLbls>
          <c:cat>
            <c:strRef>
              <c:f>Sheet1!$A$14:$A$40</c:f>
              <c:strCache>
                <c:ptCount val="27"/>
                <c:pt idx="0">
                  <c:v>Dānija</c:v>
                </c:pt>
                <c:pt idx="1">
                  <c:v>Malta</c:v>
                </c:pt>
                <c:pt idx="2">
                  <c:v>Latvija</c:v>
                </c:pt>
                <c:pt idx="3">
                  <c:v>Grieķija</c:v>
                </c:pt>
                <c:pt idx="4">
                  <c:v>Horvātija</c:v>
                </c:pt>
                <c:pt idx="5">
                  <c:v>Igaunija</c:v>
                </c:pt>
                <c:pt idx="6">
                  <c:v>Nīderlande</c:v>
                </c:pt>
                <c:pt idx="7">
                  <c:v>Bulgārija</c:v>
                </c:pt>
                <c:pt idx="8">
                  <c:v>Vācija</c:v>
                </c:pt>
                <c:pt idx="9">
                  <c:v>Kipra</c:v>
                </c:pt>
                <c:pt idx="10">
                  <c:v>Francija</c:v>
                </c:pt>
                <c:pt idx="11">
                  <c:v>Zviedrija</c:v>
                </c:pt>
                <c:pt idx="12">
                  <c:v>ES-27</c:v>
                </c:pt>
                <c:pt idx="13">
                  <c:v>Luksemburga</c:v>
                </c:pt>
                <c:pt idx="14">
                  <c:v>Lietuva</c:v>
                </c:pt>
                <c:pt idx="15">
                  <c:v>Austrija</c:v>
                </c:pt>
                <c:pt idx="16">
                  <c:v>Beļģija</c:v>
                </c:pt>
                <c:pt idx="17">
                  <c:v>Portugāle</c:v>
                </c:pt>
                <c:pt idx="18">
                  <c:v>Slovēnija</c:v>
                </c:pt>
                <c:pt idx="19">
                  <c:v>Spānija</c:v>
                </c:pt>
                <c:pt idx="20">
                  <c:v>Čehija</c:v>
                </c:pt>
                <c:pt idx="21">
                  <c:v>Polija</c:v>
                </c:pt>
                <c:pt idx="22">
                  <c:v>Itālija</c:v>
                </c:pt>
                <c:pt idx="23">
                  <c:v>Rumānija</c:v>
                </c:pt>
                <c:pt idx="24">
                  <c:v>Ungārija</c:v>
                </c:pt>
                <c:pt idx="25">
                  <c:v>Slovākija</c:v>
                </c:pt>
                <c:pt idx="26">
                  <c:v>Īrija</c:v>
                </c:pt>
              </c:strCache>
            </c:strRef>
          </c:cat>
          <c:val>
            <c:numRef>
              <c:f>Sheet1!$AC$14:$AC$39</c:f>
              <c:numCache>
                <c:formatCode>0.0</c:formatCode>
                <c:ptCount val="26"/>
                <c:pt idx="0">
                  <c:v>7.7858880778588713</c:v>
                </c:pt>
                <c:pt idx="1">
                  <c:v>12.608695652173907</c:v>
                </c:pt>
                <c:pt idx="2">
                  <c:v>14.188998589562743</c:v>
                </c:pt>
                <c:pt idx="3">
                  <c:v>14.477379095163812</c:v>
                </c:pt>
                <c:pt idx="4">
                  <c:v>14.59386585776879</c:v>
                </c:pt>
                <c:pt idx="5">
                  <c:v>15.251196172248811</c:v>
                </c:pt>
                <c:pt idx="6">
                  <c:v>15.942524803284286</c:v>
                </c:pt>
                <c:pt idx="7">
                  <c:v>18.382602786272528</c:v>
                </c:pt>
                <c:pt idx="8">
                  <c:v>19.614417435037709</c:v>
                </c:pt>
                <c:pt idx="9">
                  <c:v>20.307960488088298</c:v>
                </c:pt>
                <c:pt idx="10">
                  <c:v>23.529411764705912</c:v>
                </c:pt>
                <c:pt idx="11">
                  <c:v>23.564954682779472</c:v>
                </c:pt>
                <c:pt idx="12">
                  <c:v>24.311748739821667</c:v>
                </c:pt>
                <c:pt idx="13">
                  <c:v>24.580536912751697</c:v>
                </c:pt>
                <c:pt idx="14">
                  <c:v>24.692837878333819</c:v>
                </c:pt>
                <c:pt idx="15">
                  <c:v>25.205577404361819</c:v>
                </c:pt>
                <c:pt idx="16">
                  <c:v>26.90019828155981</c:v>
                </c:pt>
                <c:pt idx="17">
                  <c:v>27.315208156329646</c:v>
                </c:pt>
                <c:pt idx="18">
                  <c:v>27.373271889400925</c:v>
                </c:pt>
                <c:pt idx="19">
                  <c:v>30.476571886263514</c:v>
                </c:pt>
                <c:pt idx="20">
                  <c:v>31.061978977890533</c:v>
                </c:pt>
                <c:pt idx="21">
                  <c:v>32.496823379923768</c:v>
                </c:pt>
                <c:pt idx="22">
                  <c:v>35.773366418527701</c:v>
                </c:pt>
                <c:pt idx="23">
                  <c:v>36.022944550669223</c:v>
                </c:pt>
                <c:pt idx="24">
                  <c:v>38.204357625845233</c:v>
                </c:pt>
                <c:pt idx="25">
                  <c:v>40.000000000000028</c:v>
                </c:pt>
              </c:numCache>
            </c:numRef>
          </c:val>
          <c:extLst>
            <c:ext xmlns:c16="http://schemas.microsoft.com/office/drawing/2014/chart" uri="{C3380CC4-5D6E-409C-BE32-E72D297353CC}">
              <c16:uniqueId val="{0000000B-5B27-4997-9BEE-3516FE685351}"/>
            </c:ext>
          </c:extLst>
        </c:ser>
        <c:dLbls>
          <c:showLegendKey val="0"/>
          <c:showVal val="0"/>
          <c:showCatName val="0"/>
          <c:showSerName val="0"/>
          <c:showPercent val="0"/>
          <c:showBubbleSize val="0"/>
        </c:dLbls>
        <c:gapWidth val="50"/>
        <c:overlap val="-27"/>
        <c:axId val="385252536"/>
        <c:axId val="1"/>
      </c:barChart>
      <c:catAx>
        <c:axId val="385252536"/>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5400000" vert="horz"/>
          <a:lstStyle/>
          <a:p>
            <a:pPr>
              <a:defRPr/>
            </a:pPr>
            <a:endParaRPr lang="lv-LV"/>
          </a:p>
        </c:txPr>
        <c:crossAx val="1"/>
        <c:crosses val="autoZero"/>
        <c:auto val="1"/>
        <c:lblAlgn val="ctr"/>
        <c:lblOffset val="100"/>
        <c:noMultiLvlLbl val="0"/>
      </c:catAx>
      <c:valAx>
        <c:axId val="1"/>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vert="horz"/>
          <a:lstStyle/>
          <a:p>
            <a:pPr>
              <a:defRPr/>
            </a:pPr>
            <a:endParaRPr lang="lv-LV"/>
          </a:p>
        </c:txPr>
        <c:crossAx val="385252536"/>
        <c:crosses val="autoZero"/>
        <c:crossBetween val="between"/>
      </c:valAx>
      <c:spPr>
        <a:noFill/>
        <a:ln w="25400">
          <a:noFill/>
        </a:ln>
      </c:spPr>
    </c:plotArea>
    <c:plotVisOnly val="1"/>
    <c:dispBlanksAs val="gap"/>
    <c:showDLblsOverMax val="0"/>
  </c:chart>
  <c:spPr>
    <a:solidFill>
      <a:schemeClr val="bg1"/>
    </a:solidFill>
    <a:ln w="9525" cap="flat" cmpd="sng" algn="ctr">
      <a:noFill/>
      <a:round/>
    </a:ln>
    <a:effectLst/>
  </c:spPr>
  <c:txPr>
    <a:bodyPr/>
    <a:lstStyle/>
    <a:p>
      <a:pPr>
        <a:defRPr sz="900">
          <a:latin typeface="Times New Roman" panose="02020603050405020304" pitchFamily="18" charset="0"/>
          <a:cs typeface="Times New Roman" panose="02020603050405020304" pitchFamily="18" charset="0"/>
        </a:defRPr>
      </a:pPr>
      <a:endParaRPr lang="lv-LV"/>
    </a:p>
  </c:txPr>
  <c:externalData r:id="rId2">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27479155730533683"/>
          <c:y val="2.7534735605601744E-2"/>
          <c:w val="0.45041688538932639"/>
          <c:h val="0.94493052878879658"/>
        </c:manualLayout>
      </c:layout>
      <c:pieChart>
        <c:varyColors val="1"/>
        <c:ser>
          <c:idx val="0"/>
          <c:order val="0"/>
          <c:dPt>
            <c:idx val="0"/>
            <c:bubble3D val="0"/>
            <c:spPr>
              <a:pattFill prst="dkUpDiag">
                <a:fgClr>
                  <a:schemeClr val="accent1">
                    <a:lumMod val="60000"/>
                    <a:lumOff val="40000"/>
                  </a:schemeClr>
                </a:fgClr>
                <a:bgClr>
                  <a:schemeClr val="bg1"/>
                </a:bgClr>
              </a:pattFill>
              <a:ln w="19050">
                <a:solidFill>
                  <a:schemeClr val="lt1"/>
                </a:solidFill>
              </a:ln>
              <a:effectLst/>
            </c:spPr>
            <c:extLst>
              <c:ext xmlns:c16="http://schemas.microsoft.com/office/drawing/2014/chart" uri="{C3380CC4-5D6E-409C-BE32-E72D297353CC}">
                <c16:uniqueId val="{00000001-4C33-491A-BD7A-3812784FF8FA}"/>
              </c:ext>
            </c:extLst>
          </c:dPt>
          <c:dPt>
            <c:idx val="1"/>
            <c:bubble3D val="0"/>
            <c:spPr>
              <a:pattFill prst="dkUpDiag">
                <a:fgClr>
                  <a:schemeClr val="accent6">
                    <a:lumMod val="60000"/>
                    <a:lumOff val="40000"/>
                  </a:schemeClr>
                </a:fgClr>
                <a:bgClr>
                  <a:schemeClr val="bg1"/>
                </a:bgClr>
              </a:pattFill>
              <a:ln w="19050">
                <a:solidFill>
                  <a:schemeClr val="lt1"/>
                </a:solidFill>
              </a:ln>
              <a:effectLst/>
            </c:spPr>
            <c:extLst>
              <c:ext xmlns:c16="http://schemas.microsoft.com/office/drawing/2014/chart" uri="{C3380CC4-5D6E-409C-BE32-E72D297353CC}">
                <c16:uniqueId val="{00000003-4C33-491A-BD7A-3812784FF8FA}"/>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4C33-491A-BD7A-3812784FF8FA}"/>
              </c:ext>
            </c:extLst>
          </c:dPt>
          <c:dLbls>
            <c:dLbl>
              <c:idx val="0"/>
              <c:layout>
                <c:manualLayout>
                  <c:x val="0.18745559930008748"/>
                  <c:y val="5.9731934731934729E-2"/>
                </c:manualLayout>
              </c:layout>
              <c:dLblPos val="bestFit"/>
              <c:showLegendKey val="0"/>
              <c:showVal val="1"/>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1-4C33-491A-BD7A-3812784FF8FA}"/>
                </c:ext>
              </c:extLst>
            </c:dLbl>
            <c:dLbl>
              <c:idx val="1"/>
              <c:layout>
                <c:manualLayout>
                  <c:x val="1.2753062117235345E-2"/>
                  <c:y val="1.2926509186351706E-2"/>
                </c:manualLayout>
              </c:layout>
              <c:tx>
                <c:rich>
                  <a:bodyPr/>
                  <a:lstStyle/>
                  <a:p>
                    <a:fld id="{BD8452DF-67D9-4031-8CD4-8BDE183208C3}" type="CATEGORYNAME">
                      <a:rPr lang="en-US"/>
                      <a:pPr/>
                      <a:t>[CATEGORY NAME]</a:t>
                    </a:fld>
                    <a:r>
                      <a:rPr lang="en-US" baseline="0"/>
                      <a:t>; 46%</a:t>
                    </a:r>
                  </a:p>
                </c:rich>
              </c:tx>
              <c:dLblPos val="bestFit"/>
              <c:showLegendKey val="0"/>
              <c:showVal val="1"/>
              <c:showCatName val="1"/>
              <c:showSerName val="0"/>
              <c:showPercent val="0"/>
              <c:showBubbleSize val="0"/>
              <c:extLst>
                <c:ext xmlns:c15="http://schemas.microsoft.com/office/drawing/2012/chart" uri="{CE6537A1-D6FC-4f65-9D91-7224C49458BB}">
                  <c15:layout>
                    <c:manualLayout>
                      <c:w val="0.25705555555555554"/>
                      <c:h val="0.20911123630344874"/>
                    </c:manualLayout>
                  </c15:layout>
                  <c15:dlblFieldTable/>
                  <c15:showDataLabelsRange val="0"/>
                </c:ext>
                <c:ext xmlns:c16="http://schemas.microsoft.com/office/drawing/2014/chart" uri="{C3380CC4-5D6E-409C-BE32-E72D297353CC}">
                  <c16:uniqueId val="{00000003-4C33-491A-BD7A-3812784FF8FA}"/>
                </c:ext>
              </c:extLst>
            </c:dLbl>
            <c:dLbl>
              <c:idx val="2"/>
              <c:layout>
                <c:manualLayout>
                  <c:x val="9.2323928258967597E-3"/>
                  <c:y val="0.40894568030394801"/>
                </c:manualLayout>
              </c:layout>
              <c:dLblPos val="bestFit"/>
              <c:showLegendKey val="0"/>
              <c:showVal val="1"/>
              <c:showCatName val="1"/>
              <c:showSerName val="0"/>
              <c:showPercent val="0"/>
              <c:showBubbleSize val="0"/>
              <c:extLst>
                <c:ext xmlns:c15="http://schemas.microsoft.com/office/drawing/2012/chart" uri="{CE6537A1-D6FC-4f65-9D91-7224C49458BB}">
                  <c15:layout>
                    <c:manualLayout>
                      <c:w val="0.25427777777777771"/>
                      <c:h val="0.2534817299251903"/>
                    </c:manualLayout>
                  </c15:layout>
                </c:ext>
                <c:ext xmlns:c16="http://schemas.microsoft.com/office/drawing/2014/chart" uri="{C3380CC4-5D6E-409C-BE32-E72D297353CC}">
                  <c16:uniqueId val="{00000005-4C33-491A-BD7A-3812784FF8FA}"/>
                </c:ext>
              </c:extLst>
            </c:dLbl>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v-LV"/>
              </a:p>
            </c:txPr>
            <c:dLblPos val="bestFit"/>
            <c:showLegendKey val="0"/>
            <c:showVal val="1"/>
            <c:showCatName val="1"/>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'Tirdzniecība(G)'!$B$8:$B$10</c:f>
              <c:strCache>
                <c:ptCount val="3"/>
                <c:pt idx="0">
                  <c:v>Automobiļu un motociklu tirdzniecība un remonts</c:v>
                </c:pt>
                <c:pt idx="1">
                  <c:v>Vairumtirdzniecība</c:v>
                </c:pt>
                <c:pt idx="2">
                  <c:v>Mazumtirdzniecība</c:v>
                </c:pt>
              </c:strCache>
            </c:strRef>
          </c:cat>
          <c:val>
            <c:numRef>
              <c:f>'Tirdzniecība(G)'!$N$8:$N$10</c:f>
              <c:numCache>
                <c:formatCode>0%</c:formatCode>
                <c:ptCount val="3"/>
                <c:pt idx="0">
                  <c:v>0.10722396279908947</c:v>
                </c:pt>
                <c:pt idx="1">
                  <c:v>0.46546956034527581</c:v>
                </c:pt>
                <c:pt idx="2">
                  <c:v>0.42730647685563461</c:v>
                </c:pt>
              </c:numCache>
            </c:numRef>
          </c:val>
          <c:extLst>
            <c:ext xmlns:c16="http://schemas.microsoft.com/office/drawing/2014/chart" uri="{C3380CC4-5D6E-409C-BE32-E72D297353CC}">
              <c16:uniqueId val="{00000006-4C33-491A-BD7A-3812784FF8FA}"/>
            </c:ext>
          </c:extLst>
        </c:ser>
        <c:dLbls>
          <c:dLblPos val="bestFit"/>
          <c:showLegendKey val="0"/>
          <c:showVal val="1"/>
          <c:showCatName val="0"/>
          <c:showSerName val="0"/>
          <c:showPercent val="0"/>
          <c:showBubbleSize val="0"/>
          <c:showLeaderLines val="1"/>
        </c:dLbls>
        <c:firstSliceAng val="0"/>
      </c:pieChart>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900">
          <a:solidFill>
            <a:sysClr val="windowText" lastClr="000000"/>
          </a:solidFill>
          <a:latin typeface="Times New Roman" panose="02020603050405020304" pitchFamily="18" charset="0"/>
          <a:cs typeface="Times New Roman" panose="02020603050405020304" pitchFamily="18" charset="0"/>
        </a:defRPr>
      </a:pPr>
      <a:endParaRPr lang="lv-LV"/>
    </a:p>
  </c:txPr>
  <c:externalData r:id="rId4">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barChart>
        <c:barDir val="col"/>
        <c:grouping val="stacked"/>
        <c:varyColors val="0"/>
        <c:ser>
          <c:idx val="1"/>
          <c:order val="1"/>
          <c:tx>
            <c:strRef>
              <c:f>Mazumtirdzniecība!$L$2</c:f>
              <c:strCache>
                <c:ptCount val="1"/>
                <c:pt idx="0">
                  <c:v>Degviela</c:v>
                </c:pt>
              </c:strCache>
            </c:strRef>
          </c:tx>
          <c:spPr>
            <a:solidFill>
              <a:schemeClr val="tx1">
                <a:lumMod val="50000"/>
                <a:lumOff val="50000"/>
              </a:schemeClr>
            </a:solidFill>
            <a:ln>
              <a:solidFill>
                <a:schemeClr val="tx1">
                  <a:lumMod val="50000"/>
                  <a:lumOff val="50000"/>
                </a:schemeClr>
              </a:solidFill>
            </a:ln>
            <a:effectLst/>
          </c:spPr>
          <c:invertIfNegative val="0"/>
          <c:cat>
            <c:multiLvlStrRef>
              <c:f>Mazumtirdzniecība!$A$219:$B$261</c:f>
              <c:multiLvlStrCache>
                <c:ptCount val="43"/>
                <c:lvl>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pt idx="19">
                    <c:v>VIII</c:v>
                  </c:pt>
                  <c:pt idx="20">
                    <c:v>IX</c:v>
                  </c:pt>
                  <c:pt idx="21">
                    <c:v>X</c:v>
                  </c:pt>
                  <c:pt idx="22">
                    <c:v>XI</c:v>
                  </c:pt>
                  <c:pt idx="23">
                    <c:v>XII</c:v>
                  </c:pt>
                  <c:pt idx="24">
                    <c:v>I</c:v>
                  </c:pt>
                  <c:pt idx="25">
                    <c:v>II</c:v>
                  </c:pt>
                  <c:pt idx="26">
                    <c:v>III</c:v>
                  </c:pt>
                  <c:pt idx="27">
                    <c:v>IV</c:v>
                  </c:pt>
                  <c:pt idx="28">
                    <c:v>V</c:v>
                  </c:pt>
                  <c:pt idx="29">
                    <c:v>VI</c:v>
                  </c:pt>
                  <c:pt idx="30">
                    <c:v>VII</c:v>
                  </c:pt>
                  <c:pt idx="31">
                    <c:v>VIII</c:v>
                  </c:pt>
                  <c:pt idx="32">
                    <c:v>IX</c:v>
                  </c:pt>
                  <c:pt idx="33">
                    <c:v>X</c:v>
                  </c:pt>
                  <c:pt idx="34">
                    <c:v>XI</c:v>
                  </c:pt>
                  <c:pt idx="35">
                    <c:v>XII</c:v>
                  </c:pt>
                  <c:pt idx="36">
                    <c:v>I</c:v>
                  </c:pt>
                  <c:pt idx="37">
                    <c:v>II</c:v>
                  </c:pt>
                  <c:pt idx="38">
                    <c:v>III</c:v>
                  </c:pt>
                  <c:pt idx="39">
                    <c:v>IV</c:v>
                  </c:pt>
                  <c:pt idx="40">
                    <c:v>V</c:v>
                  </c:pt>
                  <c:pt idx="41">
                    <c:v>VI</c:v>
                  </c:pt>
                  <c:pt idx="42">
                    <c:v>VII</c:v>
                  </c:pt>
                </c:lvl>
                <c:lvl>
                  <c:pt idx="0">
                    <c:v>2018</c:v>
                  </c:pt>
                  <c:pt idx="12">
                    <c:v>2019</c:v>
                  </c:pt>
                  <c:pt idx="24">
                    <c:v>2020</c:v>
                  </c:pt>
                  <c:pt idx="36">
                    <c:v>2021</c:v>
                  </c:pt>
                </c:lvl>
              </c:multiLvlStrCache>
            </c:multiLvlStrRef>
          </c:cat>
          <c:val>
            <c:numRef>
              <c:f>Mazumtirdzniecība!$L$219:$L$261</c:f>
              <c:numCache>
                <c:formatCode>0.0</c:formatCode>
                <c:ptCount val="43"/>
                <c:pt idx="0">
                  <c:v>0.56952379310108359</c:v>
                </c:pt>
                <c:pt idx="1">
                  <c:v>1.7081194808282756</c:v>
                </c:pt>
                <c:pt idx="2">
                  <c:v>1.1639347416116261</c:v>
                </c:pt>
                <c:pt idx="3">
                  <c:v>0.64012259604385502</c:v>
                </c:pt>
                <c:pt idx="4">
                  <c:v>1.3998277917117143</c:v>
                </c:pt>
                <c:pt idx="5">
                  <c:v>0.82456696096746396</c:v>
                </c:pt>
                <c:pt idx="6">
                  <c:v>1.1583030251079218</c:v>
                </c:pt>
                <c:pt idx="7">
                  <c:v>0.19046948031769034</c:v>
                </c:pt>
                <c:pt idx="8">
                  <c:v>-1.6465030922151746E-2</c:v>
                </c:pt>
                <c:pt idx="9">
                  <c:v>-0.2008786499281697</c:v>
                </c:pt>
                <c:pt idx="10">
                  <c:v>-0.22438599262966702</c:v>
                </c:pt>
                <c:pt idx="11">
                  <c:v>-0.43425416990017657</c:v>
                </c:pt>
                <c:pt idx="12">
                  <c:v>0.50749512591320278</c:v>
                </c:pt>
                <c:pt idx="13">
                  <c:v>-0.32329674480853882</c:v>
                </c:pt>
                <c:pt idx="14">
                  <c:v>0.43424588163323047</c:v>
                </c:pt>
                <c:pt idx="15">
                  <c:v>0.83357824630571198</c:v>
                </c:pt>
                <c:pt idx="16">
                  <c:v>-0.53985771794811321</c:v>
                </c:pt>
                <c:pt idx="17">
                  <c:v>0.1433670601428475</c:v>
                </c:pt>
                <c:pt idx="18">
                  <c:v>-0.30782064701304263</c:v>
                </c:pt>
                <c:pt idx="19">
                  <c:v>0.33548277291466022</c:v>
                </c:pt>
                <c:pt idx="20">
                  <c:v>-3.2006529030975714E-2</c:v>
                </c:pt>
                <c:pt idx="21">
                  <c:v>-0.53242507287711305</c:v>
                </c:pt>
                <c:pt idx="22">
                  <c:v>-0.12711509224515571</c:v>
                </c:pt>
                <c:pt idx="23">
                  <c:v>0.52293451481874809</c:v>
                </c:pt>
                <c:pt idx="24">
                  <c:v>-1.2149939529195986</c:v>
                </c:pt>
                <c:pt idx="25">
                  <c:v>1.3584314204661552</c:v>
                </c:pt>
                <c:pt idx="26">
                  <c:v>0.45963593588255802</c:v>
                </c:pt>
                <c:pt idx="27">
                  <c:v>-0.76411660451063568</c:v>
                </c:pt>
                <c:pt idx="28">
                  <c:v>0.39833429186886171</c:v>
                </c:pt>
                <c:pt idx="29">
                  <c:v>1.1441018566798549</c:v>
                </c:pt>
                <c:pt idx="30">
                  <c:v>1.1657031592568676</c:v>
                </c:pt>
                <c:pt idx="31">
                  <c:v>1.9875287664369092</c:v>
                </c:pt>
                <c:pt idx="32">
                  <c:v>2.2509996765308076</c:v>
                </c:pt>
                <c:pt idx="33">
                  <c:v>2.7350769759056814</c:v>
                </c:pt>
                <c:pt idx="34">
                  <c:v>2.1515865636794329</c:v>
                </c:pt>
                <c:pt idx="35">
                  <c:v>0.83225977925042405</c:v>
                </c:pt>
                <c:pt idx="36">
                  <c:v>2.748858504959363</c:v>
                </c:pt>
                <c:pt idx="37">
                  <c:v>1.0005626702447612</c:v>
                </c:pt>
                <c:pt idx="38">
                  <c:v>0.86541552066264793</c:v>
                </c:pt>
                <c:pt idx="39">
                  <c:v>1.8307175648330392</c:v>
                </c:pt>
                <c:pt idx="40">
                  <c:v>0.99746147703521937</c:v>
                </c:pt>
                <c:pt idx="41">
                  <c:v>2.2987859618597746</c:v>
                </c:pt>
                <c:pt idx="42">
                  <c:v>2.4520834645674512</c:v>
                </c:pt>
              </c:numCache>
            </c:numRef>
          </c:val>
          <c:extLst>
            <c:ext xmlns:c16="http://schemas.microsoft.com/office/drawing/2014/chart" uri="{C3380CC4-5D6E-409C-BE32-E72D297353CC}">
              <c16:uniqueId val="{00000000-DBB0-4CE8-9957-5B658C2DD84A}"/>
            </c:ext>
          </c:extLst>
        </c:ser>
        <c:ser>
          <c:idx val="2"/>
          <c:order val="2"/>
          <c:tx>
            <c:strRef>
              <c:f>Mazumtirdzniecība!$M$2</c:f>
              <c:strCache>
                <c:ptCount val="1"/>
                <c:pt idx="0">
                  <c:v>Pārtika</c:v>
                </c:pt>
              </c:strCache>
            </c:strRef>
          </c:tx>
          <c:spPr>
            <a:pattFill prst="dkUpDiag">
              <a:fgClr>
                <a:srgbClr val="00B050"/>
              </a:fgClr>
              <a:bgClr>
                <a:schemeClr val="bg1"/>
              </a:bgClr>
            </a:pattFill>
            <a:ln>
              <a:solidFill>
                <a:srgbClr val="00B050"/>
              </a:solidFill>
            </a:ln>
            <a:effectLst/>
          </c:spPr>
          <c:invertIfNegative val="0"/>
          <c:cat>
            <c:multiLvlStrRef>
              <c:f>Mazumtirdzniecība!$A$219:$B$261</c:f>
              <c:multiLvlStrCache>
                <c:ptCount val="43"/>
                <c:lvl>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pt idx="19">
                    <c:v>VIII</c:v>
                  </c:pt>
                  <c:pt idx="20">
                    <c:v>IX</c:v>
                  </c:pt>
                  <c:pt idx="21">
                    <c:v>X</c:v>
                  </c:pt>
                  <c:pt idx="22">
                    <c:v>XI</c:v>
                  </c:pt>
                  <c:pt idx="23">
                    <c:v>XII</c:v>
                  </c:pt>
                  <c:pt idx="24">
                    <c:v>I</c:v>
                  </c:pt>
                  <c:pt idx="25">
                    <c:v>II</c:v>
                  </c:pt>
                  <c:pt idx="26">
                    <c:v>III</c:v>
                  </c:pt>
                  <c:pt idx="27">
                    <c:v>IV</c:v>
                  </c:pt>
                  <c:pt idx="28">
                    <c:v>V</c:v>
                  </c:pt>
                  <c:pt idx="29">
                    <c:v>VI</c:v>
                  </c:pt>
                  <c:pt idx="30">
                    <c:v>VII</c:v>
                  </c:pt>
                  <c:pt idx="31">
                    <c:v>VIII</c:v>
                  </c:pt>
                  <c:pt idx="32">
                    <c:v>IX</c:v>
                  </c:pt>
                  <c:pt idx="33">
                    <c:v>X</c:v>
                  </c:pt>
                  <c:pt idx="34">
                    <c:v>XI</c:v>
                  </c:pt>
                  <c:pt idx="35">
                    <c:v>XII</c:v>
                  </c:pt>
                  <c:pt idx="36">
                    <c:v>I</c:v>
                  </c:pt>
                  <c:pt idx="37">
                    <c:v>II</c:v>
                  </c:pt>
                  <c:pt idx="38">
                    <c:v>III</c:v>
                  </c:pt>
                  <c:pt idx="39">
                    <c:v>IV</c:v>
                  </c:pt>
                  <c:pt idx="40">
                    <c:v>V</c:v>
                  </c:pt>
                  <c:pt idx="41">
                    <c:v>VI</c:v>
                  </c:pt>
                  <c:pt idx="42">
                    <c:v>VII</c:v>
                  </c:pt>
                </c:lvl>
                <c:lvl>
                  <c:pt idx="0">
                    <c:v>2018</c:v>
                  </c:pt>
                  <c:pt idx="12">
                    <c:v>2019</c:v>
                  </c:pt>
                  <c:pt idx="24">
                    <c:v>2020</c:v>
                  </c:pt>
                  <c:pt idx="36">
                    <c:v>2021</c:v>
                  </c:pt>
                </c:lvl>
              </c:multiLvlStrCache>
            </c:multiLvlStrRef>
          </c:cat>
          <c:val>
            <c:numRef>
              <c:f>Mazumtirdzniecība!$M$219:$M$261</c:f>
              <c:numCache>
                <c:formatCode>0.0</c:formatCode>
                <c:ptCount val="43"/>
                <c:pt idx="0">
                  <c:v>2.528686011706617</c:v>
                </c:pt>
                <c:pt idx="1">
                  <c:v>1.9483935255373044</c:v>
                </c:pt>
                <c:pt idx="2">
                  <c:v>2.7253519473935257</c:v>
                </c:pt>
                <c:pt idx="3">
                  <c:v>0.60513364144339077</c:v>
                </c:pt>
                <c:pt idx="4">
                  <c:v>2.6878305568587613</c:v>
                </c:pt>
                <c:pt idx="5">
                  <c:v>2.6398182863796134</c:v>
                </c:pt>
                <c:pt idx="6">
                  <c:v>1.9770681143932805</c:v>
                </c:pt>
                <c:pt idx="7">
                  <c:v>1.1112938789696307</c:v>
                </c:pt>
                <c:pt idx="8">
                  <c:v>0.77950087671795898</c:v>
                </c:pt>
                <c:pt idx="9">
                  <c:v>1.6354927969645496</c:v>
                </c:pt>
                <c:pt idx="10">
                  <c:v>1.6153147564567849</c:v>
                </c:pt>
                <c:pt idx="11">
                  <c:v>0.62050080078640679</c:v>
                </c:pt>
                <c:pt idx="12">
                  <c:v>-0.20641867785532583</c:v>
                </c:pt>
                <c:pt idx="13">
                  <c:v>1.3962307634892379</c:v>
                </c:pt>
                <c:pt idx="14">
                  <c:v>0.15680458712564682</c:v>
                </c:pt>
                <c:pt idx="15">
                  <c:v>2.6566802463537731</c:v>
                </c:pt>
                <c:pt idx="16">
                  <c:v>-0.25319887902728178</c:v>
                </c:pt>
                <c:pt idx="17">
                  <c:v>0.37246457527531546</c:v>
                </c:pt>
                <c:pt idx="18">
                  <c:v>0.56566091904660798</c:v>
                </c:pt>
                <c:pt idx="19">
                  <c:v>0.17514770306747099</c:v>
                </c:pt>
                <c:pt idx="20">
                  <c:v>0.30603858881633517</c:v>
                </c:pt>
                <c:pt idx="21">
                  <c:v>3.7229834410862528E-2</c:v>
                </c:pt>
                <c:pt idx="22">
                  <c:v>0.4629234963579904</c:v>
                </c:pt>
                <c:pt idx="23">
                  <c:v>0.26604342457417446</c:v>
                </c:pt>
                <c:pt idx="24">
                  <c:v>1.7875164086537401</c:v>
                </c:pt>
                <c:pt idx="25">
                  <c:v>1.5704651672705305</c:v>
                </c:pt>
                <c:pt idx="26">
                  <c:v>3.0615116792741146</c:v>
                </c:pt>
                <c:pt idx="27">
                  <c:v>-1.4696314188894748</c:v>
                </c:pt>
                <c:pt idx="28">
                  <c:v>0.79436060734627145</c:v>
                </c:pt>
                <c:pt idx="29">
                  <c:v>2.1926039593335553</c:v>
                </c:pt>
                <c:pt idx="30">
                  <c:v>0.74499589155423296</c:v>
                </c:pt>
                <c:pt idx="31">
                  <c:v>1.7275118349751306</c:v>
                </c:pt>
                <c:pt idx="32">
                  <c:v>2.0483438158467173</c:v>
                </c:pt>
                <c:pt idx="33">
                  <c:v>2.9112094305521841</c:v>
                </c:pt>
                <c:pt idx="34">
                  <c:v>1.1894153392044773</c:v>
                </c:pt>
                <c:pt idx="35">
                  <c:v>1.4827780821312395</c:v>
                </c:pt>
                <c:pt idx="36">
                  <c:v>-0.9542253068258435</c:v>
                </c:pt>
                <c:pt idx="37">
                  <c:v>0.77779038778370735</c:v>
                </c:pt>
                <c:pt idx="38">
                  <c:v>0.95587209662733663</c:v>
                </c:pt>
                <c:pt idx="39">
                  <c:v>2.8397829593096198</c:v>
                </c:pt>
                <c:pt idx="40">
                  <c:v>0.38928208212640908</c:v>
                </c:pt>
                <c:pt idx="41">
                  <c:v>-0.88189107736395245</c:v>
                </c:pt>
                <c:pt idx="42">
                  <c:v>-0.48251797909879285</c:v>
                </c:pt>
              </c:numCache>
            </c:numRef>
          </c:val>
          <c:extLst>
            <c:ext xmlns:c16="http://schemas.microsoft.com/office/drawing/2014/chart" uri="{C3380CC4-5D6E-409C-BE32-E72D297353CC}">
              <c16:uniqueId val="{00000001-DBB0-4CE8-9957-5B658C2DD84A}"/>
            </c:ext>
          </c:extLst>
        </c:ser>
        <c:ser>
          <c:idx val="3"/>
          <c:order val="3"/>
          <c:tx>
            <c:strRef>
              <c:f>Mazumtirdzniecība!$N$2</c:f>
              <c:strCache>
                <c:ptCount val="1"/>
                <c:pt idx="0">
                  <c:v>Nepārtika (-degviela)</c:v>
                </c:pt>
              </c:strCache>
            </c:strRef>
          </c:tx>
          <c:spPr>
            <a:solidFill>
              <a:srgbClr val="5B9BD5"/>
            </a:solidFill>
            <a:ln>
              <a:solidFill>
                <a:srgbClr val="0070C0"/>
              </a:solidFill>
            </a:ln>
            <a:effectLst/>
          </c:spPr>
          <c:invertIfNegative val="0"/>
          <c:cat>
            <c:multiLvlStrRef>
              <c:f>Mazumtirdzniecība!$A$219:$B$261</c:f>
              <c:multiLvlStrCache>
                <c:ptCount val="43"/>
                <c:lvl>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pt idx="19">
                    <c:v>VIII</c:v>
                  </c:pt>
                  <c:pt idx="20">
                    <c:v>IX</c:v>
                  </c:pt>
                  <c:pt idx="21">
                    <c:v>X</c:v>
                  </c:pt>
                  <c:pt idx="22">
                    <c:v>XI</c:v>
                  </c:pt>
                  <c:pt idx="23">
                    <c:v>XII</c:v>
                  </c:pt>
                  <c:pt idx="24">
                    <c:v>I</c:v>
                  </c:pt>
                  <c:pt idx="25">
                    <c:v>II</c:v>
                  </c:pt>
                  <c:pt idx="26">
                    <c:v>III</c:v>
                  </c:pt>
                  <c:pt idx="27">
                    <c:v>IV</c:v>
                  </c:pt>
                  <c:pt idx="28">
                    <c:v>V</c:v>
                  </c:pt>
                  <c:pt idx="29">
                    <c:v>VI</c:v>
                  </c:pt>
                  <c:pt idx="30">
                    <c:v>VII</c:v>
                  </c:pt>
                  <c:pt idx="31">
                    <c:v>VIII</c:v>
                  </c:pt>
                  <c:pt idx="32">
                    <c:v>IX</c:v>
                  </c:pt>
                  <c:pt idx="33">
                    <c:v>X</c:v>
                  </c:pt>
                  <c:pt idx="34">
                    <c:v>XI</c:v>
                  </c:pt>
                  <c:pt idx="35">
                    <c:v>XII</c:v>
                  </c:pt>
                  <c:pt idx="36">
                    <c:v>I</c:v>
                  </c:pt>
                  <c:pt idx="37">
                    <c:v>II</c:v>
                  </c:pt>
                  <c:pt idx="38">
                    <c:v>III</c:v>
                  </c:pt>
                  <c:pt idx="39">
                    <c:v>IV</c:v>
                  </c:pt>
                  <c:pt idx="40">
                    <c:v>V</c:v>
                  </c:pt>
                  <c:pt idx="41">
                    <c:v>VI</c:v>
                  </c:pt>
                  <c:pt idx="42">
                    <c:v>VII</c:v>
                  </c:pt>
                </c:lvl>
                <c:lvl>
                  <c:pt idx="0">
                    <c:v>2018</c:v>
                  </c:pt>
                  <c:pt idx="12">
                    <c:v>2019</c:v>
                  </c:pt>
                  <c:pt idx="24">
                    <c:v>2020</c:v>
                  </c:pt>
                  <c:pt idx="36">
                    <c:v>2021</c:v>
                  </c:pt>
                </c:lvl>
              </c:multiLvlStrCache>
            </c:multiLvlStrRef>
          </c:cat>
          <c:val>
            <c:numRef>
              <c:f>Mazumtirdzniecība!$N$219:$N$261</c:f>
              <c:numCache>
                <c:formatCode>0.0</c:formatCode>
                <c:ptCount val="43"/>
                <c:pt idx="0">
                  <c:v>3.2573235134063565</c:v>
                </c:pt>
                <c:pt idx="1">
                  <c:v>0.17508109735905786</c:v>
                </c:pt>
                <c:pt idx="2">
                  <c:v>2.3411957197251225</c:v>
                </c:pt>
                <c:pt idx="3">
                  <c:v>1.7594252725443742</c:v>
                </c:pt>
                <c:pt idx="4">
                  <c:v>2.8429400082881808</c:v>
                </c:pt>
                <c:pt idx="5">
                  <c:v>1.7437007802137197</c:v>
                </c:pt>
                <c:pt idx="6">
                  <c:v>1.1892405282966356</c:v>
                </c:pt>
                <c:pt idx="7">
                  <c:v>0.27160734307903089</c:v>
                </c:pt>
                <c:pt idx="8">
                  <c:v>2.3688717998255653</c:v>
                </c:pt>
                <c:pt idx="9">
                  <c:v>0.99312008430532417</c:v>
                </c:pt>
                <c:pt idx="10">
                  <c:v>2.3868090071253083</c:v>
                </c:pt>
                <c:pt idx="11">
                  <c:v>1.8506746623109807</c:v>
                </c:pt>
                <c:pt idx="12">
                  <c:v>0.87823591382211841</c:v>
                </c:pt>
                <c:pt idx="13">
                  <c:v>4.5528230065880528</c:v>
                </c:pt>
                <c:pt idx="14">
                  <c:v>3.02299355561818</c:v>
                </c:pt>
                <c:pt idx="15">
                  <c:v>2.7321500050805976</c:v>
                </c:pt>
                <c:pt idx="16">
                  <c:v>1.8946363620690072</c:v>
                </c:pt>
                <c:pt idx="17">
                  <c:v>1.55340821962395</c:v>
                </c:pt>
                <c:pt idx="18">
                  <c:v>1.0863060256272938</c:v>
                </c:pt>
                <c:pt idx="19">
                  <c:v>1.8047237034101888</c:v>
                </c:pt>
                <c:pt idx="20">
                  <c:v>-0.95763056463095386</c:v>
                </c:pt>
                <c:pt idx="21">
                  <c:v>0.6197509385856742</c:v>
                </c:pt>
                <c:pt idx="22">
                  <c:v>1.302135997153969</c:v>
                </c:pt>
                <c:pt idx="23">
                  <c:v>1.5994239767376595</c:v>
                </c:pt>
                <c:pt idx="24">
                  <c:v>1.048512518286042</c:v>
                </c:pt>
                <c:pt idx="25">
                  <c:v>3.1602734127311698</c:v>
                </c:pt>
                <c:pt idx="26">
                  <c:v>-3.0219911235905879</c:v>
                </c:pt>
                <c:pt idx="27">
                  <c:v>-5.8449428227923752</c:v>
                </c:pt>
                <c:pt idx="28">
                  <c:v>-1.4949621709759204</c:v>
                </c:pt>
                <c:pt idx="29">
                  <c:v>0.94180219934621834</c:v>
                </c:pt>
                <c:pt idx="30">
                  <c:v>1.1391225858757934</c:v>
                </c:pt>
                <c:pt idx="31">
                  <c:v>0.71466345805005094</c:v>
                </c:pt>
                <c:pt idx="32">
                  <c:v>1.5904649885363233</c:v>
                </c:pt>
                <c:pt idx="33">
                  <c:v>1.0202894996576737</c:v>
                </c:pt>
                <c:pt idx="34">
                  <c:v>-1.477695670234032</c:v>
                </c:pt>
                <c:pt idx="35">
                  <c:v>-5.7055989438654926</c:v>
                </c:pt>
                <c:pt idx="36">
                  <c:v>-8.3198857411707596</c:v>
                </c:pt>
                <c:pt idx="37">
                  <c:v>-7.6646247887922092</c:v>
                </c:pt>
                <c:pt idx="38">
                  <c:v>1.4816518369642588</c:v>
                </c:pt>
                <c:pt idx="39">
                  <c:v>10.898092282542004</c:v>
                </c:pt>
                <c:pt idx="40">
                  <c:v>3.7047682277072158</c:v>
                </c:pt>
                <c:pt idx="41">
                  <c:v>4.7676188092889671</c:v>
                </c:pt>
                <c:pt idx="42">
                  <c:v>2.7745511889076822</c:v>
                </c:pt>
              </c:numCache>
            </c:numRef>
          </c:val>
          <c:extLst>
            <c:ext xmlns:c16="http://schemas.microsoft.com/office/drawing/2014/chart" uri="{C3380CC4-5D6E-409C-BE32-E72D297353CC}">
              <c16:uniqueId val="{00000002-DBB0-4CE8-9957-5B658C2DD84A}"/>
            </c:ext>
          </c:extLst>
        </c:ser>
        <c:dLbls>
          <c:showLegendKey val="0"/>
          <c:showVal val="0"/>
          <c:showCatName val="0"/>
          <c:showSerName val="0"/>
          <c:showPercent val="0"/>
          <c:showBubbleSize val="0"/>
        </c:dLbls>
        <c:gapWidth val="50"/>
        <c:overlap val="100"/>
        <c:axId val="343843672"/>
        <c:axId val="343844064"/>
      </c:barChart>
      <c:lineChart>
        <c:grouping val="standard"/>
        <c:varyColors val="0"/>
        <c:ser>
          <c:idx val="0"/>
          <c:order val="0"/>
          <c:tx>
            <c:strRef>
              <c:f>Mazumtirdzniecība!$K$2</c:f>
              <c:strCache>
                <c:ptCount val="1"/>
                <c:pt idx="0">
                  <c:v>Mazumtirdzniecība</c:v>
                </c:pt>
              </c:strCache>
            </c:strRef>
          </c:tx>
          <c:spPr>
            <a:ln w="28575" cap="rnd">
              <a:solidFill>
                <a:schemeClr val="tx1"/>
              </a:solidFill>
              <a:prstDash val="sysDash"/>
              <a:round/>
            </a:ln>
            <a:effectLst/>
          </c:spPr>
          <c:marker>
            <c:symbol val="none"/>
          </c:marker>
          <c:cat>
            <c:multiLvlStrRef>
              <c:f>Mazumtirdzniecība!$A$219:$B$261</c:f>
              <c:multiLvlStrCache>
                <c:ptCount val="43"/>
                <c:lvl>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pt idx="19">
                    <c:v>VIII</c:v>
                  </c:pt>
                  <c:pt idx="20">
                    <c:v>IX</c:v>
                  </c:pt>
                  <c:pt idx="21">
                    <c:v>X</c:v>
                  </c:pt>
                  <c:pt idx="22">
                    <c:v>XI</c:v>
                  </c:pt>
                  <c:pt idx="23">
                    <c:v>XII</c:v>
                  </c:pt>
                  <c:pt idx="24">
                    <c:v>I</c:v>
                  </c:pt>
                  <c:pt idx="25">
                    <c:v>II</c:v>
                  </c:pt>
                  <c:pt idx="26">
                    <c:v>III</c:v>
                  </c:pt>
                  <c:pt idx="27">
                    <c:v>IV</c:v>
                  </c:pt>
                  <c:pt idx="28">
                    <c:v>V</c:v>
                  </c:pt>
                  <c:pt idx="29">
                    <c:v>VI</c:v>
                  </c:pt>
                  <c:pt idx="30">
                    <c:v>VII</c:v>
                  </c:pt>
                  <c:pt idx="31">
                    <c:v>VIII</c:v>
                  </c:pt>
                  <c:pt idx="32">
                    <c:v>IX</c:v>
                  </c:pt>
                  <c:pt idx="33">
                    <c:v>X</c:v>
                  </c:pt>
                  <c:pt idx="34">
                    <c:v>XI</c:v>
                  </c:pt>
                  <c:pt idx="35">
                    <c:v>XII</c:v>
                  </c:pt>
                  <c:pt idx="36">
                    <c:v>I</c:v>
                  </c:pt>
                  <c:pt idx="37">
                    <c:v>II</c:v>
                  </c:pt>
                  <c:pt idx="38">
                    <c:v>III</c:v>
                  </c:pt>
                  <c:pt idx="39">
                    <c:v>IV</c:v>
                  </c:pt>
                  <c:pt idx="40">
                    <c:v>V</c:v>
                  </c:pt>
                  <c:pt idx="41">
                    <c:v>VI</c:v>
                  </c:pt>
                  <c:pt idx="42">
                    <c:v>VII</c:v>
                  </c:pt>
                </c:lvl>
                <c:lvl>
                  <c:pt idx="0">
                    <c:v>2018</c:v>
                  </c:pt>
                  <c:pt idx="12">
                    <c:v>2019</c:v>
                  </c:pt>
                  <c:pt idx="24">
                    <c:v>2020</c:v>
                  </c:pt>
                  <c:pt idx="36">
                    <c:v>2021</c:v>
                  </c:pt>
                </c:lvl>
              </c:multiLvlStrCache>
            </c:multiLvlStrRef>
          </c:cat>
          <c:val>
            <c:numRef>
              <c:f>Mazumtirdzniecība!$K$219:$K$261</c:f>
              <c:numCache>
                <c:formatCode>0.0</c:formatCode>
                <c:ptCount val="43"/>
                <c:pt idx="0">
                  <c:v>6.427818756585868</c:v>
                </c:pt>
                <c:pt idx="1">
                  <c:v>3.5955056179775235</c:v>
                </c:pt>
                <c:pt idx="2">
                  <c:v>6.1616161616161458</c:v>
                </c:pt>
                <c:pt idx="3">
                  <c:v>3.0541871921182295</c:v>
                </c:pt>
                <c:pt idx="4">
                  <c:v>6.9094304388422012</c:v>
                </c:pt>
                <c:pt idx="5">
                  <c:v>5.1162790697674376</c:v>
                </c:pt>
                <c:pt idx="6">
                  <c:v>4.1921397379912628</c:v>
                </c:pt>
                <c:pt idx="7">
                  <c:v>1.4517506404782221</c:v>
                </c:pt>
                <c:pt idx="8">
                  <c:v>3.3118675252989727</c:v>
                </c:pt>
                <c:pt idx="9">
                  <c:v>2.3657870791628621</c:v>
                </c:pt>
                <c:pt idx="10">
                  <c:v>3.8862559241706007</c:v>
                </c:pt>
                <c:pt idx="11">
                  <c:v>2.1774193548387055</c:v>
                </c:pt>
                <c:pt idx="12">
                  <c:v>1.2871287128712883</c:v>
                </c:pt>
                <c:pt idx="13">
                  <c:v>5.7483731019522644</c:v>
                </c:pt>
                <c:pt idx="14">
                  <c:v>3.9010466222645146</c:v>
                </c:pt>
                <c:pt idx="15">
                  <c:v>6.3097514340344274</c:v>
                </c:pt>
                <c:pt idx="16">
                  <c:v>1.3100436681222627</c:v>
                </c:pt>
                <c:pt idx="17">
                  <c:v>2.2123893805309658</c:v>
                </c:pt>
                <c:pt idx="18">
                  <c:v>1.4249790444258226</c:v>
                </c:pt>
                <c:pt idx="19">
                  <c:v>2.4410774410774438</c:v>
                </c:pt>
                <c:pt idx="20">
                  <c:v>-0.80142475512020583</c:v>
                </c:pt>
                <c:pt idx="21">
                  <c:v>8.8888888888893902E-2</c:v>
                </c:pt>
                <c:pt idx="22">
                  <c:v>1.642335766423364</c:v>
                </c:pt>
                <c:pt idx="23">
                  <c:v>2.5256511444356811</c:v>
                </c:pt>
                <c:pt idx="24">
                  <c:v>1.4662756598240456</c:v>
                </c:pt>
                <c:pt idx="25">
                  <c:v>6.1538461538461542</c:v>
                </c:pt>
                <c:pt idx="26">
                  <c:v>-0.64102564102563875</c:v>
                </c:pt>
                <c:pt idx="27">
                  <c:v>-8.9028776978417277</c:v>
                </c:pt>
                <c:pt idx="28">
                  <c:v>-0.51724137931034031</c:v>
                </c:pt>
                <c:pt idx="29">
                  <c:v>4.1558441558441572</c:v>
                </c:pt>
                <c:pt idx="30">
                  <c:v>3.057851239669418</c:v>
                </c:pt>
                <c:pt idx="31">
                  <c:v>4.3549712407559449</c:v>
                </c:pt>
                <c:pt idx="32">
                  <c:v>5.9245960502692929</c:v>
                </c:pt>
                <c:pt idx="33">
                  <c:v>6.4831261101243376</c:v>
                </c:pt>
                <c:pt idx="34">
                  <c:v>1.6157989228007263</c:v>
                </c:pt>
                <c:pt idx="35">
                  <c:v>-4.8498845265589008</c:v>
                </c:pt>
                <c:pt idx="36">
                  <c:v>-9.441233140655104</c:v>
                </c:pt>
                <c:pt idx="37">
                  <c:v>-8.4057971014492754</c:v>
                </c:pt>
                <c:pt idx="38">
                  <c:v>3.410138248847927</c:v>
                </c:pt>
                <c:pt idx="39">
                  <c:v>15.695952615992104</c:v>
                </c:pt>
                <c:pt idx="40">
                  <c:v>5.2859618717504331</c:v>
                </c:pt>
                <c:pt idx="41">
                  <c:v>6.3175394846217925</c:v>
                </c:pt>
                <c:pt idx="42">
                  <c:v>4.8115477145148189</c:v>
                </c:pt>
              </c:numCache>
            </c:numRef>
          </c:val>
          <c:smooth val="0"/>
          <c:extLst>
            <c:ext xmlns:c16="http://schemas.microsoft.com/office/drawing/2014/chart" uri="{C3380CC4-5D6E-409C-BE32-E72D297353CC}">
              <c16:uniqueId val="{00000003-DBB0-4CE8-9957-5B658C2DD84A}"/>
            </c:ext>
          </c:extLst>
        </c:ser>
        <c:dLbls>
          <c:showLegendKey val="0"/>
          <c:showVal val="0"/>
          <c:showCatName val="0"/>
          <c:showSerName val="0"/>
          <c:showPercent val="0"/>
          <c:showBubbleSize val="0"/>
        </c:dLbls>
        <c:marker val="1"/>
        <c:smooth val="0"/>
        <c:axId val="343843672"/>
        <c:axId val="343844064"/>
      </c:lineChart>
      <c:catAx>
        <c:axId val="343843672"/>
        <c:scaling>
          <c:orientation val="minMax"/>
        </c:scaling>
        <c:delete val="0"/>
        <c:axPos val="b"/>
        <c:numFmt formatCode="General" sourceLinked="0"/>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Verdana" panose="020B0604030504040204" pitchFamily="34" charset="0"/>
                <a:cs typeface="Times New Roman" panose="02020603050405020304" pitchFamily="18" charset="0"/>
              </a:defRPr>
            </a:pPr>
            <a:endParaRPr lang="lv-LV"/>
          </a:p>
        </c:txPr>
        <c:crossAx val="343844064"/>
        <c:crosses val="autoZero"/>
        <c:auto val="1"/>
        <c:lblAlgn val="ctr"/>
        <c:lblOffset val="100"/>
        <c:tickLblSkip val="1"/>
        <c:noMultiLvlLbl val="0"/>
      </c:catAx>
      <c:valAx>
        <c:axId val="343844064"/>
        <c:scaling>
          <c:orientation val="minMax"/>
          <c:max val="20"/>
          <c:min val="-10"/>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Verdana" panose="020B0604030504040204" pitchFamily="34" charset="0"/>
                <a:cs typeface="Times New Roman" panose="02020603050405020304" pitchFamily="18" charset="0"/>
              </a:defRPr>
            </a:pPr>
            <a:endParaRPr lang="lv-LV"/>
          </a:p>
        </c:txPr>
        <c:crossAx val="34384367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Verdana" panose="020B0604030504040204" pitchFamily="34" charset="0"/>
              <a:cs typeface="Times New Roman" panose="02020603050405020304" pitchFamily="18" charset="0"/>
            </a:defRPr>
          </a:pPr>
          <a:endParaRPr lang="lv-LV"/>
        </a:p>
      </c:txPr>
    </c:legend>
    <c:plotVisOnly val="1"/>
    <c:dispBlanksAs val="gap"/>
    <c:showDLblsOverMax val="0"/>
  </c:chart>
  <c:spPr>
    <a:solidFill>
      <a:schemeClr val="bg1"/>
    </a:solidFill>
    <a:ln w="9525" cap="flat" cmpd="sng" algn="ctr">
      <a:noFill/>
      <a:round/>
    </a:ln>
    <a:effectLst/>
  </c:spPr>
  <c:txPr>
    <a:bodyPr/>
    <a:lstStyle/>
    <a:p>
      <a:pPr>
        <a:defRPr sz="900">
          <a:solidFill>
            <a:sysClr val="windowText" lastClr="000000"/>
          </a:solidFill>
          <a:latin typeface="Times New Roman" panose="02020603050405020304" pitchFamily="18" charset="0"/>
          <a:ea typeface="Verdana" panose="020B0604030504040204" pitchFamily="34" charset="0"/>
          <a:cs typeface="Times New Roman" panose="02020603050405020304" pitchFamily="18" charset="0"/>
        </a:defRPr>
      </a:pPr>
      <a:endParaRPr lang="lv-LV"/>
    </a:p>
  </c:txPr>
  <c:externalData r:id="rId4">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4803149606299214E-2"/>
          <c:y val="3.2407407407407406E-2"/>
          <c:w val="0.89019685039370078"/>
          <c:h val="0.87904043598448012"/>
        </c:manualLayout>
      </c:layout>
      <c:barChart>
        <c:barDir val="col"/>
        <c:grouping val="clustered"/>
        <c:varyColors val="0"/>
        <c:ser>
          <c:idx val="0"/>
          <c:order val="0"/>
          <c:tx>
            <c:strRef>
              <c:f>'ostas dz'!$X$4</c:f>
              <c:strCache>
                <c:ptCount val="1"/>
                <c:pt idx="0">
                  <c:v>2010</c:v>
                </c:pt>
              </c:strCache>
            </c:strRef>
          </c:tx>
          <c:spPr>
            <a:pattFill prst="dkUpDiag">
              <a:fgClr>
                <a:srgbClr val="5B9BD5">
                  <a:lumMod val="50000"/>
                </a:srgbClr>
              </a:fgClr>
              <a:bgClr>
                <a:sysClr val="window" lastClr="FFFFFF"/>
              </a:bgClr>
            </a:pattFill>
            <a:ln>
              <a:solidFill>
                <a:srgbClr val="5B9BD5"/>
              </a:solidFill>
            </a:ln>
            <a:effectLst/>
          </c:spPr>
          <c:invertIfNegative val="0"/>
          <c:dPt>
            <c:idx val="0"/>
            <c:invertIfNegative val="0"/>
            <c:bubble3D val="0"/>
            <c:spPr>
              <a:pattFill prst="dkUpDiag">
                <a:fgClr>
                  <a:srgbClr val="4472C4">
                    <a:lumMod val="50000"/>
                  </a:srgbClr>
                </a:fgClr>
                <a:bgClr>
                  <a:sysClr val="window" lastClr="FFFFFF"/>
                </a:bgClr>
              </a:pattFill>
              <a:ln>
                <a:solidFill>
                  <a:srgbClr val="002060"/>
                </a:solidFill>
              </a:ln>
              <a:effectLst/>
            </c:spPr>
            <c:extLst>
              <c:ext xmlns:c16="http://schemas.microsoft.com/office/drawing/2014/chart" uri="{C3380CC4-5D6E-409C-BE32-E72D297353CC}">
                <c16:uniqueId val="{00000001-BE09-4E7C-BF8F-FBCCF7DF7C07}"/>
              </c:ext>
            </c:extLst>
          </c:dPt>
          <c:dPt>
            <c:idx val="1"/>
            <c:invertIfNegative val="0"/>
            <c:bubble3D val="0"/>
            <c:spPr>
              <a:pattFill prst="dkUpDiag">
                <a:fgClr>
                  <a:srgbClr val="00B050"/>
                </a:fgClr>
                <a:bgClr>
                  <a:sysClr val="window" lastClr="FFFFFF"/>
                </a:bgClr>
              </a:pattFill>
              <a:ln>
                <a:solidFill>
                  <a:srgbClr val="00B050"/>
                </a:solidFill>
              </a:ln>
              <a:effectLst/>
            </c:spPr>
            <c:extLst>
              <c:ext xmlns:c16="http://schemas.microsoft.com/office/drawing/2014/chart" uri="{C3380CC4-5D6E-409C-BE32-E72D297353CC}">
                <c16:uniqueId val="{00000003-BE09-4E7C-BF8F-FBCCF7DF7C07}"/>
              </c:ext>
            </c:extLst>
          </c:dPt>
          <c:dLbls>
            <c:dLbl>
              <c:idx val="0"/>
              <c:layout>
                <c:manualLayout>
                  <c:x val="-5.1374261494990889E-3"/>
                  <c:y val="0.76902818014221752"/>
                </c:manualLayout>
              </c:layout>
              <c:tx>
                <c:rich>
                  <a:bodyPr/>
                  <a:lstStyle/>
                  <a:p>
                    <a:r>
                      <a:rPr lang="en-US"/>
                      <a:t>2010.</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1-BE09-4E7C-BF8F-FBCCF7DF7C07}"/>
                </c:ext>
              </c:extLst>
            </c:dLbl>
            <c:dLbl>
              <c:idx val="1"/>
              <c:layout>
                <c:manualLayout>
                  <c:x val="-5.1374261494991011E-3"/>
                  <c:y val="0.57413747695549122"/>
                </c:manualLayout>
              </c:layout>
              <c:tx>
                <c:rich>
                  <a:bodyPr/>
                  <a:lstStyle/>
                  <a:p>
                    <a:r>
                      <a:rPr lang="en-US"/>
                      <a:t>2010.</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3-BE09-4E7C-BF8F-FBCCF7DF7C07}"/>
                </c:ext>
              </c:extLst>
            </c:dLbl>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lv-LV"/>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'ostas dz'!$V$5:$V$6</c:f>
              <c:strCache>
                <c:ptCount val="2"/>
                <c:pt idx="0">
                  <c:v>Ostas</c:v>
                </c:pt>
                <c:pt idx="1">
                  <c:v>Dzelzceļš</c:v>
                </c:pt>
              </c:strCache>
            </c:strRef>
          </c:cat>
          <c:val>
            <c:numRef>
              <c:f>'ostas dz'!$X$5:$X$6</c:f>
              <c:numCache>
                <c:formatCode>General</c:formatCode>
                <c:ptCount val="2"/>
                <c:pt idx="0">
                  <c:v>40776.409999999996</c:v>
                </c:pt>
                <c:pt idx="1">
                  <c:v>32917.5</c:v>
                </c:pt>
              </c:numCache>
            </c:numRef>
          </c:val>
          <c:extLst>
            <c:ext xmlns:c16="http://schemas.microsoft.com/office/drawing/2014/chart" uri="{C3380CC4-5D6E-409C-BE32-E72D297353CC}">
              <c16:uniqueId val="{00000004-BE09-4E7C-BF8F-FBCCF7DF7C07}"/>
            </c:ext>
          </c:extLst>
        </c:ser>
        <c:ser>
          <c:idx val="1"/>
          <c:order val="1"/>
          <c:tx>
            <c:strRef>
              <c:f>'ostas dz'!$Y$4</c:f>
              <c:strCache>
                <c:ptCount val="1"/>
                <c:pt idx="0">
                  <c:v>2011</c:v>
                </c:pt>
              </c:strCache>
            </c:strRef>
          </c:tx>
          <c:spPr>
            <a:pattFill prst="dkUpDiag">
              <a:fgClr>
                <a:srgbClr val="5B9BD5">
                  <a:lumMod val="50000"/>
                </a:srgbClr>
              </a:fgClr>
              <a:bgClr>
                <a:sysClr val="window" lastClr="FFFFFF"/>
              </a:bgClr>
            </a:pattFill>
            <a:ln>
              <a:solidFill>
                <a:srgbClr val="5B9BD5"/>
              </a:solidFill>
            </a:ln>
            <a:effectLst/>
          </c:spPr>
          <c:invertIfNegative val="0"/>
          <c:dPt>
            <c:idx val="0"/>
            <c:invertIfNegative val="0"/>
            <c:bubble3D val="0"/>
            <c:spPr>
              <a:pattFill prst="dkUpDiag">
                <a:fgClr>
                  <a:srgbClr val="4472C4">
                    <a:lumMod val="50000"/>
                  </a:srgbClr>
                </a:fgClr>
                <a:bgClr>
                  <a:sysClr val="window" lastClr="FFFFFF"/>
                </a:bgClr>
              </a:pattFill>
              <a:ln>
                <a:solidFill>
                  <a:srgbClr val="4472C4">
                    <a:lumMod val="50000"/>
                  </a:srgbClr>
                </a:solidFill>
              </a:ln>
              <a:effectLst/>
            </c:spPr>
            <c:extLst>
              <c:ext xmlns:c16="http://schemas.microsoft.com/office/drawing/2014/chart" uri="{C3380CC4-5D6E-409C-BE32-E72D297353CC}">
                <c16:uniqueId val="{00000006-BE09-4E7C-BF8F-FBCCF7DF7C07}"/>
              </c:ext>
            </c:extLst>
          </c:dPt>
          <c:dPt>
            <c:idx val="1"/>
            <c:invertIfNegative val="0"/>
            <c:bubble3D val="0"/>
            <c:spPr>
              <a:pattFill prst="dkUpDiag">
                <a:fgClr>
                  <a:srgbClr val="00B050"/>
                </a:fgClr>
                <a:bgClr>
                  <a:sysClr val="window" lastClr="FFFFFF"/>
                </a:bgClr>
              </a:pattFill>
              <a:ln>
                <a:solidFill>
                  <a:srgbClr val="5B9BD5"/>
                </a:solidFill>
              </a:ln>
              <a:effectLst/>
            </c:spPr>
            <c:extLst>
              <c:ext xmlns:c16="http://schemas.microsoft.com/office/drawing/2014/chart" uri="{C3380CC4-5D6E-409C-BE32-E72D297353CC}">
                <c16:uniqueId val="{00000008-BE09-4E7C-BF8F-FBCCF7DF7C07}"/>
              </c:ext>
            </c:extLst>
          </c:dPt>
          <c:cat>
            <c:strRef>
              <c:f>'ostas dz'!$V$5:$V$6</c:f>
              <c:strCache>
                <c:ptCount val="2"/>
                <c:pt idx="0">
                  <c:v>Ostas</c:v>
                </c:pt>
                <c:pt idx="1">
                  <c:v>Dzelzceļš</c:v>
                </c:pt>
              </c:strCache>
            </c:strRef>
          </c:cat>
          <c:val>
            <c:numRef>
              <c:f>'ostas dz'!$Y$5:$Y$6</c:f>
              <c:numCache>
                <c:formatCode>General</c:formatCode>
                <c:ptCount val="2"/>
                <c:pt idx="0">
                  <c:v>45674.09</c:v>
                </c:pt>
                <c:pt idx="1">
                  <c:v>38885.699999999997</c:v>
                </c:pt>
              </c:numCache>
            </c:numRef>
          </c:val>
          <c:extLst>
            <c:ext xmlns:c16="http://schemas.microsoft.com/office/drawing/2014/chart" uri="{C3380CC4-5D6E-409C-BE32-E72D297353CC}">
              <c16:uniqueId val="{00000009-BE09-4E7C-BF8F-FBCCF7DF7C07}"/>
            </c:ext>
          </c:extLst>
        </c:ser>
        <c:ser>
          <c:idx val="2"/>
          <c:order val="2"/>
          <c:tx>
            <c:strRef>
              <c:f>'ostas dz'!$Z$4</c:f>
              <c:strCache>
                <c:ptCount val="1"/>
                <c:pt idx="0">
                  <c:v>2012</c:v>
                </c:pt>
              </c:strCache>
            </c:strRef>
          </c:tx>
          <c:spPr>
            <a:solidFill>
              <a:schemeClr val="accent3"/>
            </a:solidFill>
            <a:ln>
              <a:solidFill>
                <a:srgbClr val="5B9BD5"/>
              </a:solidFill>
            </a:ln>
            <a:effectLst/>
          </c:spPr>
          <c:invertIfNegative val="0"/>
          <c:dPt>
            <c:idx val="0"/>
            <c:invertIfNegative val="0"/>
            <c:bubble3D val="0"/>
            <c:spPr>
              <a:pattFill prst="dkUpDiag">
                <a:fgClr>
                  <a:srgbClr val="4472C4">
                    <a:lumMod val="50000"/>
                  </a:srgbClr>
                </a:fgClr>
                <a:bgClr>
                  <a:sysClr val="window" lastClr="FFFFFF"/>
                </a:bgClr>
              </a:pattFill>
              <a:ln>
                <a:solidFill>
                  <a:srgbClr val="4472C4">
                    <a:lumMod val="50000"/>
                  </a:srgbClr>
                </a:solidFill>
              </a:ln>
              <a:effectLst/>
            </c:spPr>
            <c:extLst>
              <c:ext xmlns:c16="http://schemas.microsoft.com/office/drawing/2014/chart" uri="{C3380CC4-5D6E-409C-BE32-E72D297353CC}">
                <c16:uniqueId val="{0000000B-BE09-4E7C-BF8F-FBCCF7DF7C07}"/>
              </c:ext>
            </c:extLst>
          </c:dPt>
          <c:dPt>
            <c:idx val="1"/>
            <c:invertIfNegative val="0"/>
            <c:bubble3D val="0"/>
            <c:spPr>
              <a:pattFill prst="dkUpDiag">
                <a:fgClr>
                  <a:srgbClr val="00B050"/>
                </a:fgClr>
                <a:bgClr>
                  <a:sysClr val="window" lastClr="FFFFFF"/>
                </a:bgClr>
              </a:pattFill>
              <a:ln>
                <a:solidFill>
                  <a:srgbClr val="00B050"/>
                </a:solidFill>
              </a:ln>
              <a:effectLst/>
            </c:spPr>
            <c:extLst>
              <c:ext xmlns:c16="http://schemas.microsoft.com/office/drawing/2014/chart" uri="{C3380CC4-5D6E-409C-BE32-E72D297353CC}">
                <c16:uniqueId val="{0000000D-BE09-4E7C-BF8F-FBCCF7DF7C07}"/>
              </c:ext>
            </c:extLst>
          </c:dPt>
          <c:cat>
            <c:strRef>
              <c:f>'ostas dz'!$V$5:$V$6</c:f>
              <c:strCache>
                <c:ptCount val="2"/>
                <c:pt idx="0">
                  <c:v>Ostas</c:v>
                </c:pt>
                <c:pt idx="1">
                  <c:v>Dzelzceļš</c:v>
                </c:pt>
              </c:strCache>
            </c:strRef>
          </c:cat>
          <c:val>
            <c:numRef>
              <c:f>'ostas dz'!$Z$5:$Z$6</c:f>
              <c:numCache>
                <c:formatCode>General</c:formatCode>
                <c:ptCount val="2"/>
                <c:pt idx="0">
                  <c:v>52148.599999999991</c:v>
                </c:pt>
                <c:pt idx="1">
                  <c:v>43019.1</c:v>
                </c:pt>
              </c:numCache>
            </c:numRef>
          </c:val>
          <c:extLst>
            <c:ext xmlns:c16="http://schemas.microsoft.com/office/drawing/2014/chart" uri="{C3380CC4-5D6E-409C-BE32-E72D297353CC}">
              <c16:uniqueId val="{0000000E-BE09-4E7C-BF8F-FBCCF7DF7C07}"/>
            </c:ext>
          </c:extLst>
        </c:ser>
        <c:ser>
          <c:idx val="3"/>
          <c:order val="3"/>
          <c:tx>
            <c:strRef>
              <c:f>'ostas dz'!$AA$4</c:f>
              <c:strCache>
                <c:ptCount val="1"/>
                <c:pt idx="0">
                  <c:v>2013</c:v>
                </c:pt>
              </c:strCache>
            </c:strRef>
          </c:tx>
          <c:spPr>
            <a:pattFill prst="dkUpDiag">
              <a:fgClr>
                <a:srgbClr val="5B9BD5">
                  <a:lumMod val="50000"/>
                </a:srgbClr>
              </a:fgClr>
              <a:bgClr>
                <a:sysClr val="window" lastClr="FFFFFF"/>
              </a:bgClr>
            </a:pattFill>
            <a:ln>
              <a:noFill/>
            </a:ln>
            <a:effectLst/>
          </c:spPr>
          <c:invertIfNegative val="0"/>
          <c:dPt>
            <c:idx val="0"/>
            <c:invertIfNegative val="0"/>
            <c:bubble3D val="0"/>
            <c:spPr>
              <a:pattFill prst="dkUpDiag">
                <a:fgClr>
                  <a:srgbClr val="4472C4">
                    <a:lumMod val="50000"/>
                  </a:srgbClr>
                </a:fgClr>
                <a:bgClr>
                  <a:sysClr val="window" lastClr="FFFFFF"/>
                </a:bgClr>
              </a:pattFill>
              <a:ln>
                <a:solidFill>
                  <a:srgbClr val="4472C4">
                    <a:lumMod val="50000"/>
                  </a:srgbClr>
                </a:solidFill>
              </a:ln>
              <a:effectLst/>
            </c:spPr>
            <c:extLst>
              <c:ext xmlns:c16="http://schemas.microsoft.com/office/drawing/2014/chart" uri="{C3380CC4-5D6E-409C-BE32-E72D297353CC}">
                <c16:uniqueId val="{00000010-BE09-4E7C-BF8F-FBCCF7DF7C07}"/>
              </c:ext>
            </c:extLst>
          </c:dPt>
          <c:dPt>
            <c:idx val="1"/>
            <c:invertIfNegative val="0"/>
            <c:bubble3D val="0"/>
            <c:spPr>
              <a:pattFill prst="dkUpDiag">
                <a:fgClr>
                  <a:srgbClr val="00B050"/>
                </a:fgClr>
                <a:bgClr>
                  <a:sysClr val="window" lastClr="FFFFFF"/>
                </a:bgClr>
              </a:pattFill>
              <a:ln>
                <a:solidFill>
                  <a:srgbClr val="00B050"/>
                </a:solidFill>
              </a:ln>
              <a:effectLst/>
            </c:spPr>
            <c:extLst>
              <c:ext xmlns:c16="http://schemas.microsoft.com/office/drawing/2014/chart" uri="{C3380CC4-5D6E-409C-BE32-E72D297353CC}">
                <c16:uniqueId val="{00000012-BE09-4E7C-BF8F-FBCCF7DF7C07}"/>
              </c:ext>
            </c:extLst>
          </c:dPt>
          <c:cat>
            <c:strRef>
              <c:f>'ostas dz'!$V$5:$V$6</c:f>
              <c:strCache>
                <c:ptCount val="2"/>
                <c:pt idx="0">
                  <c:v>Ostas</c:v>
                </c:pt>
                <c:pt idx="1">
                  <c:v>Dzelzceļš</c:v>
                </c:pt>
              </c:strCache>
            </c:strRef>
          </c:cat>
          <c:val>
            <c:numRef>
              <c:f>'ostas dz'!$AA$5:$AA$6</c:f>
              <c:numCache>
                <c:formatCode>General</c:formatCode>
                <c:ptCount val="2"/>
                <c:pt idx="0">
                  <c:v>48172.800000000003</c:v>
                </c:pt>
                <c:pt idx="1">
                  <c:v>37820.400000000001</c:v>
                </c:pt>
              </c:numCache>
            </c:numRef>
          </c:val>
          <c:extLst>
            <c:ext xmlns:c16="http://schemas.microsoft.com/office/drawing/2014/chart" uri="{C3380CC4-5D6E-409C-BE32-E72D297353CC}">
              <c16:uniqueId val="{00000013-BE09-4E7C-BF8F-FBCCF7DF7C07}"/>
            </c:ext>
          </c:extLst>
        </c:ser>
        <c:ser>
          <c:idx val="4"/>
          <c:order val="4"/>
          <c:tx>
            <c:strRef>
              <c:f>'ostas dz'!$AB$4</c:f>
              <c:strCache>
                <c:ptCount val="1"/>
                <c:pt idx="0">
                  <c:v>2014</c:v>
                </c:pt>
              </c:strCache>
            </c:strRef>
          </c:tx>
          <c:spPr>
            <a:pattFill prst="dkUpDiag">
              <a:fgClr>
                <a:srgbClr val="5B9BD5">
                  <a:lumMod val="50000"/>
                </a:srgbClr>
              </a:fgClr>
              <a:bgClr>
                <a:sysClr val="window" lastClr="FFFFFF"/>
              </a:bgClr>
            </a:pattFill>
            <a:ln>
              <a:solidFill>
                <a:srgbClr val="5B9BD5"/>
              </a:solidFill>
            </a:ln>
            <a:effectLst/>
          </c:spPr>
          <c:invertIfNegative val="0"/>
          <c:dPt>
            <c:idx val="0"/>
            <c:invertIfNegative val="0"/>
            <c:bubble3D val="0"/>
            <c:spPr>
              <a:pattFill prst="dkUpDiag">
                <a:fgClr>
                  <a:srgbClr val="4472C4">
                    <a:lumMod val="50000"/>
                  </a:srgbClr>
                </a:fgClr>
                <a:bgClr>
                  <a:sysClr val="window" lastClr="FFFFFF"/>
                </a:bgClr>
              </a:pattFill>
              <a:ln>
                <a:solidFill>
                  <a:srgbClr val="4472C4">
                    <a:lumMod val="50000"/>
                  </a:srgbClr>
                </a:solidFill>
              </a:ln>
              <a:effectLst/>
            </c:spPr>
            <c:extLst>
              <c:ext xmlns:c16="http://schemas.microsoft.com/office/drawing/2014/chart" uri="{C3380CC4-5D6E-409C-BE32-E72D297353CC}">
                <c16:uniqueId val="{00000015-BE09-4E7C-BF8F-FBCCF7DF7C07}"/>
              </c:ext>
            </c:extLst>
          </c:dPt>
          <c:dPt>
            <c:idx val="1"/>
            <c:invertIfNegative val="0"/>
            <c:bubble3D val="0"/>
            <c:spPr>
              <a:pattFill prst="dkUpDiag">
                <a:fgClr>
                  <a:srgbClr val="00B050"/>
                </a:fgClr>
                <a:bgClr>
                  <a:sysClr val="window" lastClr="FFFFFF"/>
                </a:bgClr>
              </a:pattFill>
              <a:ln>
                <a:solidFill>
                  <a:srgbClr val="5B9BD5"/>
                </a:solidFill>
              </a:ln>
              <a:effectLst/>
            </c:spPr>
            <c:extLst>
              <c:ext xmlns:c16="http://schemas.microsoft.com/office/drawing/2014/chart" uri="{C3380CC4-5D6E-409C-BE32-E72D297353CC}">
                <c16:uniqueId val="{00000017-BE09-4E7C-BF8F-FBCCF7DF7C07}"/>
              </c:ext>
            </c:extLst>
          </c:dPt>
          <c:cat>
            <c:strRef>
              <c:f>'ostas dz'!$V$5:$V$6</c:f>
              <c:strCache>
                <c:ptCount val="2"/>
                <c:pt idx="0">
                  <c:v>Ostas</c:v>
                </c:pt>
                <c:pt idx="1">
                  <c:v>Dzelzceļš</c:v>
                </c:pt>
              </c:strCache>
            </c:strRef>
          </c:cat>
          <c:val>
            <c:numRef>
              <c:f>'ostas dz'!$AB$5:$AB$6</c:f>
              <c:numCache>
                <c:formatCode>General</c:formatCode>
                <c:ptCount val="2"/>
                <c:pt idx="0">
                  <c:v>50030.2</c:v>
                </c:pt>
                <c:pt idx="1">
                  <c:v>38891.1</c:v>
                </c:pt>
              </c:numCache>
            </c:numRef>
          </c:val>
          <c:extLst>
            <c:ext xmlns:c16="http://schemas.microsoft.com/office/drawing/2014/chart" uri="{C3380CC4-5D6E-409C-BE32-E72D297353CC}">
              <c16:uniqueId val="{00000018-BE09-4E7C-BF8F-FBCCF7DF7C07}"/>
            </c:ext>
          </c:extLst>
        </c:ser>
        <c:ser>
          <c:idx val="5"/>
          <c:order val="5"/>
          <c:tx>
            <c:strRef>
              <c:f>'ostas dz'!$AC$4</c:f>
              <c:strCache>
                <c:ptCount val="1"/>
                <c:pt idx="0">
                  <c:v>2015</c:v>
                </c:pt>
              </c:strCache>
            </c:strRef>
          </c:tx>
          <c:spPr>
            <a:pattFill prst="dkUpDiag">
              <a:fgClr>
                <a:srgbClr val="4472C4">
                  <a:lumMod val="50000"/>
                </a:srgbClr>
              </a:fgClr>
              <a:bgClr>
                <a:sysClr val="window" lastClr="FFFFFF"/>
              </a:bgClr>
            </a:pattFill>
            <a:ln>
              <a:solidFill>
                <a:srgbClr val="4472C4">
                  <a:lumMod val="50000"/>
                </a:srgbClr>
              </a:solidFill>
            </a:ln>
            <a:effectLst/>
          </c:spPr>
          <c:invertIfNegative val="0"/>
          <c:dPt>
            <c:idx val="0"/>
            <c:invertIfNegative val="0"/>
            <c:bubble3D val="0"/>
            <c:spPr>
              <a:pattFill prst="dkUpDiag">
                <a:fgClr>
                  <a:srgbClr val="4472C4">
                    <a:lumMod val="50000"/>
                  </a:srgbClr>
                </a:fgClr>
                <a:bgClr>
                  <a:sysClr val="window" lastClr="FFFFFF"/>
                </a:bgClr>
              </a:pattFill>
              <a:ln>
                <a:solidFill>
                  <a:srgbClr val="4472C4">
                    <a:lumMod val="50000"/>
                  </a:srgbClr>
                </a:solidFill>
              </a:ln>
              <a:effectLst/>
            </c:spPr>
            <c:extLst>
              <c:ext xmlns:c16="http://schemas.microsoft.com/office/drawing/2014/chart" uri="{C3380CC4-5D6E-409C-BE32-E72D297353CC}">
                <c16:uniqueId val="{0000001A-BE09-4E7C-BF8F-FBCCF7DF7C07}"/>
              </c:ext>
            </c:extLst>
          </c:dPt>
          <c:dPt>
            <c:idx val="1"/>
            <c:invertIfNegative val="0"/>
            <c:bubble3D val="0"/>
            <c:spPr>
              <a:pattFill prst="dkUpDiag">
                <a:fgClr>
                  <a:srgbClr val="00B050"/>
                </a:fgClr>
                <a:bgClr>
                  <a:sysClr val="window" lastClr="FFFFFF"/>
                </a:bgClr>
              </a:pattFill>
              <a:ln>
                <a:solidFill>
                  <a:srgbClr val="00B050"/>
                </a:solidFill>
              </a:ln>
              <a:effectLst/>
            </c:spPr>
            <c:extLst>
              <c:ext xmlns:c16="http://schemas.microsoft.com/office/drawing/2014/chart" uri="{C3380CC4-5D6E-409C-BE32-E72D297353CC}">
                <c16:uniqueId val="{0000001C-BE09-4E7C-BF8F-FBCCF7DF7C07}"/>
              </c:ext>
            </c:extLst>
          </c:dPt>
          <c:cat>
            <c:strRef>
              <c:f>'ostas dz'!$V$5:$V$6</c:f>
              <c:strCache>
                <c:ptCount val="2"/>
                <c:pt idx="0">
                  <c:v>Ostas</c:v>
                </c:pt>
                <c:pt idx="1">
                  <c:v>Dzelzceļš</c:v>
                </c:pt>
              </c:strCache>
            </c:strRef>
          </c:cat>
          <c:val>
            <c:numRef>
              <c:f>'ostas dz'!$AC$5:$AC$6</c:f>
              <c:numCache>
                <c:formatCode>General</c:formatCode>
                <c:ptCount val="2"/>
                <c:pt idx="0">
                  <c:v>47478.500000000007</c:v>
                </c:pt>
                <c:pt idx="1">
                  <c:v>38506.5</c:v>
                </c:pt>
              </c:numCache>
            </c:numRef>
          </c:val>
          <c:extLst>
            <c:ext xmlns:c16="http://schemas.microsoft.com/office/drawing/2014/chart" uri="{C3380CC4-5D6E-409C-BE32-E72D297353CC}">
              <c16:uniqueId val="{0000001D-BE09-4E7C-BF8F-FBCCF7DF7C07}"/>
            </c:ext>
          </c:extLst>
        </c:ser>
        <c:ser>
          <c:idx val="6"/>
          <c:order val="6"/>
          <c:tx>
            <c:strRef>
              <c:f>'ostas dz'!$AD$4</c:f>
              <c:strCache>
                <c:ptCount val="1"/>
                <c:pt idx="0">
                  <c:v>2016</c:v>
                </c:pt>
              </c:strCache>
            </c:strRef>
          </c:tx>
          <c:spPr>
            <a:solidFill>
              <a:schemeClr val="accent1">
                <a:lumMod val="60000"/>
              </a:schemeClr>
            </a:solidFill>
            <a:ln>
              <a:noFill/>
            </a:ln>
            <a:effectLst/>
          </c:spPr>
          <c:invertIfNegative val="0"/>
          <c:dPt>
            <c:idx val="0"/>
            <c:invertIfNegative val="0"/>
            <c:bubble3D val="0"/>
            <c:spPr>
              <a:pattFill prst="dkUpDiag">
                <a:fgClr>
                  <a:srgbClr val="4472C4">
                    <a:lumMod val="50000"/>
                  </a:srgbClr>
                </a:fgClr>
                <a:bgClr>
                  <a:sysClr val="window" lastClr="FFFFFF"/>
                </a:bgClr>
              </a:pattFill>
              <a:ln>
                <a:solidFill>
                  <a:srgbClr val="4472C4">
                    <a:lumMod val="50000"/>
                  </a:srgbClr>
                </a:solidFill>
              </a:ln>
              <a:effectLst/>
            </c:spPr>
            <c:extLst>
              <c:ext xmlns:c16="http://schemas.microsoft.com/office/drawing/2014/chart" uri="{C3380CC4-5D6E-409C-BE32-E72D297353CC}">
                <c16:uniqueId val="{0000001F-BE09-4E7C-BF8F-FBCCF7DF7C07}"/>
              </c:ext>
            </c:extLst>
          </c:dPt>
          <c:dPt>
            <c:idx val="1"/>
            <c:invertIfNegative val="0"/>
            <c:bubble3D val="0"/>
            <c:spPr>
              <a:pattFill prst="dkUpDiag">
                <a:fgClr>
                  <a:srgbClr val="00B050"/>
                </a:fgClr>
                <a:bgClr>
                  <a:sysClr val="window" lastClr="FFFFFF"/>
                </a:bgClr>
              </a:pattFill>
              <a:ln>
                <a:solidFill>
                  <a:srgbClr val="00B050"/>
                </a:solidFill>
              </a:ln>
              <a:effectLst/>
            </c:spPr>
            <c:extLst>
              <c:ext xmlns:c16="http://schemas.microsoft.com/office/drawing/2014/chart" uri="{C3380CC4-5D6E-409C-BE32-E72D297353CC}">
                <c16:uniqueId val="{00000021-BE09-4E7C-BF8F-FBCCF7DF7C07}"/>
              </c:ext>
            </c:extLst>
          </c:dPt>
          <c:cat>
            <c:strRef>
              <c:f>'ostas dz'!$V$5:$V$6</c:f>
              <c:strCache>
                <c:ptCount val="2"/>
                <c:pt idx="0">
                  <c:v>Ostas</c:v>
                </c:pt>
                <c:pt idx="1">
                  <c:v>Dzelzceļš</c:v>
                </c:pt>
              </c:strCache>
            </c:strRef>
          </c:cat>
          <c:val>
            <c:numRef>
              <c:f>'ostas dz'!$AD$5:$AD$6</c:f>
              <c:numCache>
                <c:formatCode>General</c:formatCode>
                <c:ptCount val="2"/>
                <c:pt idx="0">
                  <c:v>41104.299999999996</c:v>
                </c:pt>
                <c:pt idx="1">
                  <c:v>30600.3</c:v>
                </c:pt>
              </c:numCache>
            </c:numRef>
          </c:val>
          <c:extLst>
            <c:ext xmlns:c16="http://schemas.microsoft.com/office/drawing/2014/chart" uri="{C3380CC4-5D6E-409C-BE32-E72D297353CC}">
              <c16:uniqueId val="{00000022-BE09-4E7C-BF8F-FBCCF7DF7C07}"/>
            </c:ext>
          </c:extLst>
        </c:ser>
        <c:ser>
          <c:idx val="7"/>
          <c:order val="7"/>
          <c:tx>
            <c:strRef>
              <c:f>'ostas dz'!$AE$4</c:f>
              <c:strCache>
                <c:ptCount val="1"/>
                <c:pt idx="0">
                  <c:v>2017</c:v>
                </c:pt>
              </c:strCache>
            </c:strRef>
          </c:tx>
          <c:spPr>
            <a:pattFill prst="dkUpDiag">
              <a:fgClr>
                <a:srgbClr val="00B050"/>
              </a:fgClr>
              <a:bgClr>
                <a:sysClr val="window" lastClr="FFFFFF"/>
              </a:bgClr>
            </a:pattFill>
            <a:ln>
              <a:solidFill>
                <a:srgbClr val="00B050"/>
              </a:solidFill>
            </a:ln>
            <a:effectLst/>
          </c:spPr>
          <c:invertIfNegative val="0"/>
          <c:dPt>
            <c:idx val="0"/>
            <c:invertIfNegative val="0"/>
            <c:bubble3D val="0"/>
            <c:spPr>
              <a:pattFill prst="dkUpDiag">
                <a:fgClr>
                  <a:srgbClr val="4472C4">
                    <a:lumMod val="50000"/>
                  </a:srgbClr>
                </a:fgClr>
                <a:bgClr>
                  <a:sysClr val="window" lastClr="FFFFFF"/>
                </a:bgClr>
              </a:pattFill>
              <a:ln>
                <a:solidFill>
                  <a:srgbClr val="4472C4">
                    <a:lumMod val="50000"/>
                  </a:srgbClr>
                </a:solidFill>
              </a:ln>
              <a:effectLst/>
            </c:spPr>
            <c:extLst>
              <c:ext xmlns:c16="http://schemas.microsoft.com/office/drawing/2014/chart" uri="{C3380CC4-5D6E-409C-BE32-E72D297353CC}">
                <c16:uniqueId val="{00000024-BE09-4E7C-BF8F-FBCCF7DF7C07}"/>
              </c:ext>
            </c:extLst>
          </c:dPt>
          <c:dPt>
            <c:idx val="1"/>
            <c:invertIfNegative val="0"/>
            <c:bubble3D val="0"/>
            <c:spPr>
              <a:pattFill prst="dkUpDiag">
                <a:fgClr>
                  <a:srgbClr val="00B050"/>
                </a:fgClr>
                <a:bgClr>
                  <a:sysClr val="window" lastClr="FFFFFF"/>
                </a:bgClr>
              </a:pattFill>
              <a:ln>
                <a:solidFill>
                  <a:srgbClr val="00B050"/>
                </a:solidFill>
              </a:ln>
              <a:effectLst/>
            </c:spPr>
            <c:extLst>
              <c:ext xmlns:c16="http://schemas.microsoft.com/office/drawing/2014/chart" uri="{C3380CC4-5D6E-409C-BE32-E72D297353CC}">
                <c16:uniqueId val="{00000026-BE09-4E7C-BF8F-FBCCF7DF7C07}"/>
              </c:ext>
            </c:extLst>
          </c:dPt>
          <c:cat>
            <c:strRef>
              <c:f>'ostas dz'!$V$5:$V$6</c:f>
              <c:strCache>
                <c:ptCount val="2"/>
                <c:pt idx="0">
                  <c:v>Ostas</c:v>
                </c:pt>
                <c:pt idx="1">
                  <c:v>Dzelzceļš</c:v>
                </c:pt>
              </c:strCache>
            </c:strRef>
          </c:cat>
          <c:val>
            <c:numRef>
              <c:f>'ostas dz'!$AE$5:$AE$6</c:f>
              <c:numCache>
                <c:formatCode>General</c:formatCode>
                <c:ptCount val="2"/>
                <c:pt idx="0">
                  <c:v>43058.499999999993</c:v>
                </c:pt>
                <c:pt idx="1">
                  <c:v>30368.7</c:v>
                </c:pt>
              </c:numCache>
            </c:numRef>
          </c:val>
          <c:extLst>
            <c:ext xmlns:c16="http://schemas.microsoft.com/office/drawing/2014/chart" uri="{C3380CC4-5D6E-409C-BE32-E72D297353CC}">
              <c16:uniqueId val="{00000027-BE09-4E7C-BF8F-FBCCF7DF7C07}"/>
            </c:ext>
          </c:extLst>
        </c:ser>
        <c:ser>
          <c:idx val="8"/>
          <c:order val="8"/>
          <c:tx>
            <c:strRef>
              <c:f>'ostas dz'!$AF$4</c:f>
              <c:strCache>
                <c:ptCount val="1"/>
                <c:pt idx="0">
                  <c:v>2018</c:v>
                </c:pt>
              </c:strCache>
            </c:strRef>
          </c:tx>
          <c:spPr>
            <a:pattFill prst="dkUpDiag">
              <a:fgClr>
                <a:srgbClr val="002060"/>
              </a:fgClr>
              <a:bgClr>
                <a:sysClr val="window" lastClr="FFFFFF"/>
              </a:bgClr>
            </a:pattFill>
            <a:ln>
              <a:solidFill>
                <a:srgbClr val="002060"/>
              </a:solidFill>
            </a:ln>
            <a:effectLst/>
          </c:spPr>
          <c:invertIfNegative val="0"/>
          <c:dPt>
            <c:idx val="0"/>
            <c:invertIfNegative val="0"/>
            <c:bubble3D val="0"/>
            <c:spPr>
              <a:pattFill prst="dkUpDiag">
                <a:fgClr>
                  <a:srgbClr val="4472C4">
                    <a:lumMod val="50000"/>
                  </a:srgbClr>
                </a:fgClr>
                <a:bgClr>
                  <a:sysClr val="window" lastClr="FFFFFF"/>
                </a:bgClr>
              </a:pattFill>
              <a:ln>
                <a:solidFill>
                  <a:srgbClr val="4472C4">
                    <a:lumMod val="50000"/>
                  </a:srgbClr>
                </a:solidFill>
              </a:ln>
              <a:effectLst/>
            </c:spPr>
            <c:extLst>
              <c:ext xmlns:c16="http://schemas.microsoft.com/office/drawing/2014/chart" uri="{C3380CC4-5D6E-409C-BE32-E72D297353CC}">
                <c16:uniqueId val="{00000029-BE09-4E7C-BF8F-FBCCF7DF7C07}"/>
              </c:ext>
            </c:extLst>
          </c:dPt>
          <c:dPt>
            <c:idx val="1"/>
            <c:invertIfNegative val="0"/>
            <c:bubble3D val="0"/>
            <c:spPr>
              <a:pattFill prst="dkUpDiag">
                <a:fgClr>
                  <a:srgbClr val="00B050"/>
                </a:fgClr>
                <a:bgClr>
                  <a:sysClr val="window" lastClr="FFFFFF"/>
                </a:bgClr>
              </a:pattFill>
              <a:ln>
                <a:solidFill>
                  <a:srgbClr val="00B050"/>
                </a:solidFill>
              </a:ln>
              <a:effectLst/>
            </c:spPr>
            <c:extLst>
              <c:ext xmlns:c16="http://schemas.microsoft.com/office/drawing/2014/chart" uri="{C3380CC4-5D6E-409C-BE32-E72D297353CC}">
                <c16:uniqueId val="{0000002B-BE09-4E7C-BF8F-FBCCF7DF7C07}"/>
              </c:ext>
            </c:extLst>
          </c:dPt>
          <c:cat>
            <c:strRef>
              <c:f>'ostas dz'!$V$5:$V$6</c:f>
              <c:strCache>
                <c:ptCount val="2"/>
                <c:pt idx="0">
                  <c:v>Ostas</c:v>
                </c:pt>
                <c:pt idx="1">
                  <c:v>Dzelzceļš</c:v>
                </c:pt>
              </c:strCache>
            </c:strRef>
          </c:cat>
          <c:val>
            <c:numRef>
              <c:f>'ostas dz'!$AF$5:$AF$6</c:f>
              <c:numCache>
                <c:formatCode>General</c:formatCode>
                <c:ptCount val="2"/>
                <c:pt idx="0">
                  <c:v>43468.44</c:v>
                </c:pt>
                <c:pt idx="1">
                  <c:v>32337.9</c:v>
                </c:pt>
              </c:numCache>
            </c:numRef>
          </c:val>
          <c:extLst>
            <c:ext xmlns:c16="http://schemas.microsoft.com/office/drawing/2014/chart" uri="{C3380CC4-5D6E-409C-BE32-E72D297353CC}">
              <c16:uniqueId val="{0000002C-BE09-4E7C-BF8F-FBCCF7DF7C07}"/>
            </c:ext>
          </c:extLst>
        </c:ser>
        <c:ser>
          <c:idx val="9"/>
          <c:order val="9"/>
          <c:tx>
            <c:strRef>
              <c:f>'ostas dz'!$AG$4</c:f>
              <c:strCache>
                <c:ptCount val="1"/>
                <c:pt idx="0">
                  <c:v>2019</c:v>
                </c:pt>
              </c:strCache>
            </c:strRef>
          </c:tx>
          <c:spPr>
            <a:pattFill prst="dkUpDiag">
              <a:fgClr>
                <a:srgbClr val="002060"/>
              </a:fgClr>
              <a:bgClr>
                <a:sysClr val="window" lastClr="FFFFFF"/>
              </a:bgClr>
            </a:pattFill>
            <a:ln>
              <a:noFill/>
            </a:ln>
            <a:effectLst/>
          </c:spPr>
          <c:invertIfNegative val="0"/>
          <c:dPt>
            <c:idx val="0"/>
            <c:invertIfNegative val="0"/>
            <c:bubble3D val="0"/>
            <c:spPr>
              <a:pattFill prst="dkUpDiag">
                <a:fgClr>
                  <a:srgbClr val="002060"/>
                </a:fgClr>
                <a:bgClr>
                  <a:sysClr val="window" lastClr="FFFFFF"/>
                </a:bgClr>
              </a:pattFill>
              <a:ln>
                <a:solidFill>
                  <a:srgbClr val="4472C4">
                    <a:lumMod val="50000"/>
                  </a:srgbClr>
                </a:solidFill>
              </a:ln>
              <a:effectLst/>
            </c:spPr>
            <c:extLst>
              <c:ext xmlns:c16="http://schemas.microsoft.com/office/drawing/2014/chart" uri="{C3380CC4-5D6E-409C-BE32-E72D297353CC}">
                <c16:uniqueId val="{0000002E-BE09-4E7C-BF8F-FBCCF7DF7C07}"/>
              </c:ext>
            </c:extLst>
          </c:dPt>
          <c:dPt>
            <c:idx val="1"/>
            <c:invertIfNegative val="0"/>
            <c:bubble3D val="0"/>
            <c:spPr>
              <a:pattFill prst="dkUpDiag">
                <a:fgClr>
                  <a:srgbClr val="00B050"/>
                </a:fgClr>
                <a:bgClr>
                  <a:sysClr val="window" lastClr="FFFFFF"/>
                </a:bgClr>
              </a:pattFill>
              <a:ln>
                <a:solidFill>
                  <a:srgbClr val="00B050"/>
                </a:solidFill>
              </a:ln>
              <a:effectLst/>
            </c:spPr>
            <c:extLst>
              <c:ext xmlns:c16="http://schemas.microsoft.com/office/drawing/2014/chart" uri="{C3380CC4-5D6E-409C-BE32-E72D297353CC}">
                <c16:uniqueId val="{00000030-BE09-4E7C-BF8F-FBCCF7DF7C07}"/>
              </c:ext>
            </c:extLst>
          </c:dPt>
          <c:dLbls>
            <c:dLbl>
              <c:idx val="0"/>
              <c:layout>
                <c:manualLayout>
                  <c:x val="6.1649113793989213E-2"/>
                  <c:y val="0.70582038451409002"/>
                </c:manualLayout>
              </c:layout>
              <c:tx>
                <c:rich>
                  <a:bodyPr rot="0" spcFirstLastPara="1" vertOverflow="ellipsis" vert="horz" wrap="square" lIns="38100" tIns="19050" rIns="38100" bIns="19050" anchor="ctr" anchorCtr="1">
                    <a:spAutoFit/>
                  </a:bodyPr>
                  <a:lstStyle/>
                  <a:p>
                    <a:pPr>
                      <a:defRPr sz="900" b="1" i="0" u="none" strike="noStrike" kern="1200" baseline="0">
                        <a:solidFill>
                          <a:schemeClr val="tx1"/>
                        </a:solidFill>
                        <a:latin typeface="Times New Roman" panose="02020603050405020304" pitchFamily="18" charset="0"/>
                        <a:ea typeface="+mn-ea"/>
                        <a:cs typeface="Times New Roman" panose="02020603050405020304" pitchFamily="18" charset="0"/>
                      </a:defRPr>
                    </a:pPr>
                    <a:r>
                      <a:rPr lang="en-US" b="1"/>
                      <a:t>2021. </a:t>
                    </a:r>
                  </a:p>
                </c:rich>
              </c:tx>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lv-LV"/>
                </a:p>
              </c:txPr>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2E-BE09-4E7C-BF8F-FBCCF7DF7C07}"/>
                </c:ext>
              </c:extLst>
            </c:dLbl>
            <c:dLbl>
              <c:idx val="1"/>
              <c:layout>
                <c:manualLayout>
                  <c:x val="8.4767531466735171E-2"/>
                  <c:y val="0.51802396836292219"/>
                </c:manualLayout>
              </c:layout>
              <c:tx>
                <c:rich>
                  <a:bodyPr rot="0" spcFirstLastPara="1" vertOverflow="ellipsis" vert="horz" wrap="square" lIns="38100" tIns="19050" rIns="38100" bIns="19050" anchor="ctr" anchorCtr="1">
                    <a:noAutofit/>
                  </a:bodyPr>
                  <a:lstStyle/>
                  <a:p>
                    <a:pPr>
                      <a:defRPr sz="900" b="1" i="0" u="none" strike="noStrike" kern="1200" baseline="0">
                        <a:solidFill>
                          <a:schemeClr val="tx1"/>
                        </a:solidFill>
                        <a:latin typeface="Times New Roman" panose="02020603050405020304" pitchFamily="18" charset="0"/>
                        <a:ea typeface="+mn-ea"/>
                        <a:cs typeface="Times New Roman" panose="02020603050405020304" pitchFamily="18" charset="0"/>
                      </a:defRPr>
                    </a:pPr>
                    <a:r>
                      <a:rPr lang="en-US" b="1"/>
                      <a:t>2021.</a:t>
                    </a:r>
                  </a:p>
                </c:rich>
              </c:tx>
              <c:spPr>
                <a:noFill/>
                <a:ln>
                  <a:noFill/>
                </a:ln>
                <a:effectLst/>
              </c:spPr>
              <c:txPr>
                <a:bodyPr rot="0" spcFirstLastPara="1" vertOverflow="ellipsis" vert="horz" wrap="square" lIns="38100" tIns="19050" rIns="38100" bIns="19050" anchor="ctr" anchorCtr="1">
                  <a:noAutofit/>
                </a:bodyPr>
                <a:lstStyle/>
                <a:p>
                  <a:pPr>
                    <a:defRPr sz="9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lv-LV"/>
                </a:p>
              </c:txPr>
              <c:showLegendKey val="0"/>
              <c:showVal val="1"/>
              <c:showCatName val="0"/>
              <c:showSerName val="0"/>
              <c:showPercent val="0"/>
              <c:showBubbleSize val="0"/>
              <c:extLst>
                <c:ext xmlns:c15="http://schemas.microsoft.com/office/drawing/2012/chart" uri="{CE6537A1-D6FC-4f65-9D91-7224C49458BB}">
                  <c15:layout>
                    <c:manualLayout>
                      <c:w val="6.7428718212175706E-2"/>
                      <c:h val="7.5559859731781615E-2"/>
                    </c:manualLayout>
                  </c15:layout>
                  <c15:showDataLabelsRange val="0"/>
                </c:ext>
                <c:ext xmlns:c16="http://schemas.microsoft.com/office/drawing/2014/chart" uri="{C3380CC4-5D6E-409C-BE32-E72D297353CC}">
                  <c16:uniqueId val="{00000030-BE09-4E7C-BF8F-FBCCF7DF7C07}"/>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lv-LV"/>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'ostas dz'!$V$5:$V$6</c:f>
              <c:strCache>
                <c:ptCount val="2"/>
                <c:pt idx="0">
                  <c:v>Ostas</c:v>
                </c:pt>
                <c:pt idx="1">
                  <c:v>Dzelzceļš</c:v>
                </c:pt>
              </c:strCache>
            </c:strRef>
          </c:cat>
          <c:val>
            <c:numRef>
              <c:f>'ostas dz'!$AG$5:$AG$6</c:f>
              <c:numCache>
                <c:formatCode>General</c:formatCode>
                <c:ptCount val="2"/>
                <c:pt idx="0">
                  <c:v>42321.4</c:v>
                </c:pt>
                <c:pt idx="1">
                  <c:v>28372.7</c:v>
                </c:pt>
              </c:numCache>
            </c:numRef>
          </c:val>
          <c:extLst>
            <c:ext xmlns:c16="http://schemas.microsoft.com/office/drawing/2014/chart" uri="{C3380CC4-5D6E-409C-BE32-E72D297353CC}">
              <c16:uniqueId val="{00000031-BE09-4E7C-BF8F-FBCCF7DF7C07}"/>
            </c:ext>
          </c:extLst>
        </c:ser>
        <c:ser>
          <c:idx val="10"/>
          <c:order val="10"/>
          <c:tx>
            <c:strRef>
              <c:f>'ostas dz'!$AH$4</c:f>
              <c:strCache>
                <c:ptCount val="1"/>
                <c:pt idx="0">
                  <c:v>2020</c:v>
                </c:pt>
              </c:strCache>
            </c:strRef>
          </c:tx>
          <c:spPr>
            <a:pattFill prst="dkUpDiag">
              <a:fgClr>
                <a:srgbClr val="4472C4">
                  <a:lumMod val="50000"/>
                </a:srgbClr>
              </a:fgClr>
              <a:bgClr>
                <a:sysClr val="window" lastClr="FFFFFF"/>
              </a:bgClr>
            </a:pattFill>
            <a:ln>
              <a:solidFill>
                <a:srgbClr val="4472C4">
                  <a:lumMod val="50000"/>
                </a:srgbClr>
              </a:solidFill>
            </a:ln>
            <a:effectLst/>
          </c:spPr>
          <c:invertIfNegative val="0"/>
          <c:dPt>
            <c:idx val="1"/>
            <c:invertIfNegative val="0"/>
            <c:bubble3D val="0"/>
            <c:spPr>
              <a:pattFill prst="dkUpDiag">
                <a:fgClr>
                  <a:srgbClr val="00B050"/>
                </a:fgClr>
                <a:bgClr>
                  <a:sysClr val="window" lastClr="FFFFFF"/>
                </a:bgClr>
              </a:pattFill>
              <a:ln>
                <a:solidFill>
                  <a:srgbClr val="00B050"/>
                </a:solidFill>
              </a:ln>
              <a:effectLst/>
            </c:spPr>
            <c:extLst>
              <c:ext xmlns:c16="http://schemas.microsoft.com/office/drawing/2014/chart" uri="{C3380CC4-5D6E-409C-BE32-E72D297353CC}">
                <c16:uniqueId val="{00000033-BE09-4E7C-BF8F-FBCCF7DF7C07}"/>
              </c:ext>
            </c:extLst>
          </c:dPt>
          <c:cat>
            <c:strRef>
              <c:f>'ostas dz'!$V$5:$V$6</c:f>
              <c:strCache>
                <c:ptCount val="2"/>
                <c:pt idx="0">
                  <c:v>Ostas</c:v>
                </c:pt>
                <c:pt idx="1">
                  <c:v>Dzelzceļš</c:v>
                </c:pt>
              </c:strCache>
            </c:strRef>
          </c:cat>
          <c:val>
            <c:numRef>
              <c:f>'ostas dz'!$AH$5:$AH$6</c:f>
              <c:numCache>
                <c:formatCode>General</c:formatCode>
                <c:ptCount val="2"/>
                <c:pt idx="0">
                  <c:v>29744.100000000002</c:v>
                </c:pt>
                <c:pt idx="1">
                  <c:v>15524.8</c:v>
                </c:pt>
              </c:numCache>
            </c:numRef>
          </c:val>
          <c:extLst>
            <c:ext xmlns:c16="http://schemas.microsoft.com/office/drawing/2014/chart" uri="{C3380CC4-5D6E-409C-BE32-E72D297353CC}">
              <c16:uniqueId val="{00000034-BE09-4E7C-BF8F-FBCCF7DF7C07}"/>
            </c:ext>
          </c:extLst>
        </c:ser>
        <c:ser>
          <c:idx val="11"/>
          <c:order val="11"/>
          <c:tx>
            <c:strRef>
              <c:f>'ostas dz'!$AI$4</c:f>
              <c:strCache>
                <c:ptCount val="1"/>
                <c:pt idx="0">
                  <c:v>2021</c:v>
                </c:pt>
              </c:strCache>
            </c:strRef>
          </c:tx>
          <c:spPr>
            <a:pattFill prst="dkUpDiag">
              <a:fgClr>
                <a:srgbClr val="002060"/>
              </a:fgClr>
              <a:bgClr>
                <a:sysClr val="window" lastClr="FFFFFF"/>
              </a:bgClr>
            </a:pattFill>
            <a:ln>
              <a:solidFill>
                <a:srgbClr val="002060"/>
              </a:solidFill>
            </a:ln>
            <a:effectLst/>
          </c:spPr>
          <c:invertIfNegative val="0"/>
          <c:dPt>
            <c:idx val="0"/>
            <c:invertIfNegative val="0"/>
            <c:bubble3D val="0"/>
            <c:spPr>
              <a:pattFill prst="dkUpDiag">
                <a:fgClr>
                  <a:srgbClr val="4472C4">
                    <a:lumMod val="50000"/>
                  </a:srgbClr>
                </a:fgClr>
                <a:bgClr>
                  <a:sysClr val="window" lastClr="FFFFFF"/>
                </a:bgClr>
              </a:pattFill>
              <a:ln>
                <a:solidFill>
                  <a:srgbClr val="4472C4">
                    <a:lumMod val="50000"/>
                  </a:srgbClr>
                </a:solidFill>
              </a:ln>
              <a:effectLst/>
            </c:spPr>
            <c:extLst>
              <c:ext xmlns:c16="http://schemas.microsoft.com/office/drawing/2014/chart" uri="{C3380CC4-5D6E-409C-BE32-E72D297353CC}">
                <c16:uniqueId val="{00000036-BE09-4E7C-BF8F-FBCCF7DF7C07}"/>
              </c:ext>
            </c:extLst>
          </c:dPt>
          <c:dPt>
            <c:idx val="1"/>
            <c:invertIfNegative val="0"/>
            <c:bubble3D val="0"/>
            <c:spPr>
              <a:pattFill prst="dkUpDiag">
                <a:fgClr>
                  <a:srgbClr val="00B050"/>
                </a:fgClr>
                <a:bgClr>
                  <a:sysClr val="window" lastClr="FFFFFF"/>
                </a:bgClr>
              </a:pattFill>
              <a:ln>
                <a:solidFill>
                  <a:srgbClr val="00B050"/>
                </a:solidFill>
              </a:ln>
              <a:effectLst/>
            </c:spPr>
            <c:extLst>
              <c:ext xmlns:c16="http://schemas.microsoft.com/office/drawing/2014/chart" uri="{C3380CC4-5D6E-409C-BE32-E72D297353CC}">
                <c16:uniqueId val="{00000038-BE09-4E7C-BF8F-FBCCF7DF7C07}"/>
              </c:ext>
            </c:extLst>
          </c:dPt>
          <c:cat>
            <c:strRef>
              <c:f>'ostas dz'!$V$5:$V$6</c:f>
              <c:strCache>
                <c:ptCount val="2"/>
                <c:pt idx="0">
                  <c:v>Ostas</c:v>
                </c:pt>
                <c:pt idx="1">
                  <c:v>Dzelzceļš</c:v>
                </c:pt>
              </c:strCache>
            </c:strRef>
          </c:cat>
          <c:val>
            <c:numRef>
              <c:f>'ostas dz'!$AI$5:$AI$6</c:f>
              <c:numCache>
                <c:formatCode>General</c:formatCode>
                <c:ptCount val="2"/>
                <c:pt idx="0">
                  <c:v>26549.5</c:v>
                </c:pt>
                <c:pt idx="1">
                  <c:v>13226.8</c:v>
                </c:pt>
              </c:numCache>
            </c:numRef>
          </c:val>
          <c:extLst>
            <c:ext xmlns:c16="http://schemas.microsoft.com/office/drawing/2014/chart" uri="{C3380CC4-5D6E-409C-BE32-E72D297353CC}">
              <c16:uniqueId val="{00000039-BE09-4E7C-BF8F-FBCCF7DF7C07}"/>
            </c:ext>
          </c:extLst>
        </c:ser>
        <c:dLbls>
          <c:showLegendKey val="0"/>
          <c:showVal val="0"/>
          <c:showCatName val="0"/>
          <c:showSerName val="0"/>
          <c:showPercent val="0"/>
          <c:showBubbleSize val="0"/>
        </c:dLbls>
        <c:gapWidth val="219"/>
        <c:overlap val="-27"/>
        <c:axId val="221658064"/>
        <c:axId val="221658456"/>
      </c:barChart>
      <c:catAx>
        <c:axId val="22165806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lv-LV"/>
          </a:p>
        </c:txPr>
        <c:crossAx val="221658456"/>
        <c:crosses val="autoZero"/>
        <c:auto val="1"/>
        <c:lblAlgn val="ctr"/>
        <c:lblOffset val="100"/>
        <c:noMultiLvlLbl val="0"/>
      </c:catAx>
      <c:valAx>
        <c:axId val="221658456"/>
        <c:scaling>
          <c:orientation val="minMax"/>
          <c:max val="60000"/>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lv-LV"/>
          </a:p>
        </c:txPr>
        <c:crossAx val="221658064"/>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solidFill>
            <a:schemeClr val="tx1"/>
          </a:solidFill>
          <a:latin typeface="Times New Roman" panose="02020603050405020304" pitchFamily="18" charset="0"/>
          <a:cs typeface="Times New Roman" panose="02020603050405020304" pitchFamily="18" charset="0"/>
        </a:defRPr>
      </a:pPr>
      <a:endParaRPr lang="lv-LV"/>
    </a:p>
  </c:txPr>
  <c:externalData r:id="rId4">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6.336252272263436E-2"/>
          <c:y val="5.1400554097404488E-2"/>
          <c:w val="0.89141528195051567"/>
          <c:h val="0.73344738382522323"/>
        </c:manualLayout>
      </c:layout>
      <c:lineChart>
        <c:grouping val="standard"/>
        <c:varyColors val="0"/>
        <c:ser>
          <c:idx val="0"/>
          <c:order val="0"/>
          <c:tx>
            <c:strRef>
              <c:f>ind!$M$16</c:f>
              <c:strCache>
                <c:ptCount val="1"/>
                <c:pt idx="0">
                  <c:v>Dzelzceļš</c:v>
                </c:pt>
              </c:strCache>
            </c:strRef>
          </c:tx>
          <c:spPr>
            <a:ln>
              <a:prstDash val="sysDash"/>
            </a:ln>
          </c:spPr>
          <c:marker>
            <c:symbol val="none"/>
          </c:marker>
          <c:cat>
            <c:numRef>
              <c:f>ind!$L$17:$L$28</c:f>
              <c:numCache>
                <c:formatCode>General</c:formatCode>
                <c:ptCount val="12"/>
                <c:pt idx="0">
                  <c:v>2010</c:v>
                </c:pt>
                <c:pt idx="1">
                  <c:v>2011</c:v>
                </c:pt>
                <c:pt idx="2">
                  <c:v>2012</c:v>
                </c:pt>
                <c:pt idx="3">
                  <c:v>2013</c:v>
                </c:pt>
                <c:pt idx="4">
                  <c:v>2014</c:v>
                </c:pt>
                <c:pt idx="5">
                  <c:v>2015</c:v>
                </c:pt>
                <c:pt idx="6">
                  <c:v>2016</c:v>
                </c:pt>
                <c:pt idx="7">
                  <c:v>2017</c:v>
                </c:pt>
                <c:pt idx="8">
                  <c:v>2018</c:v>
                </c:pt>
                <c:pt idx="9">
                  <c:v>2019</c:v>
                </c:pt>
                <c:pt idx="10" formatCode="0">
                  <c:v>2020</c:v>
                </c:pt>
                <c:pt idx="11" formatCode="0">
                  <c:v>2021</c:v>
                </c:pt>
              </c:numCache>
            </c:numRef>
          </c:cat>
          <c:val>
            <c:numRef>
              <c:f>ind!$M$17:$M$28</c:f>
              <c:numCache>
                <c:formatCode>General</c:formatCode>
                <c:ptCount val="12"/>
                <c:pt idx="0">
                  <c:v>1</c:v>
                </c:pt>
                <c:pt idx="1">
                  <c:v>0.96769297914972141</c:v>
                </c:pt>
                <c:pt idx="2">
                  <c:v>0.94164500962167941</c:v>
                </c:pt>
                <c:pt idx="3">
                  <c:v>0.93892713313627085</c:v>
                </c:pt>
                <c:pt idx="4">
                  <c:v>0.93021802527426767</c:v>
                </c:pt>
                <c:pt idx="5">
                  <c:v>0.80947090681849754</c:v>
                </c:pt>
                <c:pt idx="6">
                  <c:v>0.80894518618445843</c:v>
                </c:pt>
                <c:pt idx="7">
                  <c:v>0.82776201718015363</c:v>
                </c:pt>
                <c:pt idx="8">
                  <c:v>0.86451286527664817</c:v>
                </c:pt>
                <c:pt idx="9">
                  <c:v>0.88737675322871823</c:v>
                </c:pt>
                <c:pt idx="10">
                  <c:v>0.60476719503243592</c:v>
                </c:pt>
                <c:pt idx="11">
                  <c:v>0.46032297101593034</c:v>
                </c:pt>
              </c:numCache>
            </c:numRef>
          </c:val>
          <c:smooth val="1"/>
          <c:extLst>
            <c:ext xmlns:c16="http://schemas.microsoft.com/office/drawing/2014/chart" uri="{C3380CC4-5D6E-409C-BE32-E72D297353CC}">
              <c16:uniqueId val="{00000000-2C32-4166-BFA1-AB5C2B080782}"/>
            </c:ext>
          </c:extLst>
        </c:ser>
        <c:ser>
          <c:idx val="1"/>
          <c:order val="1"/>
          <c:tx>
            <c:strRef>
              <c:f>ind!$N$16</c:f>
              <c:strCache>
                <c:ptCount val="1"/>
                <c:pt idx="0">
                  <c:v>Autobusi</c:v>
                </c:pt>
              </c:strCache>
            </c:strRef>
          </c:tx>
          <c:spPr>
            <a:ln>
              <a:solidFill>
                <a:schemeClr val="accent6">
                  <a:lumMod val="75000"/>
                </a:schemeClr>
              </a:solidFill>
              <a:prstDash val="sysDash"/>
            </a:ln>
          </c:spPr>
          <c:marker>
            <c:symbol val="none"/>
          </c:marker>
          <c:cat>
            <c:numRef>
              <c:f>ind!$L$17:$L$28</c:f>
              <c:numCache>
                <c:formatCode>General</c:formatCode>
                <c:ptCount val="12"/>
                <c:pt idx="0">
                  <c:v>2010</c:v>
                </c:pt>
                <c:pt idx="1">
                  <c:v>2011</c:v>
                </c:pt>
                <c:pt idx="2">
                  <c:v>2012</c:v>
                </c:pt>
                <c:pt idx="3">
                  <c:v>2013</c:v>
                </c:pt>
                <c:pt idx="4">
                  <c:v>2014</c:v>
                </c:pt>
                <c:pt idx="5">
                  <c:v>2015</c:v>
                </c:pt>
                <c:pt idx="6">
                  <c:v>2016</c:v>
                </c:pt>
                <c:pt idx="7">
                  <c:v>2017</c:v>
                </c:pt>
                <c:pt idx="8">
                  <c:v>2018</c:v>
                </c:pt>
                <c:pt idx="9">
                  <c:v>2019</c:v>
                </c:pt>
                <c:pt idx="10" formatCode="0">
                  <c:v>2020</c:v>
                </c:pt>
                <c:pt idx="11" formatCode="0">
                  <c:v>2021</c:v>
                </c:pt>
              </c:numCache>
            </c:numRef>
          </c:cat>
          <c:val>
            <c:numRef>
              <c:f>ind!$N$17:$N$28</c:f>
              <c:numCache>
                <c:formatCode>General</c:formatCode>
                <c:ptCount val="12"/>
                <c:pt idx="0">
                  <c:v>1</c:v>
                </c:pt>
                <c:pt idx="1">
                  <c:v>1.0397558287934243</c:v>
                </c:pt>
                <c:pt idx="2">
                  <c:v>1.0188047811004852</c:v>
                </c:pt>
                <c:pt idx="3">
                  <c:v>1.0350584987659319</c:v>
                </c:pt>
                <c:pt idx="4">
                  <c:v>1.020508301146362</c:v>
                </c:pt>
                <c:pt idx="5">
                  <c:v>1.0166458646067005</c:v>
                </c:pt>
                <c:pt idx="6">
                  <c:v>1.0054450797506</c:v>
                </c:pt>
                <c:pt idx="7">
                  <c:v>0.99003468884053814</c:v>
                </c:pt>
                <c:pt idx="8">
                  <c:v>0.98487352909758419</c:v>
                </c:pt>
                <c:pt idx="9">
                  <c:v>0.98671479251350735</c:v>
                </c:pt>
                <c:pt idx="10">
                  <c:v>0.59197462148684132</c:v>
                </c:pt>
                <c:pt idx="11">
                  <c:v>0.46230048294512188</c:v>
                </c:pt>
              </c:numCache>
            </c:numRef>
          </c:val>
          <c:smooth val="1"/>
          <c:extLst>
            <c:ext xmlns:c16="http://schemas.microsoft.com/office/drawing/2014/chart" uri="{C3380CC4-5D6E-409C-BE32-E72D297353CC}">
              <c16:uniqueId val="{00000001-2C32-4166-BFA1-AB5C2B080782}"/>
            </c:ext>
          </c:extLst>
        </c:ser>
        <c:ser>
          <c:idx val="2"/>
          <c:order val="2"/>
          <c:tx>
            <c:strRef>
              <c:f>ind!$O$16</c:f>
              <c:strCache>
                <c:ptCount val="1"/>
                <c:pt idx="0">
                  <c:v>Tramvaji</c:v>
                </c:pt>
              </c:strCache>
            </c:strRef>
          </c:tx>
          <c:spPr>
            <a:ln>
              <a:solidFill>
                <a:schemeClr val="accent3"/>
              </a:solidFill>
              <a:prstDash val="sysDash"/>
            </a:ln>
          </c:spPr>
          <c:marker>
            <c:symbol val="none"/>
          </c:marker>
          <c:cat>
            <c:numRef>
              <c:f>ind!$L$17:$L$28</c:f>
              <c:numCache>
                <c:formatCode>General</c:formatCode>
                <c:ptCount val="12"/>
                <c:pt idx="0">
                  <c:v>2010</c:v>
                </c:pt>
                <c:pt idx="1">
                  <c:v>2011</c:v>
                </c:pt>
                <c:pt idx="2">
                  <c:v>2012</c:v>
                </c:pt>
                <c:pt idx="3">
                  <c:v>2013</c:v>
                </c:pt>
                <c:pt idx="4">
                  <c:v>2014</c:v>
                </c:pt>
                <c:pt idx="5">
                  <c:v>2015</c:v>
                </c:pt>
                <c:pt idx="6">
                  <c:v>2016</c:v>
                </c:pt>
                <c:pt idx="7">
                  <c:v>2017</c:v>
                </c:pt>
                <c:pt idx="8">
                  <c:v>2018</c:v>
                </c:pt>
                <c:pt idx="9">
                  <c:v>2019</c:v>
                </c:pt>
                <c:pt idx="10" formatCode="0">
                  <c:v>2020</c:v>
                </c:pt>
                <c:pt idx="11" formatCode="0">
                  <c:v>2021</c:v>
                </c:pt>
              </c:numCache>
            </c:numRef>
          </c:cat>
          <c:val>
            <c:numRef>
              <c:f>ind!$O$17:$O$28</c:f>
              <c:numCache>
                <c:formatCode>General</c:formatCode>
                <c:ptCount val="12"/>
                <c:pt idx="0">
                  <c:v>1</c:v>
                </c:pt>
                <c:pt idx="1">
                  <c:v>1.0175773233213414</c:v>
                </c:pt>
                <c:pt idx="2">
                  <c:v>0.9691575922930199</c:v>
                </c:pt>
                <c:pt idx="3">
                  <c:v>1.0384866117777725</c:v>
                </c:pt>
                <c:pt idx="4">
                  <c:v>1.095101045464423</c:v>
                </c:pt>
                <c:pt idx="5">
                  <c:v>1.0643455585870536</c:v>
                </c:pt>
                <c:pt idx="6">
                  <c:v>1.0077504406403168</c:v>
                </c:pt>
                <c:pt idx="7">
                  <c:v>1.0074075862568512</c:v>
                </c:pt>
                <c:pt idx="8">
                  <c:v>1.0326291136489847</c:v>
                </c:pt>
                <c:pt idx="9">
                  <c:v>1.0093391602482074</c:v>
                </c:pt>
                <c:pt idx="10">
                  <c:v>0.55500398387135719</c:v>
                </c:pt>
                <c:pt idx="11">
                  <c:v>0.41580510418427219</c:v>
                </c:pt>
              </c:numCache>
            </c:numRef>
          </c:val>
          <c:smooth val="1"/>
          <c:extLst>
            <c:ext xmlns:c16="http://schemas.microsoft.com/office/drawing/2014/chart" uri="{C3380CC4-5D6E-409C-BE32-E72D297353CC}">
              <c16:uniqueId val="{00000002-2C32-4166-BFA1-AB5C2B080782}"/>
            </c:ext>
          </c:extLst>
        </c:ser>
        <c:ser>
          <c:idx val="3"/>
          <c:order val="3"/>
          <c:tx>
            <c:strRef>
              <c:f>ind!$P$16</c:f>
              <c:strCache>
                <c:ptCount val="1"/>
                <c:pt idx="0">
                  <c:v>Trolejbusi</c:v>
                </c:pt>
              </c:strCache>
            </c:strRef>
          </c:tx>
          <c:spPr>
            <a:ln>
              <a:prstDash val="sysDash"/>
            </a:ln>
          </c:spPr>
          <c:marker>
            <c:symbol val="none"/>
          </c:marker>
          <c:cat>
            <c:numRef>
              <c:f>ind!$L$17:$L$28</c:f>
              <c:numCache>
                <c:formatCode>General</c:formatCode>
                <c:ptCount val="12"/>
                <c:pt idx="0">
                  <c:v>2010</c:v>
                </c:pt>
                <c:pt idx="1">
                  <c:v>2011</c:v>
                </c:pt>
                <c:pt idx="2">
                  <c:v>2012</c:v>
                </c:pt>
                <c:pt idx="3">
                  <c:v>2013</c:v>
                </c:pt>
                <c:pt idx="4">
                  <c:v>2014</c:v>
                </c:pt>
                <c:pt idx="5">
                  <c:v>2015</c:v>
                </c:pt>
                <c:pt idx="6">
                  <c:v>2016</c:v>
                </c:pt>
                <c:pt idx="7">
                  <c:v>2017</c:v>
                </c:pt>
                <c:pt idx="8">
                  <c:v>2018</c:v>
                </c:pt>
                <c:pt idx="9">
                  <c:v>2019</c:v>
                </c:pt>
                <c:pt idx="10" formatCode="0">
                  <c:v>2020</c:v>
                </c:pt>
                <c:pt idx="11" formatCode="0">
                  <c:v>2021</c:v>
                </c:pt>
              </c:numCache>
            </c:numRef>
          </c:cat>
          <c:val>
            <c:numRef>
              <c:f>ind!$P$17:$P$28</c:f>
              <c:numCache>
                <c:formatCode>General</c:formatCode>
                <c:ptCount val="12"/>
                <c:pt idx="0">
                  <c:v>1</c:v>
                </c:pt>
                <c:pt idx="1">
                  <c:v>1.0528972476485354</c:v>
                </c:pt>
                <c:pt idx="2">
                  <c:v>1.0382679159737338</c:v>
                </c:pt>
                <c:pt idx="3">
                  <c:v>1.0844363921526208</c:v>
                </c:pt>
                <c:pt idx="4">
                  <c:v>1.087190095681057</c:v>
                </c:pt>
                <c:pt idx="5">
                  <c:v>1.0209795252452869</c:v>
                </c:pt>
                <c:pt idx="6">
                  <c:v>0.98708328263093581</c:v>
                </c:pt>
                <c:pt idx="7">
                  <c:v>0.98010212589517898</c:v>
                </c:pt>
                <c:pt idx="8">
                  <c:v>0.95087050382408733</c:v>
                </c:pt>
                <c:pt idx="9">
                  <c:v>0.90947481330250624</c:v>
                </c:pt>
                <c:pt idx="10">
                  <c:v>0.62299500187035506</c:v>
                </c:pt>
                <c:pt idx="11">
                  <c:v>0.49033048949220975</c:v>
                </c:pt>
              </c:numCache>
            </c:numRef>
          </c:val>
          <c:smooth val="1"/>
          <c:extLst>
            <c:ext xmlns:c16="http://schemas.microsoft.com/office/drawing/2014/chart" uri="{C3380CC4-5D6E-409C-BE32-E72D297353CC}">
              <c16:uniqueId val="{00000003-2C32-4166-BFA1-AB5C2B080782}"/>
            </c:ext>
          </c:extLst>
        </c:ser>
        <c:ser>
          <c:idx val="4"/>
          <c:order val="4"/>
          <c:tx>
            <c:strRef>
              <c:f>ind!$Q$16</c:f>
              <c:strCache>
                <c:ptCount val="1"/>
                <c:pt idx="0">
                  <c:v>Lidosta</c:v>
                </c:pt>
              </c:strCache>
            </c:strRef>
          </c:tx>
          <c:spPr>
            <a:ln>
              <a:solidFill>
                <a:schemeClr val="tx2">
                  <a:lumMod val="50000"/>
                </a:schemeClr>
              </a:solidFill>
              <a:prstDash val="sysDash"/>
            </a:ln>
            <a:effectLst>
              <a:outerShdw blurRad="50800" dist="38100" dir="2700000" algn="tl" rotWithShape="0">
                <a:prstClr val="black">
                  <a:alpha val="40000"/>
                </a:prstClr>
              </a:outerShdw>
            </a:effectLst>
          </c:spPr>
          <c:marker>
            <c:symbol val="none"/>
          </c:marker>
          <c:cat>
            <c:numRef>
              <c:f>ind!$L$17:$L$28</c:f>
              <c:numCache>
                <c:formatCode>General</c:formatCode>
                <c:ptCount val="12"/>
                <c:pt idx="0">
                  <c:v>2010</c:v>
                </c:pt>
                <c:pt idx="1">
                  <c:v>2011</c:v>
                </c:pt>
                <c:pt idx="2">
                  <c:v>2012</c:v>
                </c:pt>
                <c:pt idx="3">
                  <c:v>2013</c:v>
                </c:pt>
                <c:pt idx="4">
                  <c:v>2014</c:v>
                </c:pt>
                <c:pt idx="5">
                  <c:v>2015</c:v>
                </c:pt>
                <c:pt idx="6">
                  <c:v>2016</c:v>
                </c:pt>
                <c:pt idx="7">
                  <c:v>2017</c:v>
                </c:pt>
                <c:pt idx="8">
                  <c:v>2018</c:v>
                </c:pt>
                <c:pt idx="9">
                  <c:v>2019</c:v>
                </c:pt>
                <c:pt idx="10" formatCode="0">
                  <c:v>2020</c:v>
                </c:pt>
                <c:pt idx="11" formatCode="0">
                  <c:v>2021</c:v>
                </c:pt>
              </c:numCache>
            </c:numRef>
          </c:cat>
          <c:val>
            <c:numRef>
              <c:f>ind!$Q$17:$Q$28</c:f>
              <c:numCache>
                <c:formatCode>General</c:formatCode>
                <c:ptCount val="12"/>
                <c:pt idx="0">
                  <c:v>1</c:v>
                </c:pt>
                <c:pt idx="1">
                  <c:v>1.1385841011311322</c:v>
                </c:pt>
                <c:pt idx="2">
                  <c:v>1.0699752270929384</c:v>
                </c:pt>
                <c:pt idx="3">
                  <c:v>1.0838999019873228</c:v>
                </c:pt>
                <c:pt idx="4">
                  <c:v>1.064519840525306</c:v>
                </c:pt>
                <c:pt idx="5">
                  <c:v>1.1347447540779336</c:v>
                </c:pt>
                <c:pt idx="6">
                  <c:v>1.2058734084875256</c:v>
                </c:pt>
                <c:pt idx="7">
                  <c:v>1.3110386718017097</c:v>
                </c:pt>
                <c:pt idx="8">
                  <c:v>1.5500139165588909</c:v>
                </c:pt>
                <c:pt idx="9">
                  <c:v>1.6978220943394695</c:v>
                </c:pt>
                <c:pt idx="10">
                  <c:v>0.62996180226837528</c:v>
                </c:pt>
                <c:pt idx="11">
                  <c:v>0.19371133858200051</c:v>
                </c:pt>
              </c:numCache>
            </c:numRef>
          </c:val>
          <c:smooth val="1"/>
          <c:extLst>
            <c:ext xmlns:c16="http://schemas.microsoft.com/office/drawing/2014/chart" uri="{C3380CC4-5D6E-409C-BE32-E72D297353CC}">
              <c16:uniqueId val="{00000004-2C32-4166-BFA1-AB5C2B080782}"/>
            </c:ext>
          </c:extLst>
        </c:ser>
        <c:ser>
          <c:idx val="5"/>
          <c:order val="5"/>
          <c:tx>
            <c:strRef>
              <c:f>ind!$R$16</c:f>
              <c:strCache>
                <c:ptCount val="1"/>
                <c:pt idx="0">
                  <c:v>Jūras ostas</c:v>
                </c:pt>
              </c:strCache>
            </c:strRef>
          </c:tx>
          <c:spPr>
            <a:ln>
              <a:solidFill>
                <a:srgbClr val="C00000"/>
              </a:solidFill>
              <a:prstDash val="sysDash"/>
            </a:ln>
            <a:effectLst>
              <a:outerShdw blurRad="50800" dist="38100" dir="2700000" algn="tl" rotWithShape="0">
                <a:prstClr val="black">
                  <a:alpha val="40000"/>
                </a:prstClr>
              </a:outerShdw>
            </a:effectLst>
          </c:spPr>
          <c:marker>
            <c:symbol val="none"/>
          </c:marker>
          <c:cat>
            <c:numRef>
              <c:f>ind!$L$17:$L$28</c:f>
              <c:numCache>
                <c:formatCode>General</c:formatCode>
                <c:ptCount val="12"/>
                <c:pt idx="0">
                  <c:v>2010</c:v>
                </c:pt>
                <c:pt idx="1">
                  <c:v>2011</c:v>
                </c:pt>
                <c:pt idx="2">
                  <c:v>2012</c:v>
                </c:pt>
                <c:pt idx="3">
                  <c:v>2013</c:v>
                </c:pt>
                <c:pt idx="4">
                  <c:v>2014</c:v>
                </c:pt>
                <c:pt idx="5">
                  <c:v>2015</c:v>
                </c:pt>
                <c:pt idx="6">
                  <c:v>2016</c:v>
                </c:pt>
                <c:pt idx="7">
                  <c:v>2017</c:v>
                </c:pt>
                <c:pt idx="8">
                  <c:v>2018</c:v>
                </c:pt>
                <c:pt idx="9">
                  <c:v>2019</c:v>
                </c:pt>
                <c:pt idx="10" formatCode="0">
                  <c:v>2020</c:v>
                </c:pt>
                <c:pt idx="11" formatCode="0">
                  <c:v>2021</c:v>
                </c:pt>
              </c:numCache>
            </c:numRef>
          </c:cat>
          <c:val>
            <c:numRef>
              <c:f>ind!$R$17:$R$28</c:f>
              <c:numCache>
                <c:formatCode>General</c:formatCode>
                <c:ptCount val="12"/>
                <c:pt idx="0">
                  <c:v>1</c:v>
                </c:pt>
                <c:pt idx="1">
                  <c:v>1.2099453776874864</c:v>
                </c:pt>
                <c:pt idx="2">
                  <c:v>1.3150612599228546</c:v>
                </c:pt>
                <c:pt idx="3">
                  <c:v>1.3860076190817128</c:v>
                </c:pt>
                <c:pt idx="4">
                  <c:v>1.4243774816458887</c:v>
                </c:pt>
                <c:pt idx="5">
                  <c:v>0.97899233617035242</c:v>
                </c:pt>
                <c:pt idx="6">
                  <c:v>1.0212582522649913</c:v>
                </c:pt>
                <c:pt idx="7">
                  <c:v>1.4078177625435919</c:v>
                </c:pt>
                <c:pt idx="8">
                  <c:v>1.5353762257205164</c:v>
                </c:pt>
                <c:pt idx="9">
                  <c:v>1.5297111371643533</c:v>
                </c:pt>
                <c:pt idx="10">
                  <c:v>0.61730074490395603</c:v>
                </c:pt>
                <c:pt idx="11">
                  <c:v>0.2982062044503313</c:v>
                </c:pt>
              </c:numCache>
            </c:numRef>
          </c:val>
          <c:smooth val="1"/>
          <c:extLst>
            <c:ext xmlns:c16="http://schemas.microsoft.com/office/drawing/2014/chart" uri="{C3380CC4-5D6E-409C-BE32-E72D297353CC}">
              <c16:uniqueId val="{00000005-2C32-4166-BFA1-AB5C2B080782}"/>
            </c:ext>
          </c:extLst>
        </c:ser>
        <c:dLbls>
          <c:showLegendKey val="0"/>
          <c:showVal val="0"/>
          <c:showCatName val="0"/>
          <c:showSerName val="0"/>
          <c:showPercent val="0"/>
          <c:showBubbleSize val="0"/>
        </c:dLbls>
        <c:smooth val="0"/>
        <c:axId val="282258760"/>
        <c:axId val="282259152"/>
      </c:lineChart>
      <c:catAx>
        <c:axId val="282258760"/>
        <c:scaling>
          <c:orientation val="minMax"/>
        </c:scaling>
        <c:delete val="0"/>
        <c:axPos val="b"/>
        <c:numFmt formatCode="General" sourceLinked="0"/>
        <c:majorTickMark val="none"/>
        <c:minorTickMark val="none"/>
        <c:tickLblPos val="low"/>
        <c:spPr>
          <a:ln>
            <a:solidFill>
              <a:sysClr val="windowText" lastClr="000000"/>
            </a:solidFill>
          </a:ln>
        </c:spPr>
        <c:txPr>
          <a:bodyPr/>
          <a:lstStyle/>
          <a:p>
            <a:pPr algn="ctr">
              <a:defRPr/>
            </a:pPr>
            <a:endParaRPr lang="lv-LV"/>
          </a:p>
        </c:txPr>
        <c:crossAx val="282259152"/>
        <c:crossesAt val="1"/>
        <c:auto val="1"/>
        <c:lblAlgn val="ctr"/>
        <c:lblOffset val="100"/>
        <c:noMultiLvlLbl val="0"/>
      </c:catAx>
      <c:valAx>
        <c:axId val="282259152"/>
        <c:scaling>
          <c:orientation val="minMax"/>
          <c:max val="1.8"/>
          <c:min val="0"/>
        </c:scaling>
        <c:delete val="0"/>
        <c:axPos val="l"/>
        <c:majorGridlines>
          <c:spPr>
            <a:ln>
              <a:solidFill>
                <a:schemeClr val="bg1">
                  <a:lumMod val="75000"/>
                </a:schemeClr>
              </a:solidFill>
            </a:ln>
          </c:spPr>
        </c:majorGridlines>
        <c:numFmt formatCode="#,##0.0" sourceLinked="0"/>
        <c:majorTickMark val="out"/>
        <c:minorTickMark val="none"/>
        <c:tickLblPos val="nextTo"/>
        <c:txPr>
          <a:bodyPr/>
          <a:lstStyle/>
          <a:p>
            <a:pPr algn="ctr">
              <a:defRPr/>
            </a:pPr>
            <a:endParaRPr lang="lv-LV"/>
          </a:p>
        </c:txPr>
        <c:crossAx val="282258760"/>
        <c:crosses val="autoZero"/>
        <c:crossBetween val="between"/>
      </c:valAx>
    </c:plotArea>
    <c:legend>
      <c:legendPos val="r"/>
      <c:layout>
        <c:manualLayout>
          <c:xMode val="edge"/>
          <c:yMode val="edge"/>
          <c:x val="6.9799850822628725E-4"/>
          <c:y val="0.87672547049000316"/>
          <c:w val="0.99930200149177373"/>
          <c:h val="0.12327462436769927"/>
        </c:manualLayout>
      </c:layout>
      <c:overlay val="0"/>
      <c:txPr>
        <a:bodyPr/>
        <a:lstStyle/>
        <a:p>
          <a:pPr algn="ctr">
            <a:defRPr/>
          </a:pPr>
          <a:endParaRPr lang="lv-LV"/>
        </a:p>
      </c:txPr>
    </c:legend>
    <c:plotVisOnly val="1"/>
    <c:dispBlanksAs val="gap"/>
    <c:showDLblsOverMax val="0"/>
  </c:chart>
  <c:spPr>
    <a:ln>
      <a:noFill/>
    </a:ln>
  </c:spPr>
  <c:txPr>
    <a:bodyPr/>
    <a:lstStyle/>
    <a:p>
      <a:pPr>
        <a:defRPr sz="900">
          <a:latin typeface="Times New Roman" panose="02020603050405020304" pitchFamily="18" charset="0"/>
          <a:cs typeface="Times New Roman" panose="02020603050405020304" pitchFamily="18" charset="0"/>
        </a:defRPr>
      </a:pPr>
      <a:endParaRPr lang="lv-LV"/>
    </a:p>
  </c:txPr>
  <c:externalData r:id="rId2">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7.4708169839974012E-2"/>
          <c:y val="5.5625182268883043E-2"/>
          <c:w val="0.88460707512661507"/>
          <c:h val="0.70132230503827975"/>
        </c:manualLayout>
      </c:layout>
      <c:barChart>
        <c:barDir val="col"/>
        <c:grouping val="clustered"/>
        <c:varyColors val="0"/>
        <c:ser>
          <c:idx val="0"/>
          <c:order val="0"/>
          <c:tx>
            <c:v>Reisu skaits</c:v>
          </c:tx>
          <c:spPr>
            <a:solidFill>
              <a:schemeClr val="accent5">
                <a:lumMod val="50000"/>
              </a:schemeClr>
            </a:solidFill>
            <a:ln>
              <a:noFill/>
            </a:ln>
            <a:effectLst/>
          </c:spPr>
          <c:invertIfNegative val="0"/>
          <c:cat>
            <c:strRef>
              <c:f>īstais!$B$10:$U$10</c:f>
              <c:strCache>
                <c:ptCount val="20"/>
                <c:pt idx="0">
                  <c:v>2020-01</c:v>
                </c:pt>
                <c:pt idx="1">
                  <c:v>2020-02</c:v>
                </c:pt>
                <c:pt idx="2">
                  <c:v>2020-03</c:v>
                </c:pt>
                <c:pt idx="3">
                  <c:v>2020-04</c:v>
                </c:pt>
                <c:pt idx="4">
                  <c:v>2020-05</c:v>
                </c:pt>
                <c:pt idx="5">
                  <c:v>2020-06</c:v>
                </c:pt>
                <c:pt idx="6">
                  <c:v>2020-07</c:v>
                </c:pt>
                <c:pt idx="7">
                  <c:v>2020-08</c:v>
                </c:pt>
                <c:pt idx="8">
                  <c:v>2020-09</c:v>
                </c:pt>
                <c:pt idx="9">
                  <c:v>2020-10</c:v>
                </c:pt>
                <c:pt idx="10">
                  <c:v>2020-11</c:v>
                </c:pt>
                <c:pt idx="11">
                  <c:v>2020-12</c:v>
                </c:pt>
                <c:pt idx="12">
                  <c:v>2021-01</c:v>
                </c:pt>
                <c:pt idx="13">
                  <c:v>2021-02</c:v>
                </c:pt>
                <c:pt idx="14">
                  <c:v>2021-03</c:v>
                </c:pt>
                <c:pt idx="15">
                  <c:v>2021-04</c:v>
                </c:pt>
                <c:pt idx="16">
                  <c:v>2021-05</c:v>
                </c:pt>
                <c:pt idx="17">
                  <c:v>2021-06</c:v>
                </c:pt>
                <c:pt idx="18">
                  <c:v>2021-07</c:v>
                </c:pt>
                <c:pt idx="19">
                  <c:v>2021-08</c:v>
                </c:pt>
              </c:strCache>
            </c:strRef>
          </c:cat>
          <c:val>
            <c:numRef>
              <c:f>īstais!$B$5:$U$5</c:f>
              <c:numCache>
                <c:formatCode>General</c:formatCode>
                <c:ptCount val="20"/>
                <c:pt idx="0">
                  <c:v>6290</c:v>
                </c:pt>
                <c:pt idx="1">
                  <c:v>5740</c:v>
                </c:pt>
                <c:pt idx="2">
                  <c:v>3566</c:v>
                </c:pt>
                <c:pt idx="3">
                  <c:v>289</c:v>
                </c:pt>
                <c:pt idx="4">
                  <c:v>543</c:v>
                </c:pt>
                <c:pt idx="5">
                  <c:v>1333</c:v>
                </c:pt>
                <c:pt idx="6">
                  <c:v>2986</c:v>
                </c:pt>
                <c:pt idx="7">
                  <c:v>3191</c:v>
                </c:pt>
                <c:pt idx="8">
                  <c:v>3042</c:v>
                </c:pt>
                <c:pt idx="9">
                  <c:v>2374</c:v>
                </c:pt>
                <c:pt idx="10">
                  <c:v>1671</c:v>
                </c:pt>
                <c:pt idx="11">
                  <c:v>1787</c:v>
                </c:pt>
                <c:pt idx="12">
                  <c:v>1452</c:v>
                </c:pt>
                <c:pt idx="13">
                  <c:v>940</c:v>
                </c:pt>
                <c:pt idx="14">
                  <c:v>1207</c:v>
                </c:pt>
                <c:pt idx="15">
                  <c:v>1567</c:v>
                </c:pt>
                <c:pt idx="16">
                  <c:v>2027</c:v>
                </c:pt>
                <c:pt idx="17">
                  <c:v>2744</c:v>
                </c:pt>
                <c:pt idx="18">
                  <c:v>3867</c:v>
                </c:pt>
                <c:pt idx="19">
                  <c:v>4488</c:v>
                </c:pt>
              </c:numCache>
            </c:numRef>
          </c:val>
          <c:extLst>
            <c:ext xmlns:c16="http://schemas.microsoft.com/office/drawing/2014/chart" uri="{C3380CC4-5D6E-409C-BE32-E72D297353CC}">
              <c16:uniqueId val="{00000000-69EB-4EE9-9A03-51411A3893F1}"/>
            </c:ext>
          </c:extLst>
        </c:ser>
        <c:dLbls>
          <c:showLegendKey val="0"/>
          <c:showVal val="0"/>
          <c:showCatName val="0"/>
          <c:showSerName val="0"/>
          <c:showPercent val="0"/>
          <c:showBubbleSize val="0"/>
        </c:dLbls>
        <c:gapWidth val="50"/>
        <c:axId val="936463568"/>
        <c:axId val="936472424"/>
      </c:barChart>
      <c:lineChart>
        <c:grouping val="standard"/>
        <c:varyColors val="0"/>
        <c:ser>
          <c:idx val="1"/>
          <c:order val="1"/>
          <c:tx>
            <c:v>Izmaiņas pret 2019.gadu, %</c:v>
          </c:tx>
          <c:spPr>
            <a:ln w="28575" cap="rnd">
              <a:solidFill>
                <a:schemeClr val="accent2">
                  <a:lumMod val="75000"/>
                </a:schemeClr>
              </a:solidFill>
              <a:round/>
            </a:ln>
            <a:effectLst/>
          </c:spPr>
          <c:marker>
            <c:symbol val="diamond"/>
            <c:size val="5"/>
            <c:spPr>
              <a:blipFill>
                <a:blip xmlns:r="http://schemas.openxmlformats.org/officeDocument/2006/relationships" r:embed="rId2"/>
                <a:stretch>
                  <a:fillRect/>
                </a:stretch>
              </a:blipFill>
              <a:ln w="9525">
                <a:noFill/>
              </a:ln>
              <a:effectLst/>
            </c:spPr>
          </c:marker>
          <c:dLbls>
            <c:dLbl>
              <c:idx val="1"/>
              <c:dLblPos val="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69EB-4EE9-9A03-51411A3893F1}"/>
                </c:ext>
              </c:extLst>
            </c:dLbl>
            <c:dLbl>
              <c:idx val="3"/>
              <c:layout>
                <c:manualLayout>
                  <c:x val="-3.9048225575335202E-2"/>
                  <c:y val="4.759643916913946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69EB-4EE9-9A03-51411A3893F1}"/>
                </c:ext>
              </c:extLst>
            </c:dLbl>
            <c:dLbl>
              <c:idx val="7"/>
              <c:layout>
                <c:manualLayout>
                  <c:x val="-6.2083198136194118E-2"/>
                  <c:y val="-5.922848664688427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69EB-4EE9-9A03-51411A3893F1}"/>
                </c:ext>
              </c:extLst>
            </c:dLbl>
            <c:dLbl>
              <c:idx val="13"/>
              <c:layout>
                <c:manualLayout>
                  <c:x val="-4.9605896140381994E-2"/>
                  <c:y val="4.759628340226018E-2"/>
                </c:manualLayout>
              </c:layout>
              <c:dLblPos val="r"/>
              <c:showLegendKey val="0"/>
              <c:showVal val="1"/>
              <c:showCatName val="0"/>
              <c:showSerName val="0"/>
              <c:showPercent val="0"/>
              <c:showBubbleSize val="0"/>
              <c:extLst>
                <c:ext xmlns:c15="http://schemas.microsoft.com/office/drawing/2012/chart" uri="{CE6537A1-D6FC-4f65-9D91-7224C49458BB}">
                  <c15:layout>
                    <c:manualLayout>
                      <c:w val="6.33349389043288E-2"/>
                      <c:h val="5.2799364471132496E-2"/>
                    </c:manualLayout>
                  </c15:layout>
                </c:ext>
                <c:ext xmlns:c16="http://schemas.microsoft.com/office/drawing/2014/chart" uri="{C3380CC4-5D6E-409C-BE32-E72D297353CC}">
                  <c16:uniqueId val="{00000004-69EB-4EE9-9A03-51411A3893F1}"/>
                </c:ext>
              </c:extLst>
            </c:dLbl>
            <c:dLbl>
              <c:idx val="17"/>
              <c:delete val="1"/>
              <c:extLst>
                <c:ext xmlns:c15="http://schemas.microsoft.com/office/drawing/2012/chart" uri="{CE6537A1-D6FC-4f65-9D91-7224C49458BB}"/>
                <c:ext xmlns:c16="http://schemas.microsoft.com/office/drawing/2014/chart" uri="{C3380CC4-5D6E-409C-BE32-E72D297353CC}">
                  <c16:uniqueId val="{00000005-69EB-4EE9-9A03-51411A3893F1}"/>
                </c:ext>
              </c:extLst>
            </c:dLbl>
            <c:dLbl>
              <c:idx val="18"/>
              <c:layout>
                <c:manualLayout>
                  <c:x val="-1.4291126969763725E-2"/>
                  <c:y val="-7.9010880316518331E-2"/>
                </c:manualLayout>
              </c:layout>
              <c:tx>
                <c:rich>
                  <a:bodyPr/>
                  <a:lstStyle/>
                  <a:p>
                    <a:r>
                      <a:rPr lang="en-US"/>
                      <a:t>-44,6</a:t>
                    </a:r>
                  </a:p>
                </c:rich>
              </c:tx>
              <c:dLblPos val="r"/>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6-69EB-4EE9-9A03-51411A3893F1}"/>
                </c:ext>
              </c:extLst>
            </c:dLbl>
            <c:numFmt formatCode="#,##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ysClr val="windowText" lastClr="000000"/>
                    </a:solidFill>
                    <a:latin typeface="Times New Roman" panose="02020603050405020304" pitchFamily="18" charset="0"/>
                    <a:ea typeface="Verdana" panose="020B0604030504040204" pitchFamily="34" charset="0"/>
                    <a:cs typeface="Times New Roman" panose="02020603050405020304" pitchFamily="18" charset="0"/>
                  </a:defRPr>
                </a:pPr>
                <a:endParaRPr lang="lv-LV"/>
              </a:p>
            </c:txPr>
            <c:dLblPos val="t"/>
            <c:showLegendKey val="0"/>
            <c:showVal val="0"/>
            <c:showCatName val="0"/>
            <c:showSerName val="0"/>
            <c:showPercent val="0"/>
            <c:showBubbleSize val="0"/>
            <c:extLst>
              <c:ext xmlns:c15="http://schemas.microsoft.com/office/drawing/2012/chart" uri="{CE6537A1-D6FC-4f65-9D91-7224C49458BB}">
                <c15:showLeaderLines val="0"/>
              </c:ext>
            </c:extLst>
          </c:dLbls>
          <c:val>
            <c:numRef>
              <c:f>īstais!$B$11:$U$11</c:f>
              <c:numCache>
                <c:formatCode>0.0</c:formatCode>
                <c:ptCount val="20"/>
                <c:pt idx="0">
                  <c:v>3.5902503293807655</c:v>
                </c:pt>
                <c:pt idx="1">
                  <c:v>6.7311268129416106</c:v>
                </c:pt>
                <c:pt idx="2">
                  <c:v>-42.23230196014903</c:v>
                </c:pt>
                <c:pt idx="3">
                  <c:v>-95.969316596931662</c:v>
                </c:pt>
                <c:pt idx="4">
                  <c:v>-93.032208392146799</c:v>
                </c:pt>
                <c:pt idx="5">
                  <c:v>-82.806655488198118</c:v>
                </c:pt>
                <c:pt idx="6">
                  <c:v>-63.163089069824821</c:v>
                </c:pt>
                <c:pt idx="7">
                  <c:v>-60.614663046161446</c:v>
                </c:pt>
                <c:pt idx="8">
                  <c:v>-60.457558819706222</c:v>
                </c:pt>
                <c:pt idx="9">
                  <c:v>-68.334000266773373</c:v>
                </c:pt>
                <c:pt idx="10">
                  <c:v>-72.83368557958056</c:v>
                </c:pt>
                <c:pt idx="11">
                  <c:v>-72.195425548467398</c:v>
                </c:pt>
                <c:pt idx="12">
                  <c:v>-76.086956521739125</c:v>
                </c:pt>
                <c:pt idx="13">
                  <c:v>-82.521383413908524</c:v>
                </c:pt>
                <c:pt idx="14">
                  <c:v>-80.447108375182239</c:v>
                </c:pt>
                <c:pt idx="15">
                  <c:v>-78.145048814504889</c:v>
                </c:pt>
                <c:pt idx="16">
                  <c:v>-73.989477736430132</c:v>
                </c:pt>
                <c:pt idx="17">
                  <c:v>-64.607248806913447</c:v>
                </c:pt>
                <c:pt idx="18">
                  <c:v>-52.294596595114726</c:v>
                </c:pt>
                <c:pt idx="19">
                  <c:v>-44.606270056776111</c:v>
                </c:pt>
              </c:numCache>
            </c:numRef>
          </c:val>
          <c:smooth val="0"/>
          <c:extLst>
            <c:ext xmlns:c16="http://schemas.microsoft.com/office/drawing/2014/chart" uri="{C3380CC4-5D6E-409C-BE32-E72D297353CC}">
              <c16:uniqueId val="{00000007-69EB-4EE9-9A03-51411A3893F1}"/>
            </c:ext>
          </c:extLst>
        </c:ser>
        <c:dLbls>
          <c:showLegendKey val="0"/>
          <c:showVal val="0"/>
          <c:showCatName val="0"/>
          <c:showSerName val="0"/>
          <c:showPercent val="0"/>
          <c:showBubbleSize val="0"/>
        </c:dLbls>
        <c:marker val="1"/>
        <c:smooth val="0"/>
        <c:axId val="552660144"/>
        <c:axId val="552659160"/>
      </c:lineChart>
      <c:catAx>
        <c:axId val="936463568"/>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5400000" spcFirstLastPara="1" vertOverflow="ellipsis" wrap="square" anchor="ctr" anchorCtr="1"/>
          <a:lstStyle/>
          <a:p>
            <a:pPr>
              <a:defRPr sz="900" b="0" i="0" u="none" strike="noStrike" kern="1200" baseline="0">
                <a:solidFill>
                  <a:sysClr val="windowText" lastClr="000000"/>
                </a:solidFill>
                <a:latin typeface="Times New Roman" panose="02020603050405020304" pitchFamily="18" charset="0"/>
                <a:ea typeface="Verdana" panose="020B0604030504040204" pitchFamily="34" charset="0"/>
                <a:cs typeface="Times New Roman" panose="02020603050405020304" pitchFamily="18" charset="0"/>
              </a:defRPr>
            </a:pPr>
            <a:endParaRPr lang="lv-LV"/>
          </a:p>
        </c:txPr>
        <c:crossAx val="936472424"/>
        <c:crosses val="autoZero"/>
        <c:auto val="1"/>
        <c:lblAlgn val="ctr"/>
        <c:lblOffset val="100"/>
        <c:noMultiLvlLbl val="0"/>
      </c:catAx>
      <c:valAx>
        <c:axId val="936472424"/>
        <c:scaling>
          <c:orientation val="minMax"/>
          <c:min val="0"/>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Verdana" panose="020B0604030504040204" pitchFamily="34" charset="0"/>
                <a:cs typeface="Times New Roman" panose="02020603050405020304" pitchFamily="18" charset="0"/>
              </a:defRPr>
            </a:pPr>
            <a:endParaRPr lang="lv-LV"/>
          </a:p>
        </c:txPr>
        <c:crossAx val="936463568"/>
        <c:crosses val="autoZero"/>
        <c:crossBetween val="between"/>
      </c:valAx>
      <c:valAx>
        <c:axId val="552659160"/>
        <c:scaling>
          <c:orientation val="minMax"/>
          <c:max val="40"/>
          <c:min val="-240"/>
        </c:scaling>
        <c:delete val="0"/>
        <c:axPos val="r"/>
        <c:numFmt formatCode="0" sourceLinked="0"/>
        <c:majorTickMark val="out"/>
        <c:minorTickMark val="none"/>
        <c:tickLblPos val="nextTo"/>
        <c:txPr>
          <a:bodyPr/>
          <a:lstStyle/>
          <a:p>
            <a:pPr>
              <a:defRPr sz="900">
                <a:latin typeface="Times New Roman" panose="02020603050405020304" pitchFamily="18" charset="0"/>
                <a:cs typeface="Times New Roman" panose="02020603050405020304" pitchFamily="18" charset="0"/>
              </a:defRPr>
            </a:pPr>
            <a:endParaRPr lang="lv-LV"/>
          </a:p>
        </c:txPr>
        <c:crossAx val="552660144"/>
        <c:crosses val="max"/>
        <c:crossBetween val="between"/>
        <c:majorUnit val="40"/>
      </c:valAx>
      <c:catAx>
        <c:axId val="552660144"/>
        <c:scaling>
          <c:orientation val="minMax"/>
        </c:scaling>
        <c:delete val="1"/>
        <c:axPos val="b"/>
        <c:majorTickMark val="out"/>
        <c:minorTickMark val="none"/>
        <c:tickLblPos val="nextTo"/>
        <c:crossAx val="552659160"/>
        <c:crosses val="autoZero"/>
        <c:auto val="1"/>
        <c:lblAlgn val="ctr"/>
        <c:lblOffset val="100"/>
        <c:noMultiLvlLbl val="0"/>
      </c:catAx>
      <c:spPr>
        <a:noFill/>
        <a:ln>
          <a:noFill/>
        </a:ln>
        <a:effectLst/>
      </c:spPr>
    </c:plotArea>
    <c:legend>
      <c:legendPos val="b"/>
      <c:layout>
        <c:manualLayout>
          <c:xMode val="edge"/>
          <c:yMode val="edge"/>
          <c:x val="0.11240570322682571"/>
          <c:y val="0.92073802347406875"/>
          <c:w val="0.77518859354634861"/>
          <c:h val="7.1349019058077681E-2"/>
        </c:manualLayout>
      </c:layout>
      <c:overlay val="0"/>
      <c:txPr>
        <a:bodyPr/>
        <a:lstStyle/>
        <a:p>
          <a:pPr>
            <a:defRPr sz="900">
              <a:latin typeface="Times New Roman" panose="02020603050405020304" pitchFamily="18" charset="0"/>
              <a:cs typeface="Times New Roman" panose="02020603050405020304" pitchFamily="18" charset="0"/>
            </a:defRPr>
          </a:pPr>
          <a:endParaRPr lang="lv-LV"/>
        </a:p>
      </c:txPr>
    </c:legend>
    <c:plotVisOnly val="1"/>
    <c:dispBlanksAs val="gap"/>
    <c:showDLblsOverMax val="0"/>
  </c:chart>
  <c:spPr>
    <a:solidFill>
      <a:schemeClr val="bg1"/>
    </a:solidFill>
    <a:ln w="9525" cap="flat" cmpd="sng" algn="ctr">
      <a:noFill/>
      <a:round/>
    </a:ln>
    <a:effectLst/>
  </c:spPr>
  <c:txPr>
    <a:bodyPr/>
    <a:lstStyle/>
    <a:p>
      <a:pPr>
        <a:defRPr>
          <a:solidFill>
            <a:sysClr val="windowText" lastClr="000000"/>
          </a:solidFill>
          <a:latin typeface="Verdana" panose="020B0604030504040204" pitchFamily="34" charset="0"/>
          <a:ea typeface="Verdana" panose="020B0604030504040204" pitchFamily="34" charset="0"/>
        </a:defRPr>
      </a:pPr>
      <a:endParaRPr lang="lv-LV"/>
    </a:p>
  </c:txPr>
  <c:externalData r:id="rId3">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stacked"/>
        <c:varyColors val="0"/>
        <c:ser>
          <c:idx val="0"/>
          <c:order val="0"/>
          <c:tx>
            <c:strRef>
              <c:f>'Būvn apj_2019'!$A$6</c:f>
              <c:strCache>
                <c:ptCount val="1"/>
                <c:pt idx="0">
                  <c:v>Ēku būvniecība</c:v>
                </c:pt>
              </c:strCache>
            </c:strRef>
          </c:tx>
          <c:spPr>
            <a:solidFill>
              <a:srgbClr val="0070C0"/>
            </a:solidFill>
            <a:ln>
              <a:solidFill>
                <a:srgbClr val="0070C0"/>
              </a:solidFill>
            </a:ln>
            <a:effectLst/>
          </c:spPr>
          <c:invertIfNegative val="0"/>
          <c:cat>
            <c:multiLvlStrRef>
              <c:f>'Būvn apj_2019'!$N$3:$AA$4</c:f>
              <c:multiLvlStrCache>
                <c:ptCount val="14"/>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lvl>
                <c:lvl>
                  <c:pt idx="0">
                    <c:v>2018</c:v>
                  </c:pt>
                  <c:pt idx="4">
                    <c:v>2019</c:v>
                  </c:pt>
                  <c:pt idx="8">
                    <c:v>2020</c:v>
                  </c:pt>
                  <c:pt idx="12">
                    <c:v>2021</c:v>
                  </c:pt>
                </c:lvl>
              </c:multiLvlStrCache>
            </c:multiLvlStrRef>
          </c:cat>
          <c:val>
            <c:numRef>
              <c:f>'Būvn apj_2019'!$N$6:$AA$6</c:f>
              <c:numCache>
                <c:formatCode>0.0</c:formatCode>
                <c:ptCount val="14"/>
                <c:pt idx="0">
                  <c:v>137616.20000000001</c:v>
                </c:pt>
                <c:pt idx="1">
                  <c:v>193656.2</c:v>
                </c:pt>
                <c:pt idx="2">
                  <c:v>202311.5</c:v>
                </c:pt>
                <c:pt idx="3">
                  <c:v>229381.6</c:v>
                </c:pt>
                <c:pt idx="4">
                  <c:v>151617.5</c:v>
                </c:pt>
                <c:pt idx="5">
                  <c:v>211010.3</c:v>
                </c:pt>
                <c:pt idx="6">
                  <c:v>234182.5</c:v>
                </c:pt>
                <c:pt idx="7">
                  <c:v>259133.2</c:v>
                </c:pt>
                <c:pt idx="8">
                  <c:v>182468.8</c:v>
                </c:pt>
                <c:pt idx="9">
                  <c:v>205826.3</c:v>
                </c:pt>
                <c:pt idx="10">
                  <c:v>244706.4</c:v>
                </c:pt>
                <c:pt idx="11">
                  <c:v>251713.8</c:v>
                </c:pt>
                <c:pt idx="12">
                  <c:v>155275</c:v>
                </c:pt>
                <c:pt idx="13">
                  <c:v>207964.79999999999</c:v>
                </c:pt>
              </c:numCache>
            </c:numRef>
          </c:val>
          <c:extLst>
            <c:ext xmlns:c16="http://schemas.microsoft.com/office/drawing/2014/chart" uri="{C3380CC4-5D6E-409C-BE32-E72D297353CC}">
              <c16:uniqueId val="{00000000-BA0B-4843-867D-6F6303DECFBF}"/>
            </c:ext>
          </c:extLst>
        </c:ser>
        <c:ser>
          <c:idx val="1"/>
          <c:order val="1"/>
          <c:tx>
            <c:strRef>
              <c:f>'Būvn apj_2019'!$A$7</c:f>
              <c:strCache>
                <c:ptCount val="1"/>
                <c:pt idx="0">
                  <c:v>Inženierbūvniecība</c:v>
                </c:pt>
              </c:strCache>
            </c:strRef>
          </c:tx>
          <c:spPr>
            <a:pattFill prst="dkUpDiag">
              <a:fgClr>
                <a:srgbClr val="00B050"/>
              </a:fgClr>
              <a:bgClr>
                <a:schemeClr val="bg1"/>
              </a:bgClr>
            </a:pattFill>
            <a:ln>
              <a:solidFill>
                <a:srgbClr val="00B050"/>
              </a:solidFill>
            </a:ln>
            <a:effectLst/>
          </c:spPr>
          <c:invertIfNegative val="0"/>
          <c:cat>
            <c:multiLvlStrRef>
              <c:f>'Būvn apj_2019'!$N$3:$AA$4</c:f>
              <c:multiLvlStrCache>
                <c:ptCount val="14"/>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lvl>
                <c:lvl>
                  <c:pt idx="0">
                    <c:v>2018</c:v>
                  </c:pt>
                  <c:pt idx="4">
                    <c:v>2019</c:v>
                  </c:pt>
                  <c:pt idx="8">
                    <c:v>2020</c:v>
                  </c:pt>
                  <c:pt idx="12">
                    <c:v>2021</c:v>
                  </c:pt>
                </c:lvl>
              </c:multiLvlStrCache>
            </c:multiLvlStrRef>
          </c:cat>
          <c:val>
            <c:numRef>
              <c:f>'Būvn apj_2019'!$N$7:$AA$7</c:f>
              <c:numCache>
                <c:formatCode>0.0</c:formatCode>
                <c:ptCount val="14"/>
                <c:pt idx="0">
                  <c:v>76159.399999999994</c:v>
                </c:pt>
                <c:pt idx="1">
                  <c:v>195353.1</c:v>
                </c:pt>
                <c:pt idx="2">
                  <c:v>274682.2</c:v>
                </c:pt>
                <c:pt idx="3">
                  <c:v>210765.1</c:v>
                </c:pt>
                <c:pt idx="4">
                  <c:v>77993.3</c:v>
                </c:pt>
                <c:pt idx="5">
                  <c:v>195290.9</c:v>
                </c:pt>
                <c:pt idx="6">
                  <c:v>291660.2</c:v>
                </c:pt>
                <c:pt idx="7">
                  <c:v>227641.60000000001</c:v>
                </c:pt>
                <c:pt idx="8">
                  <c:v>91587.199999999997</c:v>
                </c:pt>
                <c:pt idx="9">
                  <c:v>179916.5</c:v>
                </c:pt>
                <c:pt idx="10">
                  <c:v>265526.59999999998</c:v>
                </c:pt>
                <c:pt idx="11">
                  <c:v>240531.6</c:v>
                </c:pt>
                <c:pt idx="12">
                  <c:v>81311.8</c:v>
                </c:pt>
                <c:pt idx="13">
                  <c:v>188014.8</c:v>
                </c:pt>
              </c:numCache>
            </c:numRef>
          </c:val>
          <c:extLst>
            <c:ext xmlns:c16="http://schemas.microsoft.com/office/drawing/2014/chart" uri="{C3380CC4-5D6E-409C-BE32-E72D297353CC}">
              <c16:uniqueId val="{00000001-BA0B-4843-867D-6F6303DECFBF}"/>
            </c:ext>
          </c:extLst>
        </c:ser>
        <c:ser>
          <c:idx val="2"/>
          <c:order val="2"/>
          <c:tx>
            <c:strRef>
              <c:f>'Būvn apj_2019'!$A$17</c:f>
              <c:strCache>
                <c:ptCount val="1"/>
                <c:pt idx="0">
                  <c:v>Specializētie būvdarbi</c:v>
                </c:pt>
              </c:strCache>
            </c:strRef>
          </c:tx>
          <c:spPr>
            <a:solidFill>
              <a:schemeClr val="tx1">
                <a:lumMod val="65000"/>
                <a:lumOff val="35000"/>
              </a:schemeClr>
            </a:solidFill>
            <a:ln>
              <a:solidFill>
                <a:schemeClr val="tx1">
                  <a:lumMod val="65000"/>
                  <a:lumOff val="35000"/>
                </a:schemeClr>
              </a:solidFill>
            </a:ln>
            <a:effectLst/>
          </c:spPr>
          <c:invertIfNegative val="0"/>
          <c:cat>
            <c:multiLvlStrRef>
              <c:f>'Būvn apj_2019'!$N$3:$AA$4</c:f>
              <c:multiLvlStrCache>
                <c:ptCount val="14"/>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lvl>
                <c:lvl>
                  <c:pt idx="0">
                    <c:v>2018</c:v>
                  </c:pt>
                  <c:pt idx="4">
                    <c:v>2019</c:v>
                  </c:pt>
                  <c:pt idx="8">
                    <c:v>2020</c:v>
                  </c:pt>
                  <c:pt idx="12">
                    <c:v>2021</c:v>
                  </c:pt>
                </c:lvl>
              </c:multiLvlStrCache>
            </c:multiLvlStrRef>
          </c:cat>
          <c:val>
            <c:numRef>
              <c:f>'Būvn apj_2019'!$N$17:$AA$17</c:f>
              <c:numCache>
                <c:formatCode>0.0</c:formatCode>
                <c:ptCount val="14"/>
                <c:pt idx="0">
                  <c:v>98944.1</c:v>
                </c:pt>
                <c:pt idx="1">
                  <c:v>140767.29999999999</c:v>
                </c:pt>
                <c:pt idx="2">
                  <c:v>191961.3</c:v>
                </c:pt>
                <c:pt idx="3">
                  <c:v>235462.2</c:v>
                </c:pt>
                <c:pt idx="4">
                  <c:v>125189.8</c:v>
                </c:pt>
                <c:pt idx="5">
                  <c:v>146863.70000000001</c:v>
                </c:pt>
                <c:pt idx="6">
                  <c:v>204089.1</c:v>
                </c:pt>
                <c:pt idx="7">
                  <c:v>217704.5</c:v>
                </c:pt>
                <c:pt idx="8">
                  <c:v>140716.9</c:v>
                </c:pt>
                <c:pt idx="9">
                  <c:v>167221.79999999999</c:v>
                </c:pt>
                <c:pt idx="10">
                  <c:v>222032.1</c:v>
                </c:pt>
                <c:pt idx="11">
                  <c:v>228080.7</c:v>
                </c:pt>
                <c:pt idx="12">
                  <c:v>133917.6</c:v>
                </c:pt>
                <c:pt idx="13">
                  <c:v>187003.7</c:v>
                </c:pt>
              </c:numCache>
            </c:numRef>
          </c:val>
          <c:extLst>
            <c:ext xmlns:c16="http://schemas.microsoft.com/office/drawing/2014/chart" uri="{C3380CC4-5D6E-409C-BE32-E72D297353CC}">
              <c16:uniqueId val="{00000002-BA0B-4843-867D-6F6303DECFBF}"/>
            </c:ext>
          </c:extLst>
        </c:ser>
        <c:dLbls>
          <c:showLegendKey val="0"/>
          <c:showVal val="0"/>
          <c:showCatName val="0"/>
          <c:showSerName val="0"/>
          <c:showPercent val="0"/>
          <c:showBubbleSize val="0"/>
        </c:dLbls>
        <c:gapWidth val="50"/>
        <c:overlap val="100"/>
        <c:axId val="440031896"/>
        <c:axId val="440031568"/>
      </c:barChart>
      <c:catAx>
        <c:axId val="44003189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Verdana" panose="020B0604030504040204" pitchFamily="34" charset="0"/>
                <a:cs typeface="Times New Roman" panose="02020603050405020304" pitchFamily="18" charset="0"/>
              </a:defRPr>
            </a:pPr>
            <a:endParaRPr lang="lv-LV"/>
          </a:p>
        </c:txPr>
        <c:crossAx val="440031568"/>
        <c:crosses val="autoZero"/>
        <c:auto val="1"/>
        <c:lblAlgn val="ctr"/>
        <c:lblOffset val="100"/>
        <c:noMultiLvlLbl val="0"/>
      </c:catAx>
      <c:valAx>
        <c:axId val="440031568"/>
        <c:scaling>
          <c:orientation val="minMax"/>
          <c:max val="730000"/>
          <c:min val="0"/>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Verdana" panose="020B0604030504040204" pitchFamily="34" charset="0"/>
                <a:cs typeface="Times New Roman" panose="02020603050405020304" pitchFamily="18" charset="0"/>
              </a:defRPr>
            </a:pPr>
            <a:endParaRPr lang="lv-LV"/>
          </a:p>
        </c:txPr>
        <c:crossAx val="440031896"/>
        <c:crosses val="autoZero"/>
        <c:crossBetween val="between"/>
        <c:dispUnits>
          <c:builtInUnit val="thousands"/>
        </c:dispUnits>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Verdana" panose="020B0604030504040204" pitchFamily="34" charset="0"/>
              <a:cs typeface="Times New Roman" panose="02020603050405020304" pitchFamily="18" charset="0"/>
            </a:defRPr>
          </a:pPr>
          <a:endParaRPr lang="lv-LV"/>
        </a:p>
      </c:txPr>
    </c:legend>
    <c:plotVisOnly val="1"/>
    <c:dispBlanksAs val="gap"/>
    <c:showDLblsOverMax val="0"/>
  </c:chart>
  <c:spPr>
    <a:solidFill>
      <a:schemeClr val="bg1"/>
    </a:solidFill>
    <a:ln w="9525" cap="flat" cmpd="sng" algn="ctr">
      <a:noFill/>
      <a:round/>
    </a:ln>
    <a:effectLst/>
  </c:spPr>
  <c:txPr>
    <a:bodyPr/>
    <a:lstStyle/>
    <a:p>
      <a:pPr>
        <a:defRPr/>
      </a:pPr>
      <a:endParaRPr lang="lv-LV"/>
    </a:p>
  </c:txPr>
  <c:externalData r:id="rId4">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areaChart>
        <c:grouping val="standard"/>
        <c:varyColors val="0"/>
        <c:ser>
          <c:idx val="0"/>
          <c:order val="0"/>
          <c:tx>
            <c:strRef>
              <c:f>'[Chart in Microsoft Word]PC070c'!$A$11</c:f>
              <c:strCache>
                <c:ptCount val="1"/>
                <c:pt idx="0">
                  <c:v>Mājokļi kopā </c:v>
                </c:pt>
              </c:strCache>
            </c:strRef>
          </c:tx>
          <c:spPr>
            <a:pattFill prst="dkUpDiag">
              <a:fgClr>
                <a:srgbClr val="0070C0"/>
              </a:fgClr>
              <a:bgClr>
                <a:schemeClr val="bg1"/>
              </a:bgClr>
            </a:pattFill>
            <a:ln>
              <a:solidFill>
                <a:srgbClr val="0070C0"/>
              </a:solidFill>
            </a:ln>
            <a:effectLst/>
          </c:spPr>
          <c:cat>
            <c:multiLvlStrRef>
              <c:f>'[Chart in Microsoft Word]PC070c'!$AX$3:$BK$4</c:f>
              <c:multiLvlStrCache>
                <c:ptCount val="14"/>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lvl>
                <c:lvl>
                  <c:pt idx="0">
                    <c:v>2018</c:v>
                  </c:pt>
                  <c:pt idx="4">
                    <c:v>2019</c:v>
                  </c:pt>
                  <c:pt idx="8">
                    <c:v>2020</c:v>
                  </c:pt>
                  <c:pt idx="12">
                    <c:v>2021</c:v>
                  </c:pt>
                </c:lvl>
              </c:multiLvlStrCache>
            </c:multiLvlStrRef>
          </c:cat>
          <c:val>
            <c:numRef>
              <c:f>'[Chart in Microsoft Word]PC070c'!$AX$11:$BK$11</c:f>
              <c:numCache>
                <c:formatCode>0.0</c:formatCode>
                <c:ptCount val="14"/>
                <c:pt idx="0">
                  <c:v>11.413668110688704</c:v>
                </c:pt>
                <c:pt idx="1">
                  <c:v>8.684012381828822</c:v>
                </c:pt>
                <c:pt idx="2">
                  <c:v>7.2001336451720732</c:v>
                </c:pt>
                <c:pt idx="3">
                  <c:v>11.061909933996162</c:v>
                </c:pt>
                <c:pt idx="4">
                  <c:v>6.4</c:v>
                </c:pt>
                <c:pt idx="5">
                  <c:v>7.9</c:v>
                </c:pt>
                <c:pt idx="6">
                  <c:v>12.7</c:v>
                </c:pt>
                <c:pt idx="7">
                  <c:v>8.8000000000000007</c:v>
                </c:pt>
                <c:pt idx="8">
                  <c:v>8.8000000000000007</c:v>
                </c:pt>
                <c:pt idx="9">
                  <c:v>1.5</c:v>
                </c:pt>
                <c:pt idx="10">
                  <c:v>1.7</c:v>
                </c:pt>
                <c:pt idx="11">
                  <c:v>2.2000000000000002</c:v>
                </c:pt>
                <c:pt idx="12">
                  <c:v>2.9</c:v>
                </c:pt>
                <c:pt idx="13">
                  <c:v>12.4</c:v>
                </c:pt>
              </c:numCache>
            </c:numRef>
          </c:val>
          <c:extLst>
            <c:ext xmlns:c16="http://schemas.microsoft.com/office/drawing/2014/chart" uri="{C3380CC4-5D6E-409C-BE32-E72D297353CC}">
              <c16:uniqueId val="{00000000-9CD8-45AA-9FD0-3E5CABE6007B}"/>
            </c:ext>
          </c:extLst>
        </c:ser>
        <c:dLbls>
          <c:showLegendKey val="0"/>
          <c:showVal val="0"/>
          <c:showCatName val="0"/>
          <c:showSerName val="0"/>
          <c:showPercent val="0"/>
          <c:showBubbleSize val="0"/>
        </c:dLbls>
        <c:axId val="1736990752"/>
        <c:axId val="1736992000"/>
      </c:areaChart>
      <c:lineChart>
        <c:grouping val="standard"/>
        <c:varyColors val="0"/>
        <c:ser>
          <c:idx val="1"/>
          <c:order val="1"/>
          <c:tx>
            <c:strRef>
              <c:f>'[Chart in Microsoft Word]PC070c'!$A$12</c:f>
              <c:strCache>
                <c:ptCount val="1"/>
                <c:pt idx="0">
                  <c:v>Jaunie mājokļi  </c:v>
                </c:pt>
              </c:strCache>
            </c:strRef>
          </c:tx>
          <c:spPr>
            <a:ln w="28575" cap="rnd">
              <a:solidFill>
                <a:schemeClr val="tx1">
                  <a:lumMod val="65000"/>
                  <a:lumOff val="35000"/>
                </a:schemeClr>
              </a:solidFill>
              <a:round/>
            </a:ln>
            <a:effectLst/>
          </c:spPr>
          <c:marker>
            <c:symbol val="none"/>
          </c:marker>
          <c:cat>
            <c:multiLvlStrRef>
              <c:f>'[Chart in Microsoft Word]PC070c'!$AX$3:$BK$4</c:f>
              <c:multiLvlStrCache>
                <c:ptCount val="14"/>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lvl>
                <c:lvl>
                  <c:pt idx="0">
                    <c:v>2018</c:v>
                  </c:pt>
                  <c:pt idx="4">
                    <c:v>2019</c:v>
                  </c:pt>
                  <c:pt idx="8">
                    <c:v>2020</c:v>
                  </c:pt>
                  <c:pt idx="12">
                    <c:v>2021</c:v>
                  </c:pt>
                </c:lvl>
              </c:multiLvlStrCache>
            </c:multiLvlStrRef>
          </c:cat>
          <c:val>
            <c:numRef>
              <c:f>'[Chart in Microsoft Word]PC070c'!$AX$12:$BK$12</c:f>
              <c:numCache>
                <c:formatCode>0.0</c:formatCode>
                <c:ptCount val="14"/>
                <c:pt idx="0">
                  <c:v>14.630656412090872</c:v>
                </c:pt>
                <c:pt idx="1">
                  <c:v>8.2748462005025658</c:v>
                </c:pt>
                <c:pt idx="2">
                  <c:v>-2.2804263405767244</c:v>
                </c:pt>
                <c:pt idx="3">
                  <c:v>4.6264855687606143</c:v>
                </c:pt>
                <c:pt idx="4">
                  <c:v>-2.5</c:v>
                </c:pt>
                <c:pt idx="5">
                  <c:v>6.2</c:v>
                </c:pt>
                <c:pt idx="6">
                  <c:v>19.5</c:v>
                </c:pt>
                <c:pt idx="7">
                  <c:v>12.7</c:v>
                </c:pt>
                <c:pt idx="8">
                  <c:v>15.6</c:v>
                </c:pt>
                <c:pt idx="9">
                  <c:v>9</c:v>
                </c:pt>
                <c:pt idx="10">
                  <c:v>0.7</c:v>
                </c:pt>
                <c:pt idx="11">
                  <c:v>6.4</c:v>
                </c:pt>
                <c:pt idx="12">
                  <c:v>-1.5</c:v>
                </c:pt>
                <c:pt idx="13">
                  <c:v>0.4</c:v>
                </c:pt>
              </c:numCache>
            </c:numRef>
          </c:val>
          <c:smooth val="1"/>
          <c:extLst>
            <c:ext xmlns:c16="http://schemas.microsoft.com/office/drawing/2014/chart" uri="{C3380CC4-5D6E-409C-BE32-E72D297353CC}">
              <c16:uniqueId val="{00000001-9CD8-45AA-9FD0-3E5CABE6007B}"/>
            </c:ext>
          </c:extLst>
        </c:ser>
        <c:ser>
          <c:idx val="2"/>
          <c:order val="2"/>
          <c:tx>
            <c:strRef>
              <c:f>'[Chart in Microsoft Word]PC070c'!$A$13</c:f>
              <c:strCache>
                <c:ptCount val="1"/>
                <c:pt idx="0">
                  <c:v>Lietotie mājokļi  </c:v>
                </c:pt>
              </c:strCache>
            </c:strRef>
          </c:tx>
          <c:spPr>
            <a:ln w="28575" cap="rnd">
              <a:solidFill>
                <a:srgbClr val="00B050"/>
              </a:solidFill>
              <a:round/>
            </a:ln>
            <a:effectLst/>
          </c:spPr>
          <c:marker>
            <c:symbol val="none"/>
          </c:marker>
          <c:cat>
            <c:multiLvlStrRef>
              <c:f>'[Chart in Microsoft Word]PC070c'!$AX$3:$BK$4</c:f>
              <c:multiLvlStrCache>
                <c:ptCount val="14"/>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lvl>
                <c:lvl>
                  <c:pt idx="0">
                    <c:v>2018</c:v>
                  </c:pt>
                  <c:pt idx="4">
                    <c:v>2019</c:v>
                  </c:pt>
                  <c:pt idx="8">
                    <c:v>2020</c:v>
                  </c:pt>
                  <c:pt idx="12">
                    <c:v>2021</c:v>
                  </c:pt>
                </c:lvl>
              </c:multiLvlStrCache>
            </c:multiLvlStrRef>
          </c:cat>
          <c:val>
            <c:numRef>
              <c:f>'[Chart in Microsoft Word]PC070c'!$AX$13:$BK$13</c:f>
              <c:numCache>
                <c:formatCode>0.0</c:formatCode>
                <c:ptCount val="14"/>
                <c:pt idx="0">
                  <c:v>10.801024463481411</c:v>
                </c:pt>
                <c:pt idx="1">
                  <c:v>8.7709078805026195</c:v>
                </c:pt>
                <c:pt idx="2">
                  <c:v>9.0315013404825635</c:v>
                </c:pt>
                <c:pt idx="3">
                  <c:v>12.284213159869893</c:v>
                </c:pt>
                <c:pt idx="4">
                  <c:v>8.1</c:v>
                </c:pt>
                <c:pt idx="5">
                  <c:v>8.1999999999999993</c:v>
                </c:pt>
                <c:pt idx="6">
                  <c:v>11.3</c:v>
                </c:pt>
                <c:pt idx="7">
                  <c:v>8.1</c:v>
                </c:pt>
                <c:pt idx="8">
                  <c:v>7.3</c:v>
                </c:pt>
                <c:pt idx="9">
                  <c:v>-0.2</c:v>
                </c:pt>
                <c:pt idx="10">
                  <c:v>2</c:v>
                </c:pt>
                <c:pt idx="11">
                  <c:v>1.3</c:v>
                </c:pt>
                <c:pt idx="12">
                  <c:v>4.4000000000000004</c:v>
                </c:pt>
                <c:pt idx="13">
                  <c:v>16.3</c:v>
                </c:pt>
              </c:numCache>
            </c:numRef>
          </c:val>
          <c:smooth val="1"/>
          <c:extLst>
            <c:ext xmlns:c16="http://schemas.microsoft.com/office/drawing/2014/chart" uri="{C3380CC4-5D6E-409C-BE32-E72D297353CC}">
              <c16:uniqueId val="{00000002-9CD8-45AA-9FD0-3E5CABE6007B}"/>
            </c:ext>
          </c:extLst>
        </c:ser>
        <c:dLbls>
          <c:showLegendKey val="0"/>
          <c:showVal val="0"/>
          <c:showCatName val="0"/>
          <c:showSerName val="0"/>
          <c:showPercent val="0"/>
          <c:showBubbleSize val="0"/>
        </c:dLbls>
        <c:marker val="1"/>
        <c:smooth val="0"/>
        <c:axId val="1736990752"/>
        <c:axId val="1736992000"/>
      </c:lineChart>
      <c:catAx>
        <c:axId val="1736990752"/>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Verdana" panose="020B0604030504040204" pitchFamily="34" charset="0"/>
                <a:cs typeface="Times New Roman" panose="02020603050405020304" pitchFamily="18" charset="0"/>
              </a:defRPr>
            </a:pPr>
            <a:endParaRPr lang="lv-LV"/>
          </a:p>
        </c:txPr>
        <c:crossAx val="1736992000"/>
        <c:crosses val="autoZero"/>
        <c:auto val="1"/>
        <c:lblAlgn val="ctr"/>
        <c:lblOffset val="100"/>
        <c:noMultiLvlLbl val="0"/>
      </c:catAx>
      <c:valAx>
        <c:axId val="1736992000"/>
        <c:scaling>
          <c:orientation val="minMax"/>
          <c:max val="20"/>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Verdana" panose="020B0604030504040204" pitchFamily="34" charset="0"/>
                <a:cs typeface="Times New Roman" panose="02020603050405020304" pitchFamily="18" charset="0"/>
              </a:defRPr>
            </a:pPr>
            <a:endParaRPr lang="lv-LV"/>
          </a:p>
        </c:txPr>
        <c:crossAx val="173699075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Verdana" panose="020B0604030504040204" pitchFamily="34" charset="0"/>
              <a:cs typeface="Times New Roman" panose="02020603050405020304" pitchFamily="18" charset="0"/>
            </a:defRPr>
          </a:pPr>
          <a:endParaRPr lang="lv-LV"/>
        </a:p>
      </c:txPr>
    </c:legend>
    <c:plotVisOnly val="1"/>
    <c:dispBlanksAs val="gap"/>
    <c:showDLblsOverMax val="0"/>
  </c:chart>
  <c:spPr>
    <a:solidFill>
      <a:schemeClr val="bg1"/>
    </a:solidFill>
    <a:ln w="9525" cap="flat" cmpd="sng" algn="ctr">
      <a:noFill/>
      <a:round/>
    </a:ln>
    <a:effectLst/>
  </c:spPr>
  <c:txPr>
    <a:bodyPr/>
    <a:lstStyle/>
    <a:p>
      <a:pPr>
        <a:defRPr sz="900">
          <a:solidFill>
            <a:schemeClr val="tx1"/>
          </a:solidFill>
          <a:latin typeface="Times New Roman" panose="02020603050405020304" pitchFamily="18" charset="0"/>
          <a:ea typeface="Verdana" panose="020B0604030504040204" pitchFamily="34" charset="0"/>
          <a:cs typeface="Times New Roman" panose="02020603050405020304" pitchFamily="18" charset="0"/>
        </a:defRPr>
      </a:pPr>
      <a:endParaRPr lang="lv-LV"/>
    </a:p>
  </c:txPr>
  <c:externalData r:id="rId4">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45064688067837672"/>
          <c:y val="4.4570502431118313E-2"/>
          <c:w val="0.49550696547546941"/>
          <c:h val="0.77845620796590054"/>
        </c:manualLayout>
      </c:layout>
      <c:barChart>
        <c:barDir val="bar"/>
        <c:grouping val="clustered"/>
        <c:varyColors val="0"/>
        <c:ser>
          <c:idx val="1"/>
          <c:order val="0"/>
          <c:tx>
            <c:strRef>
              <c:f>'IKP nozares &amp; izlietojums (2)'!$BA$36</c:f>
              <c:strCache>
                <c:ptCount val="1"/>
                <c:pt idx="0">
                  <c:v>2021 1.pusg.</c:v>
                </c:pt>
              </c:strCache>
            </c:strRef>
          </c:tx>
          <c:spPr>
            <a:pattFill prst="dkUpDiag">
              <a:fgClr>
                <a:srgbClr val="00B050"/>
              </a:fgClr>
              <a:bgClr>
                <a:schemeClr val="bg1"/>
              </a:bgClr>
            </a:pattFill>
            <a:ln>
              <a:solidFill>
                <a:srgbClr val="00B050"/>
              </a:solidFill>
            </a:ln>
            <a:effectLst/>
          </c:spPr>
          <c:invertIfNegative val="0"/>
          <c:dPt>
            <c:idx val="3"/>
            <c:invertIfNegative val="0"/>
            <c:bubble3D val="0"/>
            <c:spPr>
              <a:pattFill prst="dkUpDiag">
                <a:fgClr>
                  <a:srgbClr val="00B050"/>
                </a:fgClr>
                <a:bgClr>
                  <a:schemeClr val="bg1"/>
                </a:bgClr>
              </a:pattFill>
              <a:ln>
                <a:solidFill>
                  <a:srgbClr val="00B050"/>
                </a:solidFill>
              </a:ln>
              <a:effectLst/>
            </c:spPr>
            <c:extLst>
              <c:ext xmlns:c16="http://schemas.microsoft.com/office/drawing/2014/chart" uri="{C3380CC4-5D6E-409C-BE32-E72D297353CC}">
                <c16:uniqueId val="{00000001-ABDE-443C-936C-868DE263F0F0}"/>
              </c:ext>
            </c:extLst>
          </c:dPt>
          <c:dLbls>
            <c:dLbl>
              <c:idx val="1"/>
              <c:layout>
                <c:manualLayout>
                  <c:x val="-7.692307692307683E-2"/>
                  <c:y val="-5.267423014586717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ABDE-443C-936C-868DE263F0F0}"/>
                </c:ext>
              </c:extLst>
            </c:dLbl>
            <c:dLbl>
              <c:idx val="4"/>
              <c:layout>
                <c:manualLayout>
                  <c:x val="-1.6260162601625917E-2"/>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ABDE-443C-936C-868DE263F0F0}"/>
                </c:ext>
              </c:extLst>
            </c:dLbl>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lv-LV"/>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'IKP nozares &amp; izlietojums (2)'!$AT$47:$AT$52</c:f>
              <c:numCache>
                <c:formatCode>0.0</c:formatCode>
                <c:ptCount val="6"/>
                <c:pt idx="0">
                  <c:v>7.0389448164746966</c:v>
                </c:pt>
                <c:pt idx="1">
                  <c:v>14.987479900199332</c:v>
                </c:pt>
                <c:pt idx="2">
                  <c:v>3.9523643771362629</c:v>
                </c:pt>
                <c:pt idx="3">
                  <c:v>5.1636606518816279</c:v>
                </c:pt>
                <c:pt idx="4">
                  <c:v>3.5018963463220985</c:v>
                </c:pt>
                <c:pt idx="5">
                  <c:v>5.0814540761789431</c:v>
                </c:pt>
              </c:numCache>
            </c:numRef>
          </c:val>
          <c:extLst>
            <c:ext xmlns:c16="http://schemas.microsoft.com/office/drawing/2014/chart" uri="{C3380CC4-5D6E-409C-BE32-E72D297353CC}">
              <c16:uniqueId val="{00000004-ABDE-443C-936C-868DE263F0F0}"/>
            </c:ext>
          </c:extLst>
        </c:ser>
        <c:ser>
          <c:idx val="0"/>
          <c:order val="1"/>
          <c:tx>
            <c:strRef>
              <c:f>'IKP nozares &amp; izlietojums (2)'!$AZ$36</c:f>
              <c:strCache>
                <c:ptCount val="1"/>
                <c:pt idx="0">
                  <c:v>2020</c:v>
                </c:pt>
              </c:strCache>
            </c:strRef>
          </c:tx>
          <c:spPr>
            <a:solidFill>
              <a:schemeClr val="bg1">
                <a:lumMod val="65000"/>
              </a:schemeClr>
            </a:solidFill>
            <a:ln>
              <a:noFill/>
            </a:ln>
            <a:effectLst/>
          </c:spPr>
          <c:invertIfNegative val="0"/>
          <c:dPt>
            <c:idx val="0"/>
            <c:invertIfNegative val="0"/>
            <c:bubble3D val="0"/>
            <c:extLst>
              <c:ext xmlns:c16="http://schemas.microsoft.com/office/drawing/2014/chart" uri="{C3380CC4-5D6E-409C-BE32-E72D297353CC}">
                <c16:uniqueId val="{00000005-ABDE-443C-936C-868DE263F0F0}"/>
              </c:ext>
            </c:extLst>
          </c:dPt>
          <c:dPt>
            <c:idx val="1"/>
            <c:invertIfNegative val="0"/>
            <c:bubble3D val="0"/>
            <c:extLst>
              <c:ext xmlns:c16="http://schemas.microsoft.com/office/drawing/2014/chart" uri="{C3380CC4-5D6E-409C-BE32-E72D297353CC}">
                <c16:uniqueId val="{00000006-ABDE-443C-936C-868DE263F0F0}"/>
              </c:ext>
            </c:extLst>
          </c:dPt>
          <c:dPt>
            <c:idx val="2"/>
            <c:invertIfNegative val="0"/>
            <c:bubble3D val="0"/>
            <c:extLst>
              <c:ext xmlns:c16="http://schemas.microsoft.com/office/drawing/2014/chart" uri="{C3380CC4-5D6E-409C-BE32-E72D297353CC}">
                <c16:uniqueId val="{00000007-ABDE-443C-936C-868DE263F0F0}"/>
              </c:ext>
            </c:extLst>
          </c:dPt>
          <c:dLbls>
            <c:dLbl>
              <c:idx val="1"/>
              <c:layout>
                <c:manualLayout>
                  <c:x val="-7.3011080494811515E-3"/>
                  <c:y val="-4.0669242812352542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ABDE-443C-936C-868DE263F0F0}"/>
                </c:ext>
              </c:extLst>
            </c:dLbl>
            <c:dLbl>
              <c:idx val="2"/>
              <c:layout>
                <c:manualLayout>
                  <c:x val="5.5949232442791712E-4"/>
                  <c:y val="-8.1338511671756198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ABDE-443C-936C-868DE263F0F0}"/>
                </c:ext>
              </c:extLst>
            </c:dLbl>
            <c:numFmt formatCode="#,##0.0" sourceLinked="0"/>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lv-LV"/>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'IKP nozares &amp; izlietojums (2)'!$A$47:$A$52</c:f>
              <c:strCache>
                <c:ptCount val="6"/>
                <c:pt idx="0">
                  <c:v>Eksports</c:v>
                </c:pt>
                <c:pt idx="1">
                  <c:v>Imports</c:v>
                </c:pt>
                <c:pt idx="2">
                  <c:v>Investīcijas</c:v>
                </c:pt>
                <c:pt idx="3">
                  <c:v>Sabiedriskais patēriņš</c:v>
                </c:pt>
                <c:pt idx="4">
                  <c:v>Privātais patēriņš</c:v>
                </c:pt>
                <c:pt idx="5">
                  <c:v>IKP</c:v>
                </c:pt>
              </c:strCache>
            </c:strRef>
          </c:cat>
          <c:val>
            <c:numRef>
              <c:f>'IKP nozares &amp; izlietojums (2)'!$AO$47:$AO$52</c:f>
              <c:numCache>
                <c:formatCode>0.0</c:formatCode>
                <c:ptCount val="6"/>
                <c:pt idx="0">
                  <c:v>-2.7261129432001541</c:v>
                </c:pt>
                <c:pt idx="1">
                  <c:v>-3.2643000429620428</c:v>
                </c:pt>
                <c:pt idx="2">
                  <c:v>0.22518554548489611</c:v>
                </c:pt>
                <c:pt idx="3">
                  <c:v>2.5966014722814013</c:v>
                </c:pt>
                <c:pt idx="4">
                  <c:v>-9.9960397456644756</c:v>
                </c:pt>
                <c:pt idx="5">
                  <c:v>-3.6236839156903233</c:v>
                </c:pt>
              </c:numCache>
            </c:numRef>
          </c:val>
          <c:extLst>
            <c:ext xmlns:c16="http://schemas.microsoft.com/office/drawing/2014/chart" uri="{C3380CC4-5D6E-409C-BE32-E72D297353CC}">
              <c16:uniqueId val="{00000008-ABDE-443C-936C-868DE263F0F0}"/>
            </c:ext>
          </c:extLst>
        </c:ser>
        <c:dLbls>
          <c:showLegendKey val="0"/>
          <c:showVal val="0"/>
          <c:showCatName val="0"/>
          <c:showSerName val="0"/>
          <c:showPercent val="0"/>
          <c:showBubbleSize val="0"/>
        </c:dLbls>
        <c:gapWidth val="50"/>
        <c:overlap val="-10"/>
        <c:axId val="212682872"/>
        <c:axId val="212683264"/>
      </c:barChart>
      <c:catAx>
        <c:axId val="21268287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0"/>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lv-LV"/>
          </a:p>
        </c:txPr>
        <c:crossAx val="212683264"/>
        <c:crosses val="autoZero"/>
        <c:auto val="1"/>
        <c:lblAlgn val="ctr"/>
        <c:lblOffset val="100"/>
        <c:noMultiLvlLbl val="0"/>
      </c:catAx>
      <c:valAx>
        <c:axId val="212683264"/>
        <c:scaling>
          <c:orientation val="minMax"/>
          <c:max val="17"/>
          <c:min val="-15"/>
        </c:scaling>
        <c:delete val="0"/>
        <c:axPos val="b"/>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lv-LV"/>
          </a:p>
        </c:txPr>
        <c:crossAx val="212682872"/>
        <c:crosses val="autoZero"/>
        <c:crossBetween val="between"/>
        <c:majorUnit val="5"/>
      </c:valAx>
      <c:spPr>
        <a:noFill/>
        <a:ln>
          <a:noFill/>
        </a:ln>
        <a:effectLst/>
      </c:spPr>
    </c:plotArea>
    <c:legend>
      <c:legendPos val="b"/>
      <c:layout>
        <c:manualLayout>
          <c:xMode val="edge"/>
          <c:yMode val="edge"/>
          <c:x val="0.392788215787439"/>
          <c:y val="0.90752711893076532"/>
          <c:w val="0.45495786226905899"/>
          <c:h val="7.2907997908560201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lv-LV"/>
        </a:p>
      </c:txPr>
    </c:legend>
    <c:plotVisOnly val="1"/>
    <c:dispBlanksAs val="gap"/>
    <c:showDLblsOverMax val="0"/>
  </c:chart>
  <c:spPr>
    <a:solidFill>
      <a:schemeClr val="bg1"/>
    </a:solidFill>
    <a:ln w="9525" cap="flat" cmpd="sng" algn="ctr">
      <a:solidFill>
        <a:schemeClr val="bg1"/>
      </a:solidFill>
      <a:round/>
    </a:ln>
    <a:effectLst/>
  </c:spPr>
  <c:txPr>
    <a:bodyPr/>
    <a:lstStyle/>
    <a:p>
      <a:pPr>
        <a:defRPr sz="900" b="0">
          <a:solidFill>
            <a:schemeClr val="tx1"/>
          </a:solidFill>
          <a:latin typeface="Times New Roman" panose="02020603050405020304" pitchFamily="18" charset="0"/>
          <a:cs typeface="Times New Roman" panose="02020603050405020304" pitchFamily="18" charset="0"/>
        </a:defRPr>
      </a:pPr>
      <a:endParaRPr lang="lv-LV"/>
    </a:p>
  </c:txPr>
  <c:externalData r:id="rId3">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5.6381365404561831E-2"/>
          <c:y val="5.2418394091017395E-2"/>
          <c:w val="0.91683509429838439"/>
          <c:h val="0.51353478956660092"/>
        </c:manualLayout>
      </c:layout>
      <c:areaChart>
        <c:grouping val="standard"/>
        <c:varyColors val="0"/>
        <c:ser>
          <c:idx val="0"/>
          <c:order val="0"/>
          <c:tx>
            <c:strRef>
              <c:f>Sheet1!$A$12</c:f>
              <c:strCache>
                <c:ptCount val="1"/>
                <c:pt idx="0">
                  <c:v>Pavisam</c:v>
                </c:pt>
              </c:strCache>
            </c:strRef>
          </c:tx>
          <c:spPr>
            <a:pattFill prst="dkUpDiag">
              <a:fgClr>
                <a:srgbClr val="0070C0"/>
              </a:fgClr>
              <a:bgClr>
                <a:schemeClr val="bg1"/>
              </a:bgClr>
            </a:pattFill>
            <a:ln>
              <a:noFill/>
            </a:ln>
            <a:effectLst/>
          </c:spPr>
          <c:cat>
            <c:multiLvlStrRef>
              <c:f>Sheet1!$AH$10:$AU$11</c:f>
              <c:multiLvlStrCache>
                <c:ptCount val="14"/>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lvl>
                <c:lvl>
                  <c:pt idx="0">
                    <c:v>2018</c:v>
                  </c:pt>
                  <c:pt idx="4">
                    <c:v>2019</c:v>
                  </c:pt>
                  <c:pt idx="8">
                    <c:v>2020</c:v>
                  </c:pt>
                  <c:pt idx="12">
                    <c:v>2021</c:v>
                  </c:pt>
                </c:lvl>
              </c:multiLvlStrCache>
            </c:multiLvlStrRef>
          </c:cat>
          <c:val>
            <c:numRef>
              <c:f>Sheet1!$AH$12:$AU$12</c:f>
              <c:numCache>
                <c:formatCode>0.0</c:formatCode>
                <c:ptCount val="14"/>
                <c:pt idx="0">
                  <c:v>3.5999999999999943</c:v>
                </c:pt>
                <c:pt idx="1">
                  <c:v>4.0473840078973353</c:v>
                </c:pt>
                <c:pt idx="2">
                  <c:v>4.7197640117994126</c:v>
                </c:pt>
                <c:pt idx="3">
                  <c:v>5.0731707317073216</c:v>
                </c:pt>
                <c:pt idx="4">
                  <c:v>5.0193050193050226</c:v>
                </c:pt>
                <c:pt idx="5">
                  <c:v>4.2694497153700155</c:v>
                </c:pt>
                <c:pt idx="6">
                  <c:v>3.7558685446009434</c:v>
                </c:pt>
                <c:pt idx="7">
                  <c:v>3.2497678737233002</c:v>
                </c:pt>
                <c:pt idx="8">
                  <c:v>2.481617647058826</c:v>
                </c:pt>
                <c:pt idx="9">
                  <c:v>1.4558689717925404</c:v>
                </c:pt>
                <c:pt idx="10">
                  <c:v>0.99547511312216841</c:v>
                </c:pt>
                <c:pt idx="11">
                  <c:v>0.53956834532374387</c:v>
                </c:pt>
                <c:pt idx="12">
                  <c:v>1.2556053811659211</c:v>
                </c:pt>
                <c:pt idx="13">
                  <c:v>4.6636771300448459</c:v>
                </c:pt>
              </c:numCache>
            </c:numRef>
          </c:val>
          <c:extLst>
            <c:ext xmlns:c16="http://schemas.microsoft.com/office/drawing/2014/chart" uri="{C3380CC4-5D6E-409C-BE32-E72D297353CC}">
              <c16:uniqueId val="{00000000-C3C0-4A19-A8A8-19BE4BFC6D89}"/>
            </c:ext>
          </c:extLst>
        </c:ser>
        <c:dLbls>
          <c:showLegendKey val="0"/>
          <c:showVal val="0"/>
          <c:showCatName val="0"/>
          <c:showSerName val="0"/>
          <c:showPercent val="0"/>
          <c:showBubbleSize val="0"/>
        </c:dLbls>
        <c:axId val="428555632"/>
        <c:axId val="428555960"/>
      </c:areaChart>
      <c:lineChart>
        <c:grouping val="standard"/>
        <c:varyColors val="0"/>
        <c:ser>
          <c:idx val="1"/>
          <c:order val="1"/>
          <c:tx>
            <c:strRef>
              <c:f>Sheet1!$A$13</c:f>
              <c:strCache>
                <c:ptCount val="1"/>
                <c:pt idx="0">
                  <c:v>Būvmateriāli</c:v>
                </c:pt>
              </c:strCache>
            </c:strRef>
          </c:tx>
          <c:spPr>
            <a:ln w="28575" cap="rnd">
              <a:solidFill>
                <a:srgbClr val="00B050"/>
              </a:solidFill>
              <a:round/>
            </a:ln>
            <a:effectLst/>
          </c:spPr>
          <c:marker>
            <c:symbol val="none"/>
          </c:marker>
          <c:cat>
            <c:multiLvlStrRef>
              <c:f>Sheet1!$AH$10:$AU$11</c:f>
              <c:multiLvlStrCache>
                <c:ptCount val="14"/>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lvl>
                <c:lvl>
                  <c:pt idx="0">
                    <c:v>2018</c:v>
                  </c:pt>
                  <c:pt idx="4">
                    <c:v>2019</c:v>
                  </c:pt>
                  <c:pt idx="8">
                    <c:v>2020</c:v>
                  </c:pt>
                  <c:pt idx="12">
                    <c:v>2021</c:v>
                  </c:pt>
                </c:lvl>
              </c:multiLvlStrCache>
            </c:multiLvlStrRef>
          </c:cat>
          <c:val>
            <c:numRef>
              <c:f>Sheet1!$AH$13:$AU$13</c:f>
              <c:numCache>
                <c:formatCode>0.0</c:formatCode>
                <c:ptCount val="14"/>
                <c:pt idx="0">
                  <c:v>2.669404517453799</c:v>
                </c:pt>
                <c:pt idx="1">
                  <c:v>3.6697247706422047</c:v>
                </c:pt>
                <c:pt idx="2">
                  <c:v>3.767820773930751</c:v>
                </c:pt>
                <c:pt idx="3">
                  <c:v>4.7619047619047592</c:v>
                </c:pt>
                <c:pt idx="4">
                  <c:v>4.5</c:v>
                </c:pt>
                <c:pt idx="5">
                  <c:v>3.343166175024578</c:v>
                </c:pt>
                <c:pt idx="6">
                  <c:v>3.6310107948969517</c:v>
                </c:pt>
                <c:pt idx="7">
                  <c:v>2.2243713733075339</c:v>
                </c:pt>
                <c:pt idx="8">
                  <c:v>1.1483253588516789</c:v>
                </c:pt>
                <c:pt idx="9">
                  <c:v>-0.57088487155090206</c:v>
                </c:pt>
                <c:pt idx="10">
                  <c:v>-1.6098484848484844</c:v>
                </c:pt>
                <c:pt idx="11">
                  <c:v>-1.7029328287606518</c:v>
                </c:pt>
                <c:pt idx="12">
                  <c:v>0.28382213812676582</c:v>
                </c:pt>
                <c:pt idx="13">
                  <c:v>5.8373205741626748</c:v>
                </c:pt>
              </c:numCache>
            </c:numRef>
          </c:val>
          <c:smooth val="1"/>
          <c:extLst>
            <c:ext xmlns:c16="http://schemas.microsoft.com/office/drawing/2014/chart" uri="{C3380CC4-5D6E-409C-BE32-E72D297353CC}">
              <c16:uniqueId val="{00000001-C3C0-4A19-A8A8-19BE4BFC6D89}"/>
            </c:ext>
          </c:extLst>
        </c:ser>
        <c:ser>
          <c:idx val="2"/>
          <c:order val="2"/>
          <c:tx>
            <c:strRef>
              <c:f>Sheet1!$A$14</c:f>
              <c:strCache>
                <c:ptCount val="1"/>
                <c:pt idx="0">
                  <c:v>Strādnieku darba samaksa</c:v>
                </c:pt>
              </c:strCache>
            </c:strRef>
          </c:tx>
          <c:spPr>
            <a:ln w="28575" cap="rnd">
              <a:solidFill>
                <a:srgbClr val="0070C0"/>
              </a:solidFill>
              <a:round/>
            </a:ln>
            <a:effectLst/>
          </c:spPr>
          <c:marker>
            <c:symbol val="none"/>
          </c:marker>
          <c:cat>
            <c:multiLvlStrRef>
              <c:f>Sheet1!$AH$10:$AU$11</c:f>
              <c:multiLvlStrCache>
                <c:ptCount val="14"/>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lvl>
                <c:lvl>
                  <c:pt idx="0">
                    <c:v>2018</c:v>
                  </c:pt>
                  <c:pt idx="4">
                    <c:v>2019</c:v>
                  </c:pt>
                  <c:pt idx="8">
                    <c:v>2020</c:v>
                  </c:pt>
                  <c:pt idx="12">
                    <c:v>2021</c:v>
                  </c:pt>
                </c:lvl>
              </c:multiLvlStrCache>
            </c:multiLvlStrRef>
          </c:cat>
          <c:val>
            <c:numRef>
              <c:f>Sheet1!$AH$14:$AU$14</c:f>
              <c:numCache>
                <c:formatCode>0.0</c:formatCode>
                <c:ptCount val="14"/>
                <c:pt idx="0">
                  <c:v>7.9545454545454533</c:v>
                </c:pt>
                <c:pt idx="1">
                  <c:v>7.2212065813528312</c:v>
                </c:pt>
                <c:pt idx="2">
                  <c:v>9.1402714932126656</c:v>
                </c:pt>
                <c:pt idx="3">
                  <c:v>8.8156723063223552</c:v>
                </c:pt>
                <c:pt idx="4">
                  <c:v>8.1578947368421098</c:v>
                </c:pt>
                <c:pt idx="5">
                  <c:v>8.3546462063086153</c:v>
                </c:pt>
                <c:pt idx="6">
                  <c:v>6.3847429519071568</c:v>
                </c:pt>
                <c:pt idx="7">
                  <c:v>7.6104746317512308</c:v>
                </c:pt>
                <c:pt idx="8">
                  <c:v>7.9480940794809385</c:v>
                </c:pt>
                <c:pt idx="9">
                  <c:v>7.238394964594832</c:v>
                </c:pt>
                <c:pt idx="10">
                  <c:v>7.4045206547155118</c:v>
                </c:pt>
                <c:pt idx="11">
                  <c:v>5.5513307984790998</c:v>
                </c:pt>
                <c:pt idx="12">
                  <c:v>3.5311795642374335</c:v>
                </c:pt>
                <c:pt idx="13">
                  <c:v>3.7417461482024805</c:v>
                </c:pt>
              </c:numCache>
            </c:numRef>
          </c:val>
          <c:smooth val="1"/>
          <c:extLst>
            <c:ext xmlns:c16="http://schemas.microsoft.com/office/drawing/2014/chart" uri="{C3380CC4-5D6E-409C-BE32-E72D297353CC}">
              <c16:uniqueId val="{00000002-C3C0-4A19-A8A8-19BE4BFC6D89}"/>
            </c:ext>
          </c:extLst>
        </c:ser>
        <c:ser>
          <c:idx val="3"/>
          <c:order val="3"/>
          <c:tx>
            <c:strRef>
              <c:f>Sheet1!$A$15</c:f>
              <c:strCache>
                <c:ptCount val="1"/>
                <c:pt idx="0">
                  <c:v>Izmaksas mašīnu un mehānismu uzturēšanai un ekspluatācijai</c:v>
                </c:pt>
              </c:strCache>
            </c:strRef>
          </c:tx>
          <c:spPr>
            <a:ln w="28575" cap="rnd">
              <a:solidFill>
                <a:schemeClr val="tx1">
                  <a:lumMod val="50000"/>
                  <a:lumOff val="50000"/>
                </a:schemeClr>
              </a:solidFill>
              <a:round/>
            </a:ln>
            <a:effectLst/>
          </c:spPr>
          <c:marker>
            <c:symbol val="none"/>
          </c:marker>
          <c:cat>
            <c:multiLvlStrRef>
              <c:f>Sheet1!$AH$10:$AU$11</c:f>
              <c:multiLvlStrCache>
                <c:ptCount val="14"/>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lvl>
                <c:lvl>
                  <c:pt idx="0">
                    <c:v>2018</c:v>
                  </c:pt>
                  <c:pt idx="4">
                    <c:v>2019</c:v>
                  </c:pt>
                  <c:pt idx="8">
                    <c:v>2020</c:v>
                  </c:pt>
                  <c:pt idx="12">
                    <c:v>2021</c:v>
                  </c:pt>
                </c:lvl>
              </c:multiLvlStrCache>
            </c:multiLvlStrRef>
          </c:cat>
          <c:val>
            <c:numRef>
              <c:f>Sheet1!$AH$15:$AU$15</c:f>
              <c:numCache>
                <c:formatCode>0.0</c:formatCode>
                <c:ptCount val="14"/>
                <c:pt idx="0">
                  <c:v>2.4752475247524757</c:v>
                </c:pt>
                <c:pt idx="1">
                  <c:v>2.5515210991167692</c:v>
                </c:pt>
                <c:pt idx="2">
                  <c:v>3.22265625</c:v>
                </c:pt>
                <c:pt idx="3">
                  <c:v>3.1007751937984409</c:v>
                </c:pt>
                <c:pt idx="4">
                  <c:v>3.6714975845410578</c:v>
                </c:pt>
                <c:pt idx="5">
                  <c:v>3.0622009569378008</c:v>
                </c:pt>
                <c:pt idx="6">
                  <c:v>2.2705771050141834</c:v>
                </c:pt>
                <c:pt idx="7">
                  <c:v>1.691729323308266</c:v>
                </c:pt>
                <c:pt idx="8">
                  <c:v>1.0251630941286152</c:v>
                </c:pt>
                <c:pt idx="9">
                  <c:v>0.46425255338904492</c:v>
                </c:pt>
                <c:pt idx="10">
                  <c:v>0.55504162812211177</c:v>
                </c:pt>
                <c:pt idx="11">
                  <c:v>0.73937153419592505</c:v>
                </c:pt>
                <c:pt idx="12">
                  <c:v>1.0147601476014643</c:v>
                </c:pt>
                <c:pt idx="13">
                  <c:v>3.419593345656196</c:v>
                </c:pt>
              </c:numCache>
            </c:numRef>
          </c:val>
          <c:smooth val="1"/>
          <c:extLst>
            <c:ext xmlns:c16="http://schemas.microsoft.com/office/drawing/2014/chart" uri="{C3380CC4-5D6E-409C-BE32-E72D297353CC}">
              <c16:uniqueId val="{00000003-C3C0-4A19-A8A8-19BE4BFC6D89}"/>
            </c:ext>
          </c:extLst>
        </c:ser>
        <c:dLbls>
          <c:showLegendKey val="0"/>
          <c:showVal val="0"/>
          <c:showCatName val="0"/>
          <c:showSerName val="0"/>
          <c:showPercent val="0"/>
          <c:showBubbleSize val="0"/>
        </c:dLbls>
        <c:marker val="1"/>
        <c:smooth val="0"/>
        <c:axId val="428555632"/>
        <c:axId val="428555960"/>
      </c:lineChart>
      <c:catAx>
        <c:axId val="428555632"/>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v-LV"/>
          </a:p>
        </c:txPr>
        <c:crossAx val="428555960"/>
        <c:crosses val="autoZero"/>
        <c:auto val="1"/>
        <c:lblAlgn val="ctr"/>
        <c:lblOffset val="100"/>
        <c:noMultiLvlLbl val="0"/>
      </c:catAx>
      <c:valAx>
        <c:axId val="428555960"/>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v-LV"/>
          </a:p>
        </c:txPr>
        <c:crossAx val="428555632"/>
        <c:crosses val="autoZero"/>
        <c:crossBetween val="between"/>
      </c:valAx>
      <c:spPr>
        <a:noFill/>
        <a:ln>
          <a:noFill/>
        </a:ln>
        <a:effectLst/>
      </c:spPr>
    </c:plotArea>
    <c:legend>
      <c:legendPos val="b"/>
      <c:layout>
        <c:manualLayout>
          <c:xMode val="edge"/>
          <c:yMode val="edge"/>
          <c:x val="6.0871682493304116E-2"/>
          <c:y val="0.72379596224524823"/>
          <c:w val="0.9391283175066959"/>
          <c:h val="0.24761218643237859"/>
        </c:manualLayout>
      </c:layout>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v-LV"/>
        </a:p>
      </c:txPr>
    </c:legend>
    <c:plotVisOnly val="1"/>
    <c:dispBlanksAs val="gap"/>
    <c:showDLblsOverMax val="0"/>
  </c:chart>
  <c:spPr>
    <a:solidFill>
      <a:schemeClr val="bg1"/>
    </a:solidFill>
    <a:ln w="9525" cap="flat" cmpd="sng" algn="ctr">
      <a:noFill/>
      <a:round/>
    </a:ln>
    <a:effectLst/>
  </c:spPr>
  <c:txPr>
    <a:bodyPr/>
    <a:lstStyle/>
    <a:p>
      <a:pPr>
        <a:defRPr sz="900">
          <a:solidFill>
            <a:sysClr val="windowText" lastClr="000000"/>
          </a:solidFill>
          <a:latin typeface="Times New Roman" panose="02020603050405020304" pitchFamily="18" charset="0"/>
          <a:cs typeface="Times New Roman" panose="02020603050405020304" pitchFamily="18" charset="0"/>
        </a:defRPr>
      </a:pPr>
      <a:endParaRPr lang="lv-LV"/>
    </a:p>
  </c:txPr>
  <c:externalData r:id="rId4">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6.4888271017091007E-2"/>
          <c:y val="2.6330261499542922E-2"/>
          <c:w val="0.91866697429462363"/>
          <c:h val="0.62045260715206574"/>
        </c:manualLayout>
      </c:layout>
      <c:barChart>
        <c:barDir val="col"/>
        <c:grouping val="stacked"/>
        <c:varyColors val="0"/>
        <c:ser>
          <c:idx val="6"/>
          <c:order val="0"/>
          <c:tx>
            <c:strRef>
              <c:f>'[Chart in Microsoft Word]Atļaujas'!$B$62</c:f>
              <c:strCache>
                <c:ptCount val="1"/>
                <c:pt idx="0">
                  <c:v>Pārējās</c:v>
                </c:pt>
              </c:strCache>
            </c:strRef>
          </c:tx>
          <c:spPr>
            <a:solidFill>
              <a:srgbClr val="0070C0"/>
            </a:solidFill>
            <a:ln>
              <a:solidFill>
                <a:schemeClr val="accent1"/>
              </a:solidFill>
            </a:ln>
            <a:effectLst/>
          </c:spPr>
          <c:invertIfNegative val="0"/>
          <c:cat>
            <c:multiLvlStrRef>
              <c:f>'[Chart in Microsoft Word]Atļaujas'!$AY$47:$BX$48</c:f>
              <c:multiLvlStrCache>
                <c:ptCount val="26"/>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pt idx="19">
                    <c:v>IV</c:v>
                  </c:pt>
                  <c:pt idx="20">
                    <c:v>I</c:v>
                  </c:pt>
                  <c:pt idx="21">
                    <c:v>II</c:v>
                  </c:pt>
                  <c:pt idx="22">
                    <c:v>III</c:v>
                  </c:pt>
                  <c:pt idx="23">
                    <c:v>IV</c:v>
                  </c:pt>
                  <c:pt idx="24">
                    <c:v>I</c:v>
                  </c:pt>
                  <c:pt idx="25">
                    <c:v>II</c:v>
                  </c:pt>
                </c:lvl>
                <c:lvl>
                  <c:pt idx="0">
                    <c:v>2015</c:v>
                  </c:pt>
                  <c:pt idx="4">
                    <c:v>2016</c:v>
                  </c:pt>
                  <c:pt idx="8">
                    <c:v>2017</c:v>
                  </c:pt>
                  <c:pt idx="12">
                    <c:v>2018</c:v>
                  </c:pt>
                  <c:pt idx="16">
                    <c:v>2019</c:v>
                  </c:pt>
                  <c:pt idx="20">
                    <c:v>2020</c:v>
                  </c:pt>
                  <c:pt idx="24">
                    <c:v>2021</c:v>
                  </c:pt>
                </c:lvl>
              </c:multiLvlStrCache>
            </c:multiLvlStrRef>
          </c:cat>
          <c:val>
            <c:numRef>
              <c:f>'[Chart in Microsoft Word]Atļaujas'!$AY$62:$BX$62</c:f>
              <c:numCache>
                <c:formatCode>0</c:formatCode>
                <c:ptCount val="26"/>
                <c:pt idx="0">
                  <c:v>89.899999999999977</c:v>
                </c:pt>
                <c:pt idx="1">
                  <c:v>101.70000000000005</c:v>
                </c:pt>
                <c:pt idx="2">
                  <c:v>90.800000000000068</c:v>
                </c:pt>
                <c:pt idx="3">
                  <c:v>115.19999999999996</c:v>
                </c:pt>
                <c:pt idx="4">
                  <c:v>100.30000000000001</c:v>
                </c:pt>
                <c:pt idx="5">
                  <c:v>101.09999999999991</c:v>
                </c:pt>
                <c:pt idx="6">
                  <c:v>83.999999999999943</c:v>
                </c:pt>
                <c:pt idx="7">
                  <c:v>59.399999999999977</c:v>
                </c:pt>
                <c:pt idx="8">
                  <c:v>19.699999999999989</c:v>
                </c:pt>
                <c:pt idx="9">
                  <c:v>48.899999999999977</c:v>
                </c:pt>
                <c:pt idx="10">
                  <c:v>72.299999999999955</c:v>
                </c:pt>
                <c:pt idx="11">
                  <c:v>36.799999999999955</c:v>
                </c:pt>
                <c:pt idx="12">
                  <c:v>38</c:v>
                </c:pt>
                <c:pt idx="13">
                  <c:v>72.899999999999864</c:v>
                </c:pt>
                <c:pt idx="14">
                  <c:v>75.300000000000011</c:v>
                </c:pt>
                <c:pt idx="15">
                  <c:v>70.599999999999966</c:v>
                </c:pt>
                <c:pt idx="16">
                  <c:v>84.800000000000011</c:v>
                </c:pt>
                <c:pt idx="17">
                  <c:v>128.20000000000005</c:v>
                </c:pt>
                <c:pt idx="18">
                  <c:v>139.60000000000002</c:v>
                </c:pt>
                <c:pt idx="19">
                  <c:v>131.09999999999991</c:v>
                </c:pt>
                <c:pt idx="20">
                  <c:v>87</c:v>
                </c:pt>
                <c:pt idx="21">
                  <c:v>101.49999999999989</c:v>
                </c:pt>
                <c:pt idx="22">
                  <c:v>99.799999999999955</c:v>
                </c:pt>
                <c:pt idx="23">
                  <c:v>121.89999999999998</c:v>
                </c:pt>
                <c:pt idx="24">
                  <c:v>76.600000000000023</c:v>
                </c:pt>
                <c:pt idx="25">
                  <c:v>72.700000000000159</c:v>
                </c:pt>
              </c:numCache>
            </c:numRef>
          </c:val>
          <c:extLst>
            <c:ext xmlns:c16="http://schemas.microsoft.com/office/drawing/2014/chart" uri="{C3380CC4-5D6E-409C-BE32-E72D297353CC}">
              <c16:uniqueId val="{00000000-20C0-4572-889E-42C8DBA0166E}"/>
            </c:ext>
          </c:extLst>
        </c:ser>
        <c:ser>
          <c:idx val="2"/>
          <c:order val="1"/>
          <c:tx>
            <c:strRef>
              <c:f>'[Chart in Microsoft Word]Atļaujas'!$B$54</c:f>
              <c:strCache>
                <c:ptCount val="1"/>
                <c:pt idx="0">
                  <c:v>Biroju ēkas</c:v>
                </c:pt>
              </c:strCache>
            </c:strRef>
          </c:tx>
          <c:spPr>
            <a:pattFill prst="dkUpDiag">
              <a:fgClr>
                <a:schemeClr val="accent2">
                  <a:lumMod val="75000"/>
                </a:schemeClr>
              </a:fgClr>
              <a:bgClr>
                <a:schemeClr val="bg1"/>
              </a:bgClr>
            </a:pattFill>
            <a:ln>
              <a:solidFill>
                <a:schemeClr val="accent2">
                  <a:lumMod val="75000"/>
                </a:schemeClr>
              </a:solidFill>
            </a:ln>
            <a:effectLst/>
          </c:spPr>
          <c:invertIfNegative val="0"/>
          <c:cat>
            <c:multiLvlStrRef>
              <c:f>'[Chart in Microsoft Word]Atļaujas'!$AY$47:$BX$48</c:f>
              <c:multiLvlStrCache>
                <c:ptCount val="26"/>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pt idx="19">
                    <c:v>IV</c:v>
                  </c:pt>
                  <c:pt idx="20">
                    <c:v>I</c:v>
                  </c:pt>
                  <c:pt idx="21">
                    <c:v>II</c:v>
                  </c:pt>
                  <c:pt idx="22">
                    <c:v>III</c:v>
                  </c:pt>
                  <c:pt idx="23">
                    <c:v>IV</c:v>
                  </c:pt>
                  <c:pt idx="24">
                    <c:v>I</c:v>
                  </c:pt>
                  <c:pt idx="25">
                    <c:v>II</c:v>
                  </c:pt>
                </c:lvl>
                <c:lvl>
                  <c:pt idx="0">
                    <c:v>2015</c:v>
                  </c:pt>
                  <c:pt idx="4">
                    <c:v>2016</c:v>
                  </c:pt>
                  <c:pt idx="8">
                    <c:v>2017</c:v>
                  </c:pt>
                  <c:pt idx="12">
                    <c:v>2018</c:v>
                  </c:pt>
                  <c:pt idx="16">
                    <c:v>2019</c:v>
                  </c:pt>
                  <c:pt idx="20">
                    <c:v>2020</c:v>
                  </c:pt>
                  <c:pt idx="24">
                    <c:v>2021</c:v>
                  </c:pt>
                </c:lvl>
              </c:multiLvlStrCache>
            </c:multiLvlStrRef>
          </c:cat>
          <c:val>
            <c:numRef>
              <c:f>'[Chart in Microsoft Word]Atļaujas'!$AY$54:$BX$54</c:f>
              <c:numCache>
                <c:formatCode>0.0</c:formatCode>
                <c:ptCount val="26"/>
                <c:pt idx="0">
                  <c:v>13.8</c:v>
                </c:pt>
                <c:pt idx="1">
                  <c:v>13</c:v>
                </c:pt>
                <c:pt idx="2">
                  <c:v>30.2</c:v>
                </c:pt>
                <c:pt idx="3">
                  <c:v>7.7</c:v>
                </c:pt>
                <c:pt idx="4">
                  <c:v>26.7</c:v>
                </c:pt>
                <c:pt idx="5">
                  <c:v>10.199999999999999</c:v>
                </c:pt>
                <c:pt idx="6">
                  <c:v>7.9</c:v>
                </c:pt>
                <c:pt idx="7">
                  <c:v>32.6</c:v>
                </c:pt>
                <c:pt idx="8">
                  <c:v>7.8</c:v>
                </c:pt>
                <c:pt idx="9">
                  <c:v>10.199999999999999</c:v>
                </c:pt>
                <c:pt idx="10">
                  <c:v>27.1</c:v>
                </c:pt>
                <c:pt idx="11">
                  <c:v>24.2</c:v>
                </c:pt>
                <c:pt idx="12">
                  <c:v>16.3</c:v>
                </c:pt>
                <c:pt idx="13">
                  <c:v>78.900000000000006</c:v>
                </c:pt>
                <c:pt idx="14">
                  <c:v>33.200000000000003</c:v>
                </c:pt>
                <c:pt idx="15">
                  <c:v>20.8</c:v>
                </c:pt>
                <c:pt idx="16">
                  <c:v>9.6</c:v>
                </c:pt>
                <c:pt idx="17">
                  <c:v>11.9</c:v>
                </c:pt>
                <c:pt idx="18">
                  <c:v>19</c:v>
                </c:pt>
                <c:pt idx="19">
                  <c:v>42.3</c:v>
                </c:pt>
                <c:pt idx="20">
                  <c:v>12.7</c:v>
                </c:pt>
                <c:pt idx="21">
                  <c:v>33.299999999999997</c:v>
                </c:pt>
                <c:pt idx="22">
                  <c:v>29.5</c:v>
                </c:pt>
                <c:pt idx="23">
                  <c:v>17.7</c:v>
                </c:pt>
                <c:pt idx="24">
                  <c:v>6.5</c:v>
                </c:pt>
                <c:pt idx="25">
                  <c:v>25.6</c:v>
                </c:pt>
              </c:numCache>
            </c:numRef>
          </c:val>
          <c:extLst>
            <c:ext xmlns:c16="http://schemas.microsoft.com/office/drawing/2014/chart" uri="{C3380CC4-5D6E-409C-BE32-E72D297353CC}">
              <c16:uniqueId val="{00000001-20C0-4572-889E-42C8DBA0166E}"/>
            </c:ext>
          </c:extLst>
        </c:ser>
        <c:ser>
          <c:idx val="3"/>
          <c:order val="2"/>
          <c:tx>
            <c:strRef>
              <c:f>'[Chart in Microsoft Word]Atļaujas'!$B$55</c:f>
              <c:strCache>
                <c:ptCount val="1"/>
                <c:pt idx="0">
                  <c:v>Tirdzniecības ēkas</c:v>
                </c:pt>
              </c:strCache>
            </c:strRef>
          </c:tx>
          <c:spPr>
            <a:solidFill>
              <a:schemeClr val="accent4">
                <a:lumMod val="60000"/>
                <a:lumOff val="40000"/>
              </a:schemeClr>
            </a:solidFill>
            <a:ln>
              <a:solidFill>
                <a:schemeClr val="accent4">
                  <a:lumMod val="60000"/>
                  <a:lumOff val="40000"/>
                </a:schemeClr>
              </a:solidFill>
            </a:ln>
            <a:effectLst/>
          </c:spPr>
          <c:invertIfNegative val="0"/>
          <c:cat>
            <c:multiLvlStrRef>
              <c:f>'[Chart in Microsoft Word]Atļaujas'!$AY$47:$BX$48</c:f>
              <c:multiLvlStrCache>
                <c:ptCount val="26"/>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pt idx="19">
                    <c:v>IV</c:v>
                  </c:pt>
                  <c:pt idx="20">
                    <c:v>I</c:v>
                  </c:pt>
                  <c:pt idx="21">
                    <c:v>II</c:v>
                  </c:pt>
                  <c:pt idx="22">
                    <c:v>III</c:v>
                  </c:pt>
                  <c:pt idx="23">
                    <c:v>IV</c:v>
                  </c:pt>
                  <c:pt idx="24">
                    <c:v>I</c:v>
                  </c:pt>
                  <c:pt idx="25">
                    <c:v>II</c:v>
                  </c:pt>
                </c:lvl>
                <c:lvl>
                  <c:pt idx="0">
                    <c:v>2015</c:v>
                  </c:pt>
                  <c:pt idx="4">
                    <c:v>2016</c:v>
                  </c:pt>
                  <c:pt idx="8">
                    <c:v>2017</c:v>
                  </c:pt>
                  <c:pt idx="12">
                    <c:v>2018</c:v>
                  </c:pt>
                  <c:pt idx="16">
                    <c:v>2019</c:v>
                  </c:pt>
                  <c:pt idx="20">
                    <c:v>2020</c:v>
                  </c:pt>
                  <c:pt idx="24">
                    <c:v>2021</c:v>
                  </c:pt>
                </c:lvl>
              </c:multiLvlStrCache>
            </c:multiLvlStrRef>
          </c:cat>
          <c:val>
            <c:numRef>
              <c:f>'[Chart in Microsoft Word]Atļaujas'!$AY$55:$BX$55</c:f>
              <c:numCache>
                <c:formatCode>0.0</c:formatCode>
                <c:ptCount val="26"/>
                <c:pt idx="0">
                  <c:v>18.7</c:v>
                </c:pt>
                <c:pt idx="1">
                  <c:v>26.9</c:v>
                </c:pt>
                <c:pt idx="2">
                  <c:v>22.8</c:v>
                </c:pt>
                <c:pt idx="3">
                  <c:v>16.600000000000001</c:v>
                </c:pt>
                <c:pt idx="4">
                  <c:v>24.3</c:v>
                </c:pt>
                <c:pt idx="5">
                  <c:v>12.1</c:v>
                </c:pt>
                <c:pt idx="6">
                  <c:v>9.4</c:v>
                </c:pt>
                <c:pt idx="7">
                  <c:v>69.2</c:v>
                </c:pt>
                <c:pt idx="8">
                  <c:v>10.199999999999999</c:v>
                </c:pt>
                <c:pt idx="9">
                  <c:v>12.5</c:v>
                </c:pt>
                <c:pt idx="10">
                  <c:v>41</c:v>
                </c:pt>
                <c:pt idx="11">
                  <c:v>71.400000000000006</c:v>
                </c:pt>
                <c:pt idx="12">
                  <c:v>23</c:v>
                </c:pt>
                <c:pt idx="13">
                  <c:v>25.9</c:v>
                </c:pt>
                <c:pt idx="14">
                  <c:v>28.3</c:v>
                </c:pt>
                <c:pt idx="15">
                  <c:v>64.5</c:v>
                </c:pt>
                <c:pt idx="16">
                  <c:v>13.7</c:v>
                </c:pt>
                <c:pt idx="17">
                  <c:v>44.5</c:v>
                </c:pt>
                <c:pt idx="18">
                  <c:v>99.4</c:v>
                </c:pt>
                <c:pt idx="19">
                  <c:v>35.700000000000003</c:v>
                </c:pt>
                <c:pt idx="20">
                  <c:v>22.5</c:v>
                </c:pt>
                <c:pt idx="21">
                  <c:v>8.8000000000000007</c:v>
                </c:pt>
                <c:pt idx="22">
                  <c:v>10.1</c:v>
                </c:pt>
                <c:pt idx="23">
                  <c:v>24.8</c:v>
                </c:pt>
                <c:pt idx="24">
                  <c:v>11.3</c:v>
                </c:pt>
                <c:pt idx="25">
                  <c:v>44.6</c:v>
                </c:pt>
              </c:numCache>
            </c:numRef>
          </c:val>
          <c:extLst>
            <c:ext xmlns:c16="http://schemas.microsoft.com/office/drawing/2014/chart" uri="{C3380CC4-5D6E-409C-BE32-E72D297353CC}">
              <c16:uniqueId val="{00000002-20C0-4572-889E-42C8DBA0166E}"/>
            </c:ext>
          </c:extLst>
        </c:ser>
        <c:ser>
          <c:idx val="5"/>
          <c:order val="3"/>
          <c:tx>
            <c:strRef>
              <c:f>'[Chart in Microsoft Word]Atļaujas'!$B$58</c:f>
              <c:strCache>
                <c:ptCount val="1"/>
                <c:pt idx="0">
                  <c:v>Plašizklaides pasākumu, izglītības, veselības apr. iestāžu ēkas</c:v>
                </c:pt>
              </c:strCache>
            </c:strRef>
          </c:tx>
          <c:spPr>
            <a:pattFill prst="dkUpDiag">
              <a:fgClr>
                <a:schemeClr val="tx1">
                  <a:lumMod val="65000"/>
                  <a:lumOff val="35000"/>
                </a:schemeClr>
              </a:fgClr>
              <a:bgClr>
                <a:schemeClr val="bg1"/>
              </a:bgClr>
            </a:pattFill>
            <a:ln>
              <a:solidFill>
                <a:schemeClr val="tx1">
                  <a:lumMod val="65000"/>
                  <a:lumOff val="35000"/>
                </a:schemeClr>
              </a:solidFill>
            </a:ln>
            <a:effectLst/>
          </c:spPr>
          <c:invertIfNegative val="0"/>
          <c:cat>
            <c:multiLvlStrRef>
              <c:f>'[Chart in Microsoft Word]Atļaujas'!$AY$47:$BX$48</c:f>
              <c:multiLvlStrCache>
                <c:ptCount val="26"/>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pt idx="19">
                    <c:v>IV</c:v>
                  </c:pt>
                  <c:pt idx="20">
                    <c:v>I</c:v>
                  </c:pt>
                  <c:pt idx="21">
                    <c:v>II</c:v>
                  </c:pt>
                  <c:pt idx="22">
                    <c:v>III</c:v>
                  </c:pt>
                  <c:pt idx="23">
                    <c:v>IV</c:v>
                  </c:pt>
                  <c:pt idx="24">
                    <c:v>I</c:v>
                  </c:pt>
                  <c:pt idx="25">
                    <c:v>II</c:v>
                  </c:pt>
                </c:lvl>
                <c:lvl>
                  <c:pt idx="0">
                    <c:v>2015</c:v>
                  </c:pt>
                  <c:pt idx="4">
                    <c:v>2016</c:v>
                  </c:pt>
                  <c:pt idx="8">
                    <c:v>2017</c:v>
                  </c:pt>
                  <c:pt idx="12">
                    <c:v>2018</c:v>
                  </c:pt>
                  <c:pt idx="16">
                    <c:v>2019</c:v>
                  </c:pt>
                  <c:pt idx="20">
                    <c:v>2020</c:v>
                  </c:pt>
                  <c:pt idx="24">
                    <c:v>2021</c:v>
                  </c:pt>
                </c:lvl>
              </c:multiLvlStrCache>
            </c:multiLvlStrRef>
          </c:cat>
          <c:val>
            <c:numRef>
              <c:f>'[Chart in Microsoft Word]Atļaujas'!$AY$58:$BX$58</c:f>
              <c:numCache>
                <c:formatCode>0.0</c:formatCode>
                <c:ptCount val="26"/>
                <c:pt idx="0">
                  <c:v>34.200000000000003</c:v>
                </c:pt>
                <c:pt idx="1">
                  <c:v>25.1</c:v>
                </c:pt>
                <c:pt idx="2">
                  <c:v>49.1</c:v>
                </c:pt>
                <c:pt idx="3">
                  <c:v>25.1</c:v>
                </c:pt>
                <c:pt idx="4">
                  <c:v>32.6</c:v>
                </c:pt>
                <c:pt idx="5">
                  <c:v>47.3</c:v>
                </c:pt>
                <c:pt idx="6">
                  <c:v>11.5</c:v>
                </c:pt>
                <c:pt idx="7">
                  <c:v>13.6</c:v>
                </c:pt>
                <c:pt idx="8">
                  <c:v>26.6</c:v>
                </c:pt>
                <c:pt idx="9">
                  <c:v>30.4</c:v>
                </c:pt>
                <c:pt idx="10">
                  <c:v>58.1</c:v>
                </c:pt>
                <c:pt idx="11">
                  <c:v>21.5</c:v>
                </c:pt>
                <c:pt idx="12">
                  <c:v>22.2</c:v>
                </c:pt>
                <c:pt idx="13">
                  <c:v>57.1</c:v>
                </c:pt>
                <c:pt idx="14">
                  <c:v>36.799999999999997</c:v>
                </c:pt>
                <c:pt idx="15">
                  <c:v>26.1</c:v>
                </c:pt>
                <c:pt idx="16">
                  <c:v>26.6</c:v>
                </c:pt>
                <c:pt idx="17">
                  <c:v>93.5</c:v>
                </c:pt>
                <c:pt idx="18">
                  <c:v>68.5</c:v>
                </c:pt>
                <c:pt idx="19">
                  <c:v>83.3</c:v>
                </c:pt>
                <c:pt idx="20">
                  <c:v>27.9</c:v>
                </c:pt>
                <c:pt idx="21">
                  <c:v>79.400000000000006</c:v>
                </c:pt>
                <c:pt idx="22">
                  <c:v>42.6</c:v>
                </c:pt>
                <c:pt idx="23">
                  <c:v>103.6</c:v>
                </c:pt>
                <c:pt idx="24">
                  <c:v>32.799999999999997</c:v>
                </c:pt>
                <c:pt idx="25">
                  <c:v>89.1</c:v>
                </c:pt>
              </c:numCache>
            </c:numRef>
          </c:val>
          <c:extLst>
            <c:ext xmlns:c16="http://schemas.microsoft.com/office/drawing/2014/chart" uri="{C3380CC4-5D6E-409C-BE32-E72D297353CC}">
              <c16:uniqueId val="{00000003-20C0-4572-889E-42C8DBA0166E}"/>
            </c:ext>
          </c:extLst>
        </c:ser>
        <c:ser>
          <c:idx val="4"/>
          <c:order val="4"/>
          <c:tx>
            <c:strRef>
              <c:f>'[Chart in Microsoft Word]Atļaujas'!$B$57</c:f>
              <c:strCache>
                <c:ptCount val="1"/>
                <c:pt idx="0">
                  <c:v>Rūpnieciskās ražošanas ēkas un noliktavas</c:v>
                </c:pt>
              </c:strCache>
            </c:strRef>
          </c:tx>
          <c:spPr>
            <a:solidFill>
              <a:srgbClr val="00B050"/>
            </a:solidFill>
            <a:ln>
              <a:solidFill>
                <a:srgbClr val="00B050"/>
              </a:solidFill>
            </a:ln>
            <a:effectLst/>
          </c:spPr>
          <c:invertIfNegative val="0"/>
          <c:cat>
            <c:multiLvlStrRef>
              <c:f>'[Chart in Microsoft Word]Atļaujas'!$AY$47:$BX$48</c:f>
              <c:multiLvlStrCache>
                <c:ptCount val="26"/>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pt idx="19">
                    <c:v>IV</c:v>
                  </c:pt>
                  <c:pt idx="20">
                    <c:v>I</c:v>
                  </c:pt>
                  <c:pt idx="21">
                    <c:v>II</c:v>
                  </c:pt>
                  <c:pt idx="22">
                    <c:v>III</c:v>
                  </c:pt>
                  <c:pt idx="23">
                    <c:v>IV</c:v>
                  </c:pt>
                  <c:pt idx="24">
                    <c:v>I</c:v>
                  </c:pt>
                  <c:pt idx="25">
                    <c:v>II</c:v>
                  </c:pt>
                </c:lvl>
                <c:lvl>
                  <c:pt idx="0">
                    <c:v>2015</c:v>
                  </c:pt>
                  <c:pt idx="4">
                    <c:v>2016</c:v>
                  </c:pt>
                  <c:pt idx="8">
                    <c:v>2017</c:v>
                  </c:pt>
                  <c:pt idx="12">
                    <c:v>2018</c:v>
                  </c:pt>
                  <c:pt idx="16">
                    <c:v>2019</c:v>
                  </c:pt>
                  <c:pt idx="20">
                    <c:v>2020</c:v>
                  </c:pt>
                  <c:pt idx="24">
                    <c:v>2021</c:v>
                  </c:pt>
                </c:lvl>
              </c:multiLvlStrCache>
            </c:multiLvlStrRef>
          </c:cat>
          <c:val>
            <c:numRef>
              <c:f>'[Chart in Microsoft Word]Atļaujas'!$AY$57:$BX$57</c:f>
              <c:numCache>
                <c:formatCode>0.0</c:formatCode>
                <c:ptCount val="26"/>
                <c:pt idx="0">
                  <c:v>85.4</c:v>
                </c:pt>
                <c:pt idx="1">
                  <c:v>75.3</c:v>
                </c:pt>
                <c:pt idx="2">
                  <c:v>223.4</c:v>
                </c:pt>
                <c:pt idx="3">
                  <c:v>83.9</c:v>
                </c:pt>
                <c:pt idx="4">
                  <c:v>61.1</c:v>
                </c:pt>
                <c:pt idx="5">
                  <c:v>61.2</c:v>
                </c:pt>
                <c:pt idx="6">
                  <c:v>131.80000000000001</c:v>
                </c:pt>
                <c:pt idx="7">
                  <c:v>39.6</c:v>
                </c:pt>
                <c:pt idx="8">
                  <c:v>53.4</c:v>
                </c:pt>
                <c:pt idx="9">
                  <c:v>39.5</c:v>
                </c:pt>
                <c:pt idx="10">
                  <c:v>169</c:v>
                </c:pt>
                <c:pt idx="11">
                  <c:v>74</c:v>
                </c:pt>
                <c:pt idx="12">
                  <c:v>55.1</c:v>
                </c:pt>
                <c:pt idx="13">
                  <c:v>115.2</c:v>
                </c:pt>
                <c:pt idx="14">
                  <c:v>93.8</c:v>
                </c:pt>
                <c:pt idx="15">
                  <c:v>114.3</c:v>
                </c:pt>
                <c:pt idx="16">
                  <c:v>203.9</c:v>
                </c:pt>
                <c:pt idx="17">
                  <c:v>134</c:v>
                </c:pt>
                <c:pt idx="18">
                  <c:v>110.4</c:v>
                </c:pt>
                <c:pt idx="19">
                  <c:v>283.10000000000002</c:v>
                </c:pt>
                <c:pt idx="20">
                  <c:v>138.1</c:v>
                </c:pt>
                <c:pt idx="21">
                  <c:v>82</c:v>
                </c:pt>
                <c:pt idx="22">
                  <c:v>61.3</c:v>
                </c:pt>
                <c:pt idx="23">
                  <c:v>201</c:v>
                </c:pt>
                <c:pt idx="24">
                  <c:v>95.9</c:v>
                </c:pt>
                <c:pt idx="25">
                  <c:v>171.7</c:v>
                </c:pt>
              </c:numCache>
            </c:numRef>
          </c:val>
          <c:extLst>
            <c:ext xmlns:c16="http://schemas.microsoft.com/office/drawing/2014/chart" uri="{C3380CC4-5D6E-409C-BE32-E72D297353CC}">
              <c16:uniqueId val="{00000004-20C0-4572-889E-42C8DBA0166E}"/>
            </c:ext>
          </c:extLst>
        </c:ser>
        <c:ser>
          <c:idx val="7"/>
          <c:order val="5"/>
          <c:tx>
            <c:strRef>
              <c:f>'[Chart in Microsoft Word]Atļaujas'!$B$53</c:f>
              <c:strCache>
                <c:ptCount val="1"/>
                <c:pt idx="0">
                  <c:v>Viesnīcas un tām līdzīga lietojuma ēkas</c:v>
                </c:pt>
              </c:strCache>
            </c:strRef>
          </c:tx>
          <c:spPr>
            <a:solidFill>
              <a:schemeClr val="accent2">
                <a:lumMod val="75000"/>
              </a:schemeClr>
            </a:solidFill>
            <a:ln>
              <a:solidFill>
                <a:schemeClr val="accent2">
                  <a:lumMod val="75000"/>
                </a:schemeClr>
              </a:solidFill>
            </a:ln>
            <a:effectLst/>
          </c:spPr>
          <c:invertIfNegative val="0"/>
          <c:cat>
            <c:multiLvlStrRef>
              <c:f>'[Chart in Microsoft Word]Atļaujas'!$AY$47:$BX$48</c:f>
              <c:multiLvlStrCache>
                <c:ptCount val="26"/>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pt idx="19">
                    <c:v>IV</c:v>
                  </c:pt>
                  <c:pt idx="20">
                    <c:v>I</c:v>
                  </c:pt>
                  <c:pt idx="21">
                    <c:v>II</c:v>
                  </c:pt>
                  <c:pt idx="22">
                    <c:v>III</c:v>
                  </c:pt>
                  <c:pt idx="23">
                    <c:v>IV</c:v>
                  </c:pt>
                  <c:pt idx="24">
                    <c:v>I</c:v>
                  </c:pt>
                  <c:pt idx="25">
                    <c:v>II</c:v>
                  </c:pt>
                </c:lvl>
                <c:lvl>
                  <c:pt idx="0">
                    <c:v>2015</c:v>
                  </c:pt>
                  <c:pt idx="4">
                    <c:v>2016</c:v>
                  </c:pt>
                  <c:pt idx="8">
                    <c:v>2017</c:v>
                  </c:pt>
                  <c:pt idx="12">
                    <c:v>2018</c:v>
                  </c:pt>
                  <c:pt idx="16">
                    <c:v>2019</c:v>
                  </c:pt>
                  <c:pt idx="20">
                    <c:v>2020</c:v>
                  </c:pt>
                  <c:pt idx="24">
                    <c:v>2021</c:v>
                  </c:pt>
                </c:lvl>
              </c:multiLvlStrCache>
            </c:multiLvlStrRef>
          </c:cat>
          <c:val>
            <c:numRef>
              <c:f>'[Chart in Microsoft Word]Atļaujas'!$AY$53:$BX$53</c:f>
              <c:numCache>
                <c:formatCode>0.0</c:formatCode>
                <c:ptCount val="26"/>
                <c:pt idx="0">
                  <c:v>15.3</c:v>
                </c:pt>
                <c:pt idx="1">
                  <c:v>25</c:v>
                </c:pt>
                <c:pt idx="2">
                  <c:v>14.4</c:v>
                </c:pt>
                <c:pt idx="3">
                  <c:v>14.8</c:v>
                </c:pt>
                <c:pt idx="4">
                  <c:v>5.9</c:v>
                </c:pt>
                <c:pt idx="5">
                  <c:v>6.8</c:v>
                </c:pt>
                <c:pt idx="6">
                  <c:v>10.7</c:v>
                </c:pt>
                <c:pt idx="7">
                  <c:v>11.3</c:v>
                </c:pt>
                <c:pt idx="8">
                  <c:v>11.2</c:v>
                </c:pt>
                <c:pt idx="9">
                  <c:v>7</c:v>
                </c:pt>
                <c:pt idx="10">
                  <c:v>7.6</c:v>
                </c:pt>
                <c:pt idx="11">
                  <c:v>20.6</c:v>
                </c:pt>
                <c:pt idx="12">
                  <c:v>6.5</c:v>
                </c:pt>
                <c:pt idx="13">
                  <c:v>13.2</c:v>
                </c:pt>
                <c:pt idx="14">
                  <c:v>6.4</c:v>
                </c:pt>
                <c:pt idx="15">
                  <c:v>2.7</c:v>
                </c:pt>
                <c:pt idx="16">
                  <c:v>20.2</c:v>
                </c:pt>
                <c:pt idx="17">
                  <c:v>12.9</c:v>
                </c:pt>
                <c:pt idx="18">
                  <c:v>5.9</c:v>
                </c:pt>
                <c:pt idx="19">
                  <c:v>24.6</c:v>
                </c:pt>
                <c:pt idx="20">
                  <c:v>14.4</c:v>
                </c:pt>
                <c:pt idx="21">
                  <c:v>17</c:v>
                </c:pt>
                <c:pt idx="22">
                  <c:v>33.299999999999997</c:v>
                </c:pt>
                <c:pt idx="23">
                  <c:v>14.1</c:v>
                </c:pt>
                <c:pt idx="24">
                  <c:v>23.6</c:v>
                </c:pt>
                <c:pt idx="25">
                  <c:v>7.3</c:v>
                </c:pt>
              </c:numCache>
            </c:numRef>
          </c:val>
          <c:extLst>
            <c:ext xmlns:c16="http://schemas.microsoft.com/office/drawing/2014/chart" uri="{C3380CC4-5D6E-409C-BE32-E72D297353CC}">
              <c16:uniqueId val="{00000005-20C0-4572-889E-42C8DBA0166E}"/>
            </c:ext>
          </c:extLst>
        </c:ser>
        <c:ser>
          <c:idx val="1"/>
          <c:order val="6"/>
          <c:tx>
            <c:strRef>
              <c:f>'[Chart in Microsoft Word]Atļaujas'!$B$51</c:f>
              <c:strCache>
                <c:ptCount val="1"/>
                <c:pt idx="0">
                  <c:v>Divu vai vairāku dzīvokļu mājas</c:v>
                </c:pt>
              </c:strCache>
            </c:strRef>
          </c:tx>
          <c:spPr>
            <a:solidFill>
              <a:schemeClr val="tx1">
                <a:lumMod val="50000"/>
                <a:lumOff val="50000"/>
              </a:schemeClr>
            </a:solidFill>
            <a:ln>
              <a:solidFill>
                <a:schemeClr val="tx1">
                  <a:lumMod val="50000"/>
                  <a:lumOff val="50000"/>
                </a:schemeClr>
              </a:solidFill>
            </a:ln>
            <a:effectLst/>
          </c:spPr>
          <c:invertIfNegative val="0"/>
          <c:cat>
            <c:multiLvlStrRef>
              <c:f>'[Chart in Microsoft Word]Atļaujas'!$AY$47:$BX$48</c:f>
              <c:multiLvlStrCache>
                <c:ptCount val="26"/>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pt idx="19">
                    <c:v>IV</c:v>
                  </c:pt>
                  <c:pt idx="20">
                    <c:v>I</c:v>
                  </c:pt>
                  <c:pt idx="21">
                    <c:v>II</c:v>
                  </c:pt>
                  <c:pt idx="22">
                    <c:v>III</c:v>
                  </c:pt>
                  <c:pt idx="23">
                    <c:v>IV</c:v>
                  </c:pt>
                  <c:pt idx="24">
                    <c:v>I</c:v>
                  </c:pt>
                  <c:pt idx="25">
                    <c:v>II</c:v>
                  </c:pt>
                </c:lvl>
                <c:lvl>
                  <c:pt idx="0">
                    <c:v>2015</c:v>
                  </c:pt>
                  <c:pt idx="4">
                    <c:v>2016</c:v>
                  </c:pt>
                  <c:pt idx="8">
                    <c:v>2017</c:v>
                  </c:pt>
                  <c:pt idx="12">
                    <c:v>2018</c:v>
                  </c:pt>
                  <c:pt idx="16">
                    <c:v>2019</c:v>
                  </c:pt>
                  <c:pt idx="20">
                    <c:v>2020</c:v>
                  </c:pt>
                  <c:pt idx="24">
                    <c:v>2021</c:v>
                  </c:pt>
                </c:lvl>
              </c:multiLvlStrCache>
            </c:multiLvlStrRef>
          </c:cat>
          <c:val>
            <c:numRef>
              <c:f>'[Chart in Microsoft Word]Atļaujas'!$AY$51:$BX$51</c:f>
              <c:numCache>
                <c:formatCode>0.0</c:formatCode>
                <c:ptCount val="26"/>
                <c:pt idx="0">
                  <c:v>9.4</c:v>
                </c:pt>
                <c:pt idx="1">
                  <c:v>36.799999999999997</c:v>
                </c:pt>
                <c:pt idx="2">
                  <c:v>41.2</c:v>
                </c:pt>
                <c:pt idx="3">
                  <c:v>17.2</c:v>
                </c:pt>
                <c:pt idx="4">
                  <c:v>18.5</c:v>
                </c:pt>
                <c:pt idx="5">
                  <c:v>17.2</c:v>
                </c:pt>
                <c:pt idx="6">
                  <c:v>67.5</c:v>
                </c:pt>
                <c:pt idx="7">
                  <c:v>52.2</c:v>
                </c:pt>
                <c:pt idx="8">
                  <c:v>33.6</c:v>
                </c:pt>
                <c:pt idx="9">
                  <c:v>46</c:v>
                </c:pt>
                <c:pt idx="10">
                  <c:v>44.8</c:v>
                </c:pt>
                <c:pt idx="11">
                  <c:v>58.1</c:v>
                </c:pt>
                <c:pt idx="12">
                  <c:v>69.5</c:v>
                </c:pt>
                <c:pt idx="13">
                  <c:v>53.1</c:v>
                </c:pt>
                <c:pt idx="14">
                  <c:v>71.7</c:v>
                </c:pt>
                <c:pt idx="15">
                  <c:v>76.8</c:v>
                </c:pt>
                <c:pt idx="16">
                  <c:v>60.4</c:v>
                </c:pt>
                <c:pt idx="17">
                  <c:v>39.799999999999997</c:v>
                </c:pt>
                <c:pt idx="18">
                  <c:v>39</c:v>
                </c:pt>
                <c:pt idx="19">
                  <c:v>92.8</c:v>
                </c:pt>
                <c:pt idx="20">
                  <c:v>59.8</c:v>
                </c:pt>
                <c:pt idx="21">
                  <c:v>63.3</c:v>
                </c:pt>
                <c:pt idx="22">
                  <c:v>63.6</c:v>
                </c:pt>
                <c:pt idx="23">
                  <c:v>73.400000000000006</c:v>
                </c:pt>
                <c:pt idx="24">
                  <c:v>45.3</c:v>
                </c:pt>
                <c:pt idx="25">
                  <c:v>60.3</c:v>
                </c:pt>
              </c:numCache>
            </c:numRef>
          </c:val>
          <c:extLst>
            <c:ext xmlns:c16="http://schemas.microsoft.com/office/drawing/2014/chart" uri="{C3380CC4-5D6E-409C-BE32-E72D297353CC}">
              <c16:uniqueId val="{00000006-20C0-4572-889E-42C8DBA0166E}"/>
            </c:ext>
          </c:extLst>
        </c:ser>
        <c:ser>
          <c:idx val="0"/>
          <c:order val="7"/>
          <c:tx>
            <c:strRef>
              <c:f>'[Chart in Microsoft Word]Atļaujas'!$B$49</c:f>
              <c:strCache>
                <c:ptCount val="1"/>
                <c:pt idx="0">
                  <c:v>Viena dzīvokļa mājas</c:v>
                </c:pt>
              </c:strCache>
            </c:strRef>
          </c:tx>
          <c:spPr>
            <a:pattFill prst="dkUpDiag">
              <a:fgClr>
                <a:schemeClr val="accent6"/>
              </a:fgClr>
              <a:bgClr>
                <a:schemeClr val="bg1"/>
              </a:bgClr>
            </a:pattFill>
            <a:ln>
              <a:solidFill>
                <a:schemeClr val="accent6"/>
              </a:solidFill>
            </a:ln>
            <a:effectLst/>
          </c:spPr>
          <c:invertIfNegative val="0"/>
          <c:cat>
            <c:multiLvlStrRef>
              <c:f>'[Chart in Microsoft Word]Atļaujas'!$AY$47:$BX$48</c:f>
              <c:multiLvlStrCache>
                <c:ptCount val="26"/>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pt idx="19">
                    <c:v>IV</c:v>
                  </c:pt>
                  <c:pt idx="20">
                    <c:v>I</c:v>
                  </c:pt>
                  <c:pt idx="21">
                    <c:v>II</c:v>
                  </c:pt>
                  <c:pt idx="22">
                    <c:v>III</c:v>
                  </c:pt>
                  <c:pt idx="23">
                    <c:v>IV</c:v>
                  </c:pt>
                  <c:pt idx="24">
                    <c:v>I</c:v>
                  </c:pt>
                  <c:pt idx="25">
                    <c:v>II</c:v>
                  </c:pt>
                </c:lvl>
                <c:lvl>
                  <c:pt idx="0">
                    <c:v>2015</c:v>
                  </c:pt>
                  <c:pt idx="4">
                    <c:v>2016</c:v>
                  </c:pt>
                  <c:pt idx="8">
                    <c:v>2017</c:v>
                  </c:pt>
                  <c:pt idx="12">
                    <c:v>2018</c:v>
                  </c:pt>
                  <c:pt idx="16">
                    <c:v>2019</c:v>
                  </c:pt>
                  <c:pt idx="20">
                    <c:v>2020</c:v>
                  </c:pt>
                  <c:pt idx="24">
                    <c:v>2021</c:v>
                  </c:pt>
                </c:lvl>
              </c:multiLvlStrCache>
            </c:multiLvlStrRef>
          </c:cat>
          <c:val>
            <c:numRef>
              <c:f>'[Chart in Microsoft Word]Atļaujas'!$AY$49:$BX$49</c:f>
              <c:numCache>
                <c:formatCode>0.0</c:formatCode>
                <c:ptCount val="26"/>
                <c:pt idx="0">
                  <c:v>74.5</c:v>
                </c:pt>
                <c:pt idx="1">
                  <c:v>120.2</c:v>
                </c:pt>
                <c:pt idx="2">
                  <c:v>120.4</c:v>
                </c:pt>
                <c:pt idx="3">
                  <c:v>87.4</c:v>
                </c:pt>
                <c:pt idx="4">
                  <c:v>70.7</c:v>
                </c:pt>
                <c:pt idx="5">
                  <c:v>93.4</c:v>
                </c:pt>
                <c:pt idx="6">
                  <c:v>114.3</c:v>
                </c:pt>
                <c:pt idx="7">
                  <c:v>80.8</c:v>
                </c:pt>
                <c:pt idx="8">
                  <c:v>108.7</c:v>
                </c:pt>
                <c:pt idx="9">
                  <c:v>119.3</c:v>
                </c:pt>
                <c:pt idx="10">
                  <c:v>179.7</c:v>
                </c:pt>
                <c:pt idx="11">
                  <c:v>123.2</c:v>
                </c:pt>
                <c:pt idx="12">
                  <c:v>98.4</c:v>
                </c:pt>
                <c:pt idx="13">
                  <c:v>157.6</c:v>
                </c:pt>
                <c:pt idx="14">
                  <c:v>163.80000000000001</c:v>
                </c:pt>
                <c:pt idx="15">
                  <c:v>119</c:v>
                </c:pt>
                <c:pt idx="16">
                  <c:v>102.9</c:v>
                </c:pt>
                <c:pt idx="17">
                  <c:v>164.8</c:v>
                </c:pt>
                <c:pt idx="18">
                  <c:v>159.80000000000001</c:v>
                </c:pt>
                <c:pt idx="19">
                  <c:v>127.6</c:v>
                </c:pt>
                <c:pt idx="20">
                  <c:v>129.69999999999999</c:v>
                </c:pt>
                <c:pt idx="21">
                  <c:v>112.5</c:v>
                </c:pt>
                <c:pt idx="22">
                  <c:v>157.9</c:v>
                </c:pt>
                <c:pt idx="23">
                  <c:v>127.7</c:v>
                </c:pt>
                <c:pt idx="24">
                  <c:v>112.4</c:v>
                </c:pt>
                <c:pt idx="25">
                  <c:v>166.4</c:v>
                </c:pt>
              </c:numCache>
            </c:numRef>
          </c:val>
          <c:extLst>
            <c:ext xmlns:c16="http://schemas.microsoft.com/office/drawing/2014/chart" uri="{C3380CC4-5D6E-409C-BE32-E72D297353CC}">
              <c16:uniqueId val="{00000007-20C0-4572-889E-42C8DBA0166E}"/>
            </c:ext>
          </c:extLst>
        </c:ser>
        <c:dLbls>
          <c:showLegendKey val="0"/>
          <c:showVal val="0"/>
          <c:showCatName val="0"/>
          <c:showSerName val="0"/>
          <c:showPercent val="0"/>
          <c:showBubbleSize val="0"/>
        </c:dLbls>
        <c:gapWidth val="50"/>
        <c:overlap val="100"/>
        <c:axId val="281642072"/>
        <c:axId val="281639120"/>
      </c:barChart>
      <c:catAx>
        <c:axId val="28164207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v-LV"/>
          </a:p>
        </c:txPr>
        <c:crossAx val="281639120"/>
        <c:crosses val="autoZero"/>
        <c:auto val="1"/>
        <c:lblAlgn val="ctr"/>
        <c:lblOffset val="100"/>
        <c:noMultiLvlLbl val="0"/>
      </c:catAx>
      <c:valAx>
        <c:axId val="281639120"/>
        <c:scaling>
          <c:orientation val="minMax"/>
          <c:max val="850"/>
          <c:min val="0"/>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v-LV"/>
          </a:p>
        </c:txPr>
        <c:crossAx val="281642072"/>
        <c:crosses val="autoZero"/>
        <c:crossBetween val="between"/>
      </c:valAx>
      <c:spPr>
        <a:noFill/>
        <a:ln>
          <a:noFill/>
        </a:ln>
        <a:effectLst/>
      </c:spPr>
    </c:plotArea>
    <c:legend>
      <c:legendPos val="b"/>
      <c:layout>
        <c:manualLayout>
          <c:xMode val="edge"/>
          <c:yMode val="edge"/>
          <c:x val="0"/>
          <c:y val="0.81677361889186795"/>
          <c:w val="1"/>
          <c:h val="0.18322638110813202"/>
        </c:manualLayout>
      </c:layout>
      <c:overlay val="0"/>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v-LV"/>
        </a:p>
      </c:txPr>
    </c:legend>
    <c:plotVisOnly val="1"/>
    <c:dispBlanksAs val="gap"/>
    <c:showDLblsOverMax val="0"/>
  </c:chart>
  <c:spPr>
    <a:solidFill>
      <a:schemeClr val="bg1"/>
    </a:solidFill>
    <a:ln w="9525" cap="flat" cmpd="sng" algn="ctr">
      <a:noFill/>
      <a:round/>
    </a:ln>
    <a:effectLst/>
  </c:spPr>
  <c:txPr>
    <a:bodyPr/>
    <a:lstStyle/>
    <a:p>
      <a:pPr>
        <a:defRPr sz="900">
          <a:latin typeface="Times New Roman" panose="02020603050405020304" pitchFamily="18" charset="0"/>
          <a:cs typeface="Times New Roman" panose="02020603050405020304" pitchFamily="18" charset="0"/>
        </a:defRPr>
      </a:pPr>
      <a:endParaRPr lang="lv-LV"/>
    </a:p>
  </c:txPr>
  <c:externalData r:id="rId4">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Sheet1!$A$7</c:f>
              <c:strCache>
                <c:ptCount val="1"/>
                <c:pt idx="0">
                  <c:v>Nerezidenti</c:v>
                </c:pt>
              </c:strCache>
            </c:strRef>
          </c:tx>
          <c:spPr>
            <a:ln w="28575" cap="rnd">
              <a:solidFill>
                <a:schemeClr val="accent1"/>
              </a:solidFill>
              <a:round/>
            </a:ln>
            <a:effectLst/>
          </c:spPr>
          <c:marker>
            <c:symbol val="none"/>
          </c:marker>
          <c:cat>
            <c:numRef>
              <c:f>Sheet1!$B$6:$CC$6</c:f>
              <c:numCache>
                <c:formatCode>mmm\-yy</c:formatCode>
                <c:ptCount val="79"/>
                <c:pt idx="0">
                  <c:v>42005</c:v>
                </c:pt>
                <c:pt idx="1">
                  <c:v>42036</c:v>
                </c:pt>
                <c:pt idx="2">
                  <c:v>42064</c:v>
                </c:pt>
                <c:pt idx="3">
                  <c:v>42095</c:v>
                </c:pt>
                <c:pt idx="4">
                  <c:v>42125</c:v>
                </c:pt>
                <c:pt idx="5">
                  <c:v>42156</c:v>
                </c:pt>
                <c:pt idx="6">
                  <c:v>42186</c:v>
                </c:pt>
                <c:pt idx="7">
                  <c:v>42217</c:v>
                </c:pt>
                <c:pt idx="8">
                  <c:v>42248</c:v>
                </c:pt>
                <c:pt idx="9">
                  <c:v>42278</c:v>
                </c:pt>
                <c:pt idx="10">
                  <c:v>42309</c:v>
                </c:pt>
                <c:pt idx="11">
                  <c:v>42339</c:v>
                </c:pt>
                <c:pt idx="12">
                  <c:v>42370</c:v>
                </c:pt>
                <c:pt idx="13">
                  <c:v>42401</c:v>
                </c:pt>
                <c:pt idx="14">
                  <c:v>42430</c:v>
                </c:pt>
                <c:pt idx="15">
                  <c:v>42461</c:v>
                </c:pt>
                <c:pt idx="16">
                  <c:v>42491</c:v>
                </c:pt>
                <c:pt idx="17">
                  <c:v>42522</c:v>
                </c:pt>
                <c:pt idx="18">
                  <c:v>42552</c:v>
                </c:pt>
                <c:pt idx="19">
                  <c:v>42583</c:v>
                </c:pt>
                <c:pt idx="20">
                  <c:v>42614</c:v>
                </c:pt>
                <c:pt idx="21">
                  <c:v>42644</c:v>
                </c:pt>
                <c:pt idx="22">
                  <c:v>42675</c:v>
                </c:pt>
                <c:pt idx="23">
                  <c:v>42705</c:v>
                </c:pt>
                <c:pt idx="24">
                  <c:v>42736</c:v>
                </c:pt>
                <c:pt idx="25">
                  <c:v>42767</c:v>
                </c:pt>
                <c:pt idx="26">
                  <c:v>42795</c:v>
                </c:pt>
                <c:pt idx="27">
                  <c:v>42826</c:v>
                </c:pt>
                <c:pt idx="28">
                  <c:v>42856</c:v>
                </c:pt>
                <c:pt idx="29">
                  <c:v>42887</c:v>
                </c:pt>
                <c:pt idx="30">
                  <c:v>42917</c:v>
                </c:pt>
                <c:pt idx="31">
                  <c:v>42948</c:v>
                </c:pt>
                <c:pt idx="32">
                  <c:v>42979</c:v>
                </c:pt>
                <c:pt idx="33">
                  <c:v>43009</c:v>
                </c:pt>
                <c:pt idx="34">
                  <c:v>43040</c:v>
                </c:pt>
                <c:pt idx="35">
                  <c:v>43070</c:v>
                </c:pt>
                <c:pt idx="36">
                  <c:v>43101</c:v>
                </c:pt>
                <c:pt idx="37">
                  <c:v>43132</c:v>
                </c:pt>
                <c:pt idx="38">
                  <c:v>43160</c:v>
                </c:pt>
                <c:pt idx="39">
                  <c:v>43191</c:v>
                </c:pt>
                <c:pt idx="40">
                  <c:v>43221</c:v>
                </c:pt>
                <c:pt idx="41">
                  <c:v>43252</c:v>
                </c:pt>
                <c:pt idx="42">
                  <c:v>43282</c:v>
                </c:pt>
                <c:pt idx="43">
                  <c:v>43313</c:v>
                </c:pt>
                <c:pt idx="44">
                  <c:v>43344</c:v>
                </c:pt>
                <c:pt idx="45">
                  <c:v>43374</c:v>
                </c:pt>
                <c:pt idx="46">
                  <c:v>43405</c:v>
                </c:pt>
                <c:pt idx="47">
                  <c:v>43435</c:v>
                </c:pt>
                <c:pt idx="48">
                  <c:v>43466</c:v>
                </c:pt>
                <c:pt idx="49">
                  <c:v>43497</c:v>
                </c:pt>
                <c:pt idx="50">
                  <c:v>43525</c:v>
                </c:pt>
                <c:pt idx="51">
                  <c:v>43556</c:v>
                </c:pt>
                <c:pt idx="52">
                  <c:v>43586</c:v>
                </c:pt>
                <c:pt idx="53">
                  <c:v>43617</c:v>
                </c:pt>
                <c:pt idx="54">
                  <c:v>43647</c:v>
                </c:pt>
                <c:pt idx="55">
                  <c:v>43678</c:v>
                </c:pt>
                <c:pt idx="56">
                  <c:v>43709</c:v>
                </c:pt>
                <c:pt idx="57">
                  <c:v>43739</c:v>
                </c:pt>
                <c:pt idx="58">
                  <c:v>43770</c:v>
                </c:pt>
                <c:pt idx="59">
                  <c:v>43800</c:v>
                </c:pt>
                <c:pt idx="60">
                  <c:v>43831</c:v>
                </c:pt>
                <c:pt idx="61">
                  <c:v>43862</c:v>
                </c:pt>
                <c:pt idx="62">
                  <c:v>43891</c:v>
                </c:pt>
                <c:pt idx="63">
                  <c:v>43922</c:v>
                </c:pt>
                <c:pt idx="64">
                  <c:v>43952</c:v>
                </c:pt>
                <c:pt idx="65">
                  <c:v>43983</c:v>
                </c:pt>
                <c:pt idx="66">
                  <c:v>44013</c:v>
                </c:pt>
                <c:pt idx="67">
                  <c:v>44044</c:v>
                </c:pt>
                <c:pt idx="68">
                  <c:v>44075</c:v>
                </c:pt>
                <c:pt idx="69">
                  <c:v>44105</c:v>
                </c:pt>
                <c:pt idx="70">
                  <c:v>44136</c:v>
                </c:pt>
                <c:pt idx="71">
                  <c:v>44166</c:v>
                </c:pt>
                <c:pt idx="72">
                  <c:v>44197</c:v>
                </c:pt>
                <c:pt idx="73">
                  <c:v>44228</c:v>
                </c:pt>
                <c:pt idx="74">
                  <c:v>44256</c:v>
                </c:pt>
                <c:pt idx="75">
                  <c:v>44287</c:v>
                </c:pt>
                <c:pt idx="76">
                  <c:v>44317</c:v>
                </c:pt>
                <c:pt idx="77">
                  <c:v>44348</c:v>
                </c:pt>
                <c:pt idx="78">
                  <c:v>44378</c:v>
                </c:pt>
              </c:numCache>
            </c:numRef>
          </c:cat>
          <c:val>
            <c:numRef>
              <c:f>Sheet1!$B$7:$CC$7</c:f>
              <c:numCache>
                <c:formatCode>0.00</c:formatCode>
                <c:ptCount val="79"/>
                <c:pt idx="0">
                  <c:v>11719.700000000003</c:v>
                </c:pt>
                <c:pt idx="1">
                  <c:v>11862.800000000005</c:v>
                </c:pt>
                <c:pt idx="2">
                  <c:v>11987.199999999999</c:v>
                </c:pt>
                <c:pt idx="3">
                  <c:v>11903.599999999999</c:v>
                </c:pt>
                <c:pt idx="4">
                  <c:v>12074.2</c:v>
                </c:pt>
                <c:pt idx="5">
                  <c:v>11740.9</c:v>
                </c:pt>
                <c:pt idx="6">
                  <c:v>11908.699999999999</c:v>
                </c:pt>
                <c:pt idx="7">
                  <c:v>11749.199999999999</c:v>
                </c:pt>
                <c:pt idx="8">
                  <c:v>11676.800000000005</c:v>
                </c:pt>
                <c:pt idx="9">
                  <c:v>11835.300000000001</c:v>
                </c:pt>
                <c:pt idx="10">
                  <c:v>12403.699999999997</c:v>
                </c:pt>
                <c:pt idx="11">
                  <c:v>12078.099999999999</c:v>
                </c:pt>
                <c:pt idx="12">
                  <c:v>11899.100000000004</c:v>
                </c:pt>
                <c:pt idx="13">
                  <c:v>11712.3</c:v>
                </c:pt>
                <c:pt idx="14">
                  <c:v>10977.100000000002</c:v>
                </c:pt>
                <c:pt idx="15">
                  <c:v>10595.599999999997</c:v>
                </c:pt>
                <c:pt idx="16">
                  <c:v>10315.6</c:v>
                </c:pt>
                <c:pt idx="17">
                  <c:v>10348.500000000002</c:v>
                </c:pt>
                <c:pt idx="18">
                  <c:v>10010.099999999999</c:v>
                </c:pt>
                <c:pt idx="19">
                  <c:v>9767.5</c:v>
                </c:pt>
                <c:pt idx="20">
                  <c:v>9461.7000000000007</c:v>
                </c:pt>
                <c:pt idx="21">
                  <c:v>9537.4</c:v>
                </c:pt>
                <c:pt idx="22">
                  <c:v>9505.2999999999975</c:v>
                </c:pt>
                <c:pt idx="23">
                  <c:v>8877.9000000000015</c:v>
                </c:pt>
                <c:pt idx="24">
                  <c:v>8803.6</c:v>
                </c:pt>
                <c:pt idx="25">
                  <c:v>8781.6999999999989</c:v>
                </c:pt>
                <c:pt idx="26">
                  <c:v>8704.4000000000015</c:v>
                </c:pt>
                <c:pt idx="27">
                  <c:v>8588.7000000000007</c:v>
                </c:pt>
                <c:pt idx="28">
                  <c:v>8368.6</c:v>
                </c:pt>
                <c:pt idx="29">
                  <c:v>8091.9</c:v>
                </c:pt>
                <c:pt idx="30">
                  <c:v>7861</c:v>
                </c:pt>
                <c:pt idx="31">
                  <c:v>7988.4</c:v>
                </c:pt>
                <c:pt idx="32">
                  <c:v>7659.4999999999973</c:v>
                </c:pt>
                <c:pt idx="33">
                  <c:v>7756.2999999999956</c:v>
                </c:pt>
                <c:pt idx="34">
                  <c:v>7752.5000000000009</c:v>
                </c:pt>
                <c:pt idx="35">
                  <c:v>7866.8999999999978</c:v>
                </c:pt>
                <c:pt idx="36">
                  <c:v>7899</c:v>
                </c:pt>
                <c:pt idx="37">
                  <c:v>6724.3000000000011</c:v>
                </c:pt>
                <c:pt idx="38">
                  <c:v>5659.2000000000007</c:v>
                </c:pt>
                <c:pt idx="39">
                  <c:v>5266.3999999999978</c:v>
                </c:pt>
                <c:pt idx="40">
                  <c:v>4990.5</c:v>
                </c:pt>
                <c:pt idx="41">
                  <c:v>4879.5</c:v>
                </c:pt>
                <c:pt idx="42">
                  <c:v>3134.0999999999995</c:v>
                </c:pt>
                <c:pt idx="43">
                  <c:v>3074</c:v>
                </c:pt>
                <c:pt idx="44">
                  <c:v>3015.0999999999985</c:v>
                </c:pt>
                <c:pt idx="45">
                  <c:v>3092.9999999999991</c:v>
                </c:pt>
                <c:pt idx="46">
                  <c:v>2986.3999999999996</c:v>
                </c:pt>
                <c:pt idx="47">
                  <c:v>3160.2</c:v>
                </c:pt>
                <c:pt idx="48">
                  <c:v>3041.2999999999997</c:v>
                </c:pt>
                <c:pt idx="49">
                  <c:v>2992.9</c:v>
                </c:pt>
                <c:pt idx="50">
                  <c:v>2975.7000000000007</c:v>
                </c:pt>
                <c:pt idx="51">
                  <c:v>2926.8000000000006</c:v>
                </c:pt>
                <c:pt idx="52">
                  <c:v>2987.1</c:v>
                </c:pt>
                <c:pt idx="53">
                  <c:v>2985.4</c:v>
                </c:pt>
                <c:pt idx="54">
                  <c:v>2852.400000000001</c:v>
                </c:pt>
                <c:pt idx="55">
                  <c:v>2834.0000000000005</c:v>
                </c:pt>
                <c:pt idx="56">
                  <c:v>2684.9999999999995</c:v>
                </c:pt>
                <c:pt idx="57">
                  <c:v>2727.7</c:v>
                </c:pt>
                <c:pt idx="58">
                  <c:v>2652.0000000000005</c:v>
                </c:pt>
                <c:pt idx="59">
                  <c:v>2693.2000000000003</c:v>
                </c:pt>
                <c:pt idx="60">
                  <c:v>2752.5000000000005</c:v>
                </c:pt>
                <c:pt idx="61">
                  <c:v>2777.1000000000004</c:v>
                </c:pt>
                <c:pt idx="62">
                  <c:v>2667.6000000000008</c:v>
                </c:pt>
                <c:pt idx="63">
                  <c:v>2778.8</c:v>
                </c:pt>
                <c:pt idx="64">
                  <c:v>2875.8</c:v>
                </c:pt>
                <c:pt idx="65">
                  <c:v>2866.6</c:v>
                </c:pt>
                <c:pt idx="66">
                  <c:v>2789</c:v>
                </c:pt>
                <c:pt idx="67" formatCode="General">
                  <c:v>2744.1</c:v>
                </c:pt>
                <c:pt idx="68" formatCode="General">
                  <c:v>2762.5</c:v>
                </c:pt>
                <c:pt idx="69" formatCode="General">
                  <c:v>2727.3</c:v>
                </c:pt>
                <c:pt idx="70" formatCode="General">
                  <c:v>2774.1</c:v>
                </c:pt>
                <c:pt idx="71" formatCode="General">
                  <c:v>2625.7</c:v>
                </c:pt>
                <c:pt idx="72" formatCode="General">
                  <c:v>2606.1</c:v>
                </c:pt>
                <c:pt idx="73" formatCode="General">
                  <c:v>2560.8000000000002</c:v>
                </c:pt>
                <c:pt idx="74" formatCode="General">
                  <c:v>2658.6</c:v>
                </c:pt>
                <c:pt idx="75" formatCode="General">
                  <c:v>2636.4</c:v>
                </c:pt>
                <c:pt idx="76" formatCode="General">
                  <c:v>2507.8000000000002</c:v>
                </c:pt>
                <c:pt idx="77" formatCode="General">
                  <c:v>2467.1999999999998</c:v>
                </c:pt>
                <c:pt idx="78" formatCode="General">
                  <c:v>2415.1999999999998</c:v>
                </c:pt>
              </c:numCache>
            </c:numRef>
          </c:val>
          <c:smooth val="0"/>
          <c:extLst>
            <c:ext xmlns:c16="http://schemas.microsoft.com/office/drawing/2014/chart" uri="{C3380CC4-5D6E-409C-BE32-E72D297353CC}">
              <c16:uniqueId val="{00000000-802C-4106-BAEC-C8D4D1584993}"/>
            </c:ext>
          </c:extLst>
        </c:ser>
        <c:ser>
          <c:idx val="1"/>
          <c:order val="1"/>
          <c:tx>
            <c:strRef>
              <c:f>Sheet1!$A$8</c:f>
              <c:strCache>
                <c:ptCount val="1"/>
                <c:pt idx="0">
                  <c:v>Rezidenti </c:v>
                </c:pt>
              </c:strCache>
            </c:strRef>
          </c:tx>
          <c:spPr>
            <a:ln w="28575" cap="rnd">
              <a:solidFill>
                <a:schemeClr val="accent2"/>
              </a:solidFill>
              <a:round/>
            </a:ln>
            <a:effectLst/>
          </c:spPr>
          <c:marker>
            <c:symbol val="none"/>
          </c:marker>
          <c:cat>
            <c:numRef>
              <c:f>Sheet1!$B$6:$CC$6</c:f>
              <c:numCache>
                <c:formatCode>mmm\-yy</c:formatCode>
                <c:ptCount val="79"/>
                <c:pt idx="0">
                  <c:v>42005</c:v>
                </c:pt>
                <c:pt idx="1">
                  <c:v>42036</c:v>
                </c:pt>
                <c:pt idx="2">
                  <c:v>42064</c:v>
                </c:pt>
                <c:pt idx="3">
                  <c:v>42095</c:v>
                </c:pt>
                <c:pt idx="4">
                  <c:v>42125</c:v>
                </c:pt>
                <c:pt idx="5">
                  <c:v>42156</c:v>
                </c:pt>
                <c:pt idx="6">
                  <c:v>42186</c:v>
                </c:pt>
                <c:pt idx="7">
                  <c:v>42217</c:v>
                </c:pt>
                <c:pt idx="8">
                  <c:v>42248</c:v>
                </c:pt>
                <c:pt idx="9">
                  <c:v>42278</c:v>
                </c:pt>
                <c:pt idx="10">
                  <c:v>42309</c:v>
                </c:pt>
                <c:pt idx="11">
                  <c:v>42339</c:v>
                </c:pt>
                <c:pt idx="12">
                  <c:v>42370</c:v>
                </c:pt>
                <c:pt idx="13">
                  <c:v>42401</c:v>
                </c:pt>
                <c:pt idx="14">
                  <c:v>42430</c:v>
                </c:pt>
                <c:pt idx="15">
                  <c:v>42461</c:v>
                </c:pt>
                <c:pt idx="16">
                  <c:v>42491</c:v>
                </c:pt>
                <c:pt idx="17">
                  <c:v>42522</c:v>
                </c:pt>
                <c:pt idx="18">
                  <c:v>42552</c:v>
                </c:pt>
                <c:pt idx="19">
                  <c:v>42583</c:v>
                </c:pt>
                <c:pt idx="20">
                  <c:v>42614</c:v>
                </c:pt>
                <c:pt idx="21">
                  <c:v>42644</c:v>
                </c:pt>
                <c:pt idx="22">
                  <c:v>42675</c:v>
                </c:pt>
                <c:pt idx="23">
                  <c:v>42705</c:v>
                </c:pt>
                <c:pt idx="24">
                  <c:v>42736</c:v>
                </c:pt>
                <c:pt idx="25">
                  <c:v>42767</c:v>
                </c:pt>
                <c:pt idx="26">
                  <c:v>42795</c:v>
                </c:pt>
                <c:pt idx="27">
                  <c:v>42826</c:v>
                </c:pt>
                <c:pt idx="28">
                  <c:v>42856</c:v>
                </c:pt>
                <c:pt idx="29">
                  <c:v>42887</c:v>
                </c:pt>
                <c:pt idx="30">
                  <c:v>42917</c:v>
                </c:pt>
                <c:pt idx="31">
                  <c:v>42948</c:v>
                </c:pt>
                <c:pt idx="32">
                  <c:v>42979</c:v>
                </c:pt>
                <c:pt idx="33">
                  <c:v>43009</c:v>
                </c:pt>
                <c:pt idx="34">
                  <c:v>43040</c:v>
                </c:pt>
                <c:pt idx="35">
                  <c:v>43070</c:v>
                </c:pt>
                <c:pt idx="36">
                  <c:v>43101</c:v>
                </c:pt>
                <c:pt idx="37">
                  <c:v>43132</c:v>
                </c:pt>
                <c:pt idx="38">
                  <c:v>43160</c:v>
                </c:pt>
                <c:pt idx="39">
                  <c:v>43191</c:v>
                </c:pt>
                <c:pt idx="40">
                  <c:v>43221</c:v>
                </c:pt>
                <c:pt idx="41">
                  <c:v>43252</c:v>
                </c:pt>
                <c:pt idx="42">
                  <c:v>43282</c:v>
                </c:pt>
                <c:pt idx="43">
                  <c:v>43313</c:v>
                </c:pt>
                <c:pt idx="44">
                  <c:v>43344</c:v>
                </c:pt>
                <c:pt idx="45">
                  <c:v>43374</c:v>
                </c:pt>
                <c:pt idx="46">
                  <c:v>43405</c:v>
                </c:pt>
                <c:pt idx="47">
                  <c:v>43435</c:v>
                </c:pt>
                <c:pt idx="48">
                  <c:v>43466</c:v>
                </c:pt>
                <c:pt idx="49">
                  <c:v>43497</c:v>
                </c:pt>
                <c:pt idx="50">
                  <c:v>43525</c:v>
                </c:pt>
                <c:pt idx="51">
                  <c:v>43556</c:v>
                </c:pt>
                <c:pt idx="52">
                  <c:v>43586</c:v>
                </c:pt>
                <c:pt idx="53">
                  <c:v>43617</c:v>
                </c:pt>
                <c:pt idx="54">
                  <c:v>43647</c:v>
                </c:pt>
                <c:pt idx="55">
                  <c:v>43678</c:v>
                </c:pt>
                <c:pt idx="56">
                  <c:v>43709</c:v>
                </c:pt>
                <c:pt idx="57">
                  <c:v>43739</c:v>
                </c:pt>
                <c:pt idx="58">
                  <c:v>43770</c:v>
                </c:pt>
                <c:pt idx="59">
                  <c:v>43800</c:v>
                </c:pt>
                <c:pt idx="60">
                  <c:v>43831</c:v>
                </c:pt>
                <c:pt idx="61">
                  <c:v>43862</c:v>
                </c:pt>
                <c:pt idx="62">
                  <c:v>43891</c:v>
                </c:pt>
                <c:pt idx="63">
                  <c:v>43922</c:v>
                </c:pt>
                <c:pt idx="64">
                  <c:v>43952</c:v>
                </c:pt>
                <c:pt idx="65">
                  <c:v>43983</c:v>
                </c:pt>
                <c:pt idx="66">
                  <c:v>44013</c:v>
                </c:pt>
                <c:pt idx="67">
                  <c:v>44044</c:v>
                </c:pt>
                <c:pt idx="68">
                  <c:v>44075</c:v>
                </c:pt>
                <c:pt idx="69">
                  <c:v>44105</c:v>
                </c:pt>
                <c:pt idx="70">
                  <c:v>44136</c:v>
                </c:pt>
                <c:pt idx="71">
                  <c:v>44166</c:v>
                </c:pt>
                <c:pt idx="72">
                  <c:v>44197</c:v>
                </c:pt>
                <c:pt idx="73">
                  <c:v>44228</c:v>
                </c:pt>
                <c:pt idx="74">
                  <c:v>44256</c:v>
                </c:pt>
                <c:pt idx="75">
                  <c:v>44287</c:v>
                </c:pt>
                <c:pt idx="76">
                  <c:v>44317</c:v>
                </c:pt>
                <c:pt idx="77">
                  <c:v>44348</c:v>
                </c:pt>
                <c:pt idx="78">
                  <c:v>44378</c:v>
                </c:pt>
              </c:numCache>
            </c:numRef>
          </c:cat>
          <c:val>
            <c:numRef>
              <c:f>Sheet1!$B$8:$CC$8</c:f>
              <c:numCache>
                <c:formatCode>General</c:formatCode>
                <c:ptCount val="79"/>
                <c:pt idx="0">
                  <c:v>9474.3000000000011</c:v>
                </c:pt>
                <c:pt idx="1">
                  <c:v>9606.0999999999985</c:v>
                </c:pt>
                <c:pt idx="2">
                  <c:v>9677.9999999999982</c:v>
                </c:pt>
                <c:pt idx="3">
                  <c:v>9729.4</c:v>
                </c:pt>
                <c:pt idx="4">
                  <c:v>9714.9000000000015</c:v>
                </c:pt>
                <c:pt idx="5">
                  <c:v>9769.0999999999985</c:v>
                </c:pt>
                <c:pt idx="6">
                  <c:v>9897.1999999999989</c:v>
                </c:pt>
                <c:pt idx="7">
                  <c:v>9953.2000000000007</c:v>
                </c:pt>
                <c:pt idx="8">
                  <c:v>10012.6</c:v>
                </c:pt>
                <c:pt idx="9">
                  <c:v>10047</c:v>
                </c:pt>
                <c:pt idx="10">
                  <c:v>10248.299999999997</c:v>
                </c:pt>
                <c:pt idx="11">
                  <c:v>10546.4</c:v>
                </c:pt>
                <c:pt idx="12">
                  <c:v>10465.199999999999</c:v>
                </c:pt>
                <c:pt idx="13">
                  <c:v>10767.699999999999</c:v>
                </c:pt>
                <c:pt idx="14">
                  <c:v>10755.1</c:v>
                </c:pt>
                <c:pt idx="15">
                  <c:v>10896.399999999998</c:v>
                </c:pt>
                <c:pt idx="16">
                  <c:v>10940.3</c:v>
                </c:pt>
                <c:pt idx="17">
                  <c:v>10997.300000000001</c:v>
                </c:pt>
                <c:pt idx="18">
                  <c:v>10876.999999999998</c:v>
                </c:pt>
                <c:pt idx="19">
                  <c:v>10999.3</c:v>
                </c:pt>
                <c:pt idx="20">
                  <c:v>10999.3</c:v>
                </c:pt>
                <c:pt idx="21">
                  <c:v>11033.2</c:v>
                </c:pt>
                <c:pt idx="22">
                  <c:v>11113.399999999998</c:v>
                </c:pt>
                <c:pt idx="23">
                  <c:v>11389.6</c:v>
                </c:pt>
                <c:pt idx="24">
                  <c:v>11119.299999999997</c:v>
                </c:pt>
                <c:pt idx="25">
                  <c:v>11292.899999999998</c:v>
                </c:pt>
                <c:pt idx="26">
                  <c:v>11280.200000000003</c:v>
                </c:pt>
                <c:pt idx="27">
                  <c:v>11348.3</c:v>
                </c:pt>
                <c:pt idx="28">
                  <c:v>11194.6</c:v>
                </c:pt>
                <c:pt idx="29">
                  <c:v>11249.1</c:v>
                </c:pt>
                <c:pt idx="30">
                  <c:v>11180.9</c:v>
                </c:pt>
                <c:pt idx="31">
                  <c:v>11325.3</c:v>
                </c:pt>
                <c:pt idx="32">
                  <c:v>11115.4</c:v>
                </c:pt>
                <c:pt idx="33">
                  <c:v>11343.599999999999</c:v>
                </c:pt>
                <c:pt idx="34">
                  <c:v>11550.499999999998</c:v>
                </c:pt>
                <c:pt idx="35">
                  <c:v>11702.499999999998</c:v>
                </c:pt>
                <c:pt idx="36">
                  <c:v>11772.599999999999</c:v>
                </c:pt>
                <c:pt idx="37">
                  <c:v>11655.000000000002</c:v>
                </c:pt>
                <c:pt idx="38">
                  <c:v>11709.8</c:v>
                </c:pt>
                <c:pt idx="39">
                  <c:v>11919</c:v>
                </c:pt>
                <c:pt idx="40">
                  <c:v>11670.599999999999</c:v>
                </c:pt>
                <c:pt idx="41">
                  <c:v>11696.599999999999</c:v>
                </c:pt>
                <c:pt idx="42">
                  <c:v>11652.599999999999</c:v>
                </c:pt>
                <c:pt idx="43">
                  <c:v>11745.300000000001</c:v>
                </c:pt>
                <c:pt idx="44">
                  <c:v>11628.399999999998</c:v>
                </c:pt>
                <c:pt idx="45">
                  <c:v>11753.899999999998</c:v>
                </c:pt>
                <c:pt idx="46">
                  <c:v>11895.2</c:v>
                </c:pt>
                <c:pt idx="47">
                  <c:v>12376.699999999999</c:v>
                </c:pt>
                <c:pt idx="48">
                  <c:v>12445.9</c:v>
                </c:pt>
                <c:pt idx="49">
                  <c:v>12495.999999999998</c:v>
                </c:pt>
                <c:pt idx="50">
                  <c:v>12589.1</c:v>
                </c:pt>
                <c:pt idx="51">
                  <c:v>12588.6</c:v>
                </c:pt>
                <c:pt idx="52">
                  <c:v>12472.2</c:v>
                </c:pt>
                <c:pt idx="53">
                  <c:v>12536.100000000002</c:v>
                </c:pt>
                <c:pt idx="54">
                  <c:v>12908.699999999999</c:v>
                </c:pt>
                <c:pt idx="55">
                  <c:v>13142.7</c:v>
                </c:pt>
                <c:pt idx="56">
                  <c:v>12773.7</c:v>
                </c:pt>
                <c:pt idx="57">
                  <c:v>12967.900000000001</c:v>
                </c:pt>
                <c:pt idx="58">
                  <c:v>12961.4</c:v>
                </c:pt>
                <c:pt idx="59">
                  <c:v>13430.300000000003</c:v>
                </c:pt>
                <c:pt idx="60">
                  <c:v>13365.499999999998</c:v>
                </c:pt>
                <c:pt idx="61">
                  <c:v>13456.000000000004</c:v>
                </c:pt>
                <c:pt idx="62">
                  <c:v>13811.6</c:v>
                </c:pt>
                <c:pt idx="63">
                  <c:v>13958.9</c:v>
                </c:pt>
                <c:pt idx="64">
                  <c:v>13883.000000000002</c:v>
                </c:pt>
                <c:pt idx="65">
                  <c:v>13867.599999999999</c:v>
                </c:pt>
                <c:pt idx="66">
                  <c:v>13933.400000000001</c:v>
                </c:pt>
                <c:pt idx="67">
                  <c:v>14088.2</c:v>
                </c:pt>
                <c:pt idx="68">
                  <c:v>14263</c:v>
                </c:pt>
                <c:pt idx="69">
                  <c:v>14608.1</c:v>
                </c:pt>
                <c:pt idx="70">
                  <c:v>14884.4</c:v>
                </c:pt>
                <c:pt idx="71">
                  <c:v>15276.6</c:v>
                </c:pt>
                <c:pt idx="72">
                  <c:v>15316.6</c:v>
                </c:pt>
                <c:pt idx="73">
                  <c:v>15490.9</c:v>
                </c:pt>
                <c:pt idx="74">
                  <c:v>16015.6</c:v>
                </c:pt>
                <c:pt idx="75">
                  <c:v>15809.7</c:v>
                </c:pt>
                <c:pt idx="76">
                  <c:v>15914.7</c:v>
                </c:pt>
                <c:pt idx="77">
                  <c:v>16199.1</c:v>
                </c:pt>
                <c:pt idx="78">
                  <c:v>16209.7</c:v>
                </c:pt>
              </c:numCache>
            </c:numRef>
          </c:val>
          <c:smooth val="0"/>
          <c:extLst>
            <c:ext xmlns:c16="http://schemas.microsoft.com/office/drawing/2014/chart" uri="{C3380CC4-5D6E-409C-BE32-E72D297353CC}">
              <c16:uniqueId val="{00000001-802C-4106-BAEC-C8D4D1584993}"/>
            </c:ext>
          </c:extLst>
        </c:ser>
        <c:dLbls>
          <c:showLegendKey val="0"/>
          <c:showVal val="0"/>
          <c:showCatName val="0"/>
          <c:showSerName val="0"/>
          <c:showPercent val="0"/>
          <c:showBubbleSize val="0"/>
        </c:dLbls>
        <c:smooth val="0"/>
        <c:axId val="1433876943"/>
        <c:axId val="1433885679"/>
      </c:lineChart>
      <c:catAx>
        <c:axId val="1433876943"/>
        <c:scaling>
          <c:orientation val="minMax"/>
        </c:scaling>
        <c:delete val="0"/>
        <c:axPos val="b"/>
        <c:majorGridlines>
          <c:spPr>
            <a:ln w="9525" cap="flat" cmpd="sng" algn="ctr">
              <a:solidFill>
                <a:schemeClr val="tx1">
                  <a:lumMod val="15000"/>
                  <a:lumOff val="85000"/>
                </a:schemeClr>
              </a:solidFill>
              <a:round/>
            </a:ln>
            <a:effectLst/>
          </c:spPr>
        </c:majorGridlines>
        <c:numFmt formatCode="mmm\-yy" sourceLinked="1"/>
        <c:majorTickMark val="out"/>
        <c:minorTickMark val="none"/>
        <c:tickLblPos val="nextTo"/>
        <c:spPr>
          <a:noFill/>
          <a:ln w="9525" cap="flat" cmpd="sng" algn="ctr">
            <a:solidFill>
              <a:schemeClr val="tx1">
                <a:lumMod val="15000"/>
                <a:lumOff val="85000"/>
              </a:schemeClr>
            </a:solidFill>
            <a:round/>
          </a:ln>
          <a:effectLst/>
        </c:spPr>
        <c:txPr>
          <a:bodyPr rot="-5400000" spcFirstLastPara="1" vertOverflow="ellipsis"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v-LV"/>
          </a:p>
        </c:txPr>
        <c:crossAx val="1433885679"/>
        <c:crosses val="autoZero"/>
        <c:auto val="0"/>
        <c:lblAlgn val="ctr"/>
        <c:lblOffset val="100"/>
        <c:tickLblSkip val="6"/>
        <c:tickMarkSkip val="12"/>
        <c:noMultiLvlLbl val="1"/>
      </c:catAx>
      <c:valAx>
        <c:axId val="1433885679"/>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v-LV"/>
          </a:p>
        </c:txPr>
        <c:crossAx val="143387694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v-LV"/>
        </a:p>
      </c:txPr>
    </c:legend>
    <c:plotVisOnly val="1"/>
    <c:dispBlanksAs val="gap"/>
    <c:showDLblsOverMax val="0"/>
  </c:chart>
  <c:spPr>
    <a:solidFill>
      <a:schemeClr val="bg1"/>
    </a:solidFill>
    <a:ln w="9525" cap="flat" cmpd="sng" algn="ctr">
      <a:noFill/>
      <a:round/>
    </a:ln>
    <a:effectLst/>
  </c:spPr>
  <c:txPr>
    <a:bodyPr/>
    <a:lstStyle/>
    <a:p>
      <a:pPr>
        <a:defRPr sz="900">
          <a:solidFill>
            <a:sysClr val="windowText" lastClr="000000"/>
          </a:solidFill>
          <a:latin typeface="Times New Roman" panose="02020603050405020304" pitchFamily="18" charset="0"/>
          <a:cs typeface="Times New Roman" panose="02020603050405020304" pitchFamily="18" charset="0"/>
        </a:defRPr>
      </a:pPr>
      <a:endParaRPr lang="lv-LV"/>
    </a:p>
  </c:txPr>
  <c:externalData r:id="rId3">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stacked"/>
        <c:varyColors val="0"/>
        <c:ser>
          <c:idx val="0"/>
          <c:order val="0"/>
          <c:tx>
            <c:strRef>
              <c:f>Sheet2!$B$14</c:f>
              <c:strCache>
                <c:ptCount val="1"/>
                <c:pt idx="0">
                  <c:v>mājsaimniecībām mājokļa iegādei</c:v>
                </c:pt>
              </c:strCache>
            </c:strRef>
          </c:tx>
          <c:spPr>
            <a:solidFill>
              <a:schemeClr val="accent1"/>
            </a:solidFill>
            <a:ln>
              <a:noFill/>
            </a:ln>
            <a:effectLst/>
          </c:spPr>
          <c:invertIfNegative val="0"/>
          <c:cat>
            <c:numRef>
              <c:f>Sheet2!$C$13:$CC$13</c:f>
              <c:numCache>
                <c:formatCode>mmm\-yy</c:formatCode>
                <c:ptCount val="79"/>
                <c:pt idx="0">
                  <c:v>42005</c:v>
                </c:pt>
                <c:pt idx="1">
                  <c:v>42036</c:v>
                </c:pt>
                <c:pt idx="2">
                  <c:v>42064</c:v>
                </c:pt>
                <c:pt idx="3">
                  <c:v>42095</c:v>
                </c:pt>
                <c:pt idx="4">
                  <c:v>42125</c:v>
                </c:pt>
                <c:pt idx="5">
                  <c:v>42156</c:v>
                </c:pt>
                <c:pt idx="6">
                  <c:v>42186</c:v>
                </c:pt>
                <c:pt idx="7">
                  <c:v>42217</c:v>
                </c:pt>
                <c:pt idx="8">
                  <c:v>42248</c:v>
                </c:pt>
                <c:pt idx="9">
                  <c:v>42278</c:v>
                </c:pt>
                <c:pt idx="10">
                  <c:v>42309</c:v>
                </c:pt>
                <c:pt idx="11">
                  <c:v>42339</c:v>
                </c:pt>
                <c:pt idx="12">
                  <c:v>42370</c:v>
                </c:pt>
                <c:pt idx="13">
                  <c:v>42401</c:v>
                </c:pt>
                <c:pt idx="14">
                  <c:v>42430</c:v>
                </c:pt>
                <c:pt idx="15">
                  <c:v>42461</c:v>
                </c:pt>
                <c:pt idx="16">
                  <c:v>42491</c:v>
                </c:pt>
                <c:pt idx="17">
                  <c:v>42522</c:v>
                </c:pt>
                <c:pt idx="18">
                  <c:v>42552</c:v>
                </c:pt>
                <c:pt idx="19">
                  <c:v>42583</c:v>
                </c:pt>
                <c:pt idx="20">
                  <c:v>42614</c:v>
                </c:pt>
                <c:pt idx="21">
                  <c:v>42644</c:v>
                </c:pt>
                <c:pt idx="22">
                  <c:v>42675</c:v>
                </c:pt>
                <c:pt idx="23">
                  <c:v>42705</c:v>
                </c:pt>
                <c:pt idx="24">
                  <c:v>42736</c:v>
                </c:pt>
                <c:pt idx="25">
                  <c:v>42767</c:v>
                </c:pt>
                <c:pt idx="26">
                  <c:v>42795</c:v>
                </c:pt>
                <c:pt idx="27">
                  <c:v>42826</c:v>
                </c:pt>
                <c:pt idx="28">
                  <c:v>42856</c:v>
                </c:pt>
                <c:pt idx="29">
                  <c:v>42887</c:v>
                </c:pt>
                <c:pt idx="30">
                  <c:v>42917</c:v>
                </c:pt>
                <c:pt idx="31">
                  <c:v>42948</c:v>
                </c:pt>
                <c:pt idx="32">
                  <c:v>42979</c:v>
                </c:pt>
                <c:pt idx="33">
                  <c:v>43009</c:v>
                </c:pt>
                <c:pt idx="34">
                  <c:v>43040</c:v>
                </c:pt>
                <c:pt idx="35">
                  <c:v>43070</c:v>
                </c:pt>
                <c:pt idx="36">
                  <c:v>43101</c:v>
                </c:pt>
                <c:pt idx="37">
                  <c:v>43132</c:v>
                </c:pt>
                <c:pt idx="38">
                  <c:v>43160</c:v>
                </c:pt>
                <c:pt idx="39">
                  <c:v>43191</c:v>
                </c:pt>
                <c:pt idx="40">
                  <c:v>43221</c:v>
                </c:pt>
                <c:pt idx="41">
                  <c:v>43252</c:v>
                </c:pt>
                <c:pt idx="42">
                  <c:v>43282</c:v>
                </c:pt>
                <c:pt idx="43">
                  <c:v>43313</c:v>
                </c:pt>
                <c:pt idx="44">
                  <c:v>43344</c:v>
                </c:pt>
                <c:pt idx="45">
                  <c:v>43374</c:v>
                </c:pt>
                <c:pt idx="46">
                  <c:v>43405</c:v>
                </c:pt>
                <c:pt idx="47">
                  <c:v>43435</c:v>
                </c:pt>
                <c:pt idx="48">
                  <c:v>43466</c:v>
                </c:pt>
                <c:pt idx="49">
                  <c:v>43497</c:v>
                </c:pt>
                <c:pt idx="50">
                  <c:v>43525</c:v>
                </c:pt>
                <c:pt idx="51">
                  <c:v>43556</c:v>
                </c:pt>
                <c:pt idx="52">
                  <c:v>43586</c:v>
                </c:pt>
                <c:pt idx="53">
                  <c:v>43617</c:v>
                </c:pt>
                <c:pt idx="54">
                  <c:v>43647</c:v>
                </c:pt>
                <c:pt idx="55">
                  <c:v>43678</c:v>
                </c:pt>
                <c:pt idx="56">
                  <c:v>43709</c:v>
                </c:pt>
                <c:pt idx="57">
                  <c:v>43739</c:v>
                </c:pt>
                <c:pt idx="58">
                  <c:v>43770</c:v>
                </c:pt>
                <c:pt idx="59">
                  <c:v>43800</c:v>
                </c:pt>
                <c:pt idx="60">
                  <c:v>43831</c:v>
                </c:pt>
                <c:pt idx="61">
                  <c:v>43862</c:v>
                </c:pt>
                <c:pt idx="62">
                  <c:v>43891</c:v>
                </c:pt>
                <c:pt idx="63">
                  <c:v>43922</c:v>
                </c:pt>
                <c:pt idx="64">
                  <c:v>43952</c:v>
                </c:pt>
                <c:pt idx="65">
                  <c:v>43983</c:v>
                </c:pt>
                <c:pt idx="66">
                  <c:v>44013</c:v>
                </c:pt>
                <c:pt idx="67">
                  <c:v>44044</c:v>
                </c:pt>
                <c:pt idx="68">
                  <c:v>44075</c:v>
                </c:pt>
                <c:pt idx="69">
                  <c:v>44105</c:v>
                </c:pt>
                <c:pt idx="70">
                  <c:v>44136</c:v>
                </c:pt>
                <c:pt idx="71">
                  <c:v>44166</c:v>
                </c:pt>
                <c:pt idx="72">
                  <c:v>44197</c:v>
                </c:pt>
                <c:pt idx="73">
                  <c:v>44228</c:v>
                </c:pt>
                <c:pt idx="74">
                  <c:v>44256</c:v>
                </c:pt>
                <c:pt idx="75">
                  <c:v>44287</c:v>
                </c:pt>
                <c:pt idx="76">
                  <c:v>44317</c:v>
                </c:pt>
                <c:pt idx="77">
                  <c:v>44348</c:v>
                </c:pt>
                <c:pt idx="78">
                  <c:v>44378</c:v>
                </c:pt>
              </c:numCache>
            </c:numRef>
          </c:cat>
          <c:val>
            <c:numRef>
              <c:f>Sheet2!$C$14:$CC$14</c:f>
              <c:numCache>
                <c:formatCode>#\ ##0.0</c:formatCode>
                <c:ptCount val="79"/>
                <c:pt idx="0">
                  <c:v>13.200000000000001</c:v>
                </c:pt>
                <c:pt idx="1">
                  <c:v>22.4</c:v>
                </c:pt>
                <c:pt idx="2">
                  <c:v>24.799999999999997</c:v>
                </c:pt>
                <c:pt idx="3">
                  <c:v>28.099999999999998</c:v>
                </c:pt>
                <c:pt idx="4">
                  <c:v>25.599999999999998</c:v>
                </c:pt>
                <c:pt idx="5">
                  <c:v>28</c:v>
                </c:pt>
                <c:pt idx="6">
                  <c:v>35.700000000000003</c:v>
                </c:pt>
                <c:pt idx="7">
                  <c:v>33.700000000000003</c:v>
                </c:pt>
                <c:pt idx="8">
                  <c:v>35.099999999999994</c:v>
                </c:pt>
                <c:pt idx="9">
                  <c:v>39.1</c:v>
                </c:pt>
                <c:pt idx="10">
                  <c:v>34.1</c:v>
                </c:pt>
                <c:pt idx="11">
                  <c:v>36.299999999999997</c:v>
                </c:pt>
                <c:pt idx="12">
                  <c:v>31.400000000000002</c:v>
                </c:pt>
                <c:pt idx="13">
                  <c:v>29.799999999999997</c:v>
                </c:pt>
                <c:pt idx="14">
                  <c:v>44.3</c:v>
                </c:pt>
                <c:pt idx="15">
                  <c:v>39.200000000000003</c:v>
                </c:pt>
                <c:pt idx="16">
                  <c:v>40</c:v>
                </c:pt>
                <c:pt idx="17">
                  <c:v>43.2</c:v>
                </c:pt>
                <c:pt idx="18">
                  <c:v>41.199999999999996</c:v>
                </c:pt>
                <c:pt idx="19">
                  <c:v>45.300000000000004</c:v>
                </c:pt>
                <c:pt idx="20">
                  <c:v>44.699999999999996</c:v>
                </c:pt>
                <c:pt idx="21">
                  <c:v>54.4</c:v>
                </c:pt>
                <c:pt idx="22">
                  <c:v>43.4</c:v>
                </c:pt>
                <c:pt idx="23">
                  <c:v>42.399999999999991</c:v>
                </c:pt>
                <c:pt idx="24">
                  <c:v>35.799999999999997</c:v>
                </c:pt>
                <c:pt idx="25">
                  <c:v>36.9</c:v>
                </c:pt>
                <c:pt idx="26">
                  <c:v>46.8</c:v>
                </c:pt>
                <c:pt idx="27">
                  <c:v>41.7</c:v>
                </c:pt>
                <c:pt idx="28">
                  <c:v>52.400000000000006</c:v>
                </c:pt>
                <c:pt idx="29">
                  <c:v>52.5</c:v>
                </c:pt>
                <c:pt idx="30">
                  <c:v>42.800000000000004</c:v>
                </c:pt>
                <c:pt idx="31">
                  <c:v>47.199999999999996</c:v>
                </c:pt>
                <c:pt idx="32">
                  <c:v>50.5</c:v>
                </c:pt>
                <c:pt idx="33">
                  <c:v>48.900000000000006</c:v>
                </c:pt>
                <c:pt idx="34">
                  <c:v>49.899999999999991</c:v>
                </c:pt>
                <c:pt idx="35">
                  <c:v>49.1</c:v>
                </c:pt>
                <c:pt idx="36">
                  <c:v>56.300000000000004</c:v>
                </c:pt>
                <c:pt idx="37">
                  <c:v>40.099999999999994</c:v>
                </c:pt>
                <c:pt idx="38">
                  <c:v>46.6</c:v>
                </c:pt>
                <c:pt idx="39">
                  <c:v>52.900000000000006</c:v>
                </c:pt>
                <c:pt idx="40">
                  <c:v>52.900000000000006</c:v>
                </c:pt>
                <c:pt idx="41">
                  <c:v>54</c:v>
                </c:pt>
                <c:pt idx="42">
                  <c:v>47.6</c:v>
                </c:pt>
                <c:pt idx="43">
                  <c:v>54.300000000000004</c:v>
                </c:pt>
                <c:pt idx="44">
                  <c:v>43.7</c:v>
                </c:pt>
                <c:pt idx="45">
                  <c:v>52.400000000000006</c:v>
                </c:pt>
                <c:pt idx="46">
                  <c:v>49.3</c:v>
                </c:pt>
                <c:pt idx="47">
                  <c:v>42.3</c:v>
                </c:pt>
                <c:pt idx="48">
                  <c:v>46.400000000000006</c:v>
                </c:pt>
                <c:pt idx="49">
                  <c:v>45.7</c:v>
                </c:pt>
                <c:pt idx="50">
                  <c:v>47.599999999999994</c:v>
                </c:pt>
                <c:pt idx="51">
                  <c:v>49.000000000000007</c:v>
                </c:pt>
                <c:pt idx="52">
                  <c:v>52.4</c:v>
                </c:pt>
                <c:pt idx="53">
                  <c:v>46.6</c:v>
                </c:pt>
                <c:pt idx="54">
                  <c:v>50.9</c:v>
                </c:pt>
                <c:pt idx="55">
                  <c:v>47.2</c:v>
                </c:pt>
                <c:pt idx="56">
                  <c:v>47.599999999999994</c:v>
                </c:pt>
                <c:pt idx="57">
                  <c:v>49.300000000000004</c:v>
                </c:pt>
                <c:pt idx="58">
                  <c:v>45.099999999999994</c:v>
                </c:pt>
                <c:pt idx="59">
                  <c:v>42.7</c:v>
                </c:pt>
                <c:pt idx="60">
                  <c:v>41.1</c:v>
                </c:pt>
                <c:pt idx="61">
                  <c:v>43.399999999999991</c:v>
                </c:pt>
                <c:pt idx="62">
                  <c:v>40.999999999999986</c:v>
                </c:pt>
                <c:pt idx="63">
                  <c:v>26.799999999999997</c:v>
                </c:pt>
                <c:pt idx="64">
                  <c:v>27.6</c:v>
                </c:pt>
                <c:pt idx="65">
                  <c:v>39.4</c:v>
                </c:pt>
                <c:pt idx="66">
                  <c:v>53.800000000000004</c:v>
                </c:pt>
                <c:pt idx="67">
                  <c:v>51.2</c:v>
                </c:pt>
                <c:pt idx="68">
                  <c:v>59.3</c:v>
                </c:pt>
                <c:pt idx="69">
                  <c:v>58.099999999999994</c:v>
                </c:pt>
                <c:pt idx="70">
                  <c:v>52.500000000000007</c:v>
                </c:pt>
                <c:pt idx="71">
                  <c:v>51.900000000000006</c:v>
                </c:pt>
                <c:pt idx="72">
                  <c:v>47.9</c:v>
                </c:pt>
                <c:pt idx="73">
                  <c:v>55.999999999999993</c:v>
                </c:pt>
                <c:pt idx="74">
                  <c:v>78</c:v>
                </c:pt>
                <c:pt idx="75">
                  <c:v>74</c:v>
                </c:pt>
                <c:pt idx="76">
                  <c:v>79.699999999999989</c:v>
                </c:pt>
                <c:pt idx="77">
                  <c:v>70.8</c:v>
                </c:pt>
                <c:pt idx="78">
                  <c:v>71.8</c:v>
                </c:pt>
              </c:numCache>
            </c:numRef>
          </c:val>
          <c:extLst>
            <c:ext xmlns:c16="http://schemas.microsoft.com/office/drawing/2014/chart" uri="{C3380CC4-5D6E-409C-BE32-E72D297353CC}">
              <c16:uniqueId val="{00000000-73B9-4758-B3CA-E4FDC92297FA}"/>
            </c:ext>
          </c:extLst>
        </c:ser>
        <c:ser>
          <c:idx val="1"/>
          <c:order val="1"/>
          <c:tx>
            <c:strRef>
              <c:f>Sheet2!$B$15</c:f>
              <c:strCache>
                <c:ptCount val="1"/>
                <c:pt idx="0">
                  <c:v> patēriņa kredīti mājsaimniecībām</c:v>
                </c:pt>
              </c:strCache>
            </c:strRef>
          </c:tx>
          <c:spPr>
            <a:solidFill>
              <a:schemeClr val="accent2"/>
            </a:solidFill>
            <a:ln>
              <a:noFill/>
            </a:ln>
            <a:effectLst/>
          </c:spPr>
          <c:invertIfNegative val="0"/>
          <c:cat>
            <c:numRef>
              <c:f>Sheet2!$C$13:$CC$13</c:f>
              <c:numCache>
                <c:formatCode>mmm\-yy</c:formatCode>
                <c:ptCount val="79"/>
                <c:pt idx="0">
                  <c:v>42005</c:v>
                </c:pt>
                <c:pt idx="1">
                  <c:v>42036</c:v>
                </c:pt>
                <c:pt idx="2">
                  <c:v>42064</c:v>
                </c:pt>
                <c:pt idx="3">
                  <c:v>42095</c:v>
                </c:pt>
                <c:pt idx="4">
                  <c:v>42125</c:v>
                </c:pt>
                <c:pt idx="5">
                  <c:v>42156</c:v>
                </c:pt>
                <c:pt idx="6">
                  <c:v>42186</c:v>
                </c:pt>
                <c:pt idx="7">
                  <c:v>42217</c:v>
                </c:pt>
                <c:pt idx="8">
                  <c:v>42248</c:v>
                </c:pt>
                <c:pt idx="9">
                  <c:v>42278</c:v>
                </c:pt>
                <c:pt idx="10">
                  <c:v>42309</c:v>
                </c:pt>
                <c:pt idx="11">
                  <c:v>42339</c:v>
                </c:pt>
                <c:pt idx="12">
                  <c:v>42370</c:v>
                </c:pt>
                <c:pt idx="13">
                  <c:v>42401</c:v>
                </c:pt>
                <c:pt idx="14">
                  <c:v>42430</c:v>
                </c:pt>
                <c:pt idx="15">
                  <c:v>42461</c:v>
                </c:pt>
                <c:pt idx="16">
                  <c:v>42491</c:v>
                </c:pt>
                <c:pt idx="17">
                  <c:v>42522</c:v>
                </c:pt>
                <c:pt idx="18">
                  <c:v>42552</c:v>
                </c:pt>
                <c:pt idx="19">
                  <c:v>42583</c:v>
                </c:pt>
                <c:pt idx="20">
                  <c:v>42614</c:v>
                </c:pt>
                <c:pt idx="21">
                  <c:v>42644</c:v>
                </c:pt>
                <c:pt idx="22">
                  <c:v>42675</c:v>
                </c:pt>
                <c:pt idx="23">
                  <c:v>42705</c:v>
                </c:pt>
                <c:pt idx="24">
                  <c:v>42736</c:v>
                </c:pt>
                <c:pt idx="25">
                  <c:v>42767</c:v>
                </c:pt>
                <c:pt idx="26">
                  <c:v>42795</c:v>
                </c:pt>
                <c:pt idx="27">
                  <c:v>42826</c:v>
                </c:pt>
                <c:pt idx="28">
                  <c:v>42856</c:v>
                </c:pt>
                <c:pt idx="29">
                  <c:v>42887</c:v>
                </c:pt>
                <c:pt idx="30">
                  <c:v>42917</c:v>
                </c:pt>
                <c:pt idx="31">
                  <c:v>42948</c:v>
                </c:pt>
                <c:pt idx="32">
                  <c:v>42979</c:v>
                </c:pt>
                <c:pt idx="33">
                  <c:v>43009</c:v>
                </c:pt>
                <c:pt idx="34">
                  <c:v>43040</c:v>
                </c:pt>
                <c:pt idx="35">
                  <c:v>43070</c:v>
                </c:pt>
                <c:pt idx="36">
                  <c:v>43101</c:v>
                </c:pt>
                <c:pt idx="37">
                  <c:v>43132</c:v>
                </c:pt>
                <c:pt idx="38">
                  <c:v>43160</c:v>
                </c:pt>
                <c:pt idx="39">
                  <c:v>43191</c:v>
                </c:pt>
                <c:pt idx="40">
                  <c:v>43221</c:v>
                </c:pt>
                <c:pt idx="41">
                  <c:v>43252</c:v>
                </c:pt>
                <c:pt idx="42">
                  <c:v>43282</c:v>
                </c:pt>
                <c:pt idx="43">
                  <c:v>43313</c:v>
                </c:pt>
                <c:pt idx="44">
                  <c:v>43344</c:v>
                </c:pt>
                <c:pt idx="45">
                  <c:v>43374</c:v>
                </c:pt>
                <c:pt idx="46">
                  <c:v>43405</c:v>
                </c:pt>
                <c:pt idx="47">
                  <c:v>43435</c:v>
                </c:pt>
                <c:pt idx="48">
                  <c:v>43466</c:v>
                </c:pt>
                <c:pt idx="49">
                  <c:v>43497</c:v>
                </c:pt>
                <c:pt idx="50">
                  <c:v>43525</c:v>
                </c:pt>
                <c:pt idx="51">
                  <c:v>43556</c:v>
                </c:pt>
                <c:pt idx="52">
                  <c:v>43586</c:v>
                </c:pt>
                <c:pt idx="53">
                  <c:v>43617</c:v>
                </c:pt>
                <c:pt idx="54">
                  <c:v>43647</c:v>
                </c:pt>
                <c:pt idx="55">
                  <c:v>43678</c:v>
                </c:pt>
                <c:pt idx="56">
                  <c:v>43709</c:v>
                </c:pt>
                <c:pt idx="57">
                  <c:v>43739</c:v>
                </c:pt>
                <c:pt idx="58">
                  <c:v>43770</c:v>
                </c:pt>
                <c:pt idx="59">
                  <c:v>43800</c:v>
                </c:pt>
                <c:pt idx="60">
                  <c:v>43831</c:v>
                </c:pt>
                <c:pt idx="61">
                  <c:v>43862</c:v>
                </c:pt>
                <c:pt idx="62">
                  <c:v>43891</c:v>
                </c:pt>
                <c:pt idx="63">
                  <c:v>43922</c:v>
                </c:pt>
                <c:pt idx="64">
                  <c:v>43952</c:v>
                </c:pt>
                <c:pt idx="65">
                  <c:v>43983</c:v>
                </c:pt>
                <c:pt idx="66">
                  <c:v>44013</c:v>
                </c:pt>
                <c:pt idx="67">
                  <c:v>44044</c:v>
                </c:pt>
                <c:pt idx="68">
                  <c:v>44075</c:v>
                </c:pt>
                <c:pt idx="69">
                  <c:v>44105</c:v>
                </c:pt>
                <c:pt idx="70">
                  <c:v>44136</c:v>
                </c:pt>
                <c:pt idx="71">
                  <c:v>44166</c:v>
                </c:pt>
                <c:pt idx="72">
                  <c:v>44197</c:v>
                </c:pt>
                <c:pt idx="73">
                  <c:v>44228</c:v>
                </c:pt>
                <c:pt idx="74">
                  <c:v>44256</c:v>
                </c:pt>
                <c:pt idx="75">
                  <c:v>44287</c:v>
                </c:pt>
                <c:pt idx="76">
                  <c:v>44317</c:v>
                </c:pt>
                <c:pt idx="77">
                  <c:v>44348</c:v>
                </c:pt>
                <c:pt idx="78">
                  <c:v>44378</c:v>
                </c:pt>
              </c:numCache>
            </c:numRef>
          </c:cat>
          <c:val>
            <c:numRef>
              <c:f>Sheet2!$C$15:$CC$15</c:f>
              <c:numCache>
                <c:formatCode>#\ ##0.0</c:formatCode>
                <c:ptCount val="79"/>
                <c:pt idx="0">
                  <c:v>8.9</c:v>
                </c:pt>
                <c:pt idx="1">
                  <c:v>11.299999999999999</c:v>
                </c:pt>
                <c:pt idx="2">
                  <c:v>11.4</c:v>
                </c:pt>
                <c:pt idx="3">
                  <c:v>14.4</c:v>
                </c:pt>
                <c:pt idx="4">
                  <c:v>14.3</c:v>
                </c:pt>
                <c:pt idx="5">
                  <c:v>14.3</c:v>
                </c:pt>
                <c:pt idx="6">
                  <c:v>17.600000000000001</c:v>
                </c:pt>
                <c:pt idx="7">
                  <c:v>14.900000000000002</c:v>
                </c:pt>
                <c:pt idx="8">
                  <c:v>15.2</c:v>
                </c:pt>
                <c:pt idx="9">
                  <c:v>17.400000000000002</c:v>
                </c:pt>
                <c:pt idx="10">
                  <c:v>14</c:v>
                </c:pt>
                <c:pt idx="11">
                  <c:v>15.8</c:v>
                </c:pt>
                <c:pt idx="12">
                  <c:v>14.6</c:v>
                </c:pt>
                <c:pt idx="13">
                  <c:v>16.600000000000001</c:v>
                </c:pt>
                <c:pt idx="14">
                  <c:v>18.7</c:v>
                </c:pt>
                <c:pt idx="15">
                  <c:v>20.100000000000001</c:v>
                </c:pt>
                <c:pt idx="16">
                  <c:v>21.3</c:v>
                </c:pt>
                <c:pt idx="17">
                  <c:v>20.2</c:v>
                </c:pt>
                <c:pt idx="18">
                  <c:v>18.7</c:v>
                </c:pt>
                <c:pt idx="19">
                  <c:v>19.2</c:v>
                </c:pt>
                <c:pt idx="20">
                  <c:v>17.600000000000001</c:v>
                </c:pt>
                <c:pt idx="21">
                  <c:v>19</c:v>
                </c:pt>
                <c:pt idx="22">
                  <c:v>18.600000000000001</c:v>
                </c:pt>
                <c:pt idx="23">
                  <c:v>19.400000000000002</c:v>
                </c:pt>
                <c:pt idx="24">
                  <c:v>20.099999999999998</c:v>
                </c:pt>
                <c:pt idx="25">
                  <c:v>18.8</c:v>
                </c:pt>
                <c:pt idx="26">
                  <c:v>22.7</c:v>
                </c:pt>
                <c:pt idx="27">
                  <c:v>21.1</c:v>
                </c:pt>
                <c:pt idx="28">
                  <c:v>22.5</c:v>
                </c:pt>
                <c:pt idx="29">
                  <c:v>21.3</c:v>
                </c:pt>
                <c:pt idx="30">
                  <c:v>21.8</c:v>
                </c:pt>
                <c:pt idx="31">
                  <c:v>23.3</c:v>
                </c:pt>
                <c:pt idx="32">
                  <c:v>18.8</c:v>
                </c:pt>
                <c:pt idx="33">
                  <c:v>18.7</c:v>
                </c:pt>
                <c:pt idx="34">
                  <c:v>17</c:v>
                </c:pt>
                <c:pt idx="35">
                  <c:v>16.200000000000003</c:v>
                </c:pt>
                <c:pt idx="36">
                  <c:v>20</c:v>
                </c:pt>
                <c:pt idx="37">
                  <c:v>16.7</c:v>
                </c:pt>
                <c:pt idx="38">
                  <c:v>18.299999999999997</c:v>
                </c:pt>
                <c:pt idx="39">
                  <c:v>19.7</c:v>
                </c:pt>
                <c:pt idx="40">
                  <c:v>21.2</c:v>
                </c:pt>
                <c:pt idx="41">
                  <c:v>20.399999999999999</c:v>
                </c:pt>
                <c:pt idx="42">
                  <c:v>22.400000000000002</c:v>
                </c:pt>
                <c:pt idx="43">
                  <c:v>23.9</c:v>
                </c:pt>
                <c:pt idx="44">
                  <c:v>20.599999999999998</c:v>
                </c:pt>
                <c:pt idx="45">
                  <c:v>24</c:v>
                </c:pt>
                <c:pt idx="46">
                  <c:v>20.2</c:v>
                </c:pt>
                <c:pt idx="47">
                  <c:v>18.600000000000001</c:v>
                </c:pt>
                <c:pt idx="48">
                  <c:v>17.900000000000002</c:v>
                </c:pt>
                <c:pt idx="49">
                  <c:v>17</c:v>
                </c:pt>
                <c:pt idx="50">
                  <c:v>19.399999999999999</c:v>
                </c:pt>
                <c:pt idx="51">
                  <c:v>21</c:v>
                </c:pt>
                <c:pt idx="52">
                  <c:v>23.599999999999998</c:v>
                </c:pt>
                <c:pt idx="53">
                  <c:v>20.599999999999998</c:v>
                </c:pt>
                <c:pt idx="54">
                  <c:v>19.100000000000001</c:v>
                </c:pt>
                <c:pt idx="55">
                  <c:v>18.3</c:v>
                </c:pt>
                <c:pt idx="56">
                  <c:v>17.700000000000003</c:v>
                </c:pt>
                <c:pt idx="57">
                  <c:v>20.5</c:v>
                </c:pt>
                <c:pt idx="58">
                  <c:v>18.400000000000002</c:v>
                </c:pt>
                <c:pt idx="59">
                  <c:v>15.399999999999999</c:v>
                </c:pt>
                <c:pt idx="60">
                  <c:v>15.2</c:v>
                </c:pt>
                <c:pt idx="61">
                  <c:v>15.2</c:v>
                </c:pt>
                <c:pt idx="62">
                  <c:v>13.8</c:v>
                </c:pt>
                <c:pt idx="63">
                  <c:v>8</c:v>
                </c:pt>
                <c:pt idx="64">
                  <c:v>12.2</c:v>
                </c:pt>
                <c:pt idx="65">
                  <c:v>13.7</c:v>
                </c:pt>
                <c:pt idx="66">
                  <c:v>16.3</c:v>
                </c:pt>
                <c:pt idx="67">
                  <c:v>16.5</c:v>
                </c:pt>
                <c:pt idx="68">
                  <c:v>18.5</c:v>
                </c:pt>
                <c:pt idx="69">
                  <c:v>15.900000000000002</c:v>
                </c:pt>
                <c:pt idx="70">
                  <c:v>13.499999999999998</c:v>
                </c:pt>
                <c:pt idx="71">
                  <c:v>12.4</c:v>
                </c:pt>
                <c:pt idx="72">
                  <c:v>11.3</c:v>
                </c:pt>
                <c:pt idx="73">
                  <c:v>11.700000000000001</c:v>
                </c:pt>
                <c:pt idx="74">
                  <c:v>16.299999999999997</c:v>
                </c:pt>
                <c:pt idx="75">
                  <c:v>17.899999999999999</c:v>
                </c:pt>
                <c:pt idx="76">
                  <c:v>17.600000000000001</c:v>
                </c:pt>
                <c:pt idx="77">
                  <c:v>17.400000000000002</c:v>
                </c:pt>
                <c:pt idx="78">
                  <c:v>19.7</c:v>
                </c:pt>
              </c:numCache>
            </c:numRef>
          </c:val>
          <c:extLst>
            <c:ext xmlns:c16="http://schemas.microsoft.com/office/drawing/2014/chart" uri="{C3380CC4-5D6E-409C-BE32-E72D297353CC}">
              <c16:uniqueId val="{00000001-73B9-4758-B3CA-E4FDC92297FA}"/>
            </c:ext>
          </c:extLst>
        </c:ser>
        <c:ser>
          <c:idx val="2"/>
          <c:order val="2"/>
          <c:tx>
            <c:strRef>
              <c:f>Sheet2!$B$16</c:f>
              <c:strCache>
                <c:ptCount val="1"/>
                <c:pt idx="0">
                  <c:v> pārējie kredīti mājsaimniecībām</c:v>
                </c:pt>
              </c:strCache>
            </c:strRef>
          </c:tx>
          <c:spPr>
            <a:solidFill>
              <a:schemeClr val="accent3"/>
            </a:solidFill>
            <a:ln>
              <a:noFill/>
            </a:ln>
            <a:effectLst/>
          </c:spPr>
          <c:invertIfNegative val="0"/>
          <c:cat>
            <c:numRef>
              <c:f>Sheet2!$C$13:$CC$13</c:f>
              <c:numCache>
                <c:formatCode>mmm\-yy</c:formatCode>
                <c:ptCount val="79"/>
                <c:pt idx="0">
                  <c:v>42005</c:v>
                </c:pt>
                <c:pt idx="1">
                  <c:v>42036</c:v>
                </c:pt>
                <c:pt idx="2">
                  <c:v>42064</c:v>
                </c:pt>
                <c:pt idx="3">
                  <c:v>42095</c:v>
                </c:pt>
                <c:pt idx="4">
                  <c:v>42125</c:v>
                </c:pt>
                <c:pt idx="5">
                  <c:v>42156</c:v>
                </c:pt>
                <c:pt idx="6">
                  <c:v>42186</c:v>
                </c:pt>
                <c:pt idx="7">
                  <c:v>42217</c:v>
                </c:pt>
                <c:pt idx="8">
                  <c:v>42248</c:v>
                </c:pt>
                <c:pt idx="9">
                  <c:v>42278</c:v>
                </c:pt>
                <c:pt idx="10">
                  <c:v>42309</c:v>
                </c:pt>
                <c:pt idx="11">
                  <c:v>42339</c:v>
                </c:pt>
                <c:pt idx="12">
                  <c:v>42370</c:v>
                </c:pt>
                <c:pt idx="13">
                  <c:v>42401</c:v>
                </c:pt>
                <c:pt idx="14">
                  <c:v>42430</c:v>
                </c:pt>
                <c:pt idx="15">
                  <c:v>42461</c:v>
                </c:pt>
                <c:pt idx="16">
                  <c:v>42491</c:v>
                </c:pt>
                <c:pt idx="17">
                  <c:v>42522</c:v>
                </c:pt>
                <c:pt idx="18">
                  <c:v>42552</c:v>
                </c:pt>
                <c:pt idx="19">
                  <c:v>42583</c:v>
                </c:pt>
                <c:pt idx="20">
                  <c:v>42614</c:v>
                </c:pt>
                <c:pt idx="21">
                  <c:v>42644</c:v>
                </c:pt>
                <c:pt idx="22">
                  <c:v>42675</c:v>
                </c:pt>
                <c:pt idx="23">
                  <c:v>42705</c:v>
                </c:pt>
                <c:pt idx="24">
                  <c:v>42736</c:v>
                </c:pt>
                <c:pt idx="25">
                  <c:v>42767</c:v>
                </c:pt>
                <c:pt idx="26">
                  <c:v>42795</c:v>
                </c:pt>
                <c:pt idx="27">
                  <c:v>42826</c:v>
                </c:pt>
                <c:pt idx="28">
                  <c:v>42856</c:v>
                </c:pt>
                <c:pt idx="29">
                  <c:v>42887</c:v>
                </c:pt>
                <c:pt idx="30">
                  <c:v>42917</c:v>
                </c:pt>
                <c:pt idx="31">
                  <c:v>42948</c:v>
                </c:pt>
                <c:pt idx="32">
                  <c:v>42979</c:v>
                </c:pt>
                <c:pt idx="33">
                  <c:v>43009</c:v>
                </c:pt>
                <c:pt idx="34">
                  <c:v>43040</c:v>
                </c:pt>
                <c:pt idx="35">
                  <c:v>43070</c:v>
                </c:pt>
                <c:pt idx="36">
                  <c:v>43101</c:v>
                </c:pt>
                <c:pt idx="37">
                  <c:v>43132</c:v>
                </c:pt>
                <c:pt idx="38">
                  <c:v>43160</c:v>
                </c:pt>
                <c:pt idx="39">
                  <c:v>43191</c:v>
                </c:pt>
                <c:pt idx="40">
                  <c:v>43221</c:v>
                </c:pt>
                <c:pt idx="41">
                  <c:v>43252</c:v>
                </c:pt>
                <c:pt idx="42">
                  <c:v>43282</c:v>
                </c:pt>
                <c:pt idx="43">
                  <c:v>43313</c:v>
                </c:pt>
                <c:pt idx="44">
                  <c:v>43344</c:v>
                </c:pt>
                <c:pt idx="45">
                  <c:v>43374</c:v>
                </c:pt>
                <c:pt idx="46">
                  <c:v>43405</c:v>
                </c:pt>
                <c:pt idx="47">
                  <c:v>43435</c:v>
                </c:pt>
                <c:pt idx="48">
                  <c:v>43466</c:v>
                </c:pt>
                <c:pt idx="49">
                  <c:v>43497</c:v>
                </c:pt>
                <c:pt idx="50">
                  <c:v>43525</c:v>
                </c:pt>
                <c:pt idx="51">
                  <c:v>43556</c:v>
                </c:pt>
                <c:pt idx="52">
                  <c:v>43586</c:v>
                </c:pt>
                <c:pt idx="53">
                  <c:v>43617</c:v>
                </c:pt>
                <c:pt idx="54">
                  <c:v>43647</c:v>
                </c:pt>
                <c:pt idx="55">
                  <c:v>43678</c:v>
                </c:pt>
                <c:pt idx="56">
                  <c:v>43709</c:v>
                </c:pt>
                <c:pt idx="57">
                  <c:v>43739</c:v>
                </c:pt>
                <c:pt idx="58">
                  <c:v>43770</c:v>
                </c:pt>
                <c:pt idx="59">
                  <c:v>43800</c:v>
                </c:pt>
                <c:pt idx="60">
                  <c:v>43831</c:v>
                </c:pt>
                <c:pt idx="61">
                  <c:v>43862</c:v>
                </c:pt>
                <c:pt idx="62">
                  <c:v>43891</c:v>
                </c:pt>
                <c:pt idx="63">
                  <c:v>43922</c:v>
                </c:pt>
                <c:pt idx="64">
                  <c:v>43952</c:v>
                </c:pt>
                <c:pt idx="65">
                  <c:v>43983</c:v>
                </c:pt>
                <c:pt idx="66">
                  <c:v>44013</c:v>
                </c:pt>
                <c:pt idx="67">
                  <c:v>44044</c:v>
                </c:pt>
                <c:pt idx="68">
                  <c:v>44075</c:v>
                </c:pt>
                <c:pt idx="69">
                  <c:v>44105</c:v>
                </c:pt>
                <c:pt idx="70">
                  <c:v>44136</c:v>
                </c:pt>
                <c:pt idx="71">
                  <c:v>44166</c:v>
                </c:pt>
                <c:pt idx="72">
                  <c:v>44197</c:v>
                </c:pt>
                <c:pt idx="73">
                  <c:v>44228</c:v>
                </c:pt>
                <c:pt idx="74">
                  <c:v>44256</c:v>
                </c:pt>
                <c:pt idx="75">
                  <c:v>44287</c:v>
                </c:pt>
                <c:pt idx="76">
                  <c:v>44317</c:v>
                </c:pt>
                <c:pt idx="77">
                  <c:v>44348</c:v>
                </c:pt>
                <c:pt idx="78">
                  <c:v>44378</c:v>
                </c:pt>
              </c:numCache>
            </c:numRef>
          </c:cat>
          <c:val>
            <c:numRef>
              <c:f>Sheet2!$C$16:$CC$16</c:f>
              <c:numCache>
                <c:formatCode>#\ ##0.0</c:formatCode>
                <c:ptCount val="79"/>
                <c:pt idx="0">
                  <c:v>2.3999999999999986</c:v>
                </c:pt>
                <c:pt idx="1">
                  <c:v>3.1999999999999993</c:v>
                </c:pt>
                <c:pt idx="2">
                  <c:v>11.9</c:v>
                </c:pt>
                <c:pt idx="3">
                  <c:v>4.6000000000000005</c:v>
                </c:pt>
                <c:pt idx="4">
                  <c:v>2.2999999999999998</c:v>
                </c:pt>
                <c:pt idx="5">
                  <c:v>4.2999999999999989</c:v>
                </c:pt>
                <c:pt idx="6">
                  <c:v>4.1000000000000014</c:v>
                </c:pt>
                <c:pt idx="7">
                  <c:v>3.0000000000000009</c:v>
                </c:pt>
                <c:pt idx="8">
                  <c:v>4.6999999999999993</c:v>
                </c:pt>
                <c:pt idx="9">
                  <c:v>3.2</c:v>
                </c:pt>
                <c:pt idx="10">
                  <c:v>4.5</c:v>
                </c:pt>
                <c:pt idx="11">
                  <c:v>5.4999999999999982</c:v>
                </c:pt>
                <c:pt idx="12">
                  <c:v>3.7000000000000011</c:v>
                </c:pt>
                <c:pt idx="13">
                  <c:v>5.0999999999999996</c:v>
                </c:pt>
                <c:pt idx="14">
                  <c:v>4.9999999999999991</c:v>
                </c:pt>
                <c:pt idx="15">
                  <c:v>6.5000000000000009</c:v>
                </c:pt>
                <c:pt idx="16">
                  <c:v>2.9000000000000004</c:v>
                </c:pt>
                <c:pt idx="17">
                  <c:v>3.8999999999999995</c:v>
                </c:pt>
                <c:pt idx="18">
                  <c:v>5</c:v>
                </c:pt>
                <c:pt idx="19">
                  <c:v>5.1999999999999993</c:v>
                </c:pt>
                <c:pt idx="20">
                  <c:v>3.7</c:v>
                </c:pt>
                <c:pt idx="21">
                  <c:v>13</c:v>
                </c:pt>
                <c:pt idx="22">
                  <c:v>5.8999999999999995</c:v>
                </c:pt>
                <c:pt idx="23">
                  <c:v>21.9</c:v>
                </c:pt>
                <c:pt idx="24">
                  <c:v>2.5999999999999996</c:v>
                </c:pt>
                <c:pt idx="25">
                  <c:v>1.5999999999999996</c:v>
                </c:pt>
                <c:pt idx="26">
                  <c:v>3.8000000000000007</c:v>
                </c:pt>
                <c:pt idx="27">
                  <c:v>3.9999999999999996</c:v>
                </c:pt>
                <c:pt idx="28">
                  <c:v>4.2000000000000011</c:v>
                </c:pt>
                <c:pt idx="29">
                  <c:v>6.3</c:v>
                </c:pt>
                <c:pt idx="30">
                  <c:v>2.9</c:v>
                </c:pt>
                <c:pt idx="31">
                  <c:v>5.2</c:v>
                </c:pt>
                <c:pt idx="32">
                  <c:v>5.4</c:v>
                </c:pt>
                <c:pt idx="33">
                  <c:v>4.3000000000000007</c:v>
                </c:pt>
                <c:pt idx="34">
                  <c:v>4.5999999999999979</c:v>
                </c:pt>
                <c:pt idx="35">
                  <c:v>7.1999999999999993</c:v>
                </c:pt>
                <c:pt idx="36">
                  <c:v>3.8000000000000003</c:v>
                </c:pt>
                <c:pt idx="37">
                  <c:v>3.1000000000000005</c:v>
                </c:pt>
                <c:pt idx="38">
                  <c:v>3.3999999999999986</c:v>
                </c:pt>
                <c:pt idx="39">
                  <c:v>6.2</c:v>
                </c:pt>
                <c:pt idx="40">
                  <c:v>8.1999999999999993</c:v>
                </c:pt>
                <c:pt idx="41">
                  <c:v>7.5</c:v>
                </c:pt>
                <c:pt idx="42">
                  <c:v>4.4000000000000004</c:v>
                </c:pt>
                <c:pt idx="43">
                  <c:v>6</c:v>
                </c:pt>
                <c:pt idx="44">
                  <c:v>3.2999999999999989</c:v>
                </c:pt>
                <c:pt idx="45">
                  <c:v>8.5</c:v>
                </c:pt>
                <c:pt idx="46">
                  <c:v>5.3000000000000007</c:v>
                </c:pt>
                <c:pt idx="47">
                  <c:v>6.6999999999999993</c:v>
                </c:pt>
                <c:pt idx="48">
                  <c:v>4.7</c:v>
                </c:pt>
                <c:pt idx="49">
                  <c:v>4.0999999999999996</c:v>
                </c:pt>
                <c:pt idx="50">
                  <c:v>5.6000000000000005</c:v>
                </c:pt>
                <c:pt idx="51">
                  <c:v>5.0999999999999979</c:v>
                </c:pt>
                <c:pt idx="52">
                  <c:v>5.2</c:v>
                </c:pt>
                <c:pt idx="53">
                  <c:v>5.5</c:v>
                </c:pt>
                <c:pt idx="54">
                  <c:v>5.3999999999999986</c:v>
                </c:pt>
                <c:pt idx="55">
                  <c:v>4.6000000000000014</c:v>
                </c:pt>
                <c:pt idx="56">
                  <c:v>6.8999999999999986</c:v>
                </c:pt>
                <c:pt idx="57">
                  <c:v>5.9</c:v>
                </c:pt>
                <c:pt idx="58">
                  <c:v>7.3999999999999995</c:v>
                </c:pt>
                <c:pt idx="59">
                  <c:v>6.1</c:v>
                </c:pt>
                <c:pt idx="60">
                  <c:v>3.5999999999999996</c:v>
                </c:pt>
                <c:pt idx="61">
                  <c:v>5</c:v>
                </c:pt>
                <c:pt idx="62">
                  <c:v>4.5</c:v>
                </c:pt>
                <c:pt idx="63">
                  <c:v>8.6999999999999993</c:v>
                </c:pt>
                <c:pt idx="64">
                  <c:v>6.7999999999999989</c:v>
                </c:pt>
                <c:pt idx="65">
                  <c:v>4.3999999999999995</c:v>
                </c:pt>
                <c:pt idx="66">
                  <c:v>6</c:v>
                </c:pt>
                <c:pt idx="67">
                  <c:v>8.3000000000000007</c:v>
                </c:pt>
                <c:pt idx="68">
                  <c:v>11.4</c:v>
                </c:pt>
                <c:pt idx="69">
                  <c:v>4.7000000000000011</c:v>
                </c:pt>
                <c:pt idx="70">
                  <c:v>3.0000000000000009</c:v>
                </c:pt>
                <c:pt idx="71">
                  <c:v>4.2</c:v>
                </c:pt>
                <c:pt idx="72">
                  <c:v>3.1999999999999993</c:v>
                </c:pt>
                <c:pt idx="73">
                  <c:v>4</c:v>
                </c:pt>
                <c:pt idx="74">
                  <c:v>5.5</c:v>
                </c:pt>
                <c:pt idx="75">
                  <c:v>3.3000000000000007</c:v>
                </c:pt>
                <c:pt idx="76">
                  <c:v>3.3999999999999995</c:v>
                </c:pt>
                <c:pt idx="77">
                  <c:v>3.2</c:v>
                </c:pt>
                <c:pt idx="78">
                  <c:v>3.5999999999999996</c:v>
                </c:pt>
              </c:numCache>
            </c:numRef>
          </c:val>
          <c:extLst>
            <c:ext xmlns:c16="http://schemas.microsoft.com/office/drawing/2014/chart" uri="{C3380CC4-5D6E-409C-BE32-E72D297353CC}">
              <c16:uniqueId val="{00000002-73B9-4758-B3CA-E4FDC92297FA}"/>
            </c:ext>
          </c:extLst>
        </c:ser>
        <c:ser>
          <c:idx val="3"/>
          <c:order val="3"/>
          <c:tx>
            <c:strRef>
              <c:f>Sheet2!$B$17</c:f>
              <c:strCache>
                <c:ptCount val="1"/>
                <c:pt idx="0">
                  <c:v> kredīti nefinanšu sabiedrībām</c:v>
                </c:pt>
              </c:strCache>
            </c:strRef>
          </c:tx>
          <c:spPr>
            <a:solidFill>
              <a:schemeClr val="accent4"/>
            </a:solidFill>
            <a:ln>
              <a:noFill/>
            </a:ln>
            <a:effectLst/>
          </c:spPr>
          <c:invertIfNegative val="0"/>
          <c:cat>
            <c:numRef>
              <c:f>Sheet2!$C$13:$CC$13</c:f>
              <c:numCache>
                <c:formatCode>mmm\-yy</c:formatCode>
                <c:ptCount val="79"/>
                <c:pt idx="0">
                  <c:v>42005</c:v>
                </c:pt>
                <c:pt idx="1">
                  <c:v>42036</c:v>
                </c:pt>
                <c:pt idx="2">
                  <c:v>42064</c:v>
                </c:pt>
                <c:pt idx="3">
                  <c:v>42095</c:v>
                </c:pt>
                <c:pt idx="4">
                  <c:v>42125</c:v>
                </c:pt>
                <c:pt idx="5">
                  <c:v>42156</c:v>
                </c:pt>
                <c:pt idx="6">
                  <c:v>42186</c:v>
                </c:pt>
                <c:pt idx="7">
                  <c:v>42217</c:v>
                </c:pt>
                <c:pt idx="8">
                  <c:v>42248</c:v>
                </c:pt>
                <c:pt idx="9">
                  <c:v>42278</c:v>
                </c:pt>
                <c:pt idx="10">
                  <c:v>42309</c:v>
                </c:pt>
                <c:pt idx="11">
                  <c:v>42339</c:v>
                </c:pt>
                <c:pt idx="12">
                  <c:v>42370</c:v>
                </c:pt>
                <c:pt idx="13">
                  <c:v>42401</c:v>
                </c:pt>
                <c:pt idx="14">
                  <c:v>42430</c:v>
                </c:pt>
                <c:pt idx="15">
                  <c:v>42461</c:v>
                </c:pt>
                <c:pt idx="16">
                  <c:v>42491</c:v>
                </c:pt>
                <c:pt idx="17">
                  <c:v>42522</c:v>
                </c:pt>
                <c:pt idx="18">
                  <c:v>42552</c:v>
                </c:pt>
                <c:pt idx="19">
                  <c:v>42583</c:v>
                </c:pt>
                <c:pt idx="20">
                  <c:v>42614</c:v>
                </c:pt>
                <c:pt idx="21">
                  <c:v>42644</c:v>
                </c:pt>
                <c:pt idx="22">
                  <c:v>42675</c:v>
                </c:pt>
                <c:pt idx="23">
                  <c:v>42705</c:v>
                </c:pt>
                <c:pt idx="24">
                  <c:v>42736</c:v>
                </c:pt>
                <c:pt idx="25">
                  <c:v>42767</c:v>
                </c:pt>
                <c:pt idx="26">
                  <c:v>42795</c:v>
                </c:pt>
                <c:pt idx="27">
                  <c:v>42826</c:v>
                </c:pt>
                <c:pt idx="28">
                  <c:v>42856</c:v>
                </c:pt>
                <c:pt idx="29">
                  <c:v>42887</c:v>
                </c:pt>
                <c:pt idx="30">
                  <c:v>42917</c:v>
                </c:pt>
                <c:pt idx="31">
                  <c:v>42948</c:v>
                </c:pt>
                <c:pt idx="32">
                  <c:v>42979</c:v>
                </c:pt>
                <c:pt idx="33">
                  <c:v>43009</c:v>
                </c:pt>
                <c:pt idx="34">
                  <c:v>43040</c:v>
                </c:pt>
                <c:pt idx="35">
                  <c:v>43070</c:v>
                </c:pt>
                <c:pt idx="36">
                  <c:v>43101</c:v>
                </c:pt>
                <c:pt idx="37">
                  <c:v>43132</c:v>
                </c:pt>
                <c:pt idx="38">
                  <c:v>43160</c:v>
                </c:pt>
                <c:pt idx="39">
                  <c:v>43191</c:v>
                </c:pt>
                <c:pt idx="40">
                  <c:v>43221</c:v>
                </c:pt>
                <c:pt idx="41">
                  <c:v>43252</c:v>
                </c:pt>
                <c:pt idx="42">
                  <c:v>43282</c:v>
                </c:pt>
                <c:pt idx="43">
                  <c:v>43313</c:v>
                </c:pt>
                <c:pt idx="44">
                  <c:v>43344</c:v>
                </c:pt>
                <c:pt idx="45">
                  <c:v>43374</c:v>
                </c:pt>
                <c:pt idx="46">
                  <c:v>43405</c:v>
                </c:pt>
                <c:pt idx="47">
                  <c:v>43435</c:v>
                </c:pt>
                <c:pt idx="48">
                  <c:v>43466</c:v>
                </c:pt>
                <c:pt idx="49">
                  <c:v>43497</c:v>
                </c:pt>
                <c:pt idx="50">
                  <c:v>43525</c:v>
                </c:pt>
                <c:pt idx="51">
                  <c:v>43556</c:v>
                </c:pt>
                <c:pt idx="52">
                  <c:v>43586</c:v>
                </c:pt>
                <c:pt idx="53">
                  <c:v>43617</c:v>
                </c:pt>
                <c:pt idx="54">
                  <c:v>43647</c:v>
                </c:pt>
                <c:pt idx="55">
                  <c:v>43678</c:v>
                </c:pt>
                <c:pt idx="56">
                  <c:v>43709</c:v>
                </c:pt>
                <c:pt idx="57">
                  <c:v>43739</c:v>
                </c:pt>
                <c:pt idx="58">
                  <c:v>43770</c:v>
                </c:pt>
                <c:pt idx="59">
                  <c:v>43800</c:v>
                </c:pt>
                <c:pt idx="60">
                  <c:v>43831</c:v>
                </c:pt>
                <c:pt idx="61">
                  <c:v>43862</c:v>
                </c:pt>
                <c:pt idx="62">
                  <c:v>43891</c:v>
                </c:pt>
                <c:pt idx="63">
                  <c:v>43922</c:v>
                </c:pt>
                <c:pt idx="64">
                  <c:v>43952</c:v>
                </c:pt>
                <c:pt idx="65">
                  <c:v>43983</c:v>
                </c:pt>
                <c:pt idx="66">
                  <c:v>44013</c:v>
                </c:pt>
                <c:pt idx="67">
                  <c:v>44044</c:v>
                </c:pt>
                <c:pt idx="68">
                  <c:v>44075</c:v>
                </c:pt>
                <c:pt idx="69">
                  <c:v>44105</c:v>
                </c:pt>
                <c:pt idx="70">
                  <c:v>44136</c:v>
                </c:pt>
                <c:pt idx="71">
                  <c:v>44166</c:v>
                </c:pt>
                <c:pt idx="72">
                  <c:v>44197</c:v>
                </c:pt>
                <c:pt idx="73">
                  <c:v>44228</c:v>
                </c:pt>
                <c:pt idx="74">
                  <c:v>44256</c:v>
                </c:pt>
                <c:pt idx="75">
                  <c:v>44287</c:v>
                </c:pt>
                <c:pt idx="76">
                  <c:v>44317</c:v>
                </c:pt>
                <c:pt idx="77">
                  <c:v>44348</c:v>
                </c:pt>
                <c:pt idx="78">
                  <c:v>44378</c:v>
                </c:pt>
              </c:numCache>
            </c:numRef>
          </c:cat>
          <c:val>
            <c:numRef>
              <c:f>Sheet2!$C$17:$CC$17</c:f>
              <c:numCache>
                <c:formatCode>#\ ##0.0</c:formatCode>
                <c:ptCount val="79"/>
                <c:pt idx="0">
                  <c:v>25.799999999999997</c:v>
                </c:pt>
                <c:pt idx="1">
                  <c:v>128.19999999999999</c:v>
                </c:pt>
                <c:pt idx="2">
                  <c:v>95.100000000000023</c:v>
                </c:pt>
                <c:pt idx="3">
                  <c:v>50.600000000000023</c:v>
                </c:pt>
                <c:pt idx="4">
                  <c:v>175.7</c:v>
                </c:pt>
                <c:pt idx="5">
                  <c:v>83.399999999999977</c:v>
                </c:pt>
                <c:pt idx="6">
                  <c:v>108.5</c:v>
                </c:pt>
                <c:pt idx="7">
                  <c:v>81.600000000000023</c:v>
                </c:pt>
                <c:pt idx="8">
                  <c:v>104.49999999999997</c:v>
                </c:pt>
                <c:pt idx="9">
                  <c:v>66.7</c:v>
                </c:pt>
                <c:pt idx="10">
                  <c:v>96.9</c:v>
                </c:pt>
                <c:pt idx="11">
                  <c:v>101.5</c:v>
                </c:pt>
                <c:pt idx="12">
                  <c:v>97.199999999999989</c:v>
                </c:pt>
                <c:pt idx="13">
                  <c:v>113.50000000000003</c:v>
                </c:pt>
                <c:pt idx="14">
                  <c:v>116.80000000000001</c:v>
                </c:pt>
                <c:pt idx="15">
                  <c:v>156.39999999999998</c:v>
                </c:pt>
                <c:pt idx="16">
                  <c:v>195.80000000000007</c:v>
                </c:pt>
                <c:pt idx="17">
                  <c:v>108.00000000000003</c:v>
                </c:pt>
                <c:pt idx="18">
                  <c:v>141.79999999999998</c:v>
                </c:pt>
                <c:pt idx="19">
                  <c:v>121.60000000000002</c:v>
                </c:pt>
                <c:pt idx="20">
                  <c:v>149.69999999999999</c:v>
                </c:pt>
                <c:pt idx="21">
                  <c:v>183.90000000000003</c:v>
                </c:pt>
                <c:pt idx="22">
                  <c:v>101.80000000000001</c:v>
                </c:pt>
                <c:pt idx="23">
                  <c:v>134.30000000000001</c:v>
                </c:pt>
                <c:pt idx="24">
                  <c:v>72.599999999999994</c:v>
                </c:pt>
                <c:pt idx="25">
                  <c:v>145.30000000000001</c:v>
                </c:pt>
                <c:pt idx="26">
                  <c:v>123.5</c:v>
                </c:pt>
                <c:pt idx="27">
                  <c:v>114.70000000000002</c:v>
                </c:pt>
                <c:pt idx="28">
                  <c:v>118.09999999999997</c:v>
                </c:pt>
                <c:pt idx="29">
                  <c:v>93.599999999999966</c:v>
                </c:pt>
                <c:pt idx="30">
                  <c:v>142.60000000000002</c:v>
                </c:pt>
                <c:pt idx="31">
                  <c:v>171.6</c:v>
                </c:pt>
                <c:pt idx="32">
                  <c:v>114.40000000000003</c:v>
                </c:pt>
                <c:pt idx="33">
                  <c:v>121.79999999999995</c:v>
                </c:pt>
                <c:pt idx="34">
                  <c:v>111.89999999999998</c:v>
                </c:pt>
                <c:pt idx="35">
                  <c:v>233.29999999999995</c:v>
                </c:pt>
                <c:pt idx="36">
                  <c:v>94.699999999999989</c:v>
                </c:pt>
                <c:pt idx="37">
                  <c:v>56.199999999999989</c:v>
                </c:pt>
                <c:pt idx="38">
                  <c:v>95.599999999999966</c:v>
                </c:pt>
                <c:pt idx="39">
                  <c:v>66.399999999999977</c:v>
                </c:pt>
                <c:pt idx="40">
                  <c:v>69.699999999999989</c:v>
                </c:pt>
                <c:pt idx="41">
                  <c:v>177.39999999999998</c:v>
                </c:pt>
                <c:pt idx="42">
                  <c:v>61.399999999999977</c:v>
                </c:pt>
                <c:pt idx="43">
                  <c:v>90.6</c:v>
                </c:pt>
                <c:pt idx="44">
                  <c:v>47.199999999999989</c:v>
                </c:pt>
                <c:pt idx="45">
                  <c:v>102.70000000000002</c:v>
                </c:pt>
                <c:pt idx="46">
                  <c:v>143.5</c:v>
                </c:pt>
                <c:pt idx="47">
                  <c:v>302.40000000000003</c:v>
                </c:pt>
                <c:pt idx="48">
                  <c:v>53</c:v>
                </c:pt>
                <c:pt idx="49">
                  <c:v>87.600000000000023</c:v>
                </c:pt>
                <c:pt idx="50">
                  <c:v>118.60000000000002</c:v>
                </c:pt>
                <c:pt idx="51">
                  <c:v>78.800000000000011</c:v>
                </c:pt>
                <c:pt idx="52">
                  <c:v>132.39999999999998</c:v>
                </c:pt>
                <c:pt idx="53">
                  <c:v>76.699999999999989</c:v>
                </c:pt>
                <c:pt idx="54">
                  <c:v>94</c:v>
                </c:pt>
                <c:pt idx="55">
                  <c:v>49.300000000000011</c:v>
                </c:pt>
                <c:pt idx="56">
                  <c:v>112.10000000000002</c:v>
                </c:pt>
                <c:pt idx="57">
                  <c:v>94.9</c:v>
                </c:pt>
                <c:pt idx="58">
                  <c:v>18.099999999999994</c:v>
                </c:pt>
                <c:pt idx="59">
                  <c:v>82.800000000000011</c:v>
                </c:pt>
                <c:pt idx="60">
                  <c:v>72.599999999999994</c:v>
                </c:pt>
                <c:pt idx="61">
                  <c:v>128.70000000000002</c:v>
                </c:pt>
                <c:pt idx="62">
                  <c:v>139</c:v>
                </c:pt>
                <c:pt idx="63">
                  <c:v>33.299999999999955</c:v>
                </c:pt>
                <c:pt idx="64">
                  <c:v>16.800000000000011</c:v>
                </c:pt>
                <c:pt idx="65">
                  <c:v>165</c:v>
                </c:pt>
                <c:pt idx="66">
                  <c:v>48.399999999999977</c:v>
                </c:pt>
                <c:pt idx="67">
                  <c:v>50.199999999999989</c:v>
                </c:pt>
                <c:pt idx="68">
                  <c:v>69</c:v>
                </c:pt>
                <c:pt idx="69">
                  <c:v>76.5</c:v>
                </c:pt>
                <c:pt idx="70">
                  <c:v>101.39999999999998</c:v>
                </c:pt>
                <c:pt idx="71">
                  <c:v>91.599999999999966</c:v>
                </c:pt>
                <c:pt idx="72">
                  <c:v>53.299999999999955</c:v>
                </c:pt>
                <c:pt idx="73">
                  <c:v>43.299999999999955</c:v>
                </c:pt>
                <c:pt idx="74">
                  <c:v>156.30000000000001</c:v>
                </c:pt>
                <c:pt idx="75">
                  <c:v>117</c:v>
                </c:pt>
                <c:pt idx="76">
                  <c:v>71.300000000000068</c:v>
                </c:pt>
                <c:pt idx="77">
                  <c:v>38</c:v>
                </c:pt>
                <c:pt idx="78">
                  <c:v>93.800000000000011</c:v>
                </c:pt>
              </c:numCache>
            </c:numRef>
          </c:val>
          <c:extLst>
            <c:ext xmlns:c16="http://schemas.microsoft.com/office/drawing/2014/chart" uri="{C3380CC4-5D6E-409C-BE32-E72D297353CC}">
              <c16:uniqueId val="{00000003-73B9-4758-B3CA-E4FDC92297FA}"/>
            </c:ext>
          </c:extLst>
        </c:ser>
        <c:dLbls>
          <c:showLegendKey val="0"/>
          <c:showVal val="0"/>
          <c:showCatName val="0"/>
          <c:showSerName val="0"/>
          <c:showPercent val="0"/>
          <c:showBubbleSize val="0"/>
        </c:dLbls>
        <c:gapWidth val="50"/>
        <c:overlap val="100"/>
        <c:axId val="1602556559"/>
        <c:axId val="1602560719"/>
      </c:barChart>
      <c:catAx>
        <c:axId val="1602556559"/>
        <c:scaling>
          <c:orientation val="minMax"/>
        </c:scaling>
        <c:delete val="0"/>
        <c:axPos val="b"/>
        <c:majorGridlines>
          <c:spPr>
            <a:ln w="9525" cap="flat" cmpd="sng" algn="ctr">
              <a:solidFill>
                <a:schemeClr val="tx1">
                  <a:lumMod val="15000"/>
                  <a:lumOff val="85000"/>
                </a:schemeClr>
              </a:solidFill>
              <a:round/>
            </a:ln>
            <a:effectLst/>
          </c:spPr>
        </c:majorGridlines>
        <c:numFmt formatCode="mmm\-yy" sourceLinked="1"/>
        <c:majorTickMark val="out"/>
        <c:minorTickMark val="none"/>
        <c:tickLblPos val="nextTo"/>
        <c:spPr>
          <a:noFill/>
          <a:ln w="9525" cap="flat" cmpd="sng" algn="ctr">
            <a:solidFill>
              <a:schemeClr val="tx1">
                <a:lumMod val="15000"/>
                <a:lumOff val="85000"/>
              </a:schemeClr>
            </a:solidFill>
            <a:round/>
          </a:ln>
          <a:effectLst/>
        </c:spPr>
        <c:txPr>
          <a:bodyPr rot="-5400000" spcFirstLastPara="1" vertOverflow="ellipsis"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v-LV"/>
          </a:p>
        </c:txPr>
        <c:crossAx val="1602560719"/>
        <c:crosses val="autoZero"/>
        <c:auto val="0"/>
        <c:lblAlgn val="ctr"/>
        <c:lblOffset val="100"/>
        <c:tickLblSkip val="6"/>
        <c:tickMarkSkip val="12"/>
        <c:noMultiLvlLbl val="1"/>
      </c:catAx>
      <c:valAx>
        <c:axId val="1602560719"/>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v-LV"/>
          </a:p>
        </c:txPr>
        <c:crossAx val="1602556559"/>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v-LV"/>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sz="900">
          <a:solidFill>
            <a:sysClr val="windowText" lastClr="000000"/>
          </a:solidFill>
          <a:latin typeface="Times New Roman" panose="02020603050405020304" pitchFamily="18" charset="0"/>
          <a:cs typeface="Times New Roman" panose="02020603050405020304" pitchFamily="18" charset="0"/>
        </a:defRPr>
      </a:pPr>
      <a:endParaRPr lang="lv-LV"/>
    </a:p>
  </c:txPr>
  <c:externalData r:id="rId3">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23717891513560804"/>
          <c:y val="0.1214653984387036"/>
          <c:w val="0.45897572178477691"/>
          <c:h val="0.87853460156129637"/>
        </c:manualLayout>
      </c:layout>
      <c:pieChart>
        <c:varyColors val="1"/>
        <c:ser>
          <c:idx val="0"/>
          <c:order val="0"/>
          <c:spPr>
            <a:pattFill prst="dkUpDiag">
              <a:fgClr>
                <a:schemeClr val="accent1"/>
              </a:fgClr>
              <a:bgClr>
                <a:schemeClr val="bg1"/>
              </a:bgClr>
            </a:pattFill>
          </c:spPr>
          <c:dPt>
            <c:idx val="0"/>
            <c:bubble3D val="0"/>
            <c:spPr>
              <a:pattFill prst="dkUpDiag">
                <a:fgClr>
                  <a:schemeClr val="accent6">
                    <a:lumMod val="60000"/>
                    <a:lumOff val="40000"/>
                  </a:schemeClr>
                </a:fgClr>
                <a:bgClr>
                  <a:schemeClr val="bg1"/>
                </a:bgClr>
              </a:pattFill>
              <a:ln w="19050">
                <a:solidFill>
                  <a:schemeClr val="lt1"/>
                </a:solidFill>
              </a:ln>
              <a:effectLst/>
            </c:spPr>
            <c:extLst>
              <c:ext xmlns:c16="http://schemas.microsoft.com/office/drawing/2014/chart" uri="{C3380CC4-5D6E-409C-BE32-E72D297353CC}">
                <c16:uniqueId val="{00000001-7E88-4D4E-AB9D-5836C435B7A7}"/>
              </c:ext>
            </c:extLst>
          </c:dPt>
          <c:dPt>
            <c:idx val="1"/>
            <c:bubble3D val="0"/>
            <c:spPr>
              <a:pattFill prst="dkUpDiag">
                <a:fgClr>
                  <a:schemeClr val="accent1"/>
                </a:fgClr>
                <a:bgClr>
                  <a:schemeClr val="bg1"/>
                </a:bgClr>
              </a:pattFill>
              <a:ln w="19050">
                <a:solidFill>
                  <a:schemeClr val="lt1"/>
                </a:solidFill>
              </a:ln>
              <a:effectLst/>
            </c:spPr>
            <c:extLst>
              <c:ext xmlns:c16="http://schemas.microsoft.com/office/drawing/2014/chart" uri="{C3380CC4-5D6E-409C-BE32-E72D297353CC}">
                <c16:uniqueId val="{00000003-7E88-4D4E-AB9D-5836C435B7A7}"/>
              </c:ext>
            </c:extLst>
          </c:dPt>
          <c:dPt>
            <c:idx val="2"/>
            <c:bubble3D val="0"/>
            <c:spPr>
              <a:solidFill>
                <a:schemeClr val="bg1">
                  <a:lumMod val="75000"/>
                </a:schemeClr>
              </a:solidFill>
              <a:ln w="19050">
                <a:solidFill>
                  <a:schemeClr val="lt1"/>
                </a:solidFill>
              </a:ln>
              <a:effectLst/>
            </c:spPr>
            <c:extLst>
              <c:ext xmlns:c16="http://schemas.microsoft.com/office/drawing/2014/chart" uri="{C3380CC4-5D6E-409C-BE32-E72D297353CC}">
                <c16:uniqueId val="{00000005-7E88-4D4E-AB9D-5836C435B7A7}"/>
              </c:ext>
            </c:extLst>
          </c:dPt>
          <c:dLbls>
            <c:dLbl>
              <c:idx val="0"/>
              <c:layout>
                <c:manualLayout>
                  <c:x val="4.3855643044619426E-2"/>
                  <c:y val="-7.5435645591205414E-2"/>
                </c:manualLayout>
              </c:layout>
              <c:dLblPos val="bestFit"/>
              <c:showLegendKey val="0"/>
              <c:showVal val="1"/>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1-7E88-4D4E-AB9D-5836C435B7A7}"/>
                </c:ext>
              </c:extLst>
            </c:dLbl>
            <c:dLbl>
              <c:idx val="1"/>
              <c:layout>
                <c:manualLayout>
                  <c:x val="-6.6877734033245848E-3"/>
                  <c:y val="5.8543338743069877E-3"/>
                </c:manualLayout>
              </c:layout>
              <c:dLblPos val="bestFit"/>
              <c:showLegendKey val="0"/>
              <c:showVal val="1"/>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3-7E88-4D4E-AB9D-5836C435B7A7}"/>
                </c:ext>
              </c:extLst>
            </c:dLbl>
            <c:dLbl>
              <c:idx val="2"/>
              <c:layout>
                <c:manualLayout>
                  <c:x val="2.6730971128608925E-2"/>
                  <c:y val="2.1441972661484857E-2"/>
                </c:manualLayout>
              </c:layout>
              <c:dLblPos val="bestFit"/>
              <c:showLegendKey val="0"/>
              <c:showVal val="1"/>
              <c:showCatName val="1"/>
              <c:showSerName val="0"/>
              <c:showPercent val="0"/>
              <c:showBubbleSize val="0"/>
              <c:extLst>
                <c:ext xmlns:c15="http://schemas.microsoft.com/office/drawing/2012/chart" uri="{CE6537A1-D6FC-4f65-9D91-7224C49458BB}">
                  <c15:layout>
                    <c:manualLayout>
                      <c:w val="0.21869444444444444"/>
                      <c:h val="0.12699008308764406"/>
                    </c:manualLayout>
                  </c15:layout>
                </c:ext>
                <c:ext xmlns:c16="http://schemas.microsoft.com/office/drawing/2014/chart" uri="{C3380CC4-5D6E-409C-BE32-E72D297353CC}">
                  <c16:uniqueId val="{00000005-7E88-4D4E-AB9D-5836C435B7A7}"/>
                </c:ext>
              </c:extLst>
            </c:dLbl>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v-LV"/>
              </a:p>
            </c:txPr>
            <c:dLblPos val="bestFit"/>
            <c:showLegendKey val="0"/>
            <c:showVal val="1"/>
            <c:showCatName val="1"/>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'Lauksaimniecība(A)'!$B$8:$B$10</c:f>
              <c:strCache>
                <c:ptCount val="3"/>
                <c:pt idx="0">
                  <c:v>Lauksaimniecība (lopkopība un augkopība)</c:v>
                </c:pt>
                <c:pt idx="1">
                  <c:v>Mežsaimniecība un mežizstrāde</c:v>
                </c:pt>
                <c:pt idx="2">
                  <c:v>Zivsaimniecība</c:v>
                </c:pt>
              </c:strCache>
            </c:strRef>
          </c:cat>
          <c:val>
            <c:numRef>
              <c:f>'Lauksaimniecība(A)'!$N$8:$N$10</c:f>
              <c:numCache>
                <c:formatCode>0%</c:formatCode>
                <c:ptCount val="3"/>
                <c:pt idx="0">
                  <c:v>0.51884544289657875</c:v>
                </c:pt>
                <c:pt idx="1">
                  <c:v>0.45408943266362833</c:v>
                </c:pt>
                <c:pt idx="2">
                  <c:v>2.706512443979292E-2</c:v>
                </c:pt>
              </c:numCache>
            </c:numRef>
          </c:val>
          <c:extLst>
            <c:ext xmlns:c16="http://schemas.microsoft.com/office/drawing/2014/chart" uri="{C3380CC4-5D6E-409C-BE32-E72D297353CC}">
              <c16:uniqueId val="{00000006-7E88-4D4E-AB9D-5836C435B7A7}"/>
            </c:ext>
          </c:extLst>
        </c:ser>
        <c:dLbls>
          <c:dLblPos val="bestFit"/>
          <c:showLegendKey val="0"/>
          <c:showVal val="1"/>
          <c:showCatName val="0"/>
          <c:showSerName val="0"/>
          <c:showPercent val="0"/>
          <c:showBubbleSize val="0"/>
          <c:showLeaderLines val="1"/>
        </c:dLbls>
        <c:firstSliceAng val="0"/>
      </c:pieChart>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900">
          <a:solidFill>
            <a:sysClr val="windowText" lastClr="000000"/>
          </a:solidFill>
          <a:latin typeface="Times New Roman" panose="02020603050405020304" pitchFamily="18" charset="0"/>
          <a:cs typeface="Times New Roman" panose="02020603050405020304" pitchFamily="18" charset="0"/>
        </a:defRPr>
      </a:pPr>
      <a:endParaRPr lang="lv-LV"/>
    </a:p>
  </c:txPr>
  <c:externalData r:id="rId4">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areaChart>
        <c:grouping val="standard"/>
        <c:varyColors val="0"/>
        <c:ser>
          <c:idx val="0"/>
          <c:order val="0"/>
          <c:tx>
            <c:strRef>
              <c:f>Kopā!$B$3</c:f>
              <c:strCache>
                <c:ptCount val="1"/>
                <c:pt idx="0">
                  <c:v>Lauksaimniecības produkcija kopā</c:v>
                </c:pt>
              </c:strCache>
            </c:strRef>
          </c:tx>
          <c:spPr>
            <a:pattFill prst="dkUpDiag">
              <a:fgClr>
                <a:schemeClr val="tx1">
                  <a:lumMod val="50000"/>
                  <a:lumOff val="50000"/>
                </a:schemeClr>
              </a:fgClr>
              <a:bgClr>
                <a:schemeClr val="bg1"/>
              </a:bgClr>
            </a:pattFill>
            <a:ln>
              <a:noFill/>
            </a:ln>
            <a:effectLst/>
          </c:spPr>
          <c:cat>
            <c:strRef>
              <c:f>Kopā!$A$10:$A$15</c:f>
              <c:strCache>
                <c:ptCount val="6"/>
                <c:pt idx="0">
                  <c:v>2015</c:v>
                </c:pt>
                <c:pt idx="1">
                  <c:v>2016</c:v>
                </c:pt>
                <c:pt idx="2">
                  <c:v>2017</c:v>
                </c:pt>
                <c:pt idx="3">
                  <c:v>2018</c:v>
                </c:pt>
                <c:pt idx="4">
                  <c:v>2019</c:v>
                </c:pt>
                <c:pt idx="5">
                  <c:v>2020</c:v>
                </c:pt>
              </c:strCache>
            </c:strRef>
          </c:cat>
          <c:val>
            <c:numRef>
              <c:f>Kopā!$B$10:$B$15</c:f>
              <c:numCache>
                <c:formatCode>0.0</c:formatCode>
                <c:ptCount val="6"/>
                <c:pt idx="0">
                  <c:v>100</c:v>
                </c:pt>
                <c:pt idx="1">
                  <c:v>94.2</c:v>
                </c:pt>
                <c:pt idx="2">
                  <c:v>95.4</c:v>
                </c:pt>
                <c:pt idx="3">
                  <c:v>85</c:v>
                </c:pt>
                <c:pt idx="4" formatCode="General">
                  <c:v>103.7</c:v>
                </c:pt>
                <c:pt idx="5" formatCode="General">
                  <c:v>106.6</c:v>
                </c:pt>
              </c:numCache>
            </c:numRef>
          </c:val>
          <c:extLst>
            <c:ext xmlns:c16="http://schemas.microsoft.com/office/drawing/2014/chart" uri="{C3380CC4-5D6E-409C-BE32-E72D297353CC}">
              <c16:uniqueId val="{00000000-DB4A-4444-A8EC-DB2957F206F6}"/>
            </c:ext>
          </c:extLst>
        </c:ser>
        <c:dLbls>
          <c:showLegendKey val="0"/>
          <c:showVal val="0"/>
          <c:showCatName val="0"/>
          <c:showSerName val="0"/>
          <c:showPercent val="0"/>
          <c:showBubbleSize val="0"/>
        </c:dLbls>
        <c:axId val="962158304"/>
        <c:axId val="962144160"/>
      </c:areaChart>
      <c:lineChart>
        <c:grouping val="standard"/>
        <c:varyColors val="0"/>
        <c:ser>
          <c:idx val="1"/>
          <c:order val="1"/>
          <c:tx>
            <c:strRef>
              <c:f>Kopā!$C$3</c:f>
              <c:strCache>
                <c:ptCount val="1"/>
                <c:pt idx="0">
                  <c:v>Augkopība</c:v>
                </c:pt>
              </c:strCache>
            </c:strRef>
          </c:tx>
          <c:spPr>
            <a:ln w="28575" cap="rnd">
              <a:solidFill>
                <a:srgbClr val="0070C0"/>
              </a:solidFill>
              <a:round/>
            </a:ln>
            <a:effectLst/>
          </c:spPr>
          <c:marker>
            <c:symbol val="diamond"/>
            <c:size val="8"/>
            <c:spPr>
              <a:solidFill>
                <a:srgbClr val="0070C0"/>
              </a:solidFill>
              <a:ln w="9525">
                <a:solidFill>
                  <a:srgbClr val="0070C0"/>
                </a:solidFill>
              </a:ln>
              <a:effectLst/>
            </c:spPr>
          </c:marker>
          <c:cat>
            <c:strRef>
              <c:f>Kopā!$A$10:$A$15</c:f>
              <c:strCache>
                <c:ptCount val="6"/>
                <c:pt idx="0">
                  <c:v>2015</c:v>
                </c:pt>
                <c:pt idx="1">
                  <c:v>2016</c:v>
                </c:pt>
                <c:pt idx="2">
                  <c:v>2017</c:v>
                </c:pt>
                <c:pt idx="3">
                  <c:v>2018</c:v>
                </c:pt>
                <c:pt idx="4">
                  <c:v>2019</c:v>
                </c:pt>
                <c:pt idx="5">
                  <c:v>2020</c:v>
                </c:pt>
              </c:strCache>
            </c:strRef>
          </c:cat>
          <c:val>
            <c:numRef>
              <c:f>Kopā!$C$10:$C$15</c:f>
              <c:numCache>
                <c:formatCode>0.0</c:formatCode>
                <c:ptCount val="6"/>
                <c:pt idx="0">
                  <c:v>100</c:v>
                </c:pt>
                <c:pt idx="1">
                  <c:v>90.1</c:v>
                </c:pt>
                <c:pt idx="2">
                  <c:v>90.9</c:v>
                </c:pt>
                <c:pt idx="3">
                  <c:v>74</c:v>
                </c:pt>
                <c:pt idx="4" formatCode="General">
                  <c:v>103.5</c:v>
                </c:pt>
                <c:pt idx="5" formatCode="General">
                  <c:v>108.7</c:v>
                </c:pt>
              </c:numCache>
            </c:numRef>
          </c:val>
          <c:smooth val="1"/>
          <c:extLst>
            <c:ext xmlns:c16="http://schemas.microsoft.com/office/drawing/2014/chart" uri="{C3380CC4-5D6E-409C-BE32-E72D297353CC}">
              <c16:uniqueId val="{00000001-DB4A-4444-A8EC-DB2957F206F6}"/>
            </c:ext>
          </c:extLst>
        </c:ser>
        <c:ser>
          <c:idx val="2"/>
          <c:order val="2"/>
          <c:tx>
            <c:strRef>
              <c:f>Kopā!$D$3</c:f>
              <c:strCache>
                <c:ptCount val="1"/>
                <c:pt idx="0">
                  <c:v>Lopkopība</c:v>
                </c:pt>
              </c:strCache>
            </c:strRef>
          </c:tx>
          <c:spPr>
            <a:ln w="28575" cap="rnd">
              <a:solidFill>
                <a:srgbClr val="00B050"/>
              </a:solidFill>
              <a:round/>
            </a:ln>
            <a:effectLst/>
          </c:spPr>
          <c:marker>
            <c:symbol val="diamond"/>
            <c:size val="9"/>
            <c:spPr>
              <a:solidFill>
                <a:srgbClr val="00B050"/>
              </a:solidFill>
              <a:ln w="9525">
                <a:noFill/>
              </a:ln>
              <a:effectLst/>
            </c:spPr>
          </c:marker>
          <c:cat>
            <c:strRef>
              <c:f>Kopā!$A$10:$A$15</c:f>
              <c:strCache>
                <c:ptCount val="6"/>
                <c:pt idx="0">
                  <c:v>2015</c:v>
                </c:pt>
                <c:pt idx="1">
                  <c:v>2016</c:v>
                </c:pt>
                <c:pt idx="2">
                  <c:v>2017</c:v>
                </c:pt>
                <c:pt idx="3">
                  <c:v>2018</c:v>
                </c:pt>
                <c:pt idx="4">
                  <c:v>2019</c:v>
                </c:pt>
                <c:pt idx="5">
                  <c:v>2020</c:v>
                </c:pt>
              </c:strCache>
            </c:strRef>
          </c:cat>
          <c:val>
            <c:numRef>
              <c:f>Kopā!$D$10:$D$15</c:f>
              <c:numCache>
                <c:formatCode>0.0</c:formatCode>
                <c:ptCount val="6"/>
                <c:pt idx="0">
                  <c:v>100</c:v>
                </c:pt>
                <c:pt idx="1">
                  <c:v>98.5</c:v>
                </c:pt>
                <c:pt idx="2">
                  <c:v>103.4</c:v>
                </c:pt>
                <c:pt idx="3">
                  <c:v>102.7</c:v>
                </c:pt>
                <c:pt idx="4" formatCode="General">
                  <c:v>103.2</c:v>
                </c:pt>
                <c:pt idx="5" formatCode="General">
                  <c:v>102.4</c:v>
                </c:pt>
              </c:numCache>
            </c:numRef>
          </c:val>
          <c:smooth val="1"/>
          <c:extLst>
            <c:ext xmlns:c16="http://schemas.microsoft.com/office/drawing/2014/chart" uri="{C3380CC4-5D6E-409C-BE32-E72D297353CC}">
              <c16:uniqueId val="{00000002-DB4A-4444-A8EC-DB2957F206F6}"/>
            </c:ext>
          </c:extLst>
        </c:ser>
        <c:dLbls>
          <c:showLegendKey val="0"/>
          <c:showVal val="0"/>
          <c:showCatName val="0"/>
          <c:showSerName val="0"/>
          <c:showPercent val="0"/>
          <c:showBubbleSize val="0"/>
        </c:dLbls>
        <c:marker val="1"/>
        <c:smooth val="0"/>
        <c:axId val="962158304"/>
        <c:axId val="962144160"/>
      </c:lineChart>
      <c:catAx>
        <c:axId val="96215830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v-LV"/>
          </a:p>
        </c:txPr>
        <c:crossAx val="962144160"/>
        <c:crosses val="autoZero"/>
        <c:auto val="1"/>
        <c:lblAlgn val="ctr"/>
        <c:lblOffset val="100"/>
        <c:noMultiLvlLbl val="0"/>
      </c:catAx>
      <c:valAx>
        <c:axId val="962144160"/>
        <c:scaling>
          <c:orientation val="minMax"/>
          <c:min val="70"/>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v-LV"/>
          </a:p>
        </c:txPr>
        <c:crossAx val="96215830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v-LV"/>
        </a:p>
      </c:txPr>
    </c:legend>
    <c:plotVisOnly val="1"/>
    <c:dispBlanksAs val="gap"/>
    <c:showDLblsOverMax val="0"/>
  </c:chart>
  <c:spPr>
    <a:solidFill>
      <a:schemeClr val="bg1"/>
    </a:solidFill>
    <a:ln w="9525" cap="flat" cmpd="sng" algn="ctr">
      <a:noFill/>
      <a:round/>
    </a:ln>
    <a:effectLst/>
  </c:spPr>
  <c:txPr>
    <a:bodyPr/>
    <a:lstStyle/>
    <a:p>
      <a:pPr>
        <a:defRPr sz="900">
          <a:solidFill>
            <a:sysClr val="windowText" lastClr="000000"/>
          </a:solidFill>
          <a:latin typeface="Times New Roman" panose="02020603050405020304" pitchFamily="18" charset="0"/>
          <a:cs typeface="Times New Roman" panose="02020603050405020304" pitchFamily="18" charset="0"/>
        </a:defRPr>
      </a:pPr>
      <a:endParaRPr lang="lv-LV"/>
    </a:p>
  </c:txPr>
  <c:externalData r:id="rId4">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6.6592407348070176E-2"/>
          <c:y val="5.0949513663733209E-2"/>
          <c:w val="0.85597964473077992"/>
          <c:h val="0.76990732804995021"/>
        </c:manualLayout>
      </c:layout>
      <c:lineChart>
        <c:grouping val="standard"/>
        <c:varyColors val="0"/>
        <c:ser>
          <c:idx val="0"/>
          <c:order val="0"/>
          <c:tx>
            <c:strRef>
              <c:f>'Cenas eur'!$A$4</c:f>
              <c:strCache>
                <c:ptCount val="1"/>
                <c:pt idx="0">
                  <c:v>Graudi</c:v>
                </c:pt>
              </c:strCache>
            </c:strRef>
          </c:tx>
          <c:spPr>
            <a:ln w="28575" cap="rnd">
              <a:solidFill>
                <a:srgbClr val="0070C0"/>
              </a:solidFill>
              <a:round/>
            </a:ln>
            <a:effectLst/>
          </c:spPr>
          <c:marker>
            <c:symbol val="none"/>
          </c:marker>
          <c:cat>
            <c:strRef>
              <c:f>'Cenas eur'!$G$3:$Q$3</c:f>
              <c:strCache>
                <c:ptCount val="11"/>
                <c:pt idx="0">
                  <c:v>2010</c:v>
                </c:pt>
                <c:pt idx="1">
                  <c:v>2011</c:v>
                </c:pt>
                <c:pt idx="2">
                  <c:v>2012</c:v>
                </c:pt>
                <c:pt idx="3">
                  <c:v>2013</c:v>
                </c:pt>
                <c:pt idx="4">
                  <c:v>2014</c:v>
                </c:pt>
                <c:pt idx="5">
                  <c:v>2015</c:v>
                </c:pt>
                <c:pt idx="6">
                  <c:v>2016</c:v>
                </c:pt>
                <c:pt idx="7">
                  <c:v>2017</c:v>
                </c:pt>
                <c:pt idx="8">
                  <c:v>2018</c:v>
                </c:pt>
                <c:pt idx="9">
                  <c:v>2019</c:v>
                </c:pt>
                <c:pt idx="10">
                  <c:v>2020</c:v>
                </c:pt>
              </c:strCache>
            </c:strRef>
          </c:cat>
          <c:val>
            <c:numRef>
              <c:f>'Cenas eur'!$G$4:$Q$4</c:f>
              <c:numCache>
                <c:formatCode>0.00</c:formatCode>
                <c:ptCount val="11"/>
                <c:pt idx="0">
                  <c:v>150.91</c:v>
                </c:pt>
                <c:pt idx="1">
                  <c:v>191.66</c:v>
                </c:pt>
                <c:pt idx="2">
                  <c:v>207.2</c:v>
                </c:pt>
                <c:pt idx="3">
                  <c:v>177.3</c:v>
                </c:pt>
                <c:pt idx="4">
                  <c:v>148.13</c:v>
                </c:pt>
                <c:pt idx="5">
                  <c:v>144.34</c:v>
                </c:pt>
                <c:pt idx="6">
                  <c:v>132.31</c:v>
                </c:pt>
                <c:pt idx="7">
                  <c:v>145.16999999999999</c:v>
                </c:pt>
                <c:pt idx="8">
                  <c:v>168.34</c:v>
                </c:pt>
                <c:pt idx="9">
                  <c:v>158.24</c:v>
                </c:pt>
                <c:pt idx="10" formatCode="General">
                  <c:v>163.59</c:v>
                </c:pt>
              </c:numCache>
            </c:numRef>
          </c:val>
          <c:smooth val="1"/>
          <c:extLst>
            <c:ext xmlns:c16="http://schemas.microsoft.com/office/drawing/2014/chart" uri="{C3380CC4-5D6E-409C-BE32-E72D297353CC}">
              <c16:uniqueId val="{00000000-657B-4270-B452-2956C4F0428B}"/>
            </c:ext>
          </c:extLst>
        </c:ser>
        <c:ser>
          <c:idx val="2"/>
          <c:order val="2"/>
          <c:tx>
            <c:strRef>
              <c:f>'Cenas eur'!$A$44</c:f>
              <c:strCache>
                <c:ptCount val="1"/>
                <c:pt idx="0">
                  <c:v>Piens</c:v>
                </c:pt>
              </c:strCache>
            </c:strRef>
          </c:tx>
          <c:spPr>
            <a:ln w="28575" cap="rnd">
              <a:solidFill>
                <a:srgbClr val="00B050"/>
              </a:solidFill>
              <a:round/>
            </a:ln>
            <a:effectLst/>
          </c:spPr>
          <c:marker>
            <c:symbol val="none"/>
          </c:marker>
          <c:cat>
            <c:strRef>
              <c:f>'Cenas eur'!$G$3:$Q$3</c:f>
              <c:strCache>
                <c:ptCount val="11"/>
                <c:pt idx="0">
                  <c:v>2010</c:v>
                </c:pt>
                <c:pt idx="1">
                  <c:v>2011</c:v>
                </c:pt>
                <c:pt idx="2">
                  <c:v>2012</c:v>
                </c:pt>
                <c:pt idx="3">
                  <c:v>2013</c:v>
                </c:pt>
                <c:pt idx="4">
                  <c:v>2014</c:v>
                </c:pt>
                <c:pt idx="5">
                  <c:v>2015</c:v>
                </c:pt>
                <c:pt idx="6">
                  <c:v>2016</c:v>
                </c:pt>
                <c:pt idx="7">
                  <c:v>2017</c:v>
                </c:pt>
                <c:pt idx="8">
                  <c:v>2018</c:v>
                </c:pt>
                <c:pt idx="9">
                  <c:v>2019</c:v>
                </c:pt>
                <c:pt idx="10">
                  <c:v>2020</c:v>
                </c:pt>
              </c:strCache>
            </c:strRef>
          </c:cat>
          <c:val>
            <c:numRef>
              <c:f>'Cenas eur'!$G$44:$Q$44</c:f>
              <c:numCache>
                <c:formatCode>0.00</c:formatCode>
                <c:ptCount val="11"/>
                <c:pt idx="0">
                  <c:v>253.02</c:v>
                </c:pt>
                <c:pt idx="1">
                  <c:v>294.72000000000003</c:v>
                </c:pt>
                <c:pt idx="2">
                  <c:v>271.43</c:v>
                </c:pt>
                <c:pt idx="3">
                  <c:v>305.3</c:v>
                </c:pt>
                <c:pt idx="4">
                  <c:v>290.61</c:v>
                </c:pt>
                <c:pt idx="5">
                  <c:v>216.06</c:v>
                </c:pt>
                <c:pt idx="6">
                  <c:v>214.52</c:v>
                </c:pt>
                <c:pt idx="7">
                  <c:v>305.88</c:v>
                </c:pt>
                <c:pt idx="8">
                  <c:v>283.37</c:v>
                </c:pt>
                <c:pt idx="9">
                  <c:v>293.5</c:v>
                </c:pt>
                <c:pt idx="10" formatCode="General">
                  <c:v>280.93</c:v>
                </c:pt>
              </c:numCache>
            </c:numRef>
          </c:val>
          <c:smooth val="1"/>
          <c:extLst>
            <c:ext xmlns:c16="http://schemas.microsoft.com/office/drawing/2014/chart" uri="{C3380CC4-5D6E-409C-BE32-E72D297353CC}">
              <c16:uniqueId val="{00000001-657B-4270-B452-2956C4F0428B}"/>
            </c:ext>
          </c:extLst>
        </c:ser>
        <c:dLbls>
          <c:showLegendKey val="0"/>
          <c:showVal val="0"/>
          <c:showCatName val="0"/>
          <c:showSerName val="0"/>
          <c:showPercent val="0"/>
          <c:showBubbleSize val="0"/>
        </c:dLbls>
        <c:marker val="1"/>
        <c:smooth val="0"/>
        <c:axId val="956682448"/>
        <c:axId val="956676208"/>
      </c:lineChart>
      <c:lineChart>
        <c:grouping val="standard"/>
        <c:varyColors val="0"/>
        <c:ser>
          <c:idx val="1"/>
          <c:order val="1"/>
          <c:tx>
            <c:strRef>
              <c:f>'Cenas eur'!$A$39</c:f>
              <c:strCache>
                <c:ptCount val="1"/>
                <c:pt idx="0">
                  <c:v>Lauksaimniecības dzīvnieki (kautsvarā, la)</c:v>
                </c:pt>
              </c:strCache>
            </c:strRef>
          </c:tx>
          <c:spPr>
            <a:ln w="28575" cap="rnd">
              <a:solidFill>
                <a:schemeClr val="tx1">
                  <a:lumMod val="50000"/>
                  <a:lumOff val="50000"/>
                </a:schemeClr>
              </a:solidFill>
              <a:round/>
            </a:ln>
            <a:effectLst/>
          </c:spPr>
          <c:marker>
            <c:symbol val="none"/>
          </c:marker>
          <c:val>
            <c:numRef>
              <c:f>'Cenas eur'!$G$39:$Q$39</c:f>
              <c:numCache>
                <c:formatCode>0.00</c:formatCode>
                <c:ptCount val="11"/>
                <c:pt idx="0">
                  <c:v>1469.61</c:v>
                </c:pt>
                <c:pt idx="1">
                  <c:v>1654.96</c:v>
                </c:pt>
                <c:pt idx="2">
                  <c:v>1836.19</c:v>
                </c:pt>
                <c:pt idx="3">
                  <c:v>1772.47</c:v>
                </c:pt>
                <c:pt idx="4">
                  <c:v>1549.82</c:v>
                </c:pt>
                <c:pt idx="5">
                  <c:v>1455.68</c:v>
                </c:pt>
                <c:pt idx="6">
                  <c:v>1492.19</c:v>
                </c:pt>
                <c:pt idx="7">
                  <c:v>1529.48</c:v>
                </c:pt>
                <c:pt idx="8">
                  <c:v>1458.78</c:v>
                </c:pt>
                <c:pt idx="9">
                  <c:v>1577.46</c:v>
                </c:pt>
                <c:pt idx="10" formatCode="General">
                  <c:v>1509.99</c:v>
                </c:pt>
              </c:numCache>
            </c:numRef>
          </c:val>
          <c:smooth val="1"/>
          <c:extLst>
            <c:ext xmlns:c16="http://schemas.microsoft.com/office/drawing/2014/chart" uri="{C3380CC4-5D6E-409C-BE32-E72D297353CC}">
              <c16:uniqueId val="{00000002-657B-4270-B452-2956C4F0428B}"/>
            </c:ext>
          </c:extLst>
        </c:ser>
        <c:dLbls>
          <c:showLegendKey val="0"/>
          <c:showVal val="0"/>
          <c:showCatName val="0"/>
          <c:showSerName val="0"/>
          <c:showPercent val="0"/>
          <c:showBubbleSize val="0"/>
        </c:dLbls>
        <c:marker val="1"/>
        <c:smooth val="0"/>
        <c:axId val="964553984"/>
        <c:axId val="964553152"/>
      </c:lineChart>
      <c:catAx>
        <c:axId val="95668244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v-LV"/>
          </a:p>
        </c:txPr>
        <c:crossAx val="956676208"/>
        <c:crosses val="autoZero"/>
        <c:auto val="1"/>
        <c:lblAlgn val="ctr"/>
        <c:lblOffset val="100"/>
        <c:noMultiLvlLbl val="0"/>
      </c:catAx>
      <c:valAx>
        <c:axId val="956676208"/>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v-LV"/>
          </a:p>
        </c:txPr>
        <c:crossAx val="956682448"/>
        <c:crosses val="autoZero"/>
        <c:crossBetween val="between"/>
      </c:valAx>
      <c:valAx>
        <c:axId val="964553152"/>
        <c:scaling>
          <c:orientation val="minMax"/>
          <c:max val="2100"/>
          <c:min val="0"/>
        </c:scaling>
        <c:delete val="0"/>
        <c:axPos val="r"/>
        <c:numFmt formatCode="0" sourceLinked="0"/>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v-LV"/>
          </a:p>
        </c:txPr>
        <c:crossAx val="964553984"/>
        <c:crosses val="max"/>
        <c:crossBetween val="between"/>
        <c:majorUnit val="300"/>
      </c:valAx>
      <c:catAx>
        <c:axId val="964553984"/>
        <c:scaling>
          <c:orientation val="minMax"/>
        </c:scaling>
        <c:delete val="1"/>
        <c:axPos val="b"/>
        <c:majorTickMark val="out"/>
        <c:minorTickMark val="none"/>
        <c:tickLblPos val="nextTo"/>
        <c:crossAx val="964553152"/>
        <c:crosses val="autoZero"/>
        <c:auto val="1"/>
        <c:lblAlgn val="ctr"/>
        <c:lblOffset val="100"/>
        <c:noMultiLvlLbl val="0"/>
      </c:catAx>
      <c:spPr>
        <a:noFill/>
        <a:ln>
          <a:noFill/>
        </a:ln>
        <a:effectLst/>
      </c:spPr>
    </c:plotArea>
    <c:legend>
      <c:legendPos val="b"/>
      <c:layout>
        <c:manualLayout>
          <c:xMode val="edge"/>
          <c:yMode val="edge"/>
          <c:x val="0.11965944360494549"/>
          <c:y val="0.91687003232534103"/>
          <c:w val="0.75104933157133347"/>
          <c:h val="8.3129967674658953E-2"/>
        </c:manualLayout>
      </c:layout>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v-LV"/>
        </a:p>
      </c:txPr>
    </c:legend>
    <c:plotVisOnly val="1"/>
    <c:dispBlanksAs val="gap"/>
    <c:showDLblsOverMax val="0"/>
  </c:chart>
  <c:spPr>
    <a:solidFill>
      <a:schemeClr val="bg1"/>
    </a:solidFill>
    <a:ln w="9525" cap="flat" cmpd="sng" algn="ctr">
      <a:noFill/>
      <a:round/>
    </a:ln>
    <a:effectLst/>
  </c:spPr>
  <c:txPr>
    <a:bodyPr/>
    <a:lstStyle/>
    <a:p>
      <a:pPr>
        <a:defRPr sz="900">
          <a:solidFill>
            <a:sysClr val="windowText" lastClr="000000"/>
          </a:solidFill>
          <a:latin typeface="Times New Roman" panose="02020603050405020304" pitchFamily="18" charset="0"/>
          <a:cs typeface="Times New Roman" panose="02020603050405020304" pitchFamily="18" charset="0"/>
        </a:defRPr>
      </a:pPr>
      <a:endParaRPr lang="lv-LV"/>
    </a:p>
  </c:txPr>
  <c:externalData r:id="rId4">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9.0110468378184913E-2"/>
          <c:y val="1.7772497538931228E-2"/>
          <c:w val="0.8713022113022113"/>
          <c:h val="0.72896249708256045"/>
        </c:manualLayout>
      </c:layout>
      <c:barChart>
        <c:barDir val="col"/>
        <c:grouping val="stacked"/>
        <c:varyColors val="0"/>
        <c:ser>
          <c:idx val="0"/>
          <c:order val="0"/>
          <c:tx>
            <c:strRef>
              <c:f>BySource!$L$1</c:f>
              <c:strCache>
                <c:ptCount val="1"/>
                <c:pt idx="0">
                  <c:v>Pamatinflācija</c:v>
                </c:pt>
              </c:strCache>
            </c:strRef>
          </c:tx>
          <c:spPr>
            <a:solidFill>
              <a:schemeClr val="accent1">
                <a:lumMod val="75000"/>
              </a:schemeClr>
            </a:solidFill>
            <a:ln>
              <a:noFill/>
            </a:ln>
          </c:spPr>
          <c:invertIfNegative val="0"/>
          <c:cat>
            <c:multiLvlStrRef>
              <c:f>BySource!$A$194:$B$213</c:f>
              <c:multiLvlStrCache>
                <c:ptCount val="20"/>
                <c:lvl>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pt idx="19">
                    <c:v>VIII</c:v>
                  </c:pt>
                </c:lvl>
                <c:lvl>
                  <c:pt idx="0">
                    <c:v>2020</c:v>
                  </c:pt>
                  <c:pt idx="12">
                    <c:v>2021</c:v>
                  </c:pt>
                </c:lvl>
              </c:multiLvlStrCache>
            </c:multiLvlStrRef>
          </c:cat>
          <c:val>
            <c:numRef>
              <c:f>BySource!$L$194:$L$213</c:f>
              <c:numCache>
                <c:formatCode>0.000</c:formatCode>
                <c:ptCount val="20"/>
                <c:pt idx="0">
                  <c:v>1.0107503088287251</c:v>
                </c:pt>
                <c:pt idx="1">
                  <c:v>1.1137979076711841</c:v>
                </c:pt>
                <c:pt idx="2">
                  <c:v>1.0704409978083596</c:v>
                </c:pt>
                <c:pt idx="3">
                  <c:v>0.78071680565529267</c:v>
                </c:pt>
                <c:pt idx="4">
                  <c:v>0.62973515690089332</c:v>
                </c:pt>
                <c:pt idx="5">
                  <c:v>0.20707063678107751</c:v>
                </c:pt>
                <c:pt idx="6">
                  <c:v>0.87722116997585464</c:v>
                </c:pt>
                <c:pt idx="7">
                  <c:v>0.51443482582976485</c:v>
                </c:pt>
                <c:pt idx="8">
                  <c:v>0.52075662419145152</c:v>
                </c:pt>
                <c:pt idx="9">
                  <c:v>0.5239372166599704</c:v>
                </c:pt>
                <c:pt idx="10">
                  <c:v>0.35033851276238298</c:v>
                </c:pt>
                <c:pt idx="11">
                  <c:v>0.39294868412629258</c:v>
                </c:pt>
                <c:pt idx="12">
                  <c:v>0.68322731201260778</c:v>
                </c:pt>
                <c:pt idx="13">
                  <c:v>0.42634960331704458</c:v>
                </c:pt>
                <c:pt idx="14">
                  <c:v>0.30160671881522561</c:v>
                </c:pt>
                <c:pt idx="15">
                  <c:v>0.4347558791646442</c:v>
                </c:pt>
                <c:pt idx="16">
                  <c:v>0.99998552208919955</c:v>
                </c:pt>
                <c:pt idx="17">
                  <c:v>1.2931156872794756</c:v>
                </c:pt>
                <c:pt idx="18">
                  <c:v>1.0391209750663775</c:v>
                </c:pt>
                <c:pt idx="19">
                  <c:v>1.271701398531123</c:v>
                </c:pt>
              </c:numCache>
            </c:numRef>
          </c:val>
          <c:extLst>
            <c:ext xmlns:c16="http://schemas.microsoft.com/office/drawing/2014/chart" uri="{C3380CC4-5D6E-409C-BE32-E72D297353CC}">
              <c16:uniqueId val="{00000000-71C6-412F-8F26-4C3DFEAD1EBF}"/>
            </c:ext>
          </c:extLst>
        </c:ser>
        <c:ser>
          <c:idx val="2"/>
          <c:order val="1"/>
          <c:tx>
            <c:strRef>
              <c:f>BySource!$D$1</c:f>
              <c:strCache>
                <c:ptCount val="1"/>
                <c:pt idx="0">
                  <c:v>Nodokļi</c:v>
                </c:pt>
              </c:strCache>
            </c:strRef>
          </c:tx>
          <c:spPr>
            <a:solidFill>
              <a:schemeClr val="accent6"/>
            </a:solidFill>
            <a:ln>
              <a:noFill/>
            </a:ln>
          </c:spPr>
          <c:invertIfNegative val="0"/>
          <c:cat>
            <c:multiLvlStrRef>
              <c:f>BySource!$A$194:$B$213</c:f>
              <c:multiLvlStrCache>
                <c:ptCount val="20"/>
                <c:lvl>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pt idx="19">
                    <c:v>VIII</c:v>
                  </c:pt>
                </c:lvl>
                <c:lvl>
                  <c:pt idx="0">
                    <c:v>2020</c:v>
                  </c:pt>
                  <c:pt idx="12">
                    <c:v>2021</c:v>
                  </c:pt>
                </c:lvl>
              </c:multiLvlStrCache>
            </c:multiLvlStrRef>
          </c:cat>
          <c:val>
            <c:numRef>
              <c:f>BySource!$D$194:$D$213</c:f>
              <c:numCache>
                <c:formatCode>0.000</c:formatCode>
                <c:ptCount val="20"/>
                <c:pt idx="0">
                  <c:v>0.30498869670396722</c:v>
                </c:pt>
                <c:pt idx="1">
                  <c:v>0.31324070333822451</c:v>
                </c:pt>
                <c:pt idx="2">
                  <c:v>0.21457140751905968</c:v>
                </c:pt>
                <c:pt idx="3">
                  <c:v>0.21550151325480105</c:v>
                </c:pt>
                <c:pt idx="4">
                  <c:v>0.20851117028598543</c:v>
                </c:pt>
                <c:pt idx="5">
                  <c:v>0.20973803244189737</c:v>
                </c:pt>
                <c:pt idx="6">
                  <c:v>0.11981826191622691</c:v>
                </c:pt>
                <c:pt idx="7">
                  <c:v>0.31362677779549486</c:v>
                </c:pt>
                <c:pt idx="8">
                  <c:v>0.31299546957368474</c:v>
                </c:pt>
                <c:pt idx="9">
                  <c:v>0.31599063673115602</c:v>
                </c:pt>
                <c:pt idx="10">
                  <c:v>0.32600083331976171</c:v>
                </c:pt>
                <c:pt idx="11">
                  <c:v>0.32443880854737817</c:v>
                </c:pt>
                <c:pt idx="12">
                  <c:v>0.10974964262951969</c:v>
                </c:pt>
                <c:pt idx="13">
                  <c:v>0.11484444557449125</c:v>
                </c:pt>
                <c:pt idx="14">
                  <c:v>0.18118682229408822</c:v>
                </c:pt>
                <c:pt idx="15">
                  <c:v>0.18578253432404157</c:v>
                </c:pt>
                <c:pt idx="16">
                  <c:v>0.18163912588819997</c:v>
                </c:pt>
                <c:pt idx="17">
                  <c:v>0.18842440082214029</c:v>
                </c:pt>
                <c:pt idx="18">
                  <c:v>0.19532428073192332</c:v>
                </c:pt>
                <c:pt idx="19">
                  <c:v>0.18221303749672568</c:v>
                </c:pt>
              </c:numCache>
            </c:numRef>
          </c:val>
          <c:extLst>
            <c:ext xmlns:c16="http://schemas.microsoft.com/office/drawing/2014/chart" uri="{C3380CC4-5D6E-409C-BE32-E72D297353CC}">
              <c16:uniqueId val="{00000001-71C6-412F-8F26-4C3DFEAD1EBF}"/>
            </c:ext>
          </c:extLst>
        </c:ser>
        <c:ser>
          <c:idx val="1"/>
          <c:order val="2"/>
          <c:tx>
            <c:strRef>
              <c:f>BySource!$N$1</c:f>
              <c:strCache>
                <c:ptCount val="1"/>
                <c:pt idx="0">
                  <c:v>Importētā inflācija</c:v>
                </c:pt>
              </c:strCache>
            </c:strRef>
          </c:tx>
          <c:spPr>
            <a:solidFill>
              <a:srgbClr val="FFC000"/>
            </a:solidFill>
            <a:ln>
              <a:noFill/>
            </a:ln>
          </c:spPr>
          <c:invertIfNegative val="0"/>
          <c:cat>
            <c:multiLvlStrRef>
              <c:f>BySource!$A$194:$B$213</c:f>
              <c:multiLvlStrCache>
                <c:ptCount val="20"/>
                <c:lvl>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pt idx="19">
                    <c:v>VIII</c:v>
                  </c:pt>
                </c:lvl>
                <c:lvl>
                  <c:pt idx="0">
                    <c:v>2020</c:v>
                  </c:pt>
                  <c:pt idx="12">
                    <c:v>2021</c:v>
                  </c:pt>
                </c:lvl>
              </c:multiLvlStrCache>
            </c:multiLvlStrRef>
          </c:cat>
          <c:val>
            <c:numRef>
              <c:f>BySource!$N$194:$N$213</c:f>
              <c:numCache>
                <c:formatCode>0.000</c:formatCode>
                <c:ptCount val="20"/>
                <c:pt idx="0">
                  <c:v>0.88426099446730777</c:v>
                </c:pt>
                <c:pt idx="1">
                  <c:v>0.87296138899059128</c:v>
                </c:pt>
                <c:pt idx="2">
                  <c:v>0.1149875946725806</c:v>
                </c:pt>
                <c:pt idx="3">
                  <c:v>-0.99621831891009371</c:v>
                </c:pt>
                <c:pt idx="4">
                  <c:v>-1.4382463271868786</c:v>
                </c:pt>
                <c:pt idx="5">
                  <c:v>-1.1168086692229751</c:v>
                </c:pt>
                <c:pt idx="6">
                  <c:v>-0.49703943189208161</c:v>
                </c:pt>
                <c:pt idx="7">
                  <c:v>-1.0280616036252597</c:v>
                </c:pt>
                <c:pt idx="8">
                  <c:v>-1.1337520937651362</c:v>
                </c:pt>
                <c:pt idx="9">
                  <c:v>-1.5399278533911263</c:v>
                </c:pt>
                <c:pt idx="10">
                  <c:v>-1.3763393460821447</c:v>
                </c:pt>
                <c:pt idx="11">
                  <c:v>-1.2173874926736707</c:v>
                </c:pt>
                <c:pt idx="12">
                  <c:v>-1.2929769546421275</c:v>
                </c:pt>
                <c:pt idx="13">
                  <c:v>-0.74119404889153584</c:v>
                </c:pt>
                <c:pt idx="14">
                  <c:v>-0.18279354110931384</c:v>
                </c:pt>
                <c:pt idx="15">
                  <c:v>1.079461586511314</c:v>
                </c:pt>
                <c:pt idx="16">
                  <c:v>1.4183753520226006</c:v>
                </c:pt>
                <c:pt idx="17">
                  <c:v>1.2184599118983843</c:v>
                </c:pt>
                <c:pt idx="18">
                  <c:v>1.565554744201699</c:v>
                </c:pt>
                <c:pt idx="19">
                  <c:v>2.2460855639721515</c:v>
                </c:pt>
              </c:numCache>
            </c:numRef>
          </c:val>
          <c:extLst>
            <c:ext xmlns:c16="http://schemas.microsoft.com/office/drawing/2014/chart" uri="{C3380CC4-5D6E-409C-BE32-E72D297353CC}">
              <c16:uniqueId val="{00000002-71C6-412F-8F26-4C3DFEAD1EBF}"/>
            </c:ext>
          </c:extLst>
        </c:ser>
        <c:dLbls>
          <c:showLegendKey val="0"/>
          <c:showVal val="0"/>
          <c:showCatName val="0"/>
          <c:showSerName val="0"/>
          <c:showPercent val="0"/>
          <c:showBubbleSize val="0"/>
        </c:dLbls>
        <c:gapWidth val="55"/>
        <c:overlap val="100"/>
        <c:axId val="348883032"/>
        <c:axId val="348885384"/>
      </c:barChart>
      <c:lineChart>
        <c:grouping val="standard"/>
        <c:varyColors val="0"/>
        <c:ser>
          <c:idx val="3"/>
          <c:order val="3"/>
          <c:tx>
            <c:strRef>
              <c:f>BySource!$C$1</c:f>
              <c:strCache>
                <c:ptCount val="1"/>
                <c:pt idx="0">
                  <c:v>PCI</c:v>
                </c:pt>
              </c:strCache>
            </c:strRef>
          </c:tx>
          <c:spPr>
            <a:ln w="19050">
              <a:solidFill>
                <a:schemeClr val="tx1"/>
              </a:solidFill>
              <a:prstDash val="dash"/>
            </a:ln>
            <a:effectLst/>
          </c:spPr>
          <c:marker>
            <c:symbol val="none"/>
          </c:marker>
          <c:val>
            <c:numRef>
              <c:f>BySource!$C$194:$C$213</c:f>
              <c:numCache>
                <c:formatCode>0.000</c:formatCode>
                <c:ptCount val="20"/>
                <c:pt idx="0">
                  <c:v>2.2000000000000002</c:v>
                </c:pt>
                <c:pt idx="1">
                  <c:v>2.2999999999999998</c:v>
                </c:pt>
                <c:pt idx="2">
                  <c:v>1.4</c:v>
                </c:pt>
                <c:pt idx="3">
                  <c:v>0</c:v>
                </c:pt>
                <c:pt idx="4">
                  <c:v>-0.6</c:v>
                </c:pt>
                <c:pt idx="5">
                  <c:v>-0.7</c:v>
                </c:pt>
                <c:pt idx="6">
                  <c:v>0.5</c:v>
                </c:pt>
                <c:pt idx="7">
                  <c:v>-0.2</c:v>
                </c:pt>
                <c:pt idx="8">
                  <c:v>-0.3</c:v>
                </c:pt>
                <c:pt idx="9">
                  <c:v>-0.7</c:v>
                </c:pt>
                <c:pt idx="10">
                  <c:v>-0.7</c:v>
                </c:pt>
                <c:pt idx="11">
                  <c:v>-0.5</c:v>
                </c:pt>
                <c:pt idx="12">
                  <c:v>-0.5</c:v>
                </c:pt>
                <c:pt idx="13">
                  <c:v>-0.2</c:v>
                </c:pt>
                <c:pt idx="14">
                  <c:v>0.3</c:v>
                </c:pt>
                <c:pt idx="15">
                  <c:v>1.7</c:v>
                </c:pt>
                <c:pt idx="16">
                  <c:v>2.6</c:v>
                </c:pt>
                <c:pt idx="17">
                  <c:v>2.7</c:v>
                </c:pt>
                <c:pt idx="18">
                  <c:v>2.8</c:v>
                </c:pt>
                <c:pt idx="19">
                  <c:v>3.7</c:v>
                </c:pt>
              </c:numCache>
            </c:numRef>
          </c:val>
          <c:smooth val="0"/>
          <c:extLst>
            <c:ext xmlns:c16="http://schemas.microsoft.com/office/drawing/2014/chart" uri="{C3380CC4-5D6E-409C-BE32-E72D297353CC}">
              <c16:uniqueId val="{00000003-71C6-412F-8F26-4C3DFEAD1EBF}"/>
            </c:ext>
          </c:extLst>
        </c:ser>
        <c:dLbls>
          <c:showLegendKey val="0"/>
          <c:showVal val="0"/>
          <c:showCatName val="0"/>
          <c:showSerName val="0"/>
          <c:showPercent val="0"/>
          <c:showBubbleSize val="0"/>
        </c:dLbls>
        <c:marker val="1"/>
        <c:smooth val="0"/>
        <c:axId val="348883032"/>
        <c:axId val="348885384"/>
      </c:lineChart>
      <c:catAx>
        <c:axId val="348883032"/>
        <c:scaling>
          <c:orientation val="minMax"/>
        </c:scaling>
        <c:delete val="0"/>
        <c:axPos val="b"/>
        <c:numFmt formatCode="General" sourceLinked="0"/>
        <c:majorTickMark val="out"/>
        <c:minorTickMark val="none"/>
        <c:tickLblPos val="low"/>
        <c:spPr>
          <a:ln>
            <a:solidFill>
              <a:schemeClr val="tx1"/>
            </a:solidFill>
          </a:ln>
        </c:spPr>
        <c:crossAx val="348885384"/>
        <c:crosses val="autoZero"/>
        <c:auto val="1"/>
        <c:lblAlgn val="ctr"/>
        <c:lblOffset val="100"/>
        <c:tickLblSkip val="1"/>
        <c:noMultiLvlLbl val="0"/>
      </c:catAx>
      <c:valAx>
        <c:axId val="348885384"/>
        <c:scaling>
          <c:orientation val="minMax"/>
        </c:scaling>
        <c:delete val="0"/>
        <c:axPos val="l"/>
        <c:majorGridlines>
          <c:spPr>
            <a:ln>
              <a:solidFill>
                <a:schemeClr val="bg1">
                  <a:lumMod val="75000"/>
                </a:schemeClr>
              </a:solidFill>
            </a:ln>
          </c:spPr>
        </c:majorGridlines>
        <c:numFmt formatCode="0" sourceLinked="0"/>
        <c:majorTickMark val="out"/>
        <c:minorTickMark val="none"/>
        <c:tickLblPos val="nextTo"/>
        <c:spPr>
          <a:ln>
            <a:solidFill>
              <a:schemeClr val="tx1"/>
            </a:solidFill>
          </a:ln>
        </c:spPr>
        <c:crossAx val="348883032"/>
        <c:crosses val="autoZero"/>
        <c:crossBetween val="between"/>
      </c:valAx>
      <c:spPr>
        <a:noFill/>
      </c:spPr>
    </c:plotArea>
    <c:legend>
      <c:legendPos val="b"/>
      <c:layout>
        <c:manualLayout>
          <c:xMode val="edge"/>
          <c:yMode val="edge"/>
          <c:x val="0"/>
          <c:y val="0.89917052587615298"/>
          <c:w val="0.99508599508599505"/>
          <c:h val="0.10014710037220387"/>
        </c:manualLayout>
      </c:layout>
      <c:overlay val="0"/>
    </c:legend>
    <c:plotVisOnly val="1"/>
    <c:dispBlanksAs val="gap"/>
    <c:showDLblsOverMax val="0"/>
  </c:chart>
  <c:spPr>
    <a:ln>
      <a:noFill/>
    </a:ln>
  </c:spPr>
  <c:txPr>
    <a:bodyPr/>
    <a:lstStyle/>
    <a:p>
      <a:pPr>
        <a:defRPr sz="900">
          <a:latin typeface="Times New Roman" panose="02020603050405020304" pitchFamily="18" charset="0"/>
          <a:cs typeface="Times New Roman" panose="02020603050405020304" pitchFamily="18" charset="0"/>
        </a:defRPr>
      </a:pPr>
      <a:endParaRPr lang="lv-LV"/>
    </a:p>
  </c:txPr>
  <c:externalData r:id="rId1">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5.6340211123244631E-2"/>
          <c:y val="2.8368794326241134E-2"/>
          <c:w val="0.91689579860911552"/>
          <c:h val="0.7104410884809611"/>
        </c:manualLayout>
      </c:layout>
      <c:barChart>
        <c:barDir val="col"/>
        <c:grouping val="clustered"/>
        <c:varyColors val="0"/>
        <c:ser>
          <c:idx val="5"/>
          <c:order val="5"/>
          <c:tx>
            <c:strRef>
              <c:f>Sheet2!$A$10</c:f>
              <c:strCache>
                <c:ptCount val="1"/>
                <c:pt idx="0">
                  <c:v>Latvija kopā</c:v>
                </c:pt>
              </c:strCache>
            </c:strRef>
          </c:tx>
          <c:spPr>
            <a:solidFill>
              <a:srgbClr val="FF9F9F"/>
            </a:solidFill>
            <a:ln>
              <a:noFill/>
            </a:ln>
            <a:effectLst/>
          </c:spPr>
          <c:invertIfNegative val="0"/>
          <c:cat>
            <c:strRef>
              <c:f>Sheet2!$B$4:$FU$4</c:f>
              <c:strCache>
                <c:ptCount val="176"/>
                <c:pt idx="0">
                  <c:v>2007`I</c:v>
                </c:pt>
                <c:pt idx="1">
                  <c:v>II</c:v>
                </c:pt>
                <c:pt idx="2">
                  <c:v>III</c:v>
                </c:pt>
                <c:pt idx="3">
                  <c:v>IV</c:v>
                </c:pt>
                <c:pt idx="4">
                  <c:v>V</c:v>
                </c:pt>
                <c:pt idx="5">
                  <c:v>VI</c:v>
                </c:pt>
                <c:pt idx="6">
                  <c:v>VII</c:v>
                </c:pt>
                <c:pt idx="7">
                  <c:v>VIII</c:v>
                </c:pt>
                <c:pt idx="8">
                  <c:v>IX</c:v>
                </c:pt>
                <c:pt idx="9">
                  <c:v>X</c:v>
                </c:pt>
                <c:pt idx="10">
                  <c:v>XI</c:v>
                </c:pt>
                <c:pt idx="11">
                  <c:v>XII</c:v>
                </c:pt>
                <c:pt idx="12">
                  <c:v>2008`I</c:v>
                </c:pt>
                <c:pt idx="13">
                  <c:v>II</c:v>
                </c:pt>
                <c:pt idx="14">
                  <c:v>III</c:v>
                </c:pt>
                <c:pt idx="15">
                  <c:v>IV</c:v>
                </c:pt>
                <c:pt idx="16">
                  <c:v>V</c:v>
                </c:pt>
                <c:pt idx="17">
                  <c:v>VI</c:v>
                </c:pt>
                <c:pt idx="18">
                  <c:v>VII</c:v>
                </c:pt>
                <c:pt idx="19">
                  <c:v>VIII</c:v>
                </c:pt>
                <c:pt idx="20">
                  <c:v>IX</c:v>
                </c:pt>
                <c:pt idx="21">
                  <c:v>X</c:v>
                </c:pt>
                <c:pt idx="22">
                  <c:v>XI</c:v>
                </c:pt>
                <c:pt idx="23">
                  <c:v>XII</c:v>
                </c:pt>
                <c:pt idx="24">
                  <c:v>2009`I</c:v>
                </c:pt>
                <c:pt idx="25">
                  <c:v>II</c:v>
                </c:pt>
                <c:pt idx="26">
                  <c:v>III</c:v>
                </c:pt>
                <c:pt idx="27">
                  <c:v>IV</c:v>
                </c:pt>
                <c:pt idx="28">
                  <c:v>V</c:v>
                </c:pt>
                <c:pt idx="29">
                  <c:v>VI</c:v>
                </c:pt>
                <c:pt idx="30">
                  <c:v>VII</c:v>
                </c:pt>
                <c:pt idx="31">
                  <c:v>VIII</c:v>
                </c:pt>
                <c:pt idx="32">
                  <c:v>IX</c:v>
                </c:pt>
                <c:pt idx="33">
                  <c:v>X</c:v>
                </c:pt>
                <c:pt idx="34">
                  <c:v>XI</c:v>
                </c:pt>
                <c:pt idx="35">
                  <c:v>XII</c:v>
                </c:pt>
                <c:pt idx="36">
                  <c:v>2010`I</c:v>
                </c:pt>
                <c:pt idx="37">
                  <c:v>II</c:v>
                </c:pt>
                <c:pt idx="38">
                  <c:v>III</c:v>
                </c:pt>
                <c:pt idx="39">
                  <c:v>IV</c:v>
                </c:pt>
                <c:pt idx="40">
                  <c:v>V</c:v>
                </c:pt>
                <c:pt idx="41">
                  <c:v>VI</c:v>
                </c:pt>
                <c:pt idx="42">
                  <c:v>VII</c:v>
                </c:pt>
                <c:pt idx="43">
                  <c:v>VIII</c:v>
                </c:pt>
                <c:pt idx="44">
                  <c:v>IX</c:v>
                </c:pt>
                <c:pt idx="45">
                  <c:v>X</c:v>
                </c:pt>
                <c:pt idx="46">
                  <c:v>XI</c:v>
                </c:pt>
                <c:pt idx="47">
                  <c:v>XII</c:v>
                </c:pt>
                <c:pt idx="48">
                  <c:v>2011`I</c:v>
                </c:pt>
                <c:pt idx="49">
                  <c:v>II</c:v>
                </c:pt>
                <c:pt idx="50">
                  <c:v>III</c:v>
                </c:pt>
                <c:pt idx="51">
                  <c:v>IV</c:v>
                </c:pt>
                <c:pt idx="52">
                  <c:v>V</c:v>
                </c:pt>
                <c:pt idx="53">
                  <c:v>VI</c:v>
                </c:pt>
                <c:pt idx="54">
                  <c:v>VII</c:v>
                </c:pt>
                <c:pt idx="55">
                  <c:v>VIII</c:v>
                </c:pt>
                <c:pt idx="56">
                  <c:v>IX</c:v>
                </c:pt>
                <c:pt idx="57">
                  <c:v>X</c:v>
                </c:pt>
                <c:pt idx="58">
                  <c:v>XI</c:v>
                </c:pt>
                <c:pt idx="59">
                  <c:v>XII</c:v>
                </c:pt>
                <c:pt idx="60">
                  <c:v>2012`I</c:v>
                </c:pt>
                <c:pt idx="61">
                  <c:v>II</c:v>
                </c:pt>
                <c:pt idx="62">
                  <c:v>III</c:v>
                </c:pt>
                <c:pt idx="63">
                  <c:v>IV</c:v>
                </c:pt>
                <c:pt idx="64">
                  <c:v>V</c:v>
                </c:pt>
                <c:pt idx="65">
                  <c:v>VI</c:v>
                </c:pt>
                <c:pt idx="66">
                  <c:v>VII</c:v>
                </c:pt>
                <c:pt idx="67">
                  <c:v>VIII</c:v>
                </c:pt>
                <c:pt idx="68">
                  <c:v>IX</c:v>
                </c:pt>
                <c:pt idx="69">
                  <c:v>X</c:v>
                </c:pt>
                <c:pt idx="70">
                  <c:v>XI</c:v>
                </c:pt>
                <c:pt idx="71">
                  <c:v>XII</c:v>
                </c:pt>
                <c:pt idx="72">
                  <c:v>2013`I</c:v>
                </c:pt>
                <c:pt idx="73">
                  <c:v>II</c:v>
                </c:pt>
                <c:pt idx="74">
                  <c:v>III</c:v>
                </c:pt>
                <c:pt idx="75">
                  <c:v>IV</c:v>
                </c:pt>
                <c:pt idx="76">
                  <c:v>V</c:v>
                </c:pt>
                <c:pt idx="77">
                  <c:v>VI</c:v>
                </c:pt>
                <c:pt idx="78">
                  <c:v>VII</c:v>
                </c:pt>
                <c:pt idx="79">
                  <c:v>VIII</c:v>
                </c:pt>
                <c:pt idx="80">
                  <c:v>IX</c:v>
                </c:pt>
                <c:pt idx="81">
                  <c:v>X</c:v>
                </c:pt>
                <c:pt idx="82">
                  <c:v>XI</c:v>
                </c:pt>
                <c:pt idx="83">
                  <c:v>XII</c:v>
                </c:pt>
                <c:pt idx="84">
                  <c:v>2014`I</c:v>
                </c:pt>
                <c:pt idx="85">
                  <c:v>II</c:v>
                </c:pt>
                <c:pt idx="86">
                  <c:v>III</c:v>
                </c:pt>
                <c:pt idx="87">
                  <c:v>IV</c:v>
                </c:pt>
                <c:pt idx="88">
                  <c:v>V</c:v>
                </c:pt>
                <c:pt idx="89">
                  <c:v>VI</c:v>
                </c:pt>
                <c:pt idx="90">
                  <c:v>VII</c:v>
                </c:pt>
                <c:pt idx="91">
                  <c:v>VIII</c:v>
                </c:pt>
                <c:pt idx="92">
                  <c:v>IX</c:v>
                </c:pt>
                <c:pt idx="93">
                  <c:v>X</c:v>
                </c:pt>
                <c:pt idx="94">
                  <c:v>XI</c:v>
                </c:pt>
                <c:pt idx="95">
                  <c:v>XII</c:v>
                </c:pt>
                <c:pt idx="96">
                  <c:v>2015`I</c:v>
                </c:pt>
                <c:pt idx="97">
                  <c:v>II</c:v>
                </c:pt>
                <c:pt idx="98">
                  <c:v>III</c:v>
                </c:pt>
                <c:pt idx="99">
                  <c:v>IV</c:v>
                </c:pt>
                <c:pt idx="100">
                  <c:v>V</c:v>
                </c:pt>
                <c:pt idx="101">
                  <c:v>VI</c:v>
                </c:pt>
                <c:pt idx="102">
                  <c:v>VII</c:v>
                </c:pt>
                <c:pt idx="103">
                  <c:v>VIII</c:v>
                </c:pt>
                <c:pt idx="104">
                  <c:v>IX</c:v>
                </c:pt>
                <c:pt idx="105">
                  <c:v>X</c:v>
                </c:pt>
                <c:pt idx="106">
                  <c:v>XI</c:v>
                </c:pt>
                <c:pt idx="107">
                  <c:v>XII</c:v>
                </c:pt>
                <c:pt idx="108">
                  <c:v>2016`I</c:v>
                </c:pt>
                <c:pt idx="109">
                  <c:v>II</c:v>
                </c:pt>
                <c:pt idx="110">
                  <c:v>III</c:v>
                </c:pt>
                <c:pt idx="111">
                  <c:v>IV</c:v>
                </c:pt>
                <c:pt idx="112">
                  <c:v>V</c:v>
                </c:pt>
                <c:pt idx="113">
                  <c:v>VI</c:v>
                </c:pt>
                <c:pt idx="114">
                  <c:v>VII</c:v>
                </c:pt>
                <c:pt idx="115">
                  <c:v>VIII</c:v>
                </c:pt>
                <c:pt idx="116">
                  <c:v>IX</c:v>
                </c:pt>
                <c:pt idx="117">
                  <c:v>X</c:v>
                </c:pt>
                <c:pt idx="118">
                  <c:v>XI</c:v>
                </c:pt>
                <c:pt idx="119">
                  <c:v>XII</c:v>
                </c:pt>
                <c:pt idx="120">
                  <c:v>2017`I</c:v>
                </c:pt>
                <c:pt idx="121">
                  <c:v>II</c:v>
                </c:pt>
                <c:pt idx="122">
                  <c:v>III</c:v>
                </c:pt>
                <c:pt idx="123">
                  <c:v>IV</c:v>
                </c:pt>
                <c:pt idx="124">
                  <c:v>V</c:v>
                </c:pt>
                <c:pt idx="125">
                  <c:v>VI</c:v>
                </c:pt>
                <c:pt idx="126">
                  <c:v>VII</c:v>
                </c:pt>
                <c:pt idx="127">
                  <c:v>VIII</c:v>
                </c:pt>
                <c:pt idx="128">
                  <c:v>IX</c:v>
                </c:pt>
                <c:pt idx="129">
                  <c:v>X</c:v>
                </c:pt>
                <c:pt idx="130">
                  <c:v>XI</c:v>
                </c:pt>
                <c:pt idx="131">
                  <c:v>XII</c:v>
                </c:pt>
                <c:pt idx="132">
                  <c:v>2018`I</c:v>
                </c:pt>
                <c:pt idx="133">
                  <c:v>II</c:v>
                </c:pt>
                <c:pt idx="134">
                  <c:v>III</c:v>
                </c:pt>
                <c:pt idx="135">
                  <c:v>IV</c:v>
                </c:pt>
                <c:pt idx="136">
                  <c:v>V</c:v>
                </c:pt>
                <c:pt idx="137">
                  <c:v>VI</c:v>
                </c:pt>
                <c:pt idx="138">
                  <c:v>VII</c:v>
                </c:pt>
                <c:pt idx="139">
                  <c:v>VIII</c:v>
                </c:pt>
                <c:pt idx="140">
                  <c:v>IX</c:v>
                </c:pt>
                <c:pt idx="141">
                  <c:v>X</c:v>
                </c:pt>
                <c:pt idx="142">
                  <c:v>XI</c:v>
                </c:pt>
                <c:pt idx="143">
                  <c:v>XII</c:v>
                </c:pt>
                <c:pt idx="144">
                  <c:v>2019`I</c:v>
                </c:pt>
                <c:pt idx="145">
                  <c:v>II</c:v>
                </c:pt>
                <c:pt idx="146">
                  <c:v>III</c:v>
                </c:pt>
                <c:pt idx="147">
                  <c:v>IV</c:v>
                </c:pt>
                <c:pt idx="148">
                  <c:v>V</c:v>
                </c:pt>
                <c:pt idx="149">
                  <c:v>VI</c:v>
                </c:pt>
                <c:pt idx="150">
                  <c:v>VII</c:v>
                </c:pt>
                <c:pt idx="151">
                  <c:v>VIII</c:v>
                </c:pt>
                <c:pt idx="152">
                  <c:v>IX</c:v>
                </c:pt>
                <c:pt idx="153">
                  <c:v>X</c:v>
                </c:pt>
                <c:pt idx="154">
                  <c:v>XI</c:v>
                </c:pt>
                <c:pt idx="155">
                  <c:v>XII</c:v>
                </c:pt>
                <c:pt idx="156">
                  <c:v>2020`I</c:v>
                </c:pt>
                <c:pt idx="157">
                  <c:v>II</c:v>
                </c:pt>
                <c:pt idx="158">
                  <c:v>III</c:v>
                </c:pt>
                <c:pt idx="159">
                  <c:v>IV</c:v>
                </c:pt>
                <c:pt idx="160">
                  <c:v>V</c:v>
                </c:pt>
                <c:pt idx="161">
                  <c:v>VI</c:v>
                </c:pt>
                <c:pt idx="162">
                  <c:v>VII</c:v>
                </c:pt>
                <c:pt idx="163">
                  <c:v>VIII</c:v>
                </c:pt>
                <c:pt idx="164">
                  <c:v>IX</c:v>
                </c:pt>
                <c:pt idx="165">
                  <c:v>X</c:v>
                </c:pt>
                <c:pt idx="166">
                  <c:v>XI</c:v>
                </c:pt>
                <c:pt idx="167">
                  <c:v>XII</c:v>
                </c:pt>
                <c:pt idx="168">
                  <c:v>2021`I</c:v>
                </c:pt>
                <c:pt idx="169">
                  <c:v>II</c:v>
                </c:pt>
                <c:pt idx="170">
                  <c:v>III</c:v>
                </c:pt>
                <c:pt idx="171">
                  <c:v>IV</c:v>
                </c:pt>
                <c:pt idx="172">
                  <c:v>V</c:v>
                </c:pt>
                <c:pt idx="173">
                  <c:v>VI</c:v>
                </c:pt>
                <c:pt idx="174">
                  <c:v>VII</c:v>
                </c:pt>
                <c:pt idx="175">
                  <c:v>VIII</c:v>
                </c:pt>
              </c:strCache>
            </c:strRef>
          </c:cat>
          <c:val>
            <c:numRef>
              <c:f>Sheet2!$B$10:$FU$10</c:f>
              <c:numCache>
                <c:formatCode>General</c:formatCode>
                <c:ptCount val="176"/>
                <c:pt idx="0">
                  <c:v>6.5</c:v>
                </c:pt>
                <c:pt idx="1">
                  <c:v>6.5</c:v>
                </c:pt>
                <c:pt idx="2">
                  <c:v>6.3</c:v>
                </c:pt>
                <c:pt idx="3">
                  <c:v>6.1</c:v>
                </c:pt>
                <c:pt idx="4">
                  <c:v>5.9</c:v>
                </c:pt>
                <c:pt idx="5">
                  <c:v>5.8</c:v>
                </c:pt>
                <c:pt idx="6">
                  <c:v>5.7</c:v>
                </c:pt>
                <c:pt idx="7">
                  <c:v>5.4</c:v>
                </c:pt>
                <c:pt idx="8">
                  <c:v>5.0999999999999996</c:v>
                </c:pt>
                <c:pt idx="9">
                  <c:v>4.9000000000000004</c:v>
                </c:pt>
                <c:pt idx="10">
                  <c:v>4.8</c:v>
                </c:pt>
                <c:pt idx="11">
                  <c:v>4.9000000000000004</c:v>
                </c:pt>
                <c:pt idx="12">
                  <c:v>5</c:v>
                </c:pt>
                <c:pt idx="13">
                  <c:v>5</c:v>
                </c:pt>
                <c:pt idx="14">
                  <c:v>4.9000000000000004</c:v>
                </c:pt>
                <c:pt idx="15">
                  <c:v>4.8</c:v>
                </c:pt>
                <c:pt idx="16">
                  <c:v>4.8</c:v>
                </c:pt>
                <c:pt idx="17">
                  <c:v>4.9000000000000004</c:v>
                </c:pt>
                <c:pt idx="18">
                  <c:v>5.0999999999999996</c:v>
                </c:pt>
                <c:pt idx="19">
                  <c:v>5.2</c:v>
                </c:pt>
                <c:pt idx="20">
                  <c:v>5.3</c:v>
                </c:pt>
                <c:pt idx="21">
                  <c:v>5.6</c:v>
                </c:pt>
                <c:pt idx="22">
                  <c:v>6.1</c:v>
                </c:pt>
                <c:pt idx="23">
                  <c:v>7</c:v>
                </c:pt>
                <c:pt idx="24">
                  <c:v>8.3000000000000007</c:v>
                </c:pt>
                <c:pt idx="25">
                  <c:v>9.5</c:v>
                </c:pt>
                <c:pt idx="26">
                  <c:v>10.7</c:v>
                </c:pt>
                <c:pt idx="27">
                  <c:v>11</c:v>
                </c:pt>
                <c:pt idx="28">
                  <c:v>11.3</c:v>
                </c:pt>
                <c:pt idx="29">
                  <c:v>11.5</c:v>
                </c:pt>
                <c:pt idx="30">
                  <c:v>11.8</c:v>
                </c:pt>
                <c:pt idx="31">
                  <c:v>12.3</c:v>
                </c:pt>
                <c:pt idx="32">
                  <c:v>13.2</c:v>
                </c:pt>
                <c:pt idx="33">
                  <c:v>14.1</c:v>
                </c:pt>
                <c:pt idx="34">
                  <c:v>15.1</c:v>
                </c:pt>
                <c:pt idx="35">
                  <c:v>16</c:v>
                </c:pt>
                <c:pt idx="36">
                  <c:v>16.600000000000001</c:v>
                </c:pt>
                <c:pt idx="37">
                  <c:v>17.100000000000001</c:v>
                </c:pt>
                <c:pt idx="38">
                  <c:v>17.3</c:v>
                </c:pt>
                <c:pt idx="39">
                  <c:v>16.7</c:v>
                </c:pt>
                <c:pt idx="40">
                  <c:v>16.2</c:v>
                </c:pt>
                <c:pt idx="41">
                  <c:v>15.6</c:v>
                </c:pt>
                <c:pt idx="42">
                  <c:v>15.3</c:v>
                </c:pt>
                <c:pt idx="43">
                  <c:v>15</c:v>
                </c:pt>
                <c:pt idx="44">
                  <c:v>14.6</c:v>
                </c:pt>
                <c:pt idx="45">
                  <c:v>14.3</c:v>
                </c:pt>
                <c:pt idx="46">
                  <c:v>14.3</c:v>
                </c:pt>
                <c:pt idx="47">
                  <c:v>14.3</c:v>
                </c:pt>
                <c:pt idx="48">
                  <c:v>14.5</c:v>
                </c:pt>
                <c:pt idx="49">
                  <c:v>14.5</c:v>
                </c:pt>
                <c:pt idx="50">
                  <c:v>14.4</c:v>
                </c:pt>
                <c:pt idx="51">
                  <c:v>13.9</c:v>
                </c:pt>
                <c:pt idx="52">
                  <c:v>13.2</c:v>
                </c:pt>
                <c:pt idx="53">
                  <c:v>12.6</c:v>
                </c:pt>
                <c:pt idx="54">
                  <c:v>12.1</c:v>
                </c:pt>
                <c:pt idx="55">
                  <c:v>11.8</c:v>
                </c:pt>
                <c:pt idx="56">
                  <c:v>11.6</c:v>
                </c:pt>
                <c:pt idx="57">
                  <c:v>11.5</c:v>
                </c:pt>
                <c:pt idx="58">
                  <c:v>11.5</c:v>
                </c:pt>
                <c:pt idx="59">
                  <c:v>11.5</c:v>
                </c:pt>
                <c:pt idx="60">
                  <c:v>11.7</c:v>
                </c:pt>
                <c:pt idx="61">
                  <c:v>11.8</c:v>
                </c:pt>
                <c:pt idx="62">
                  <c:v>11.7</c:v>
                </c:pt>
                <c:pt idx="63">
                  <c:v>12.9</c:v>
                </c:pt>
                <c:pt idx="64">
                  <c:v>12.3</c:v>
                </c:pt>
                <c:pt idx="65">
                  <c:v>11.9</c:v>
                </c:pt>
                <c:pt idx="66">
                  <c:v>11.6</c:v>
                </c:pt>
                <c:pt idx="67">
                  <c:v>11.3</c:v>
                </c:pt>
                <c:pt idx="68">
                  <c:v>11</c:v>
                </c:pt>
                <c:pt idx="69">
                  <c:v>10.7</c:v>
                </c:pt>
                <c:pt idx="70">
                  <c:v>10.6</c:v>
                </c:pt>
                <c:pt idx="71">
                  <c:v>10.5</c:v>
                </c:pt>
                <c:pt idx="72">
                  <c:v>10.9</c:v>
                </c:pt>
                <c:pt idx="73">
                  <c:v>10.9</c:v>
                </c:pt>
                <c:pt idx="74">
                  <c:v>10.8</c:v>
                </c:pt>
                <c:pt idx="75">
                  <c:v>10.4</c:v>
                </c:pt>
                <c:pt idx="76">
                  <c:v>9.9</c:v>
                </c:pt>
                <c:pt idx="77">
                  <c:v>9.6</c:v>
                </c:pt>
                <c:pt idx="78" formatCode="#\ ##0.0">
                  <c:v>9.5</c:v>
                </c:pt>
                <c:pt idx="79">
                  <c:v>9.3000000000000007</c:v>
                </c:pt>
                <c:pt idx="80">
                  <c:v>9.1</c:v>
                </c:pt>
                <c:pt idx="81">
                  <c:v>9.1</c:v>
                </c:pt>
                <c:pt idx="82" formatCode="#\ ##0.0">
                  <c:v>9.3000000000000007</c:v>
                </c:pt>
                <c:pt idx="83">
                  <c:v>9.5</c:v>
                </c:pt>
                <c:pt idx="84" formatCode="#\ ##0.0">
                  <c:v>9.8000000000000007</c:v>
                </c:pt>
                <c:pt idx="85" formatCode="#\ ##0.0">
                  <c:v>9.9</c:v>
                </c:pt>
                <c:pt idx="86" formatCode="#\ ##0.0">
                  <c:v>9.8000000000000007</c:v>
                </c:pt>
                <c:pt idx="87" formatCode="#\ ##0.0">
                  <c:v>9.6</c:v>
                </c:pt>
                <c:pt idx="88" formatCode="#\ ##0.0">
                  <c:v>9.1</c:v>
                </c:pt>
                <c:pt idx="89" formatCode="#\ ##0.0">
                  <c:v>8.9</c:v>
                </c:pt>
                <c:pt idx="90" formatCode="#\ ##0.0">
                  <c:v>8.6</c:v>
                </c:pt>
                <c:pt idx="91" formatCode="#\ ##0.0">
                  <c:v>8.4</c:v>
                </c:pt>
                <c:pt idx="92" formatCode="#\ ##0.0">
                  <c:v>8.1999999999999993</c:v>
                </c:pt>
                <c:pt idx="93" formatCode="#\ ##0.0">
                  <c:v>8.1999999999999993</c:v>
                </c:pt>
                <c:pt idx="94" formatCode="#\ ##0.0">
                  <c:v>8.3000000000000007</c:v>
                </c:pt>
                <c:pt idx="95" formatCode="#\ ##0.0">
                  <c:v>8.5</c:v>
                </c:pt>
                <c:pt idx="96" formatCode="#\ ##0.0">
                  <c:v>9</c:v>
                </c:pt>
                <c:pt idx="97" formatCode="#\ ##0.0">
                  <c:v>9.1</c:v>
                </c:pt>
                <c:pt idx="98" formatCode="#\ ##0.0">
                  <c:v>9.1999999999999993</c:v>
                </c:pt>
                <c:pt idx="99" formatCode="#\ ##0.0">
                  <c:v>8.8000000000000007</c:v>
                </c:pt>
                <c:pt idx="100" formatCode="#\ ##0.0">
                  <c:v>8.6</c:v>
                </c:pt>
                <c:pt idx="101" formatCode="#\ ##0.0">
                  <c:v>8.6</c:v>
                </c:pt>
                <c:pt idx="102" formatCode="#\ ##0.0">
                  <c:v>8.6</c:v>
                </c:pt>
                <c:pt idx="103" formatCode="#\ ##0.0">
                  <c:v>8.5</c:v>
                </c:pt>
                <c:pt idx="104" formatCode="#\ ##0.0">
                  <c:v>8.3000000000000007</c:v>
                </c:pt>
                <c:pt idx="105" formatCode="#\ ##0.0">
                  <c:v>8.3000000000000007</c:v>
                </c:pt>
                <c:pt idx="106" formatCode="#\ ##0.0">
                  <c:v>8.4</c:v>
                </c:pt>
                <c:pt idx="107" formatCode="#\ ##0.0">
                  <c:v>8.6999999999999993</c:v>
                </c:pt>
                <c:pt idx="108" formatCode="#\ ##0.0">
                  <c:v>9.1</c:v>
                </c:pt>
                <c:pt idx="109" formatCode="#\ ##0.0">
                  <c:v>9.1999999999999993</c:v>
                </c:pt>
                <c:pt idx="110" formatCode="#\ ##0.0">
                  <c:v>9.1</c:v>
                </c:pt>
                <c:pt idx="111" formatCode="#\ ##0.0">
                  <c:v>8.8000000000000007</c:v>
                </c:pt>
                <c:pt idx="112" formatCode="#\ ##0.0">
                  <c:v>8.4</c:v>
                </c:pt>
                <c:pt idx="113" formatCode="#\ ##0.0">
                  <c:v>8.3000000000000007</c:v>
                </c:pt>
                <c:pt idx="114" formatCode="#\ ##0.0">
                  <c:v>8.3000000000000007</c:v>
                </c:pt>
                <c:pt idx="115" formatCode="#\ ##0.0">
                  <c:v>8.1</c:v>
                </c:pt>
                <c:pt idx="116" formatCode="#\ ##0.0">
                  <c:v>7.9</c:v>
                </c:pt>
                <c:pt idx="117" formatCode="#\ ##0.0">
                  <c:v>7.9</c:v>
                </c:pt>
                <c:pt idx="118" formatCode="#\ ##0.0">
                  <c:v>8</c:v>
                </c:pt>
                <c:pt idx="119" formatCode="0.0">
                  <c:v>8.4</c:v>
                </c:pt>
                <c:pt idx="120" formatCode="#\ ##0.0">
                  <c:v>8.5</c:v>
                </c:pt>
                <c:pt idx="121" formatCode="#\ ##0.0">
                  <c:v>8.4</c:v>
                </c:pt>
                <c:pt idx="122" formatCode="#\ ##0.0">
                  <c:v>8.3000000000000007</c:v>
                </c:pt>
                <c:pt idx="123" formatCode="#\ ##0.0">
                  <c:v>7.8</c:v>
                </c:pt>
                <c:pt idx="124" formatCode="#\ ##0.0">
                  <c:v>7.4</c:v>
                </c:pt>
                <c:pt idx="125" formatCode="#\ ##0.0">
                  <c:v>7.2</c:v>
                </c:pt>
                <c:pt idx="126" formatCode="#\ ##0.0">
                  <c:v>7.1</c:v>
                </c:pt>
                <c:pt idx="127" formatCode="#\ ##0.0">
                  <c:v>6.9</c:v>
                </c:pt>
                <c:pt idx="128" formatCode="#\ ##0.0">
                  <c:v>6.6</c:v>
                </c:pt>
                <c:pt idx="129" formatCode="#\ ##0.0">
                  <c:v>6.6</c:v>
                </c:pt>
                <c:pt idx="130" formatCode="#\ ##0.0">
                  <c:v>6.7</c:v>
                </c:pt>
                <c:pt idx="131" formatCode="#\ ##0.0">
                  <c:v>6.8</c:v>
                </c:pt>
                <c:pt idx="132" formatCode="#\ ##0.0">
                  <c:v>7</c:v>
                </c:pt>
                <c:pt idx="133" formatCode="#\ ##0.0">
                  <c:v>7.1</c:v>
                </c:pt>
                <c:pt idx="134" formatCode="#\ ##0.0">
                  <c:v>7</c:v>
                </c:pt>
                <c:pt idx="135" formatCode="#\ ##0.0">
                  <c:v>6.7</c:v>
                </c:pt>
                <c:pt idx="136" formatCode="#\ ##0.0">
                  <c:v>6.4</c:v>
                </c:pt>
                <c:pt idx="137" formatCode="#\ ##0.0">
                  <c:v>6.4</c:v>
                </c:pt>
                <c:pt idx="138" formatCode="#\ ##0.0">
                  <c:v>6.4</c:v>
                </c:pt>
                <c:pt idx="139" formatCode="#\ ##0.0">
                  <c:v>6.3</c:v>
                </c:pt>
                <c:pt idx="140" formatCode="#\ ##0.0">
                  <c:v>6.1</c:v>
                </c:pt>
                <c:pt idx="141" formatCode="#\ ##0.0">
                  <c:v>6.1</c:v>
                </c:pt>
                <c:pt idx="142" formatCode="#\ ##0.0">
                  <c:v>6.2</c:v>
                </c:pt>
                <c:pt idx="143" formatCode="#\ ##0.0">
                  <c:v>6.4</c:v>
                </c:pt>
                <c:pt idx="144" formatCode="#\ ##0.0">
                  <c:v>6.7</c:v>
                </c:pt>
                <c:pt idx="145" formatCode="#\ ##0.0">
                  <c:v>6.7</c:v>
                </c:pt>
                <c:pt idx="146" formatCode="#\ ##0.0">
                  <c:v>6.6</c:v>
                </c:pt>
                <c:pt idx="147" formatCode="#\ ##0.0">
                  <c:v>6.3</c:v>
                </c:pt>
                <c:pt idx="148" formatCode="#\ ##0.0">
                  <c:v>6.1</c:v>
                </c:pt>
                <c:pt idx="149" formatCode="#\ ##0.0">
                  <c:v>6</c:v>
                </c:pt>
                <c:pt idx="150" formatCode="#\ ##0.0">
                  <c:v>6</c:v>
                </c:pt>
                <c:pt idx="151" formatCode="#\ ##0.0">
                  <c:v>5.9</c:v>
                </c:pt>
                <c:pt idx="152" formatCode="#\ ##0.0">
                  <c:v>5.7</c:v>
                </c:pt>
                <c:pt idx="153" formatCode="#\ ##0.0">
                  <c:v>5.7</c:v>
                </c:pt>
                <c:pt idx="154" formatCode="#\ ##0.0">
                  <c:v>5.8</c:v>
                </c:pt>
                <c:pt idx="155" formatCode="#\ ##0.0">
                  <c:v>6.2</c:v>
                </c:pt>
                <c:pt idx="156">
                  <c:v>6.4</c:v>
                </c:pt>
                <c:pt idx="157">
                  <c:v>6.3</c:v>
                </c:pt>
                <c:pt idx="158">
                  <c:v>6.8</c:v>
                </c:pt>
                <c:pt idx="159">
                  <c:v>8</c:v>
                </c:pt>
                <c:pt idx="160">
                  <c:v>8.4</c:v>
                </c:pt>
                <c:pt idx="161">
                  <c:v>8.6</c:v>
                </c:pt>
                <c:pt idx="162">
                  <c:v>8.6</c:v>
                </c:pt>
                <c:pt idx="163">
                  <c:v>8.1999999999999993</c:v>
                </c:pt>
                <c:pt idx="164">
                  <c:v>7.7</c:v>
                </c:pt>
                <c:pt idx="165">
                  <c:v>7.4</c:v>
                </c:pt>
                <c:pt idx="166">
                  <c:v>7.4</c:v>
                </c:pt>
                <c:pt idx="167">
                  <c:v>7.7</c:v>
                </c:pt>
                <c:pt idx="168">
                  <c:v>8</c:v>
                </c:pt>
                <c:pt idx="169">
                  <c:v>8.1999999999999993</c:v>
                </c:pt>
                <c:pt idx="170">
                  <c:v>8.1999999999999993</c:v>
                </c:pt>
                <c:pt idx="171">
                  <c:v>7.9</c:v>
                </c:pt>
                <c:pt idx="172">
                  <c:v>7.6</c:v>
                </c:pt>
                <c:pt idx="173">
                  <c:v>7.4</c:v>
                </c:pt>
                <c:pt idx="174">
                  <c:v>7.1</c:v>
                </c:pt>
                <c:pt idx="175">
                  <c:v>6.5</c:v>
                </c:pt>
              </c:numCache>
            </c:numRef>
          </c:val>
          <c:extLst>
            <c:ext xmlns:c16="http://schemas.microsoft.com/office/drawing/2014/chart" uri="{C3380CC4-5D6E-409C-BE32-E72D297353CC}">
              <c16:uniqueId val="{00000000-AD39-4180-8DC6-A1611A693C37}"/>
            </c:ext>
          </c:extLst>
        </c:ser>
        <c:dLbls>
          <c:showLegendKey val="0"/>
          <c:showVal val="0"/>
          <c:showCatName val="0"/>
          <c:showSerName val="0"/>
          <c:showPercent val="0"/>
          <c:showBubbleSize val="0"/>
        </c:dLbls>
        <c:gapWidth val="0"/>
        <c:axId val="336009504"/>
        <c:axId val="336013816"/>
      </c:barChart>
      <c:lineChart>
        <c:grouping val="standard"/>
        <c:varyColors val="0"/>
        <c:ser>
          <c:idx val="0"/>
          <c:order val="0"/>
          <c:tx>
            <c:strRef>
              <c:f>Sheet2!$A$5</c:f>
              <c:strCache>
                <c:ptCount val="1"/>
                <c:pt idx="0">
                  <c:v>Rīgas reģions</c:v>
                </c:pt>
              </c:strCache>
            </c:strRef>
          </c:tx>
          <c:spPr>
            <a:ln w="28575" cap="rnd">
              <a:solidFill>
                <a:srgbClr val="ED7D31"/>
              </a:solidFill>
              <a:round/>
            </a:ln>
            <a:effectLst/>
          </c:spPr>
          <c:marker>
            <c:symbol val="none"/>
          </c:marker>
          <c:cat>
            <c:strRef>
              <c:f>Sheet2!$B$4:$FU$4</c:f>
              <c:strCache>
                <c:ptCount val="176"/>
                <c:pt idx="0">
                  <c:v>2007`I</c:v>
                </c:pt>
                <c:pt idx="1">
                  <c:v>II</c:v>
                </c:pt>
                <c:pt idx="2">
                  <c:v>III</c:v>
                </c:pt>
                <c:pt idx="3">
                  <c:v>IV</c:v>
                </c:pt>
                <c:pt idx="4">
                  <c:v>V</c:v>
                </c:pt>
                <c:pt idx="5">
                  <c:v>VI</c:v>
                </c:pt>
                <c:pt idx="6">
                  <c:v>VII</c:v>
                </c:pt>
                <c:pt idx="7">
                  <c:v>VIII</c:v>
                </c:pt>
                <c:pt idx="8">
                  <c:v>IX</c:v>
                </c:pt>
                <c:pt idx="9">
                  <c:v>X</c:v>
                </c:pt>
                <c:pt idx="10">
                  <c:v>XI</c:v>
                </c:pt>
                <c:pt idx="11">
                  <c:v>XII</c:v>
                </c:pt>
                <c:pt idx="12">
                  <c:v>2008`I</c:v>
                </c:pt>
                <c:pt idx="13">
                  <c:v>II</c:v>
                </c:pt>
                <c:pt idx="14">
                  <c:v>III</c:v>
                </c:pt>
                <c:pt idx="15">
                  <c:v>IV</c:v>
                </c:pt>
                <c:pt idx="16">
                  <c:v>V</c:v>
                </c:pt>
                <c:pt idx="17">
                  <c:v>VI</c:v>
                </c:pt>
                <c:pt idx="18">
                  <c:v>VII</c:v>
                </c:pt>
                <c:pt idx="19">
                  <c:v>VIII</c:v>
                </c:pt>
                <c:pt idx="20">
                  <c:v>IX</c:v>
                </c:pt>
                <c:pt idx="21">
                  <c:v>X</c:v>
                </c:pt>
                <c:pt idx="22">
                  <c:v>XI</c:v>
                </c:pt>
                <c:pt idx="23">
                  <c:v>XII</c:v>
                </c:pt>
                <c:pt idx="24">
                  <c:v>2009`I</c:v>
                </c:pt>
                <c:pt idx="25">
                  <c:v>II</c:v>
                </c:pt>
                <c:pt idx="26">
                  <c:v>III</c:v>
                </c:pt>
                <c:pt idx="27">
                  <c:v>IV</c:v>
                </c:pt>
                <c:pt idx="28">
                  <c:v>V</c:v>
                </c:pt>
                <c:pt idx="29">
                  <c:v>VI</c:v>
                </c:pt>
                <c:pt idx="30">
                  <c:v>VII</c:v>
                </c:pt>
                <c:pt idx="31">
                  <c:v>VIII</c:v>
                </c:pt>
                <c:pt idx="32">
                  <c:v>IX</c:v>
                </c:pt>
                <c:pt idx="33">
                  <c:v>X</c:v>
                </c:pt>
                <c:pt idx="34">
                  <c:v>XI</c:v>
                </c:pt>
                <c:pt idx="35">
                  <c:v>XII</c:v>
                </c:pt>
                <c:pt idx="36">
                  <c:v>2010`I</c:v>
                </c:pt>
                <c:pt idx="37">
                  <c:v>II</c:v>
                </c:pt>
                <c:pt idx="38">
                  <c:v>III</c:v>
                </c:pt>
                <c:pt idx="39">
                  <c:v>IV</c:v>
                </c:pt>
                <c:pt idx="40">
                  <c:v>V</c:v>
                </c:pt>
                <c:pt idx="41">
                  <c:v>VI</c:v>
                </c:pt>
                <c:pt idx="42">
                  <c:v>VII</c:v>
                </c:pt>
                <c:pt idx="43">
                  <c:v>VIII</c:v>
                </c:pt>
                <c:pt idx="44">
                  <c:v>IX</c:v>
                </c:pt>
                <c:pt idx="45">
                  <c:v>X</c:v>
                </c:pt>
                <c:pt idx="46">
                  <c:v>XI</c:v>
                </c:pt>
                <c:pt idx="47">
                  <c:v>XII</c:v>
                </c:pt>
                <c:pt idx="48">
                  <c:v>2011`I</c:v>
                </c:pt>
                <c:pt idx="49">
                  <c:v>II</c:v>
                </c:pt>
                <c:pt idx="50">
                  <c:v>III</c:v>
                </c:pt>
                <c:pt idx="51">
                  <c:v>IV</c:v>
                </c:pt>
                <c:pt idx="52">
                  <c:v>V</c:v>
                </c:pt>
                <c:pt idx="53">
                  <c:v>VI</c:v>
                </c:pt>
                <c:pt idx="54">
                  <c:v>VII</c:v>
                </c:pt>
                <c:pt idx="55">
                  <c:v>VIII</c:v>
                </c:pt>
                <c:pt idx="56">
                  <c:v>IX</c:v>
                </c:pt>
                <c:pt idx="57">
                  <c:v>X</c:v>
                </c:pt>
                <c:pt idx="58">
                  <c:v>XI</c:v>
                </c:pt>
                <c:pt idx="59">
                  <c:v>XII</c:v>
                </c:pt>
                <c:pt idx="60">
                  <c:v>2012`I</c:v>
                </c:pt>
                <c:pt idx="61">
                  <c:v>II</c:v>
                </c:pt>
                <c:pt idx="62">
                  <c:v>III</c:v>
                </c:pt>
                <c:pt idx="63">
                  <c:v>IV</c:v>
                </c:pt>
                <c:pt idx="64">
                  <c:v>V</c:v>
                </c:pt>
                <c:pt idx="65">
                  <c:v>VI</c:v>
                </c:pt>
                <c:pt idx="66">
                  <c:v>VII</c:v>
                </c:pt>
                <c:pt idx="67">
                  <c:v>VIII</c:v>
                </c:pt>
                <c:pt idx="68">
                  <c:v>IX</c:v>
                </c:pt>
                <c:pt idx="69">
                  <c:v>X</c:v>
                </c:pt>
                <c:pt idx="70">
                  <c:v>XI</c:v>
                </c:pt>
                <c:pt idx="71">
                  <c:v>XII</c:v>
                </c:pt>
                <c:pt idx="72">
                  <c:v>2013`I</c:v>
                </c:pt>
                <c:pt idx="73">
                  <c:v>II</c:v>
                </c:pt>
                <c:pt idx="74">
                  <c:v>III</c:v>
                </c:pt>
                <c:pt idx="75">
                  <c:v>IV</c:v>
                </c:pt>
                <c:pt idx="76">
                  <c:v>V</c:v>
                </c:pt>
                <c:pt idx="77">
                  <c:v>VI</c:v>
                </c:pt>
                <c:pt idx="78">
                  <c:v>VII</c:v>
                </c:pt>
                <c:pt idx="79">
                  <c:v>VIII</c:v>
                </c:pt>
                <c:pt idx="80">
                  <c:v>IX</c:v>
                </c:pt>
                <c:pt idx="81">
                  <c:v>X</c:v>
                </c:pt>
                <c:pt idx="82">
                  <c:v>XI</c:v>
                </c:pt>
                <c:pt idx="83">
                  <c:v>XII</c:v>
                </c:pt>
                <c:pt idx="84">
                  <c:v>2014`I</c:v>
                </c:pt>
                <c:pt idx="85">
                  <c:v>II</c:v>
                </c:pt>
                <c:pt idx="86">
                  <c:v>III</c:v>
                </c:pt>
                <c:pt idx="87">
                  <c:v>IV</c:v>
                </c:pt>
                <c:pt idx="88">
                  <c:v>V</c:v>
                </c:pt>
                <c:pt idx="89">
                  <c:v>VI</c:v>
                </c:pt>
                <c:pt idx="90">
                  <c:v>VII</c:v>
                </c:pt>
                <c:pt idx="91">
                  <c:v>VIII</c:v>
                </c:pt>
                <c:pt idx="92">
                  <c:v>IX</c:v>
                </c:pt>
                <c:pt idx="93">
                  <c:v>X</c:v>
                </c:pt>
                <c:pt idx="94">
                  <c:v>XI</c:v>
                </c:pt>
                <c:pt idx="95">
                  <c:v>XII</c:v>
                </c:pt>
                <c:pt idx="96">
                  <c:v>2015`I</c:v>
                </c:pt>
                <c:pt idx="97">
                  <c:v>II</c:v>
                </c:pt>
                <c:pt idx="98">
                  <c:v>III</c:v>
                </c:pt>
                <c:pt idx="99">
                  <c:v>IV</c:v>
                </c:pt>
                <c:pt idx="100">
                  <c:v>V</c:v>
                </c:pt>
                <c:pt idx="101">
                  <c:v>VI</c:v>
                </c:pt>
                <c:pt idx="102">
                  <c:v>VII</c:v>
                </c:pt>
                <c:pt idx="103">
                  <c:v>VIII</c:v>
                </c:pt>
                <c:pt idx="104">
                  <c:v>IX</c:v>
                </c:pt>
                <c:pt idx="105">
                  <c:v>X</c:v>
                </c:pt>
                <c:pt idx="106">
                  <c:v>XI</c:v>
                </c:pt>
                <c:pt idx="107">
                  <c:v>XII</c:v>
                </c:pt>
                <c:pt idx="108">
                  <c:v>2016`I</c:v>
                </c:pt>
                <c:pt idx="109">
                  <c:v>II</c:v>
                </c:pt>
                <c:pt idx="110">
                  <c:v>III</c:v>
                </c:pt>
                <c:pt idx="111">
                  <c:v>IV</c:v>
                </c:pt>
                <c:pt idx="112">
                  <c:v>V</c:v>
                </c:pt>
                <c:pt idx="113">
                  <c:v>VI</c:v>
                </c:pt>
                <c:pt idx="114">
                  <c:v>VII</c:v>
                </c:pt>
                <c:pt idx="115">
                  <c:v>VIII</c:v>
                </c:pt>
                <c:pt idx="116">
                  <c:v>IX</c:v>
                </c:pt>
                <c:pt idx="117">
                  <c:v>X</c:v>
                </c:pt>
                <c:pt idx="118">
                  <c:v>XI</c:v>
                </c:pt>
                <c:pt idx="119">
                  <c:v>XII</c:v>
                </c:pt>
                <c:pt idx="120">
                  <c:v>2017`I</c:v>
                </c:pt>
                <c:pt idx="121">
                  <c:v>II</c:v>
                </c:pt>
                <c:pt idx="122">
                  <c:v>III</c:v>
                </c:pt>
                <c:pt idx="123">
                  <c:v>IV</c:v>
                </c:pt>
                <c:pt idx="124">
                  <c:v>V</c:v>
                </c:pt>
                <c:pt idx="125">
                  <c:v>VI</c:v>
                </c:pt>
                <c:pt idx="126">
                  <c:v>VII</c:v>
                </c:pt>
                <c:pt idx="127">
                  <c:v>VIII</c:v>
                </c:pt>
                <c:pt idx="128">
                  <c:v>IX</c:v>
                </c:pt>
                <c:pt idx="129">
                  <c:v>X</c:v>
                </c:pt>
                <c:pt idx="130">
                  <c:v>XI</c:v>
                </c:pt>
                <c:pt idx="131">
                  <c:v>XII</c:v>
                </c:pt>
                <c:pt idx="132">
                  <c:v>2018`I</c:v>
                </c:pt>
                <c:pt idx="133">
                  <c:v>II</c:v>
                </c:pt>
                <c:pt idx="134">
                  <c:v>III</c:v>
                </c:pt>
                <c:pt idx="135">
                  <c:v>IV</c:v>
                </c:pt>
                <c:pt idx="136">
                  <c:v>V</c:v>
                </c:pt>
                <c:pt idx="137">
                  <c:v>VI</c:v>
                </c:pt>
                <c:pt idx="138">
                  <c:v>VII</c:v>
                </c:pt>
                <c:pt idx="139">
                  <c:v>VIII</c:v>
                </c:pt>
                <c:pt idx="140">
                  <c:v>IX</c:v>
                </c:pt>
                <c:pt idx="141">
                  <c:v>X</c:v>
                </c:pt>
                <c:pt idx="142">
                  <c:v>XI</c:v>
                </c:pt>
                <c:pt idx="143">
                  <c:v>XII</c:v>
                </c:pt>
                <c:pt idx="144">
                  <c:v>2019`I</c:v>
                </c:pt>
                <c:pt idx="145">
                  <c:v>II</c:v>
                </c:pt>
                <c:pt idx="146">
                  <c:v>III</c:v>
                </c:pt>
                <c:pt idx="147">
                  <c:v>IV</c:v>
                </c:pt>
                <c:pt idx="148">
                  <c:v>V</c:v>
                </c:pt>
                <c:pt idx="149">
                  <c:v>VI</c:v>
                </c:pt>
                <c:pt idx="150">
                  <c:v>VII</c:v>
                </c:pt>
                <c:pt idx="151">
                  <c:v>VIII</c:v>
                </c:pt>
                <c:pt idx="152">
                  <c:v>IX</c:v>
                </c:pt>
                <c:pt idx="153">
                  <c:v>X</c:v>
                </c:pt>
                <c:pt idx="154">
                  <c:v>XI</c:v>
                </c:pt>
                <c:pt idx="155">
                  <c:v>XII</c:v>
                </c:pt>
                <c:pt idx="156">
                  <c:v>2020`I</c:v>
                </c:pt>
                <c:pt idx="157">
                  <c:v>II</c:v>
                </c:pt>
                <c:pt idx="158">
                  <c:v>III</c:v>
                </c:pt>
                <c:pt idx="159">
                  <c:v>IV</c:v>
                </c:pt>
                <c:pt idx="160">
                  <c:v>V</c:v>
                </c:pt>
                <c:pt idx="161">
                  <c:v>VI</c:v>
                </c:pt>
                <c:pt idx="162">
                  <c:v>VII</c:v>
                </c:pt>
                <c:pt idx="163">
                  <c:v>VIII</c:v>
                </c:pt>
                <c:pt idx="164">
                  <c:v>IX</c:v>
                </c:pt>
                <c:pt idx="165">
                  <c:v>X</c:v>
                </c:pt>
                <c:pt idx="166">
                  <c:v>XI</c:v>
                </c:pt>
                <c:pt idx="167">
                  <c:v>XII</c:v>
                </c:pt>
                <c:pt idx="168">
                  <c:v>2021`I</c:v>
                </c:pt>
                <c:pt idx="169">
                  <c:v>II</c:v>
                </c:pt>
                <c:pt idx="170">
                  <c:v>III</c:v>
                </c:pt>
                <c:pt idx="171">
                  <c:v>IV</c:v>
                </c:pt>
                <c:pt idx="172">
                  <c:v>V</c:v>
                </c:pt>
                <c:pt idx="173">
                  <c:v>VI</c:v>
                </c:pt>
                <c:pt idx="174">
                  <c:v>VII</c:v>
                </c:pt>
                <c:pt idx="175">
                  <c:v>VIII</c:v>
                </c:pt>
              </c:strCache>
            </c:strRef>
          </c:cat>
          <c:val>
            <c:numRef>
              <c:f>Sheet2!$B$5:$FU$5</c:f>
              <c:numCache>
                <c:formatCode>General</c:formatCode>
                <c:ptCount val="176"/>
                <c:pt idx="1">
                  <c:v>4.2</c:v>
                </c:pt>
                <c:pt idx="2">
                  <c:v>4.0999999999999996</c:v>
                </c:pt>
                <c:pt idx="3">
                  <c:v>4</c:v>
                </c:pt>
                <c:pt idx="4">
                  <c:v>3.9</c:v>
                </c:pt>
                <c:pt idx="5">
                  <c:v>3.9</c:v>
                </c:pt>
                <c:pt idx="6">
                  <c:v>3.9</c:v>
                </c:pt>
                <c:pt idx="7">
                  <c:v>3.7</c:v>
                </c:pt>
                <c:pt idx="8">
                  <c:v>3.6</c:v>
                </c:pt>
                <c:pt idx="9">
                  <c:v>3.5</c:v>
                </c:pt>
                <c:pt idx="10">
                  <c:v>3.4</c:v>
                </c:pt>
                <c:pt idx="11">
                  <c:v>3.4</c:v>
                </c:pt>
                <c:pt idx="12">
                  <c:v>3.5</c:v>
                </c:pt>
                <c:pt idx="13">
                  <c:v>3.5</c:v>
                </c:pt>
                <c:pt idx="14">
                  <c:v>3.5</c:v>
                </c:pt>
                <c:pt idx="15">
                  <c:v>3.4</c:v>
                </c:pt>
                <c:pt idx="16">
                  <c:v>3.4</c:v>
                </c:pt>
                <c:pt idx="17">
                  <c:v>3.6</c:v>
                </c:pt>
                <c:pt idx="18">
                  <c:v>3.8</c:v>
                </c:pt>
                <c:pt idx="19">
                  <c:v>3.9</c:v>
                </c:pt>
                <c:pt idx="20">
                  <c:v>4</c:v>
                </c:pt>
                <c:pt idx="21">
                  <c:v>4.3</c:v>
                </c:pt>
                <c:pt idx="22">
                  <c:v>4.8</c:v>
                </c:pt>
                <c:pt idx="23">
                  <c:v>5.5</c:v>
                </c:pt>
                <c:pt idx="24">
                  <c:v>6.6</c:v>
                </c:pt>
                <c:pt idx="25">
                  <c:v>7.6</c:v>
                </c:pt>
                <c:pt idx="26">
                  <c:v>8.6999999999999993</c:v>
                </c:pt>
                <c:pt idx="27">
                  <c:v>9.1</c:v>
                </c:pt>
                <c:pt idx="28">
                  <c:v>9.5</c:v>
                </c:pt>
                <c:pt idx="29">
                  <c:v>9.8000000000000007</c:v>
                </c:pt>
                <c:pt idx="30">
                  <c:v>10.1</c:v>
                </c:pt>
                <c:pt idx="31">
                  <c:v>10.5</c:v>
                </c:pt>
                <c:pt idx="32">
                  <c:v>11.1</c:v>
                </c:pt>
                <c:pt idx="33">
                  <c:v>11.7</c:v>
                </c:pt>
                <c:pt idx="34">
                  <c:v>12.5</c:v>
                </c:pt>
                <c:pt idx="35">
                  <c:v>13.2</c:v>
                </c:pt>
                <c:pt idx="36">
                  <c:v>13.7</c:v>
                </c:pt>
                <c:pt idx="37">
                  <c:v>14.1</c:v>
                </c:pt>
                <c:pt idx="38">
                  <c:v>14.2</c:v>
                </c:pt>
                <c:pt idx="39">
                  <c:v>13.7</c:v>
                </c:pt>
                <c:pt idx="40">
                  <c:v>13.2</c:v>
                </c:pt>
                <c:pt idx="41">
                  <c:v>12.6</c:v>
                </c:pt>
                <c:pt idx="42">
                  <c:v>12.3</c:v>
                </c:pt>
                <c:pt idx="43">
                  <c:v>11.9</c:v>
                </c:pt>
                <c:pt idx="44">
                  <c:v>11.6</c:v>
                </c:pt>
                <c:pt idx="45">
                  <c:v>11.2</c:v>
                </c:pt>
                <c:pt idx="46">
                  <c:v>11</c:v>
                </c:pt>
                <c:pt idx="47">
                  <c:v>10.9</c:v>
                </c:pt>
                <c:pt idx="48">
                  <c:v>11</c:v>
                </c:pt>
                <c:pt idx="49">
                  <c:v>10.9</c:v>
                </c:pt>
                <c:pt idx="50">
                  <c:v>10.8</c:v>
                </c:pt>
                <c:pt idx="51">
                  <c:v>10.5</c:v>
                </c:pt>
                <c:pt idx="52">
                  <c:v>9.9</c:v>
                </c:pt>
                <c:pt idx="53">
                  <c:v>9.4</c:v>
                </c:pt>
                <c:pt idx="54">
                  <c:v>9</c:v>
                </c:pt>
                <c:pt idx="55">
                  <c:v>8.8000000000000007</c:v>
                </c:pt>
                <c:pt idx="56">
                  <c:v>8.6</c:v>
                </c:pt>
                <c:pt idx="57">
                  <c:v>8.5</c:v>
                </c:pt>
                <c:pt idx="58">
                  <c:v>8.5</c:v>
                </c:pt>
                <c:pt idx="59">
                  <c:v>8.3000000000000007</c:v>
                </c:pt>
                <c:pt idx="60">
                  <c:v>8.4</c:v>
                </c:pt>
                <c:pt idx="61">
                  <c:v>8.4</c:v>
                </c:pt>
                <c:pt idx="62">
                  <c:v>8.3000000000000007</c:v>
                </c:pt>
                <c:pt idx="63" formatCode="0.0">
                  <c:v>9</c:v>
                </c:pt>
                <c:pt idx="64" formatCode="0.0">
                  <c:v>8.5</c:v>
                </c:pt>
                <c:pt idx="65">
                  <c:v>8.1</c:v>
                </c:pt>
                <c:pt idx="66">
                  <c:v>7.8</c:v>
                </c:pt>
                <c:pt idx="67">
                  <c:v>7.6</c:v>
                </c:pt>
                <c:pt idx="68">
                  <c:v>7.3</c:v>
                </c:pt>
                <c:pt idx="69">
                  <c:v>7</c:v>
                </c:pt>
                <c:pt idx="70">
                  <c:v>6.8</c:v>
                </c:pt>
                <c:pt idx="71">
                  <c:v>6.8</c:v>
                </c:pt>
                <c:pt idx="72">
                  <c:v>7</c:v>
                </c:pt>
                <c:pt idx="73">
                  <c:v>7</c:v>
                </c:pt>
                <c:pt idx="74">
                  <c:v>7</c:v>
                </c:pt>
                <c:pt idx="75">
                  <c:v>6.8</c:v>
                </c:pt>
                <c:pt idx="76">
                  <c:v>6.5</c:v>
                </c:pt>
                <c:pt idx="77">
                  <c:v>6.2</c:v>
                </c:pt>
                <c:pt idx="78">
                  <c:v>6.2</c:v>
                </c:pt>
                <c:pt idx="79">
                  <c:v>6.1</c:v>
                </c:pt>
                <c:pt idx="80">
                  <c:v>6</c:v>
                </c:pt>
                <c:pt idx="81">
                  <c:v>6</c:v>
                </c:pt>
                <c:pt idx="82">
                  <c:v>6</c:v>
                </c:pt>
                <c:pt idx="83">
                  <c:v>6</c:v>
                </c:pt>
                <c:pt idx="84">
                  <c:v>6.2</c:v>
                </c:pt>
                <c:pt idx="85">
                  <c:v>6.2</c:v>
                </c:pt>
                <c:pt idx="86">
                  <c:v>6.2</c:v>
                </c:pt>
                <c:pt idx="87">
                  <c:v>6</c:v>
                </c:pt>
                <c:pt idx="88">
                  <c:v>5.8</c:v>
                </c:pt>
                <c:pt idx="89">
                  <c:v>5.5</c:v>
                </c:pt>
                <c:pt idx="90">
                  <c:v>5.4</c:v>
                </c:pt>
                <c:pt idx="91">
                  <c:v>5.3</c:v>
                </c:pt>
                <c:pt idx="92">
                  <c:v>5.2</c:v>
                </c:pt>
                <c:pt idx="93">
                  <c:v>5.2</c:v>
                </c:pt>
                <c:pt idx="94">
                  <c:v>5.2</c:v>
                </c:pt>
                <c:pt idx="95">
                  <c:v>5.2</c:v>
                </c:pt>
                <c:pt idx="96">
                  <c:v>5.5</c:v>
                </c:pt>
                <c:pt idx="97">
                  <c:v>5.6</c:v>
                </c:pt>
                <c:pt idx="98">
                  <c:v>5.6</c:v>
                </c:pt>
                <c:pt idx="99">
                  <c:v>5.4</c:v>
                </c:pt>
                <c:pt idx="100">
                  <c:v>5.3</c:v>
                </c:pt>
                <c:pt idx="101">
                  <c:v>5.3</c:v>
                </c:pt>
                <c:pt idx="102">
                  <c:v>5.4</c:v>
                </c:pt>
                <c:pt idx="103">
                  <c:v>5.3</c:v>
                </c:pt>
                <c:pt idx="104">
                  <c:v>5.2</c:v>
                </c:pt>
                <c:pt idx="105">
                  <c:v>5.2</c:v>
                </c:pt>
                <c:pt idx="106">
                  <c:v>5.2</c:v>
                </c:pt>
                <c:pt idx="107">
                  <c:v>5.4</c:v>
                </c:pt>
                <c:pt idx="108">
                  <c:v>5.6</c:v>
                </c:pt>
                <c:pt idx="109">
                  <c:v>5.7</c:v>
                </c:pt>
                <c:pt idx="110">
                  <c:v>5.7</c:v>
                </c:pt>
                <c:pt idx="111">
                  <c:v>5.3</c:v>
                </c:pt>
                <c:pt idx="112">
                  <c:v>5.3</c:v>
                </c:pt>
                <c:pt idx="113">
                  <c:v>5.3</c:v>
                </c:pt>
                <c:pt idx="114">
                  <c:v>5.3</c:v>
                </c:pt>
                <c:pt idx="115">
                  <c:v>5.2</c:v>
                </c:pt>
                <c:pt idx="116">
                  <c:v>5.0999999999999996</c:v>
                </c:pt>
                <c:pt idx="117">
                  <c:v>5.0999999999999996</c:v>
                </c:pt>
                <c:pt idx="118" formatCode="0.0">
                  <c:v>5.0999999999999996</c:v>
                </c:pt>
                <c:pt idx="119">
                  <c:v>5.3</c:v>
                </c:pt>
                <c:pt idx="120">
                  <c:v>5.4</c:v>
                </c:pt>
                <c:pt idx="121">
                  <c:v>5.3</c:v>
                </c:pt>
                <c:pt idx="122">
                  <c:v>5.0999999999999996</c:v>
                </c:pt>
                <c:pt idx="123">
                  <c:v>4.9000000000000004</c:v>
                </c:pt>
                <c:pt idx="124">
                  <c:v>4.7</c:v>
                </c:pt>
                <c:pt idx="125">
                  <c:v>4.5999999999999996</c:v>
                </c:pt>
                <c:pt idx="126">
                  <c:v>4.5999999999999996</c:v>
                </c:pt>
                <c:pt idx="127">
                  <c:v>4.5999999999999996</c:v>
                </c:pt>
                <c:pt idx="128">
                  <c:v>4.2</c:v>
                </c:pt>
                <c:pt idx="129">
                  <c:v>4.2</c:v>
                </c:pt>
                <c:pt idx="130">
                  <c:v>4.2</c:v>
                </c:pt>
                <c:pt idx="131">
                  <c:v>4.3</c:v>
                </c:pt>
                <c:pt idx="132">
                  <c:v>4.4000000000000004</c:v>
                </c:pt>
                <c:pt idx="133">
                  <c:v>4.4000000000000004</c:v>
                </c:pt>
                <c:pt idx="134">
                  <c:v>4.3</c:v>
                </c:pt>
                <c:pt idx="135">
                  <c:v>4.2</c:v>
                </c:pt>
                <c:pt idx="136">
                  <c:v>4.0999999999999996</c:v>
                </c:pt>
                <c:pt idx="137">
                  <c:v>4.2</c:v>
                </c:pt>
                <c:pt idx="138">
                  <c:v>4.2</c:v>
                </c:pt>
                <c:pt idx="139">
                  <c:v>4.2</c:v>
                </c:pt>
                <c:pt idx="140">
                  <c:v>4.0999999999999996</c:v>
                </c:pt>
                <c:pt idx="141">
                  <c:v>4.0999999999999996</c:v>
                </c:pt>
                <c:pt idx="142">
                  <c:v>4.0999999999999996</c:v>
                </c:pt>
                <c:pt idx="143">
                  <c:v>4.2</c:v>
                </c:pt>
                <c:pt idx="144">
                  <c:v>4.4000000000000004</c:v>
                </c:pt>
                <c:pt idx="145">
                  <c:v>4.4000000000000004</c:v>
                </c:pt>
                <c:pt idx="146">
                  <c:v>4.2</c:v>
                </c:pt>
                <c:pt idx="147">
                  <c:v>4.0999999999999996</c:v>
                </c:pt>
                <c:pt idx="148">
                  <c:v>4</c:v>
                </c:pt>
                <c:pt idx="149">
                  <c:v>4.0999999999999996</c:v>
                </c:pt>
                <c:pt idx="150">
                  <c:v>4.0999999999999996</c:v>
                </c:pt>
                <c:pt idx="151">
                  <c:v>4.0999999999999996</c:v>
                </c:pt>
                <c:pt idx="152">
                  <c:v>3.9</c:v>
                </c:pt>
                <c:pt idx="153">
                  <c:v>3.9</c:v>
                </c:pt>
                <c:pt idx="154">
                  <c:v>3.9</c:v>
                </c:pt>
                <c:pt idx="155">
                  <c:v>4.3</c:v>
                </c:pt>
                <c:pt idx="156">
                  <c:v>4.3</c:v>
                </c:pt>
                <c:pt idx="157">
                  <c:v>4.3</c:v>
                </c:pt>
                <c:pt idx="158">
                  <c:v>4.7</c:v>
                </c:pt>
                <c:pt idx="159">
                  <c:v>6.3</c:v>
                </c:pt>
                <c:pt idx="160">
                  <c:v>6.8</c:v>
                </c:pt>
                <c:pt idx="161">
                  <c:v>6.9</c:v>
                </c:pt>
                <c:pt idx="162">
                  <c:v>6.9</c:v>
                </c:pt>
                <c:pt idx="163">
                  <c:v>6.6</c:v>
                </c:pt>
                <c:pt idx="164">
                  <c:v>6.1</c:v>
                </c:pt>
                <c:pt idx="165">
                  <c:v>5.8</c:v>
                </c:pt>
                <c:pt idx="166">
                  <c:v>5.7</c:v>
                </c:pt>
                <c:pt idx="167">
                  <c:v>5.8</c:v>
                </c:pt>
                <c:pt idx="168">
                  <c:v>6</c:v>
                </c:pt>
                <c:pt idx="169">
                  <c:v>6.1</c:v>
                </c:pt>
                <c:pt idx="170">
                  <c:v>6.2</c:v>
                </c:pt>
                <c:pt idx="171">
                  <c:v>6</c:v>
                </c:pt>
                <c:pt idx="172">
                  <c:v>5.7</c:v>
                </c:pt>
                <c:pt idx="173">
                  <c:v>5.6</c:v>
                </c:pt>
                <c:pt idx="174">
                  <c:v>5.2</c:v>
                </c:pt>
                <c:pt idx="175">
                  <c:v>4.7</c:v>
                </c:pt>
              </c:numCache>
            </c:numRef>
          </c:val>
          <c:smooth val="1"/>
          <c:extLst>
            <c:ext xmlns:c16="http://schemas.microsoft.com/office/drawing/2014/chart" uri="{C3380CC4-5D6E-409C-BE32-E72D297353CC}">
              <c16:uniqueId val="{00000001-AD39-4180-8DC6-A1611A693C37}"/>
            </c:ext>
          </c:extLst>
        </c:ser>
        <c:ser>
          <c:idx val="1"/>
          <c:order val="1"/>
          <c:tx>
            <c:strRef>
              <c:f>Sheet2!$A$6</c:f>
              <c:strCache>
                <c:ptCount val="1"/>
                <c:pt idx="0">
                  <c:v>Kurzeme</c:v>
                </c:pt>
              </c:strCache>
            </c:strRef>
          </c:tx>
          <c:spPr>
            <a:ln w="28575" cap="rnd">
              <a:solidFill>
                <a:srgbClr val="FFC000"/>
              </a:solidFill>
              <a:round/>
            </a:ln>
            <a:effectLst/>
          </c:spPr>
          <c:marker>
            <c:symbol val="none"/>
          </c:marker>
          <c:cat>
            <c:strRef>
              <c:f>Sheet2!$B$4:$FU$4</c:f>
              <c:strCache>
                <c:ptCount val="176"/>
                <c:pt idx="0">
                  <c:v>2007`I</c:v>
                </c:pt>
                <c:pt idx="1">
                  <c:v>II</c:v>
                </c:pt>
                <c:pt idx="2">
                  <c:v>III</c:v>
                </c:pt>
                <c:pt idx="3">
                  <c:v>IV</c:v>
                </c:pt>
                <c:pt idx="4">
                  <c:v>V</c:v>
                </c:pt>
                <c:pt idx="5">
                  <c:v>VI</c:v>
                </c:pt>
                <c:pt idx="6">
                  <c:v>VII</c:v>
                </c:pt>
                <c:pt idx="7">
                  <c:v>VIII</c:v>
                </c:pt>
                <c:pt idx="8">
                  <c:v>IX</c:v>
                </c:pt>
                <c:pt idx="9">
                  <c:v>X</c:v>
                </c:pt>
                <c:pt idx="10">
                  <c:v>XI</c:v>
                </c:pt>
                <c:pt idx="11">
                  <c:v>XII</c:v>
                </c:pt>
                <c:pt idx="12">
                  <c:v>2008`I</c:v>
                </c:pt>
                <c:pt idx="13">
                  <c:v>II</c:v>
                </c:pt>
                <c:pt idx="14">
                  <c:v>III</c:v>
                </c:pt>
                <c:pt idx="15">
                  <c:v>IV</c:v>
                </c:pt>
                <c:pt idx="16">
                  <c:v>V</c:v>
                </c:pt>
                <c:pt idx="17">
                  <c:v>VI</c:v>
                </c:pt>
                <c:pt idx="18">
                  <c:v>VII</c:v>
                </c:pt>
                <c:pt idx="19">
                  <c:v>VIII</c:v>
                </c:pt>
                <c:pt idx="20">
                  <c:v>IX</c:v>
                </c:pt>
                <c:pt idx="21">
                  <c:v>X</c:v>
                </c:pt>
                <c:pt idx="22">
                  <c:v>XI</c:v>
                </c:pt>
                <c:pt idx="23">
                  <c:v>XII</c:v>
                </c:pt>
                <c:pt idx="24">
                  <c:v>2009`I</c:v>
                </c:pt>
                <c:pt idx="25">
                  <c:v>II</c:v>
                </c:pt>
                <c:pt idx="26">
                  <c:v>III</c:v>
                </c:pt>
                <c:pt idx="27">
                  <c:v>IV</c:v>
                </c:pt>
                <c:pt idx="28">
                  <c:v>V</c:v>
                </c:pt>
                <c:pt idx="29">
                  <c:v>VI</c:v>
                </c:pt>
                <c:pt idx="30">
                  <c:v>VII</c:v>
                </c:pt>
                <c:pt idx="31">
                  <c:v>VIII</c:v>
                </c:pt>
                <c:pt idx="32">
                  <c:v>IX</c:v>
                </c:pt>
                <c:pt idx="33">
                  <c:v>X</c:v>
                </c:pt>
                <c:pt idx="34">
                  <c:v>XI</c:v>
                </c:pt>
                <c:pt idx="35">
                  <c:v>XII</c:v>
                </c:pt>
                <c:pt idx="36">
                  <c:v>2010`I</c:v>
                </c:pt>
                <c:pt idx="37">
                  <c:v>II</c:v>
                </c:pt>
                <c:pt idx="38">
                  <c:v>III</c:v>
                </c:pt>
                <c:pt idx="39">
                  <c:v>IV</c:v>
                </c:pt>
                <c:pt idx="40">
                  <c:v>V</c:v>
                </c:pt>
                <c:pt idx="41">
                  <c:v>VI</c:v>
                </c:pt>
                <c:pt idx="42">
                  <c:v>VII</c:v>
                </c:pt>
                <c:pt idx="43">
                  <c:v>VIII</c:v>
                </c:pt>
                <c:pt idx="44">
                  <c:v>IX</c:v>
                </c:pt>
                <c:pt idx="45">
                  <c:v>X</c:v>
                </c:pt>
                <c:pt idx="46">
                  <c:v>XI</c:v>
                </c:pt>
                <c:pt idx="47">
                  <c:v>XII</c:v>
                </c:pt>
                <c:pt idx="48">
                  <c:v>2011`I</c:v>
                </c:pt>
                <c:pt idx="49">
                  <c:v>II</c:v>
                </c:pt>
                <c:pt idx="50">
                  <c:v>III</c:v>
                </c:pt>
                <c:pt idx="51">
                  <c:v>IV</c:v>
                </c:pt>
                <c:pt idx="52">
                  <c:v>V</c:v>
                </c:pt>
                <c:pt idx="53">
                  <c:v>VI</c:v>
                </c:pt>
                <c:pt idx="54">
                  <c:v>VII</c:v>
                </c:pt>
                <c:pt idx="55">
                  <c:v>VIII</c:v>
                </c:pt>
                <c:pt idx="56">
                  <c:v>IX</c:v>
                </c:pt>
                <c:pt idx="57">
                  <c:v>X</c:v>
                </c:pt>
                <c:pt idx="58">
                  <c:v>XI</c:v>
                </c:pt>
                <c:pt idx="59">
                  <c:v>XII</c:v>
                </c:pt>
                <c:pt idx="60">
                  <c:v>2012`I</c:v>
                </c:pt>
                <c:pt idx="61">
                  <c:v>II</c:v>
                </c:pt>
                <c:pt idx="62">
                  <c:v>III</c:v>
                </c:pt>
                <c:pt idx="63">
                  <c:v>IV</c:v>
                </c:pt>
                <c:pt idx="64">
                  <c:v>V</c:v>
                </c:pt>
                <c:pt idx="65">
                  <c:v>VI</c:v>
                </c:pt>
                <c:pt idx="66">
                  <c:v>VII</c:v>
                </c:pt>
                <c:pt idx="67">
                  <c:v>VIII</c:v>
                </c:pt>
                <c:pt idx="68">
                  <c:v>IX</c:v>
                </c:pt>
                <c:pt idx="69">
                  <c:v>X</c:v>
                </c:pt>
                <c:pt idx="70">
                  <c:v>XI</c:v>
                </c:pt>
                <c:pt idx="71">
                  <c:v>XII</c:v>
                </c:pt>
                <c:pt idx="72">
                  <c:v>2013`I</c:v>
                </c:pt>
                <c:pt idx="73">
                  <c:v>II</c:v>
                </c:pt>
                <c:pt idx="74">
                  <c:v>III</c:v>
                </c:pt>
                <c:pt idx="75">
                  <c:v>IV</c:v>
                </c:pt>
                <c:pt idx="76">
                  <c:v>V</c:v>
                </c:pt>
                <c:pt idx="77">
                  <c:v>VI</c:v>
                </c:pt>
                <c:pt idx="78">
                  <c:v>VII</c:v>
                </c:pt>
                <c:pt idx="79">
                  <c:v>VIII</c:v>
                </c:pt>
                <c:pt idx="80">
                  <c:v>IX</c:v>
                </c:pt>
                <c:pt idx="81">
                  <c:v>X</c:v>
                </c:pt>
                <c:pt idx="82">
                  <c:v>XI</c:v>
                </c:pt>
                <c:pt idx="83">
                  <c:v>XII</c:v>
                </c:pt>
                <c:pt idx="84">
                  <c:v>2014`I</c:v>
                </c:pt>
                <c:pt idx="85">
                  <c:v>II</c:v>
                </c:pt>
                <c:pt idx="86">
                  <c:v>III</c:v>
                </c:pt>
                <c:pt idx="87">
                  <c:v>IV</c:v>
                </c:pt>
                <c:pt idx="88">
                  <c:v>V</c:v>
                </c:pt>
                <c:pt idx="89">
                  <c:v>VI</c:v>
                </c:pt>
                <c:pt idx="90">
                  <c:v>VII</c:v>
                </c:pt>
                <c:pt idx="91">
                  <c:v>VIII</c:v>
                </c:pt>
                <c:pt idx="92">
                  <c:v>IX</c:v>
                </c:pt>
                <c:pt idx="93">
                  <c:v>X</c:v>
                </c:pt>
                <c:pt idx="94">
                  <c:v>XI</c:v>
                </c:pt>
                <c:pt idx="95">
                  <c:v>XII</c:v>
                </c:pt>
                <c:pt idx="96">
                  <c:v>2015`I</c:v>
                </c:pt>
                <c:pt idx="97">
                  <c:v>II</c:v>
                </c:pt>
                <c:pt idx="98">
                  <c:v>III</c:v>
                </c:pt>
                <c:pt idx="99">
                  <c:v>IV</c:v>
                </c:pt>
                <c:pt idx="100">
                  <c:v>V</c:v>
                </c:pt>
                <c:pt idx="101">
                  <c:v>VI</c:v>
                </c:pt>
                <c:pt idx="102">
                  <c:v>VII</c:v>
                </c:pt>
                <c:pt idx="103">
                  <c:v>VIII</c:v>
                </c:pt>
                <c:pt idx="104">
                  <c:v>IX</c:v>
                </c:pt>
                <c:pt idx="105">
                  <c:v>X</c:v>
                </c:pt>
                <c:pt idx="106">
                  <c:v>XI</c:v>
                </c:pt>
                <c:pt idx="107">
                  <c:v>XII</c:v>
                </c:pt>
                <c:pt idx="108">
                  <c:v>2016`I</c:v>
                </c:pt>
                <c:pt idx="109">
                  <c:v>II</c:v>
                </c:pt>
                <c:pt idx="110">
                  <c:v>III</c:v>
                </c:pt>
                <c:pt idx="111">
                  <c:v>IV</c:v>
                </c:pt>
                <c:pt idx="112">
                  <c:v>V</c:v>
                </c:pt>
                <c:pt idx="113">
                  <c:v>VI</c:v>
                </c:pt>
                <c:pt idx="114">
                  <c:v>VII</c:v>
                </c:pt>
                <c:pt idx="115">
                  <c:v>VIII</c:v>
                </c:pt>
                <c:pt idx="116">
                  <c:v>IX</c:v>
                </c:pt>
                <c:pt idx="117">
                  <c:v>X</c:v>
                </c:pt>
                <c:pt idx="118">
                  <c:v>XI</c:v>
                </c:pt>
                <c:pt idx="119">
                  <c:v>XII</c:v>
                </c:pt>
                <c:pt idx="120">
                  <c:v>2017`I</c:v>
                </c:pt>
                <c:pt idx="121">
                  <c:v>II</c:v>
                </c:pt>
                <c:pt idx="122">
                  <c:v>III</c:v>
                </c:pt>
                <c:pt idx="123">
                  <c:v>IV</c:v>
                </c:pt>
                <c:pt idx="124">
                  <c:v>V</c:v>
                </c:pt>
                <c:pt idx="125">
                  <c:v>VI</c:v>
                </c:pt>
                <c:pt idx="126">
                  <c:v>VII</c:v>
                </c:pt>
                <c:pt idx="127">
                  <c:v>VIII</c:v>
                </c:pt>
                <c:pt idx="128">
                  <c:v>IX</c:v>
                </c:pt>
                <c:pt idx="129">
                  <c:v>X</c:v>
                </c:pt>
                <c:pt idx="130">
                  <c:v>XI</c:v>
                </c:pt>
                <c:pt idx="131">
                  <c:v>XII</c:v>
                </c:pt>
                <c:pt idx="132">
                  <c:v>2018`I</c:v>
                </c:pt>
                <c:pt idx="133">
                  <c:v>II</c:v>
                </c:pt>
                <c:pt idx="134">
                  <c:v>III</c:v>
                </c:pt>
                <c:pt idx="135">
                  <c:v>IV</c:v>
                </c:pt>
                <c:pt idx="136">
                  <c:v>V</c:v>
                </c:pt>
                <c:pt idx="137">
                  <c:v>VI</c:v>
                </c:pt>
                <c:pt idx="138">
                  <c:v>VII</c:v>
                </c:pt>
                <c:pt idx="139">
                  <c:v>VIII</c:v>
                </c:pt>
                <c:pt idx="140">
                  <c:v>IX</c:v>
                </c:pt>
                <c:pt idx="141">
                  <c:v>X</c:v>
                </c:pt>
                <c:pt idx="142">
                  <c:v>XI</c:v>
                </c:pt>
                <c:pt idx="143">
                  <c:v>XII</c:v>
                </c:pt>
                <c:pt idx="144">
                  <c:v>2019`I</c:v>
                </c:pt>
                <c:pt idx="145">
                  <c:v>II</c:v>
                </c:pt>
                <c:pt idx="146">
                  <c:v>III</c:v>
                </c:pt>
                <c:pt idx="147">
                  <c:v>IV</c:v>
                </c:pt>
                <c:pt idx="148">
                  <c:v>V</c:v>
                </c:pt>
                <c:pt idx="149">
                  <c:v>VI</c:v>
                </c:pt>
                <c:pt idx="150">
                  <c:v>VII</c:v>
                </c:pt>
                <c:pt idx="151">
                  <c:v>VIII</c:v>
                </c:pt>
                <c:pt idx="152">
                  <c:v>IX</c:v>
                </c:pt>
                <c:pt idx="153">
                  <c:v>X</c:v>
                </c:pt>
                <c:pt idx="154">
                  <c:v>XI</c:v>
                </c:pt>
                <c:pt idx="155">
                  <c:v>XII</c:v>
                </c:pt>
                <c:pt idx="156">
                  <c:v>2020`I</c:v>
                </c:pt>
                <c:pt idx="157">
                  <c:v>II</c:v>
                </c:pt>
                <c:pt idx="158">
                  <c:v>III</c:v>
                </c:pt>
                <c:pt idx="159">
                  <c:v>IV</c:v>
                </c:pt>
                <c:pt idx="160">
                  <c:v>V</c:v>
                </c:pt>
                <c:pt idx="161">
                  <c:v>VI</c:v>
                </c:pt>
                <c:pt idx="162">
                  <c:v>VII</c:v>
                </c:pt>
                <c:pt idx="163">
                  <c:v>VIII</c:v>
                </c:pt>
                <c:pt idx="164">
                  <c:v>IX</c:v>
                </c:pt>
                <c:pt idx="165">
                  <c:v>X</c:v>
                </c:pt>
                <c:pt idx="166">
                  <c:v>XI</c:v>
                </c:pt>
                <c:pt idx="167">
                  <c:v>XII</c:v>
                </c:pt>
                <c:pt idx="168">
                  <c:v>2021`I</c:v>
                </c:pt>
                <c:pt idx="169">
                  <c:v>II</c:v>
                </c:pt>
                <c:pt idx="170">
                  <c:v>III</c:v>
                </c:pt>
                <c:pt idx="171">
                  <c:v>IV</c:v>
                </c:pt>
                <c:pt idx="172">
                  <c:v>V</c:v>
                </c:pt>
                <c:pt idx="173">
                  <c:v>VI</c:v>
                </c:pt>
                <c:pt idx="174">
                  <c:v>VII</c:v>
                </c:pt>
                <c:pt idx="175">
                  <c:v>VIII</c:v>
                </c:pt>
              </c:strCache>
            </c:strRef>
          </c:cat>
          <c:val>
            <c:numRef>
              <c:f>Sheet2!$B$6:$FU$6</c:f>
              <c:numCache>
                <c:formatCode>General</c:formatCode>
                <c:ptCount val="176"/>
                <c:pt idx="1">
                  <c:v>6.6</c:v>
                </c:pt>
                <c:pt idx="2">
                  <c:v>6.4</c:v>
                </c:pt>
                <c:pt idx="3">
                  <c:v>6.1</c:v>
                </c:pt>
                <c:pt idx="4">
                  <c:v>5.7</c:v>
                </c:pt>
                <c:pt idx="5">
                  <c:v>5.7</c:v>
                </c:pt>
                <c:pt idx="6">
                  <c:v>5.6</c:v>
                </c:pt>
                <c:pt idx="7">
                  <c:v>5.4</c:v>
                </c:pt>
                <c:pt idx="8">
                  <c:v>4.9000000000000004</c:v>
                </c:pt>
                <c:pt idx="9">
                  <c:v>4.8</c:v>
                </c:pt>
                <c:pt idx="10">
                  <c:v>4.8</c:v>
                </c:pt>
                <c:pt idx="11">
                  <c:v>5.0999999999999996</c:v>
                </c:pt>
                <c:pt idx="12">
                  <c:v>5.3</c:v>
                </c:pt>
                <c:pt idx="13">
                  <c:v>5.3</c:v>
                </c:pt>
                <c:pt idx="14">
                  <c:v>5.2</c:v>
                </c:pt>
                <c:pt idx="15">
                  <c:v>5.2</c:v>
                </c:pt>
                <c:pt idx="16">
                  <c:v>5.0999999999999996</c:v>
                </c:pt>
                <c:pt idx="17">
                  <c:v>5.4</c:v>
                </c:pt>
                <c:pt idx="18">
                  <c:v>5.5</c:v>
                </c:pt>
                <c:pt idx="19">
                  <c:v>5.5</c:v>
                </c:pt>
                <c:pt idx="20">
                  <c:v>5.5</c:v>
                </c:pt>
                <c:pt idx="21">
                  <c:v>5.7</c:v>
                </c:pt>
                <c:pt idx="22">
                  <c:v>6.3</c:v>
                </c:pt>
                <c:pt idx="23">
                  <c:v>7.5</c:v>
                </c:pt>
                <c:pt idx="24">
                  <c:v>9.1</c:v>
                </c:pt>
                <c:pt idx="25">
                  <c:v>10.6</c:v>
                </c:pt>
                <c:pt idx="26">
                  <c:v>11.9</c:v>
                </c:pt>
                <c:pt idx="27">
                  <c:v>12</c:v>
                </c:pt>
                <c:pt idx="28">
                  <c:v>12.4</c:v>
                </c:pt>
                <c:pt idx="29">
                  <c:v>12.7</c:v>
                </c:pt>
                <c:pt idx="30">
                  <c:v>13.1</c:v>
                </c:pt>
                <c:pt idx="31">
                  <c:v>13.6</c:v>
                </c:pt>
                <c:pt idx="32">
                  <c:v>14.6</c:v>
                </c:pt>
                <c:pt idx="33">
                  <c:v>15.7</c:v>
                </c:pt>
                <c:pt idx="34">
                  <c:v>16.7</c:v>
                </c:pt>
                <c:pt idx="35">
                  <c:v>17.7</c:v>
                </c:pt>
                <c:pt idx="36">
                  <c:v>18.399999999999999</c:v>
                </c:pt>
                <c:pt idx="37">
                  <c:v>18.899999999999999</c:v>
                </c:pt>
                <c:pt idx="38">
                  <c:v>19</c:v>
                </c:pt>
                <c:pt idx="39">
                  <c:v>17.899999999999999</c:v>
                </c:pt>
                <c:pt idx="40">
                  <c:v>17.100000000000001</c:v>
                </c:pt>
                <c:pt idx="41">
                  <c:v>16.7</c:v>
                </c:pt>
                <c:pt idx="42">
                  <c:v>16.399999999999999</c:v>
                </c:pt>
                <c:pt idx="43">
                  <c:v>16.100000000000001</c:v>
                </c:pt>
                <c:pt idx="44">
                  <c:v>15.5</c:v>
                </c:pt>
                <c:pt idx="45">
                  <c:v>15.4</c:v>
                </c:pt>
                <c:pt idx="46">
                  <c:v>15.5</c:v>
                </c:pt>
                <c:pt idx="47">
                  <c:v>15.7</c:v>
                </c:pt>
                <c:pt idx="48">
                  <c:v>16</c:v>
                </c:pt>
                <c:pt idx="49">
                  <c:v>16</c:v>
                </c:pt>
                <c:pt idx="50">
                  <c:v>15.7</c:v>
                </c:pt>
                <c:pt idx="51">
                  <c:v>14.8</c:v>
                </c:pt>
                <c:pt idx="52">
                  <c:v>13.9</c:v>
                </c:pt>
                <c:pt idx="53">
                  <c:v>13.2</c:v>
                </c:pt>
                <c:pt idx="54">
                  <c:v>12.8</c:v>
                </c:pt>
                <c:pt idx="55">
                  <c:v>12.5</c:v>
                </c:pt>
                <c:pt idx="56">
                  <c:v>12.1</c:v>
                </c:pt>
                <c:pt idx="57">
                  <c:v>12</c:v>
                </c:pt>
                <c:pt idx="58">
                  <c:v>12</c:v>
                </c:pt>
                <c:pt idx="59">
                  <c:v>12.1</c:v>
                </c:pt>
                <c:pt idx="60">
                  <c:v>12.4</c:v>
                </c:pt>
                <c:pt idx="61">
                  <c:v>12.6</c:v>
                </c:pt>
                <c:pt idx="62">
                  <c:v>12.3</c:v>
                </c:pt>
                <c:pt idx="63" formatCode="0.0">
                  <c:v>13.9</c:v>
                </c:pt>
                <c:pt idx="64" formatCode="0.0">
                  <c:v>13.2</c:v>
                </c:pt>
                <c:pt idx="65">
                  <c:v>12.7</c:v>
                </c:pt>
                <c:pt idx="66">
                  <c:v>12.4</c:v>
                </c:pt>
                <c:pt idx="67">
                  <c:v>12</c:v>
                </c:pt>
                <c:pt idx="68">
                  <c:v>11.6</c:v>
                </c:pt>
                <c:pt idx="69">
                  <c:v>11.3</c:v>
                </c:pt>
                <c:pt idx="70">
                  <c:v>11.2</c:v>
                </c:pt>
                <c:pt idx="71">
                  <c:v>11.4</c:v>
                </c:pt>
                <c:pt idx="72">
                  <c:v>12.2</c:v>
                </c:pt>
                <c:pt idx="73">
                  <c:v>12.2</c:v>
                </c:pt>
                <c:pt idx="74">
                  <c:v>12</c:v>
                </c:pt>
                <c:pt idx="75">
                  <c:v>11.1</c:v>
                </c:pt>
                <c:pt idx="76">
                  <c:v>10.5</c:v>
                </c:pt>
                <c:pt idx="77">
                  <c:v>10.5</c:v>
                </c:pt>
                <c:pt idx="78">
                  <c:v>10.3</c:v>
                </c:pt>
                <c:pt idx="79">
                  <c:v>10</c:v>
                </c:pt>
                <c:pt idx="80">
                  <c:v>9.6999999999999993</c:v>
                </c:pt>
                <c:pt idx="81">
                  <c:v>9.8000000000000007</c:v>
                </c:pt>
                <c:pt idx="82">
                  <c:v>11</c:v>
                </c:pt>
                <c:pt idx="83">
                  <c:v>11.5</c:v>
                </c:pt>
                <c:pt idx="84">
                  <c:v>12.1</c:v>
                </c:pt>
                <c:pt idx="85">
                  <c:v>12.4</c:v>
                </c:pt>
                <c:pt idx="86">
                  <c:v>12.2</c:v>
                </c:pt>
                <c:pt idx="87">
                  <c:v>11.6</c:v>
                </c:pt>
                <c:pt idx="88">
                  <c:v>11</c:v>
                </c:pt>
                <c:pt idx="89">
                  <c:v>11.1</c:v>
                </c:pt>
                <c:pt idx="90">
                  <c:v>10.9</c:v>
                </c:pt>
                <c:pt idx="91">
                  <c:v>10.4</c:v>
                </c:pt>
                <c:pt idx="92">
                  <c:v>9.6999999999999993</c:v>
                </c:pt>
                <c:pt idx="93">
                  <c:v>9.8000000000000007</c:v>
                </c:pt>
                <c:pt idx="94">
                  <c:v>10</c:v>
                </c:pt>
                <c:pt idx="95">
                  <c:v>10.7</c:v>
                </c:pt>
                <c:pt idx="96">
                  <c:v>11.4</c:v>
                </c:pt>
                <c:pt idx="97">
                  <c:v>11.5</c:v>
                </c:pt>
                <c:pt idx="98">
                  <c:v>11.3</c:v>
                </c:pt>
                <c:pt idx="99">
                  <c:v>10.5</c:v>
                </c:pt>
                <c:pt idx="100">
                  <c:v>10.3</c:v>
                </c:pt>
                <c:pt idx="101">
                  <c:v>10.9</c:v>
                </c:pt>
                <c:pt idx="102">
                  <c:v>10.9</c:v>
                </c:pt>
                <c:pt idx="103">
                  <c:v>10.7</c:v>
                </c:pt>
                <c:pt idx="104">
                  <c:v>10.3</c:v>
                </c:pt>
                <c:pt idx="105">
                  <c:v>10.199999999999999</c:v>
                </c:pt>
                <c:pt idx="106">
                  <c:v>10.5</c:v>
                </c:pt>
                <c:pt idx="107">
                  <c:v>11</c:v>
                </c:pt>
                <c:pt idx="108">
                  <c:v>11.4</c:v>
                </c:pt>
                <c:pt idx="109">
                  <c:v>11.5</c:v>
                </c:pt>
                <c:pt idx="110">
                  <c:v>11.6</c:v>
                </c:pt>
                <c:pt idx="111">
                  <c:v>10.8</c:v>
                </c:pt>
                <c:pt idx="112">
                  <c:v>10.4</c:v>
                </c:pt>
                <c:pt idx="113">
                  <c:v>10.4</c:v>
                </c:pt>
                <c:pt idx="114">
                  <c:v>10.3</c:v>
                </c:pt>
                <c:pt idx="115">
                  <c:v>9.9</c:v>
                </c:pt>
                <c:pt idx="116">
                  <c:v>9.6</c:v>
                </c:pt>
                <c:pt idx="117">
                  <c:v>9.5</c:v>
                </c:pt>
                <c:pt idx="118" formatCode="0.0">
                  <c:v>9.8000000000000007</c:v>
                </c:pt>
                <c:pt idx="119">
                  <c:v>10.4</c:v>
                </c:pt>
                <c:pt idx="120">
                  <c:v>10.6</c:v>
                </c:pt>
                <c:pt idx="121">
                  <c:v>10.5</c:v>
                </c:pt>
                <c:pt idx="122">
                  <c:v>9.9</c:v>
                </c:pt>
                <c:pt idx="123">
                  <c:v>9</c:v>
                </c:pt>
                <c:pt idx="124">
                  <c:v>8.4</c:v>
                </c:pt>
                <c:pt idx="125">
                  <c:v>8</c:v>
                </c:pt>
                <c:pt idx="126">
                  <c:v>7.7</c:v>
                </c:pt>
                <c:pt idx="127">
                  <c:v>7.5</c:v>
                </c:pt>
                <c:pt idx="128">
                  <c:v>7.2</c:v>
                </c:pt>
                <c:pt idx="129">
                  <c:v>7.2</c:v>
                </c:pt>
                <c:pt idx="130">
                  <c:v>7.3</c:v>
                </c:pt>
                <c:pt idx="131">
                  <c:v>7.7</c:v>
                </c:pt>
                <c:pt idx="132">
                  <c:v>8.1</c:v>
                </c:pt>
                <c:pt idx="133">
                  <c:v>8.1</c:v>
                </c:pt>
                <c:pt idx="134">
                  <c:v>8.1</c:v>
                </c:pt>
                <c:pt idx="135">
                  <c:v>7.4</c:v>
                </c:pt>
                <c:pt idx="136">
                  <c:v>7.1</c:v>
                </c:pt>
                <c:pt idx="137">
                  <c:v>7.1</c:v>
                </c:pt>
                <c:pt idx="138">
                  <c:v>7.1</c:v>
                </c:pt>
                <c:pt idx="139">
                  <c:v>7</c:v>
                </c:pt>
                <c:pt idx="140">
                  <c:v>6.9</c:v>
                </c:pt>
                <c:pt idx="141">
                  <c:v>6.9</c:v>
                </c:pt>
                <c:pt idx="142">
                  <c:v>7</c:v>
                </c:pt>
                <c:pt idx="143">
                  <c:v>7.5</c:v>
                </c:pt>
                <c:pt idx="144">
                  <c:v>7.9</c:v>
                </c:pt>
                <c:pt idx="145">
                  <c:v>8.1</c:v>
                </c:pt>
                <c:pt idx="146">
                  <c:v>7.8</c:v>
                </c:pt>
                <c:pt idx="147">
                  <c:v>7.1</c:v>
                </c:pt>
                <c:pt idx="148">
                  <c:v>6.7</c:v>
                </c:pt>
                <c:pt idx="149">
                  <c:v>6.6</c:v>
                </c:pt>
                <c:pt idx="150">
                  <c:v>6.5</c:v>
                </c:pt>
                <c:pt idx="151">
                  <c:v>6.3</c:v>
                </c:pt>
                <c:pt idx="152">
                  <c:v>6.1</c:v>
                </c:pt>
                <c:pt idx="153">
                  <c:v>6.2</c:v>
                </c:pt>
                <c:pt idx="154">
                  <c:v>6.2</c:v>
                </c:pt>
                <c:pt idx="155">
                  <c:v>7.2</c:v>
                </c:pt>
                <c:pt idx="156">
                  <c:v>7.4</c:v>
                </c:pt>
                <c:pt idx="157">
                  <c:v>7.3</c:v>
                </c:pt>
                <c:pt idx="158">
                  <c:v>7.7</c:v>
                </c:pt>
                <c:pt idx="159">
                  <c:v>8.6</c:v>
                </c:pt>
                <c:pt idx="160">
                  <c:v>8.9</c:v>
                </c:pt>
                <c:pt idx="161">
                  <c:v>9.1999999999999993</c:v>
                </c:pt>
                <c:pt idx="162">
                  <c:v>9.1</c:v>
                </c:pt>
                <c:pt idx="163">
                  <c:v>8.6</c:v>
                </c:pt>
                <c:pt idx="164">
                  <c:v>7.9</c:v>
                </c:pt>
                <c:pt idx="165">
                  <c:v>7.6</c:v>
                </c:pt>
                <c:pt idx="166">
                  <c:v>7.7</c:v>
                </c:pt>
                <c:pt idx="167">
                  <c:v>8.1999999999999993</c:v>
                </c:pt>
                <c:pt idx="168">
                  <c:v>8.6</c:v>
                </c:pt>
                <c:pt idx="169">
                  <c:v>9</c:v>
                </c:pt>
                <c:pt idx="170">
                  <c:v>8.6999999999999993</c:v>
                </c:pt>
                <c:pt idx="171">
                  <c:v>8.1</c:v>
                </c:pt>
                <c:pt idx="172">
                  <c:v>7.8</c:v>
                </c:pt>
                <c:pt idx="173">
                  <c:v>7.6</c:v>
                </c:pt>
                <c:pt idx="174">
                  <c:v>7.2</c:v>
                </c:pt>
                <c:pt idx="175">
                  <c:v>6.5</c:v>
                </c:pt>
              </c:numCache>
            </c:numRef>
          </c:val>
          <c:smooth val="0"/>
          <c:extLst>
            <c:ext xmlns:c16="http://schemas.microsoft.com/office/drawing/2014/chart" uri="{C3380CC4-5D6E-409C-BE32-E72D297353CC}">
              <c16:uniqueId val="{00000002-AD39-4180-8DC6-A1611A693C37}"/>
            </c:ext>
          </c:extLst>
        </c:ser>
        <c:ser>
          <c:idx val="2"/>
          <c:order val="2"/>
          <c:tx>
            <c:strRef>
              <c:f>Sheet2!$A$7</c:f>
              <c:strCache>
                <c:ptCount val="1"/>
                <c:pt idx="0">
                  <c:v>Latgale</c:v>
                </c:pt>
              </c:strCache>
            </c:strRef>
          </c:tx>
          <c:spPr>
            <a:ln w="28575" cap="rnd">
              <a:solidFill>
                <a:srgbClr val="70AD47"/>
              </a:solidFill>
              <a:round/>
            </a:ln>
            <a:effectLst/>
          </c:spPr>
          <c:marker>
            <c:symbol val="none"/>
          </c:marker>
          <c:cat>
            <c:strRef>
              <c:f>Sheet2!$B$4:$FU$4</c:f>
              <c:strCache>
                <c:ptCount val="176"/>
                <c:pt idx="0">
                  <c:v>2007`I</c:v>
                </c:pt>
                <c:pt idx="1">
                  <c:v>II</c:v>
                </c:pt>
                <c:pt idx="2">
                  <c:v>III</c:v>
                </c:pt>
                <c:pt idx="3">
                  <c:v>IV</c:v>
                </c:pt>
                <c:pt idx="4">
                  <c:v>V</c:v>
                </c:pt>
                <c:pt idx="5">
                  <c:v>VI</c:v>
                </c:pt>
                <c:pt idx="6">
                  <c:v>VII</c:v>
                </c:pt>
                <c:pt idx="7">
                  <c:v>VIII</c:v>
                </c:pt>
                <c:pt idx="8">
                  <c:v>IX</c:v>
                </c:pt>
                <c:pt idx="9">
                  <c:v>X</c:v>
                </c:pt>
                <c:pt idx="10">
                  <c:v>XI</c:v>
                </c:pt>
                <c:pt idx="11">
                  <c:v>XII</c:v>
                </c:pt>
                <c:pt idx="12">
                  <c:v>2008`I</c:v>
                </c:pt>
                <c:pt idx="13">
                  <c:v>II</c:v>
                </c:pt>
                <c:pt idx="14">
                  <c:v>III</c:v>
                </c:pt>
                <c:pt idx="15">
                  <c:v>IV</c:v>
                </c:pt>
                <c:pt idx="16">
                  <c:v>V</c:v>
                </c:pt>
                <c:pt idx="17">
                  <c:v>VI</c:v>
                </c:pt>
                <c:pt idx="18">
                  <c:v>VII</c:v>
                </c:pt>
                <c:pt idx="19">
                  <c:v>VIII</c:v>
                </c:pt>
                <c:pt idx="20">
                  <c:v>IX</c:v>
                </c:pt>
                <c:pt idx="21">
                  <c:v>X</c:v>
                </c:pt>
                <c:pt idx="22">
                  <c:v>XI</c:v>
                </c:pt>
                <c:pt idx="23">
                  <c:v>XII</c:v>
                </c:pt>
                <c:pt idx="24">
                  <c:v>2009`I</c:v>
                </c:pt>
                <c:pt idx="25">
                  <c:v>II</c:v>
                </c:pt>
                <c:pt idx="26">
                  <c:v>III</c:v>
                </c:pt>
                <c:pt idx="27">
                  <c:v>IV</c:v>
                </c:pt>
                <c:pt idx="28">
                  <c:v>V</c:v>
                </c:pt>
                <c:pt idx="29">
                  <c:v>VI</c:v>
                </c:pt>
                <c:pt idx="30">
                  <c:v>VII</c:v>
                </c:pt>
                <c:pt idx="31">
                  <c:v>VIII</c:v>
                </c:pt>
                <c:pt idx="32">
                  <c:v>IX</c:v>
                </c:pt>
                <c:pt idx="33">
                  <c:v>X</c:v>
                </c:pt>
                <c:pt idx="34">
                  <c:v>XI</c:v>
                </c:pt>
                <c:pt idx="35">
                  <c:v>XII</c:v>
                </c:pt>
                <c:pt idx="36">
                  <c:v>2010`I</c:v>
                </c:pt>
                <c:pt idx="37">
                  <c:v>II</c:v>
                </c:pt>
                <c:pt idx="38">
                  <c:v>III</c:v>
                </c:pt>
                <c:pt idx="39">
                  <c:v>IV</c:v>
                </c:pt>
                <c:pt idx="40">
                  <c:v>V</c:v>
                </c:pt>
                <c:pt idx="41">
                  <c:v>VI</c:v>
                </c:pt>
                <c:pt idx="42">
                  <c:v>VII</c:v>
                </c:pt>
                <c:pt idx="43">
                  <c:v>VIII</c:v>
                </c:pt>
                <c:pt idx="44">
                  <c:v>IX</c:v>
                </c:pt>
                <c:pt idx="45">
                  <c:v>X</c:v>
                </c:pt>
                <c:pt idx="46">
                  <c:v>XI</c:v>
                </c:pt>
                <c:pt idx="47">
                  <c:v>XII</c:v>
                </c:pt>
                <c:pt idx="48">
                  <c:v>2011`I</c:v>
                </c:pt>
                <c:pt idx="49">
                  <c:v>II</c:v>
                </c:pt>
                <c:pt idx="50">
                  <c:v>III</c:v>
                </c:pt>
                <c:pt idx="51">
                  <c:v>IV</c:v>
                </c:pt>
                <c:pt idx="52">
                  <c:v>V</c:v>
                </c:pt>
                <c:pt idx="53">
                  <c:v>VI</c:v>
                </c:pt>
                <c:pt idx="54">
                  <c:v>VII</c:v>
                </c:pt>
                <c:pt idx="55">
                  <c:v>VIII</c:v>
                </c:pt>
                <c:pt idx="56">
                  <c:v>IX</c:v>
                </c:pt>
                <c:pt idx="57">
                  <c:v>X</c:v>
                </c:pt>
                <c:pt idx="58">
                  <c:v>XI</c:v>
                </c:pt>
                <c:pt idx="59">
                  <c:v>XII</c:v>
                </c:pt>
                <c:pt idx="60">
                  <c:v>2012`I</c:v>
                </c:pt>
                <c:pt idx="61">
                  <c:v>II</c:v>
                </c:pt>
                <c:pt idx="62">
                  <c:v>III</c:v>
                </c:pt>
                <c:pt idx="63">
                  <c:v>IV</c:v>
                </c:pt>
                <c:pt idx="64">
                  <c:v>V</c:v>
                </c:pt>
                <c:pt idx="65">
                  <c:v>VI</c:v>
                </c:pt>
                <c:pt idx="66">
                  <c:v>VII</c:v>
                </c:pt>
                <c:pt idx="67">
                  <c:v>VIII</c:v>
                </c:pt>
                <c:pt idx="68">
                  <c:v>IX</c:v>
                </c:pt>
                <c:pt idx="69">
                  <c:v>X</c:v>
                </c:pt>
                <c:pt idx="70">
                  <c:v>XI</c:v>
                </c:pt>
                <c:pt idx="71">
                  <c:v>XII</c:v>
                </c:pt>
                <c:pt idx="72">
                  <c:v>2013`I</c:v>
                </c:pt>
                <c:pt idx="73">
                  <c:v>II</c:v>
                </c:pt>
                <c:pt idx="74">
                  <c:v>III</c:v>
                </c:pt>
                <c:pt idx="75">
                  <c:v>IV</c:v>
                </c:pt>
                <c:pt idx="76">
                  <c:v>V</c:v>
                </c:pt>
                <c:pt idx="77">
                  <c:v>VI</c:v>
                </c:pt>
                <c:pt idx="78">
                  <c:v>VII</c:v>
                </c:pt>
                <c:pt idx="79">
                  <c:v>VIII</c:v>
                </c:pt>
                <c:pt idx="80">
                  <c:v>IX</c:v>
                </c:pt>
                <c:pt idx="81">
                  <c:v>X</c:v>
                </c:pt>
                <c:pt idx="82">
                  <c:v>XI</c:v>
                </c:pt>
                <c:pt idx="83">
                  <c:v>XII</c:v>
                </c:pt>
                <c:pt idx="84">
                  <c:v>2014`I</c:v>
                </c:pt>
                <c:pt idx="85">
                  <c:v>II</c:v>
                </c:pt>
                <c:pt idx="86">
                  <c:v>III</c:v>
                </c:pt>
                <c:pt idx="87">
                  <c:v>IV</c:v>
                </c:pt>
                <c:pt idx="88">
                  <c:v>V</c:v>
                </c:pt>
                <c:pt idx="89">
                  <c:v>VI</c:v>
                </c:pt>
                <c:pt idx="90">
                  <c:v>VII</c:v>
                </c:pt>
                <c:pt idx="91">
                  <c:v>VIII</c:v>
                </c:pt>
                <c:pt idx="92">
                  <c:v>IX</c:v>
                </c:pt>
                <c:pt idx="93">
                  <c:v>X</c:v>
                </c:pt>
                <c:pt idx="94">
                  <c:v>XI</c:v>
                </c:pt>
                <c:pt idx="95">
                  <c:v>XII</c:v>
                </c:pt>
                <c:pt idx="96">
                  <c:v>2015`I</c:v>
                </c:pt>
                <c:pt idx="97">
                  <c:v>II</c:v>
                </c:pt>
                <c:pt idx="98">
                  <c:v>III</c:v>
                </c:pt>
                <c:pt idx="99">
                  <c:v>IV</c:v>
                </c:pt>
                <c:pt idx="100">
                  <c:v>V</c:v>
                </c:pt>
                <c:pt idx="101">
                  <c:v>VI</c:v>
                </c:pt>
                <c:pt idx="102">
                  <c:v>VII</c:v>
                </c:pt>
                <c:pt idx="103">
                  <c:v>VIII</c:v>
                </c:pt>
                <c:pt idx="104">
                  <c:v>IX</c:v>
                </c:pt>
                <c:pt idx="105">
                  <c:v>X</c:v>
                </c:pt>
                <c:pt idx="106">
                  <c:v>XI</c:v>
                </c:pt>
                <c:pt idx="107">
                  <c:v>XII</c:v>
                </c:pt>
                <c:pt idx="108">
                  <c:v>2016`I</c:v>
                </c:pt>
                <c:pt idx="109">
                  <c:v>II</c:v>
                </c:pt>
                <c:pt idx="110">
                  <c:v>III</c:v>
                </c:pt>
                <c:pt idx="111">
                  <c:v>IV</c:v>
                </c:pt>
                <c:pt idx="112">
                  <c:v>V</c:v>
                </c:pt>
                <c:pt idx="113">
                  <c:v>VI</c:v>
                </c:pt>
                <c:pt idx="114">
                  <c:v>VII</c:v>
                </c:pt>
                <c:pt idx="115">
                  <c:v>VIII</c:v>
                </c:pt>
                <c:pt idx="116">
                  <c:v>IX</c:v>
                </c:pt>
                <c:pt idx="117">
                  <c:v>X</c:v>
                </c:pt>
                <c:pt idx="118">
                  <c:v>XI</c:v>
                </c:pt>
                <c:pt idx="119">
                  <c:v>XII</c:v>
                </c:pt>
                <c:pt idx="120">
                  <c:v>2017`I</c:v>
                </c:pt>
                <c:pt idx="121">
                  <c:v>II</c:v>
                </c:pt>
                <c:pt idx="122">
                  <c:v>III</c:v>
                </c:pt>
                <c:pt idx="123">
                  <c:v>IV</c:v>
                </c:pt>
                <c:pt idx="124">
                  <c:v>V</c:v>
                </c:pt>
                <c:pt idx="125">
                  <c:v>VI</c:v>
                </c:pt>
                <c:pt idx="126">
                  <c:v>VII</c:v>
                </c:pt>
                <c:pt idx="127">
                  <c:v>VIII</c:v>
                </c:pt>
                <c:pt idx="128">
                  <c:v>IX</c:v>
                </c:pt>
                <c:pt idx="129">
                  <c:v>X</c:v>
                </c:pt>
                <c:pt idx="130">
                  <c:v>XI</c:v>
                </c:pt>
                <c:pt idx="131">
                  <c:v>XII</c:v>
                </c:pt>
                <c:pt idx="132">
                  <c:v>2018`I</c:v>
                </c:pt>
                <c:pt idx="133">
                  <c:v>II</c:v>
                </c:pt>
                <c:pt idx="134">
                  <c:v>III</c:v>
                </c:pt>
                <c:pt idx="135">
                  <c:v>IV</c:v>
                </c:pt>
                <c:pt idx="136">
                  <c:v>V</c:v>
                </c:pt>
                <c:pt idx="137">
                  <c:v>VI</c:v>
                </c:pt>
                <c:pt idx="138">
                  <c:v>VII</c:v>
                </c:pt>
                <c:pt idx="139">
                  <c:v>VIII</c:v>
                </c:pt>
                <c:pt idx="140">
                  <c:v>IX</c:v>
                </c:pt>
                <c:pt idx="141">
                  <c:v>X</c:v>
                </c:pt>
                <c:pt idx="142">
                  <c:v>XI</c:v>
                </c:pt>
                <c:pt idx="143">
                  <c:v>XII</c:v>
                </c:pt>
                <c:pt idx="144">
                  <c:v>2019`I</c:v>
                </c:pt>
                <c:pt idx="145">
                  <c:v>II</c:v>
                </c:pt>
                <c:pt idx="146">
                  <c:v>III</c:v>
                </c:pt>
                <c:pt idx="147">
                  <c:v>IV</c:v>
                </c:pt>
                <c:pt idx="148">
                  <c:v>V</c:v>
                </c:pt>
                <c:pt idx="149">
                  <c:v>VI</c:v>
                </c:pt>
                <c:pt idx="150">
                  <c:v>VII</c:v>
                </c:pt>
                <c:pt idx="151">
                  <c:v>VIII</c:v>
                </c:pt>
                <c:pt idx="152">
                  <c:v>IX</c:v>
                </c:pt>
                <c:pt idx="153">
                  <c:v>X</c:v>
                </c:pt>
                <c:pt idx="154">
                  <c:v>XI</c:v>
                </c:pt>
                <c:pt idx="155">
                  <c:v>XII</c:v>
                </c:pt>
                <c:pt idx="156">
                  <c:v>2020`I</c:v>
                </c:pt>
                <c:pt idx="157">
                  <c:v>II</c:v>
                </c:pt>
                <c:pt idx="158">
                  <c:v>III</c:v>
                </c:pt>
                <c:pt idx="159">
                  <c:v>IV</c:v>
                </c:pt>
                <c:pt idx="160">
                  <c:v>V</c:v>
                </c:pt>
                <c:pt idx="161">
                  <c:v>VI</c:v>
                </c:pt>
                <c:pt idx="162">
                  <c:v>VII</c:v>
                </c:pt>
                <c:pt idx="163">
                  <c:v>VIII</c:v>
                </c:pt>
                <c:pt idx="164">
                  <c:v>IX</c:v>
                </c:pt>
                <c:pt idx="165">
                  <c:v>X</c:v>
                </c:pt>
                <c:pt idx="166">
                  <c:v>XI</c:v>
                </c:pt>
                <c:pt idx="167">
                  <c:v>XII</c:v>
                </c:pt>
                <c:pt idx="168">
                  <c:v>2021`I</c:v>
                </c:pt>
                <c:pt idx="169">
                  <c:v>II</c:v>
                </c:pt>
                <c:pt idx="170">
                  <c:v>III</c:v>
                </c:pt>
                <c:pt idx="171">
                  <c:v>IV</c:v>
                </c:pt>
                <c:pt idx="172">
                  <c:v>V</c:v>
                </c:pt>
                <c:pt idx="173">
                  <c:v>VI</c:v>
                </c:pt>
                <c:pt idx="174">
                  <c:v>VII</c:v>
                </c:pt>
                <c:pt idx="175">
                  <c:v>VIII</c:v>
                </c:pt>
              </c:strCache>
            </c:strRef>
          </c:cat>
          <c:val>
            <c:numRef>
              <c:f>Sheet2!$B$7:$FU$7</c:f>
              <c:numCache>
                <c:formatCode>General</c:formatCode>
                <c:ptCount val="176"/>
                <c:pt idx="1">
                  <c:v>13.9</c:v>
                </c:pt>
                <c:pt idx="2">
                  <c:v>13.7</c:v>
                </c:pt>
                <c:pt idx="3">
                  <c:v>12.8</c:v>
                </c:pt>
                <c:pt idx="4">
                  <c:v>12.4</c:v>
                </c:pt>
                <c:pt idx="5">
                  <c:v>12.1</c:v>
                </c:pt>
                <c:pt idx="6">
                  <c:v>11.7</c:v>
                </c:pt>
                <c:pt idx="7">
                  <c:v>11.1</c:v>
                </c:pt>
                <c:pt idx="8">
                  <c:v>10.3</c:v>
                </c:pt>
                <c:pt idx="9">
                  <c:v>9.6999999999999993</c:v>
                </c:pt>
                <c:pt idx="10">
                  <c:v>9.4</c:v>
                </c:pt>
                <c:pt idx="11">
                  <c:v>9.4</c:v>
                </c:pt>
                <c:pt idx="12">
                  <c:v>9.6</c:v>
                </c:pt>
                <c:pt idx="13">
                  <c:v>9.6</c:v>
                </c:pt>
                <c:pt idx="14">
                  <c:v>9.5</c:v>
                </c:pt>
                <c:pt idx="15">
                  <c:v>9.3000000000000007</c:v>
                </c:pt>
                <c:pt idx="16">
                  <c:v>9.1</c:v>
                </c:pt>
                <c:pt idx="17">
                  <c:v>9.3000000000000007</c:v>
                </c:pt>
                <c:pt idx="18">
                  <c:v>9.3000000000000007</c:v>
                </c:pt>
                <c:pt idx="19">
                  <c:v>9.1999999999999993</c:v>
                </c:pt>
                <c:pt idx="20">
                  <c:v>9.3000000000000007</c:v>
                </c:pt>
                <c:pt idx="21">
                  <c:v>9.5</c:v>
                </c:pt>
                <c:pt idx="22">
                  <c:v>10</c:v>
                </c:pt>
                <c:pt idx="23">
                  <c:v>10.8</c:v>
                </c:pt>
                <c:pt idx="24">
                  <c:v>12.2</c:v>
                </c:pt>
                <c:pt idx="25">
                  <c:v>13.4</c:v>
                </c:pt>
                <c:pt idx="26">
                  <c:v>14.8</c:v>
                </c:pt>
                <c:pt idx="27">
                  <c:v>14.9</c:v>
                </c:pt>
                <c:pt idx="28">
                  <c:v>15.2</c:v>
                </c:pt>
                <c:pt idx="29">
                  <c:v>15.5</c:v>
                </c:pt>
                <c:pt idx="30">
                  <c:v>15.7</c:v>
                </c:pt>
                <c:pt idx="31">
                  <c:v>16.3</c:v>
                </c:pt>
                <c:pt idx="32">
                  <c:v>17.600000000000001</c:v>
                </c:pt>
                <c:pt idx="33">
                  <c:v>18.899999999999999</c:v>
                </c:pt>
                <c:pt idx="34">
                  <c:v>20.2</c:v>
                </c:pt>
                <c:pt idx="35">
                  <c:v>21.1</c:v>
                </c:pt>
                <c:pt idx="36">
                  <c:v>21.8</c:v>
                </c:pt>
                <c:pt idx="37">
                  <c:v>22.6</c:v>
                </c:pt>
                <c:pt idx="38">
                  <c:v>22.9</c:v>
                </c:pt>
                <c:pt idx="39">
                  <c:v>23.1</c:v>
                </c:pt>
                <c:pt idx="40">
                  <c:v>22.8</c:v>
                </c:pt>
                <c:pt idx="41">
                  <c:v>22.4</c:v>
                </c:pt>
                <c:pt idx="42">
                  <c:v>22.4</c:v>
                </c:pt>
                <c:pt idx="43">
                  <c:v>22.3</c:v>
                </c:pt>
                <c:pt idx="44">
                  <c:v>22</c:v>
                </c:pt>
                <c:pt idx="45">
                  <c:v>21.9</c:v>
                </c:pt>
                <c:pt idx="46">
                  <c:v>22.1</c:v>
                </c:pt>
                <c:pt idx="47">
                  <c:v>22.3</c:v>
                </c:pt>
                <c:pt idx="48">
                  <c:v>22.6</c:v>
                </c:pt>
                <c:pt idx="49">
                  <c:v>22.8</c:v>
                </c:pt>
                <c:pt idx="50">
                  <c:v>22.7</c:v>
                </c:pt>
                <c:pt idx="51">
                  <c:v>22.5</c:v>
                </c:pt>
                <c:pt idx="52">
                  <c:v>21.7</c:v>
                </c:pt>
                <c:pt idx="53">
                  <c:v>20.9</c:v>
                </c:pt>
                <c:pt idx="54">
                  <c:v>20.399999999999999</c:v>
                </c:pt>
                <c:pt idx="55">
                  <c:v>20</c:v>
                </c:pt>
                <c:pt idx="56">
                  <c:v>19.7</c:v>
                </c:pt>
                <c:pt idx="57">
                  <c:v>19.600000000000001</c:v>
                </c:pt>
                <c:pt idx="58">
                  <c:v>19.7</c:v>
                </c:pt>
                <c:pt idx="59">
                  <c:v>19.8</c:v>
                </c:pt>
                <c:pt idx="60">
                  <c:v>20.2</c:v>
                </c:pt>
                <c:pt idx="61">
                  <c:v>20.399999999999999</c:v>
                </c:pt>
                <c:pt idx="62">
                  <c:v>20.3</c:v>
                </c:pt>
                <c:pt idx="63" formatCode="0.0">
                  <c:v>24.1</c:v>
                </c:pt>
                <c:pt idx="64" formatCode="0.0">
                  <c:v>23.4</c:v>
                </c:pt>
                <c:pt idx="65">
                  <c:v>22.9</c:v>
                </c:pt>
                <c:pt idx="66">
                  <c:v>22.5</c:v>
                </c:pt>
                <c:pt idx="67">
                  <c:v>22</c:v>
                </c:pt>
                <c:pt idx="68">
                  <c:v>21.6</c:v>
                </c:pt>
                <c:pt idx="69">
                  <c:v>21.3</c:v>
                </c:pt>
                <c:pt idx="70">
                  <c:v>21.2</c:v>
                </c:pt>
                <c:pt idx="71">
                  <c:v>21.1</c:v>
                </c:pt>
                <c:pt idx="72">
                  <c:v>21.5</c:v>
                </c:pt>
                <c:pt idx="73">
                  <c:v>21.5</c:v>
                </c:pt>
                <c:pt idx="74">
                  <c:v>21.4</c:v>
                </c:pt>
                <c:pt idx="75">
                  <c:v>21</c:v>
                </c:pt>
                <c:pt idx="76">
                  <c:v>20.2</c:v>
                </c:pt>
                <c:pt idx="77">
                  <c:v>19.8</c:v>
                </c:pt>
                <c:pt idx="78">
                  <c:v>19.100000000000001</c:v>
                </c:pt>
                <c:pt idx="79">
                  <c:v>18.899999999999999</c:v>
                </c:pt>
                <c:pt idx="80">
                  <c:v>18.600000000000001</c:v>
                </c:pt>
                <c:pt idx="81">
                  <c:v>18.600000000000001</c:v>
                </c:pt>
                <c:pt idx="82">
                  <c:v>18.7</c:v>
                </c:pt>
                <c:pt idx="83">
                  <c:v>18.8</c:v>
                </c:pt>
                <c:pt idx="84">
                  <c:v>19.3</c:v>
                </c:pt>
                <c:pt idx="85">
                  <c:v>19.5</c:v>
                </c:pt>
                <c:pt idx="86">
                  <c:v>19.399999999999999</c:v>
                </c:pt>
                <c:pt idx="87">
                  <c:v>19.7</c:v>
                </c:pt>
                <c:pt idx="88">
                  <c:v>19</c:v>
                </c:pt>
                <c:pt idx="89">
                  <c:v>18.5</c:v>
                </c:pt>
                <c:pt idx="90">
                  <c:v>18.100000000000001</c:v>
                </c:pt>
                <c:pt idx="91">
                  <c:v>17.8</c:v>
                </c:pt>
                <c:pt idx="92">
                  <c:v>17.600000000000001</c:v>
                </c:pt>
                <c:pt idx="93">
                  <c:v>17.600000000000001</c:v>
                </c:pt>
                <c:pt idx="94">
                  <c:v>17.600000000000001</c:v>
                </c:pt>
                <c:pt idx="95">
                  <c:v>17.8</c:v>
                </c:pt>
                <c:pt idx="96">
                  <c:v>18.5</c:v>
                </c:pt>
                <c:pt idx="97">
                  <c:v>18.8</c:v>
                </c:pt>
                <c:pt idx="98">
                  <c:v>19.8</c:v>
                </c:pt>
                <c:pt idx="99">
                  <c:v>19.3</c:v>
                </c:pt>
                <c:pt idx="100">
                  <c:v>18.899999999999999</c:v>
                </c:pt>
                <c:pt idx="101">
                  <c:v>18.7</c:v>
                </c:pt>
                <c:pt idx="102">
                  <c:v>18.5</c:v>
                </c:pt>
                <c:pt idx="103">
                  <c:v>18.399999999999999</c:v>
                </c:pt>
                <c:pt idx="104">
                  <c:v>18.3</c:v>
                </c:pt>
                <c:pt idx="105">
                  <c:v>18.100000000000001</c:v>
                </c:pt>
                <c:pt idx="106">
                  <c:v>18.3</c:v>
                </c:pt>
                <c:pt idx="107">
                  <c:v>18.5</c:v>
                </c:pt>
                <c:pt idx="108">
                  <c:v>19.100000000000001</c:v>
                </c:pt>
                <c:pt idx="109">
                  <c:v>19.3</c:v>
                </c:pt>
                <c:pt idx="110">
                  <c:v>19.100000000000001</c:v>
                </c:pt>
                <c:pt idx="111">
                  <c:v>18.8</c:v>
                </c:pt>
                <c:pt idx="112">
                  <c:v>18.3</c:v>
                </c:pt>
                <c:pt idx="113">
                  <c:v>18</c:v>
                </c:pt>
                <c:pt idx="114">
                  <c:v>17.8</c:v>
                </c:pt>
                <c:pt idx="115">
                  <c:v>17.5</c:v>
                </c:pt>
                <c:pt idx="116">
                  <c:v>17.399999999999999</c:v>
                </c:pt>
                <c:pt idx="117">
                  <c:v>17.3</c:v>
                </c:pt>
                <c:pt idx="118" formatCode="0.0">
                  <c:v>17.600000000000001</c:v>
                </c:pt>
                <c:pt idx="119">
                  <c:v>17.899999999999999</c:v>
                </c:pt>
                <c:pt idx="120">
                  <c:v>18.2</c:v>
                </c:pt>
                <c:pt idx="121">
                  <c:v>18.2</c:v>
                </c:pt>
                <c:pt idx="122">
                  <c:v>18.399999999999999</c:v>
                </c:pt>
                <c:pt idx="123">
                  <c:v>17.7</c:v>
                </c:pt>
                <c:pt idx="124">
                  <c:v>17.100000000000001</c:v>
                </c:pt>
                <c:pt idx="125">
                  <c:v>16.600000000000001</c:v>
                </c:pt>
                <c:pt idx="126">
                  <c:v>16.399999999999999</c:v>
                </c:pt>
                <c:pt idx="127">
                  <c:v>16</c:v>
                </c:pt>
                <c:pt idx="128">
                  <c:v>15.7</c:v>
                </c:pt>
                <c:pt idx="129">
                  <c:v>15.6</c:v>
                </c:pt>
                <c:pt idx="130">
                  <c:v>15.7</c:v>
                </c:pt>
                <c:pt idx="131">
                  <c:v>15.8</c:v>
                </c:pt>
                <c:pt idx="132">
                  <c:v>16</c:v>
                </c:pt>
                <c:pt idx="133">
                  <c:v>16</c:v>
                </c:pt>
                <c:pt idx="134">
                  <c:v>16.399999999999999</c:v>
                </c:pt>
                <c:pt idx="135">
                  <c:v>15.9</c:v>
                </c:pt>
                <c:pt idx="136">
                  <c:v>15.4</c:v>
                </c:pt>
                <c:pt idx="137">
                  <c:v>14.9</c:v>
                </c:pt>
                <c:pt idx="138">
                  <c:v>14.7</c:v>
                </c:pt>
                <c:pt idx="139">
                  <c:v>14.4</c:v>
                </c:pt>
                <c:pt idx="140">
                  <c:v>14.3</c:v>
                </c:pt>
                <c:pt idx="141">
                  <c:v>14.2</c:v>
                </c:pt>
                <c:pt idx="142">
                  <c:v>14.4</c:v>
                </c:pt>
                <c:pt idx="143">
                  <c:v>14.7</c:v>
                </c:pt>
                <c:pt idx="144">
                  <c:v>15</c:v>
                </c:pt>
                <c:pt idx="145">
                  <c:v>15.2</c:v>
                </c:pt>
                <c:pt idx="146">
                  <c:v>15.4</c:v>
                </c:pt>
                <c:pt idx="147">
                  <c:v>14.9</c:v>
                </c:pt>
                <c:pt idx="148">
                  <c:v>14.4</c:v>
                </c:pt>
                <c:pt idx="149">
                  <c:v>14.1</c:v>
                </c:pt>
                <c:pt idx="150">
                  <c:v>13.8</c:v>
                </c:pt>
                <c:pt idx="151">
                  <c:v>13.6</c:v>
                </c:pt>
                <c:pt idx="152">
                  <c:v>13.3</c:v>
                </c:pt>
                <c:pt idx="153">
                  <c:v>13.2</c:v>
                </c:pt>
                <c:pt idx="154">
                  <c:v>13.3</c:v>
                </c:pt>
                <c:pt idx="155">
                  <c:v>13.8</c:v>
                </c:pt>
                <c:pt idx="156">
                  <c:v>13.9</c:v>
                </c:pt>
                <c:pt idx="157">
                  <c:v>13.9</c:v>
                </c:pt>
                <c:pt idx="158">
                  <c:v>14.5</c:v>
                </c:pt>
                <c:pt idx="159">
                  <c:v>15.3</c:v>
                </c:pt>
                <c:pt idx="160">
                  <c:v>15.7</c:v>
                </c:pt>
                <c:pt idx="161">
                  <c:v>16</c:v>
                </c:pt>
                <c:pt idx="162">
                  <c:v>16.100000000000001</c:v>
                </c:pt>
                <c:pt idx="163">
                  <c:v>15.8</c:v>
                </c:pt>
                <c:pt idx="164">
                  <c:v>15.4</c:v>
                </c:pt>
                <c:pt idx="165">
                  <c:v>15</c:v>
                </c:pt>
                <c:pt idx="166">
                  <c:v>15.1</c:v>
                </c:pt>
                <c:pt idx="167">
                  <c:v>15.4</c:v>
                </c:pt>
                <c:pt idx="168">
                  <c:v>16</c:v>
                </c:pt>
                <c:pt idx="169">
                  <c:v>16.5</c:v>
                </c:pt>
                <c:pt idx="170">
                  <c:v>16.5</c:v>
                </c:pt>
                <c:pt idx="171">
                  <c:v>16.2</c:v>
                </c:pt>
                <c:pt idx="172">
                  <c:v>15.9</c:v>
                </c:pt>
                <c:pt idx="173">
                  <c:v>15.8</c:v>
                </c:pt>
                <c:pt idx="174">
                  <c:v>15.6</c:v>
                </c:pt>
                <c:pt idx="175">
                  <c:v>14.9</c:v>
                </c:pt>
              </c:numCache>
            </c:numRef>
          </c:val>
          <c:smooth val="1"/>
          <c:extLst>
            <c:ext xmlns:c16="http://schemas.microsoft.com/office/drawing/2014/chart" uri="{C3380CC4-5D6E-409C-BE32-E72D297353CC}">
              <c16:uniqueId val="{00000003-AD39-4180-8DC6-A1611A693C37}"/>
            </c:ext>
          </c:extLst>
        </c:ser>
        <c:ser>
          <c:idx val="3"/>
          <c:order val="3"/>
          <c:tx>
            <c:strRef>
              <c:f>Sheet2!$A$8</c:f>
              <c:strCache>
                <c:ptCount val="1"/>
                <c:pt idx="0">
                  <c:v>Vidzeme</c:v>
                </c:pt>
              </c:strCache>
            </c:strRef>
          </c:tx>
          <c:spPr>
            <a:ln w="28575" cap="rnd">
              <a:solidFill>
                <a:srgbClr val="A5A5A5"/>
              </a:solidFill>
              <a:round/>
            </a:ln>
            <a:effectLst/>
          </c:spPr>
          <c:marker>
            <c:symbol val="none"/>
          </c:marker>
          <c:cat>
            <c:strRef>
              <c:f>Sheet2!$B$4:$FU$4</c:f>
              <c:strCache>
                <c:ptCount val="176"/>
                <c:pt idx="0">
                  <c:v>2007`I</c:v>
                </c:pt>
                <c:pt idx="1">
                  <c:v>II</c:v>
                </c:pt>
                <c:pt idx="2">
                  <c:v>III</c:v>
                </c:pt>
                <c:pt idx="3">
                  <c:v>IV</c:v>
                </c:pt>
                <c:pt idx="4">
                  <c:v>V</c:v>
                </c:pt>
                <c:pt idx="5">
                  <c:v>VI</c:v>
                </c:pt>
                <c:pt idx="6">
                  <c:v>VII</c:v>
                </c:pt>
                <c:pt idx="7">
                  <c:v>VIII</c:v>
                </c:pt>
                <c:pt idx="8">
                  <c:v>IX</c:v>
                </c:pt>
                <c:pt idx="9">
                  <c:v>X</c:v>
                </c:pt>
                <c:pt idx="10">
                  <c:v>XI</c:v>
                </c:pt>
                <c:pt idx="11">
                  <c:v>XII</c:v>
                </c:pt>
                <c:pt idx="12">
                  <c:v>2008`I</c:v>
                </c:pt>
                <c:pt idx="13">
                  <c:v>II</c:v>
                </c:pt>
                <c:pt idx="14">
                  <c:v>III</c:v>
                </c:pt>
                <c:pt idx="15">
                  <c:v>IV</c:v>
                </c:pt>
                <c:pt idx="16">
                  <c:v>V</c:v>
                </c:pt>
                <c:pt idx="17">
                  <c:v>VI</c:v>
                </c:pt>
                <c:pt idx="18">
                  <c:v>VII</c:v>
                </c:pt>
                <c:pt idx="19">
                  <c:v>VIII</c:v>
                </c:pt>
                <c:pt idx="20">
                  <c:v>IX</c:v>
                </c:pt>
                <c:pt idx="21">
                  <c:v>X</c:v>
                </c:pt>
                <c:pt idx="22">
                  <c:v>XI</c:v>
                </c:pt>
                <c:pt idx="23">
                  <c:v>XII</c:v>
                </c:pt>
                <c:pt idx="24">
                  <c:v>2009`I</c:v>
                </c:pt>
                <c:pt idx="25">
                  <c:v>II</c:v>
                </c:pt>
                <c:pt idx="26">
                  <c:v>III</c:v>
                </c:pt>
                <c:pt idx="27">
                  <c:v>IV</c:v>
                </c:pt>
                <c:pt idx="28">
                  <c:v>V</c:v>
                </c:pt>
                <c:pt idx="29">
                  <c:v>VI</c:v>
                </c:pt>
                <c:pt idx="30">
                  <c:v>VII</c:v>
                </c:pt>
                <c:pt idx="31">
                  <c:v>VIII</c:v>
                </c:pt>
                <c:pt idx="32">
                  <c:v>IX</c:v>
                </c:pt>
                <c:pt idx="33">
                  <c:v>X</c:v>
                </c:pt>
                <c:pt idx="34">
                  <c:v>XI</c:v>
                </c:pt>
                <c:pt idx="35">
                  <c:v>XII</c:v>
                </c:pt>
                <c:pt idx="36">
                  <c:v>2010`I</c:v>
                </c:pt>
                <c:pt idx="37">
                  <c:v>II</c:v>
                </c:pt>
                <c:pt idx="38">
                  <c:v>III</c:v>
                </c:pt>
                <c:pt idx="39">
                  <c:v>IV</c:v>
                </c:pt>
                <c:pt idx="40">
                  <c:v>V</c:v>
                </c:pt>
                <c:pt idx="41">
                  <c:v>VI</c:v>
                </c:pt>
                <c:pt idx="42">
                  <c:v>VII</c:v>
                </c:pt>
                <c:pt idx="43">
                  <c:v>VIII</c:v>
                </c:pt>
                <c:pt idx="44">
                  <c:v>IX</c:v>
                </c:pt>
                <c:pt idx="45">
                  <c:v>X</c:v>
                </c:pt>
                <c:pt idx="46">
                  <c:v>XI</c:v>
                </c:pt>
                <c:pt idx="47">
                  <c:v>XII</c:v>
                </c:pt>
                <c:pt idx="48">
                  <c:v>2011`I</c:v>
                </c:pt>
                <c:pt idx="49">
                  <c:v>II</c:v>
                </c:pt>
                <c:pt idx="50">
                  <c:v>III</c:v>
                </c:pt>
                <c:pt idx="51">
                  <c:v>IV</c:v>
                </c:pt>
                <c:pt idx="52">
                  <c:v>V</c:v>
                </c:pt>
                <c:pt idx="53">
                  <c:v>VI</c:v>
                </c:pt>
                <c:pt idx="54">
                  <c:v>VII</c:v>
                </c:pt>
                <c:pt idx="55">
                  <c:v>VIII</c:v>
                </c:pt>
                <c:pt idx="56">
                  <c:v>IX</c:v>
                </c:pt>
                <c:pt idx="57">
                  <c:v>X</c:v>
                </c:pt>
                <c:pt idx="58">
                  <c:v>XI</c:v>
                </c:pt>
                <c:pt idx="59">
                  <c:v>XII</c:v>
                </c:pt>
                <c:pt idx="60">
                  <c:v>2012`I</c:v>
                </c:pt>
                <c:pt idx="61">
                  <c:v>II</c:v>
                </c:pt>
                <c:pt idx="62">
                  <c:v>III</c:v>
                </c:pt>
                <c:pt idx="63">
                  <c:v>IV</c:v>
                </c:pt>
                <c:pt idx="64">
                  <c:v>V</c:v>
                </c:pt>
                <c:pt idx="65">
                  <c:v>VI</c:v>
                </c:pt>
                <c:pt idx="66">
                  <c:v>VII</c:v>
                </c:pt>
                <c:pt idx="67">
                  <c:v>VIII</c:v>
                </c:pt>
                <c:pt idx="68">
                  <c:v>IX</c:v>
                </c:pt>
                <c:pt idx="69">
                  <c:v>X</c:v>
                </c:pt>
                <c:pt idx="70">
                  <c:v>XI</c:v>
                </c:pt>
                <c:pt idx="71">
                  <c:v>XII</c:v>
                </c:pt>
                <c:pt idx="72">
                  <c:v>2013`I</c:v>
                </c:pt>
                <c:pt idx="73">
                  <c:v>II</c:v>
                </c:pt>
                <c:pt idx="74">
                  <c:v>III</c:v>
                </c:pt>
                <c:pt idx="75">
                  <c:v>IV</c:v>
                </c:pt>
                <c:pt idx="76">
                  <c:v>V</c:v>
                </c:pt>
                <c:pt idx="77">
                  <c:v>VI</c:v>
                </c:pt>
                <c:pt idx="78">
                  <c:v>VII</c:v>
                </c:pt>
                <c:pt idx="79">
                  <c:v>VIII</c:v>
                </c:pt>
                <c:pt idx="80">
                  <c:v>IX</c:v>
                </c:pt>
                <c:pt idx="81">
                  <c:v>X</c:v>
                </c:pt>
                <c:pt idx="82">
                  <c:v>XI</c:v>
                </c:pt>
                <c:pt idx="83">
                  <c:v>XII</c:v>
                </c:pt>
                <c:pt idx="84">
                  <c:v>2014`I</c:v>
                </c:pt>
                <c:pt idx="85">
                  <c:v>II</c:v>
                </c:pt>
                <c:pt idx="86">
                  <c:v>III</c:v>
                </c:pt>
                <c:pt idx="87">
                  <c:v>IV</c:v>
                </c:pt>
                <c:pt idx="88">
                  <c:v>V</c:v>
                </c:pt>
                <c:pt idx="89">
                  <c:v>VI</c:v>
                </c:pt>
                <c:pt idx="90">
                  <c:v>VII</c:v>
                </c:pt>
                <c:pt idx="91">
                  <c:v>VIII</c:v>
                </c:pt>
                <c:pt idx="92">
                  <c:v>IX</c:v>
                </c:pt>
                <c:pt idx="93">
                  <c:v>X</c:v>
                </c:pt>
                <c:pt idx="94">
                  <c:v>XI</c:v>
                </c:pt>
                <c:pt idx="95">
                  <c:v>XII</c:v>
                </c:pt>
                <c:pt idx="96">
                  <c:v>2015`I</c:v>
                </c:pt>
                <c:pt idx="97">
                  <c:v>II</c:v>
                </c:pt>
                <c:pt idx="98">
                  <c:v>III</c:v>
                </c:pt>
                <c:pt idx="99">
                  <c:v>IV</c:v>
                </c:pt>
                <c:pt idx="100">
                  <c:v>V</c:v>
                </c:pt>
                <c:pt idx="101">
                  <c:v>VI</c:v>
                </c:pt>
                <c:pt idx="102">
                  <c:v>VII</c:v>
                </c:pt>
                <c:pt idx="103">
                  <c:v>VIII</c:v>
                </c:pt>
                <c:pt idx="104">
                  <c:v>IX</c:v>
                </c:pt>
                <c:pt idx="105">
                  <c:v>X</c:v>
                </c:pt>
                <c:pt idx="106">
                  <c:v>XI</c:v>
                </c:pt>
                <c:pt idx="107">
                  <c:v>XII</c:v>
                </c:pt>
                <c:pt idx="108">
                  <c:v>2016`I</c:v>
                </c:pt>
                <c:pt idx="109">
                  <c:v>II</c:v>
                </c:pt>
                <c:pt idx="110">
                  <c:v>III</c:v>
                </c:pt>
                <c:pt idx="111">
                  <c:v>IV</c:v>
                </c:pt>
                <c:pt idx="112">
                  <c:v>V</c:v>
                </c:pt>
                <c:pt idx="113">
                  <c:v>VI</c:v>
                </c:pt>
                <c:pt idx="114">
                  <c:v>VII</c:v>
                </c:pt>
                <c:pt idx="115">
                  <c:v>VIII</c:v>
                </c:pt>
                <c:pt idx="116">
                  <c:v>IX</c:v>
                </c:pt>
                <c:pt idx="117">
                  <c:v>X</c:v>
                </c:pt>
                <c:pt idx="118">
                  <c:v>XI</c:v>
                </c:pt>
                <c:pt idx="119">
                  <c:v>XII</c:v>
                </c:pt>
                <c:pt idx="120">
                  <c:v>2017`I</c:v>
                </c:pt>
                <c:pt idx="121">
                  <c:v>II</c:v>
                </c:pt>
                <c:pt idx="122">
                  <c:v>III</c:v>
                </c:pt>
                <c:pt idx="123">
                  <c:v>IV</c:v>
                </c:pt>
                <c:pt idx="124">
                  <c:v>V</c:v>
                </c:pt>
                <c:pt idx="125">
                  <c:v>VI</c:v>
                </c:pt>
                <c:pt idx="126">
                  <c:v>VII</c:v>
                </c:pt>
                <c:pt idx="127">
                  <c:v>VIII</c:v>
                </c:pt>
                <c:pt idx="128">
                  <c:v>IX</c:v>
                </c:pt>
                <c:pt idx="129">
                  <c:v>X</c:v>
                </c:pt>
                <c:pt idx="130">
                  <c:v>XI</c:v>
                </c:pt>
                <c:pt idx="131">
                  <c:v>XII</c:v>
                </c:pt>
                <c:pt idx="132">
                  <c:v>2018`I</c:v>
                </c:pt>
                <c:pt idx="133">
                  <c:v>II</c:v>
                </c:pt>
                <c:pt idx="134">
                  <c:v>III</c:v>
                </c:pt>
                <c:pt idx="135">
                  <c:v>IV</c:v>
                </c:pt>
                <c:pt idx="136">
                  <c:v>V</c:v>
                </c:pt>
                <c:pt idx="137">
                  <c:v>VI</c:v>
                </c:pt>
                <c:pt idx="138">
                  <c:v>VII</c:v>
                </c:pt>
                <c:pt idx="139">
                  <c:v>VIII</c:v>
                </c:pt>
                <c:pt idx="140">
                  <c:v>IX</c:v>
                </c:pt>
                <c:pt idx="141">
                  <c:v>X</c:v>
                </c:pt>
                <c:pt idx="142">
                  <c:v>XI</c:v>
                </c:pt>
                <c:pt idx="143">
                  <c:v>XII</c:v>
                </c:pt>
                <c:pt idx="144">
                  <c:v>2019`I</c:v>
                </c:pt>
                <c:pt idx="145">
                  <c:v>II</c:v>
                </c:pt>
                <c:pt idx="146">
                  <c:v>III</c:v>
                </c:pt>
                <c:pt idx="147">
                  <c:v>IV</c:v>
                </c:pt>
                <c:pt idx="148">
                  <c:v>V</c:v>
                </c:pt>
                <c:pt idx="149">
                  <c:v>VI</c:v>
                </c:pt>
                <c:pt idx="150">
                  <c:v>VII</c:v>
                </c:pt>
                <c:pt idx="151">
                  <c:v>VIII</c:v>
                </c:pt>
                <c:pt idx="152">
                  <c:v>IX</c:v>
                </c:pt>
                <c:pt idx="153">
                  <c:v>X</c:v>
                </c:pt>
                <c:pt idx="154">
                  <c:v>XI</c:v>
                </c:pt>
                <c:pt idx="155">
                  <c:v>XII</c:v>
                </c:pt>
                <c:pt idx="156">
                  <c:v>2020`I</c:v>
                </c:pt>
                <c:pt idx="157">
                  <c:v>II</c:v>
                </c:pt>
                <c:pt idx="158">
                  <c:v>III</c:v>
                </c:pt>
                <c:pt idx="159">
                  <c:v>IV</c:v>
                </c:pt>
                <c:pt idx="160">
                  <c:v>V</c:v>
                </c:pt>
                <c:pt idx="161">
                  <c:v>VI</c:v>
                </c:pt>
                <c:pt idx="162">
                  <c:v>VII</c:v>
                </c:pt>
                <c:pt idx="163">
                  <c:v>VIII</c:v>
                </c:pt>
                <c:pt idx="164">
                  <c:v>IX</c:v>
                </c:pt>
                <c:pt idx="165">
                  <c:v>X</c:v>
                </c:pt>
                <c:pt idx="166">
                  <c:v>XI</c:v>
                </c:pt>
                <c:pt idx="167">
                  <c:v>XII</c:v>
                </c:pt>
                <c:pt idx="168">
                  <c:v>2021`I</c:v>
                </c:pt>
                <c:pt idx="169">
                  <c:v>II</c:v>
                </c:pt>
                <c:pt idx="170">
                  <c:v>III</c:v>
                </c:pt>
                <c:pt idx="171">
                  <c:v>IV</c:v>
                </c:pt>
                <c:pt idx="172">
                  <c:v>V</c:v>
                </c:pt>
                <c:pt idx="173">
                  <c:v>VI</c:v>
                </c:pt>
                <c:pt idx="174">
                  <c:v>VII</c:v>
                </c:pt>
                <c:pt idx="175">
                  <c:v>VIII</c:v>
                </c:pt>
              </c:strCache>
            </c:strRef>
          </c:cat>
          <c:val>
            <c:numRef>
              <c:f>Sheet2!$B$8:$FU$8</c:f>
              <c:numCache>
                <c:formatCode>General</c:formatCode>
                <c:ptCount val="176"/>
                <c:pt idx="1">
                  <c:v>6.8</c:v>
                </c:pt>
                <c:pt idx="2">
                  <c:v>6.6</c:v>
                </c:pt>
                <c:pt idx="3">
                  <c:v>6.4</c:v>
                </c:pt>
                <c:pt idx="4">
                  <c:v>6.1</c:v>
                </c:pt>
                <c:pt idx="5">
                  <c:v>6</c:v>
                </c:pt>
                <c:pt idx="6">
                  <c:v>5.7</c:v>
                </c:pt>
                <c:pt idx="7">
                  <c:v>5.5</c:v>
                </c:pt>
                <c:pt idx="8">
                  <c:v>5.2</c:v>
                </c:pt>
                <c:pt idx="9">
                  <c:v>4.9000000000000004</c:v>
                </c:pt>
                <c:pt idx="10">
                  <c:v>5</c:v>
                </c:pt>
                <c:pt idx="11">
                  <c:v>5</c:v>
                </c:pt>
                <c:pt idx="12">
                  <c:v>5.2</c:v>
                </c:pt>
                <c:pt idx="13">
                  <c:v>5.0999999999999996</c:v>
                </c:pt>
                <c:pt idx="14">
                  <c:v>4.9000000000000004</c:v>
                </c:pt>
                <c:pt idx="15">
                  <c:v>4.8</c:v>
                </c:pt>
                <c:pt idx="16">
                  <c:v>4.8</c:v>
                </c:pt>
                <c:pt idx="17">
                  <c:v>4.9000000000000004</c:v>
                </c:pt>
                <c:pt idx="18">
                  <c:v>5.0999999999999996</c:v>
                </c:pt>
                <c:pt idx="19">
                  <c:v>5.2</c:v>
                </c:pt>
                <c:pt idx="20">
                  <c:v>5.3</c:v>
                </c:pt>
                <c:pt idx="21">
                  <c:v>5.7</c:v>
                </c:pt>
                <c:pt idx="22">
                  <c:v>6.4</c:v>
                </c:pt>
                <c:pt idx="23">
                  <c:v>7.4</c:v>
                </c:pt>
                <c:pt idx="24">
                  <c:v>8.8000000000000007</c:v>
                </c:pt>
                <c:pt idx="25">
                  <c:v>10.199999999999999</c:v>
                </c:pt>
                <c:pt idx="26">
                  <c:v>11.5</c:v>
                </c:pt>
                <c:pt idx="27">
                  <c:v>11.9</c:v>
                </c:pt>
                <c:pt idx="28">
                  <c:v>12</c:v>
                </c:pt>
                <c:pt idx="29">
                  <c:v>12</c:v>
                </c:pt>
                <c:pt idx="30">
                  <c:v>12.2</c:v>
                </c:pt>
                <c:pt idx="31">
                  <c:v>12.7</c:v>
                </c:pt>
                <c:pt idx="32">
                  <c:v>14</c:v>
                </c:pt>
                <c:pt idx="33">
                  <c:v>15.3</c:v>
                </c:pt>
                <c:pt idx="34">
                  <c:v>16.8</c:v>
                </c:pt>
                <c:pt idx="35">
                  <c:v>17.899999999999999</c:v>
                </c:pt>
                <c:pt idx="36">
                  <c:v>18.600000000000001</c:v>
                </c:pt>
                <c:pt idx="37">
                  <c:v>19.2</c:v>
                </c:pt>
                <c:pt idx="38">
                  <c:v>19.5</c:v>
                </c:pt>
                <c:pt idx="39">
                  <c:v>18.7</c:v>
                </c:pt>
                <c:pt idx="40">
                  <c:v>17.899999999999999</c:v>
                </c:pt>
                <c:pt idx="41">
                  <c:v>17.399999999999999</c:v>
                </c:pt>
                <c:pt idx="42">
                  <c:v>17.100000000000001</c:v>
                </c:pt>
                <c:pt idx="43">
                  <c:v>16.7</c:v>
                </c:pt>
                <c:pt idx="44">
                  <c:v>16.3</c:v>
                </c:pt>
                <c:pt idx="45">
                  <c:v>16</c:v>
                </c:pt>
                <c:pt idx="46">
                  <c:v>16</c:v>
                </c:pt>
                <c:pt idx="47">
                  <c:v>16.2</c:v>
                </c:pt>
                <c:pt idx="48">
                  <c:v>16.399999999999999</c:v>
                </c:pt>
                <c:pt idx="49">
                  <c:v>16.399999999999999</c:v>
                </c:pt>
                <c:pt idx="50">
                  <c:v>16.399999999999999</c:v>
                </c:pt>
                <c:pt idx="51">
                  <c:v>15.7</c:v>
                </c:pt>
                <c:pt idx="52">
                  <c:v>14.8</c:v>
                </c:pt>
                <c:pt idx="53">
                  <c:v>14.2</c:v>
                </c:pt>
                <c:pt idx="54">
                  <c:v>13.7</c:v>
                </c:pt>
                <c:pt idx="55">
                  <c:v>13.3</c:v>
                </c:pt>
                <c:pt idx="56">
                  <c:v>13</c:v>
                </c:pt>
                <c:pt idx="57">
                  <c:v>12.9</c:v>
                </c:pt>
                <c:pt idx="58">
                  <c:v>12.9</c:v>
                </c:pt>
                <c:pt idx="59">
                  <c:v>13</c:v>
                </c:pt>
                <c:pt idx="60">
                  <c:v>13.4</c:v>
                </c:pt>
                <c:pt idx="61">
                  <c:v>13.5</c:v>
                </c:pt>
                <c:pt idx="62">
                  <c:v>13.4</c:v>
                </c:pt>
                <c:pt idx="63" formatCode="0.0">
                  <c:v>15.1</c:v>
                </c:pt>
                <c:pt idx="64" formatCode="0.0">
                  <c:v>14.4</c:v>
                </c:pt>
                <c:pt idx="65">
                  <c:v>13.9</c:v>
                </c:pt>
                <c:pt idx="66">
                  <c:v>13.7</c:v>
                </c:pt>
                <c:pt idx="67">
                  <c:v>13.4</c:v>
                </c:pt>
                <c:pt idx="68">
                  <c:v>13</c:v>
                </c:pt>
                <c:pt idx="69">
                  <c:v>12.8</c:v>
                </c:pt>
                <c:pt idx="70">
                  <c:v>12.8</c:v>
                </c:pt>
                <c:pt idx="71">
                  <c:v>12.8</c:v>
                </c:pt>
                <c:pt idx="72">
                  <c:v>13.3</c:v>
                </c:pt>
                <c:pt idx="73">
                  <c:v>13.3</c:v>
                </c:pt>
                <c:pt idx="74">
                  <c:v>13.1</c:v>
                </c:pt>
                <c:pt idx="75">
                  <c:v>12.5</c:v>
                </c:pt>
                <c:pt idx="76">
                  <c:v>11.7</c:v>
                </c:pt>
                <c:pt idx="77">
                  <c:v>11.2</c:v>
                </c:pt>
                <c:pt idx="78">
                  <c:v>11</c:v>
                </c:pt>
                <c:pt idx="79">
                  <c:v>10.8</c:v>
                </c:pt>
                <c:pt idx="80">
                  <c:v>10.7</c:v>
                </c:pt>
                <c:pt idx="81">
                  <c:v>10.7</c:v>
                </c:pt>
                <c:pt idx="82">
                  <c:v>11</c:v>
                </c:pt>
                <c:pt idx="83">
                  <c:v>11.2</c:v>
                </c:pt>
                <c:pt idx="84">
                  <c:v>11.5</c:v>
                </c:pt>
                <c:pt idx="85">
                  <c:v>11.6</c:v>
                </c:pt>
                <c:pt idx="86">
                  <c:v>11.4</c:v>
                </c:pt>
                <c:pt idx="87">
                  <c:v>11</c:v>
                </c:pt>
                <c:pt idx="88">
                  <c:v>10.4</c:v>
                </c:pt>
                <c:pt idx="89">
                  <c:v>10.1</c:v>
                </c:pt>
                <c:pt idx="90">
                  <c:v>9.8000000000000007</c:v>
                </c:pt>
                <c:pt idx="91">
                  <c:v>9.6</c:v>
                </c:pt>
                <c:pt idx="92">
                  <c:v>9.4</c:v>
                </c:pt>
                <c:pt idx="93">
                  <c:v>9.4</c:v>
                </c:pt>
                <c:pt idx="94">
                  <c:v>9.6</c:v>
                </c:pt>
                <c:pt idx="95">
                  <c:v>9.9</c:v>
                </c:pt>
                <c:pt idx="96">
                  <c:v>10.4</c:v>
                </c:pt>
                <c:pt idx="97">
                  <c:v>10.6</c:v>
                </c:pt>
                <c:pt idx="98">
                  <c:v>10.199999999999999</c:v>
                </c:pt>
                <c:pt idx="99">
                  <c:v>9.6999999999999993</c:v>
                </c:pt>
                <c:pt idx="100">
                  <c:v>9.4</c:v>
                </c:pt>
                <c:pt idx="101">
                  <c:v>9.4</c:v>
                </c:pt>
                <c:pt idx="102">
                  <c:v>9.4</c:v>
                </c:pt>
                <c:pt idx="103">
                  <c:v>9.1999999999999993</c:v>
                </c:pt>
                <c:pt idx="104">
                  <c:v>9</c:v>
                </c:pt>
                <c:pt idx="105">
                  <c:v>9</c:v>
                </c:pt>
                <c:pt idx="106">
                  <c:v>9.1999999999999993</c:v>
                </c:pt>
                <c:pt idx="107">
                  <c:v>9.5</c:v>
                </c:pt>
                <c:pt idx="108">
                  <c:v>10</c:v>
                </c:pt>
                <c:pt idx="109">
                  <c:v>10</c:v>
                </c:pt>
                <c:pt idx="110">
                  <c:v>10.1</c:v>
                </c:pt>
                <c:pt idx="111">
                  <c:v>9.5</c:v>
                </c:pt>
                <c:pt idx="112">
                  <c:v>9.1</c:v>
                </c:pt>
                <c:pt idx="113">
                  <c:v>8.9</c:v>
                </c:pt>
                <c:pt idx="114">
                  <c:v>8.6999999999999993</c:v>
                </c:pt>
                <c:pt idx="115">
                  <c:v>8.6</c:v>
                </c:pt>
                <c:pt idx="116">
                  <c:v>8.6</c:v>
                </c:pt>
                <c:pt idx="117">
                  <c:v>8.6</c:v>
                </c:pt>
                <c:pt idx="118" formatCode="0.0">
                  <c:v>8.8000000000000007</c:v>
                </c:pt>
                <c:pt idx="119">
                  <c:v>9.1999999999999993</c:v>
                </c:pt>
                <c:pt idx="120">
                  <c:v>9.4</c:v>
                </c:pt>
                <c:pt idx="121">
                  <c:v>9.1999999999999993</c:v>
                </c:pt>
                <c:pt idx="122">
                  <c:v>9.3000000000000007</c:v>
                </c:pt>
                <c:pt idx="123">
                  <c:v>8.4</c:v>
                </c:pt>
                <c:pt idx="124">
                  <c:v>8</c:v>
                </c:pt>
                <c:pt idx="125">
                  <c:v>7.8</c:v>
                </c:pt>
                <c:pt idx="126">
                  <c:v>7.6</c:v>
                </c:pt>
                <c:pt idx="127">
                  <c:v>7.4</c:v>
                </c:pt>
                <c:pt idx="128">
                  <c:v>7.1</c:v>
                </c:pt>
                <c:pt idx="129">
                  <c:v>7</c:v>
                </c:pt>
                <c:pt idx="130">
                  <c:v>7.2</c:v>
                </c:pt>
                <c:pt idx="131">
                  <c:v>7.5</c:v>
                </c:pt>
                <c:pt idx="132">
                  <c:v>7.8</c:v>
                </c:pt>
                <c:pt idx="133">
                  <c:v>7.8</c:v>
                </c:pt>
                <c:pt idx="134">
                  <c:v>7.5</c:v>
                </c:pt>
                <c:pt idx="135">
                  <c:v>7.1</c:v>
                </c:pt>
                <c:pt idx="136">
                  <c:v>6.6</c:v>
                </c:pt>
                <c:pt idx="137">
                  <c:v>6.5</c:v>
                </c:pt>
                <c:pt idx="138">
                  <c:v>6.4</c:v>
                </c:pt>
                <c:pt idx="139">
                  <c:v>6.3</c:v>
                </c:pt>
                <c:pt idx="140">
                  <c:v>6.1</c:v>
                </c:pt>
                <c:pt idx="141">
                  <c:v>6.1</c:v>
                </c:pt>
                <c:pt idx="142">
                  <c:v>6.2</c:v>
                </c:pt>
                <c:pt idx="143">
                  <c:v>6.4</c:v>
                </c:pt>
                <c:pt idx="144">
                  <c:v>6.7</c:v>
                </c:pt>
                <c:pt idx="145">
                  <c:v>6.8</c:v>
                </c:pt>
                <c:pt idx="146">
                  <c:v>6.6</c:v>
                </c:pt>
                <c:pt idx="147">
                  <c:v>6.2</c:v>
                </c:pt>
                <c:pt idx="148">
                  <c:v>5.8</c:v>
                </c:pt>
                <c:pt idx="149">
                  <c:v>5.8</c:v>
                </c:pt>
                <c:pt idx="150">
                  <c:v>5.7</c:v>
                </c:pt>
                <c:pt idx="151">
                  <c:v>5.6</c:v>
                </c:pt>
                <c:pt idx="152">
                  <c:v>5.4</c:v>
                </c:pt>
                <c:pt idx="153">
                  <c:v>5.4</c:v>
                </c:pt>
                <c:pt idx="154">
                  <c:v>5.6</c:v>
                </c:pt>
                <c:pt idx="155">
                  <c:v>5.9</c:v>
                </c:pt>
                <c:pt idx="156">
                  <c:v>6</c:v>
                </c:pt>
                <c:pt idx="157">
                  <c:v>6</c:v>
                </c:pt>
                <c:pt idx="158">
                  <c:v>6.7</c:v>
                </c:pt>
                <c:pt idx="159">
                  <c:v>7.7</c:v>
                </c:pt>
                <c:pt idx="160">
                  <c:v>8</c:v>
                </c:pt>
                <c:pt idx="161">
                  <c:v>8.1999999999999993</c:v>
                </c:pt>
                <c:pt idx="162">
                  <c:v>8.1999999999999993</c:v>
                </c:pt>
                <c:pt idx="163">
                  <c:v>7.8</c:v>
                </c:pt>
                <c:pt idx="164">
                  <c:v>7.4</c:v>
                </c:pt>
                <c:pt idx="165">
                  <c:v>7.1</c:v>
                </c:pt>
                <c:pt idx="166">
                  <c:v>7.2</c:v>
                </c:pt>
                <c:pt idx="167">
                  <c:v>7.6</c:v>
                </c:pt>
                <c:pt idx="168">
                  <c:v>8</c:v>
                </c:pt>
                <c:pt idx="169">
                  <c:v>8.3000000000000007</c:v>
                </c:pt>
                <c:pt idx="170">
                  <c:v>8.1</c:v>
                </c:pt>
                <c:pt idx="171">
                  <c:v>7.8</c:v>
                </c:pt>
                <c:pt idx="172">
                  <c:v>7.4</c:v>
                </c:pt>
                <c:pt idx="173">
                  <c:v>7.3</c:v>
                </c:pt>
                <c:pt idx="174">
                  <c:v>7</c:v>
                </c:pt>
                <c:pt idx="175">
                  <c:v>6.4</c:v>
                </c:pt>
              </c:numCache>
            </c:numRef>
          </c:val>
          <c:smooth val="1"/>
          <c:extLst>
            <c:ext xmlns:c16="http://schemas.microsoft.com/office/drawing/2014/chart" uri="{C3380CC4-5D6E-409C-BE32-E72D297353CC}">
              <c16:uniqueId val="{00000004-AD39-4180-8DC6-A1611A693C37}"/>
            </c:ext>
          </c:extLst>
        </c:ser>
        <c:ser>
          <c:idx val="4"/>
          <c:order val="4"/>
          <c:tx>
            <c:strRef>
              <c:f>Sheet2!$A$9</c:f>
              <c:strCache>
                <c:ptCount val="1"/>
                <c:pt idx="0">
                  <c:v>Zemgale</c:v>
                </c:pt>
              </c:strCache>
            </c:strRef>
          </c:tx>
          <c:spPr>
            <a:ln w="28575" cap="rnd">
              <a:solidFill>
                <a:schemeClr val="accent5"/>
              </a:solidFill>
              <a:round/>
            </a:ln>
            <a:effectLst/>
          </c:spPr>
          <c:marker>
            <c:symbol val="none"/>
          </c:marker>
          <c:cat>
            <c:strRef>
              <c:f>Sheet2!$B$4:$FU$4</c:f>
              <c:strCache>
                <c:ptCount val="176"/>
                <c:pt idx="0">
                  <c:v>2007`I</c:v>
                </c:pt>
                <c:pt idx="1">
                  <c:v>II</c:v>
                </c:pt>
                <c:pt idx="2">
                  <c:v>III</c:v>
                </c:pt>
                <c:pt idx="3">
                  <c:v>IV</c:v>
                </c:pt>
                <c:pt idx="4">
                  <c:v>V</c:v>
                </c:pt>
                <c:pt idx="5">
                  <c:v>VI</c:v>
                </c:pt>
                <c:pt idx="6">
                  <c:v>VII</c:v>
                </c:pt>
                <c:pt idx="7">
                  <c:v>VIII</c:v>
                </c:pt>
                <c:pt idx="8">
                  <c:v>IX</c:v>
                </c:pt>
                <c:pt idx="9">
                  <c:v>X</c:v>
                </c:pt>
                <c:pt idx="10">
                  <c:v>XI</c:v>
                </c:pt>
                <c:pt idx="11">
                  <c:v>XII</c:v>
                </c:pt>
                <c:pt idx="12">
                  <c:v>2008`I</c:v>
                </c:pt>
                <c:pt idx="13">
                  <c:v>II</c:v>
                </c:pt>
                <c:pt idx="14">
                  <c:v>III</c:v>
                </c:pt>
                <c:pt idx="15">
                  <c:v>IV</c:v>
                </c:pt>
                <c:pt idx="16">
                  <c:v>V</c:v>
                </c:pt>
                <c:pt idx="17">
                  <c:v>VI</c:v>
                </c:pt>
                <c:pt idx="18">
                  <c:v>VII</c:v>
                </c:pt>
                <c:pt idx="19">
                  <c:v>VIII</c:v>
                </c:pt>
                <c:pt idx="20">
                  <c:v>IX</c:v>
                </c:pt>
                <c:pt idx="21">
                  <c:v>X</c:v>
                </c:pt>
                <c:pt idx="22">
                  <c:v>XI</c:v>
                </c:pt>
                <c:pt idx="23">
                  <c:v>XII</c:v>
                </c:pt>
                <c:pt idx="24">
                  <c:v>2009`I</c:v>
                </c:pt>
                <c:pt idx="25">
                  <c:v>II</c:v>
                </c:pt>
                <c:pt idx="26">
                  <c:v>III</c:v>
                </c:pt>
                <c:pt idx="27">
                  <c:v>IV</c:v>
                </c:pt>
                <c:pt idx="28">
                  <c:v>V</c:v>
                </c:pt>
                <c:pt idx="29">
                  <c:v>VI</c:v>
                </c:pt>
                <c:pt idx="30">
                  <c:v>VII</c:v>
                </c:pt>
                <c:pt idx="31">
                  <c:v>VIII</c:v>
                </c:pt>
                <c:pt idx="32">
                  <c:v>IX</c:v>
                </c:pt>
                <c:pt idx="33">
                  <c:v>X</c:v>
                </c:pt>
                <c:pt idx="34">
                  <c:v>XI</c:v>
                </c:pt>
                <c:pt idx="35">
                  <c:v>XII</c:v>
                </c:pt>
                <c:pt idx="36">
                  <c:v>2010`I</c:v>
                </c:pt>
                <c:pt idx="37">
                  <c:v>II</c:v>
                </c:pt>
                <c:pt idx="38">
                  <c:v>III</c:v>
                </c:pt>
                <c:pt idx="39">
                  <c:v>IV</c:v>
                </c:pt>
                <c:pt idx="40">
                  <c:v>V</c:v>
                </c:pt>
                <c:pt idx="41">
                  <c:v>VI</c:v>
                </c:pt>
                <c:pt idx="42">
                  <c:v>VII</c:v>
                </c:pt>
                <c:pt idx="43">
                  <c:v>VIII</c:v>
                </c:pt>
                <c:pt idx="44">
                  <c:v>IX</c:v>
                </c:pt>
                <c:pt idx="45">
                  <c:v>X</c:v>
                </c:pt>
                <c:pt idx="46">
                  <c:v>XI</c:v>
                </c:pt>
                <c:pt idx="47">
                  <c:v>XII</c:v>
                </c:pt>
                <c:pt idx="48">
                  <c:v>2011`I</c:v>
                </c:pt>
                <c:pt idx="49">
                  <c:v>II</c:v>
                </c:pt>
                <c:pt idx="50">
                  <c:v>III</c:v>
                </c:pt>
                <c:pt idx="51">
                  <c:v>IV</c:v>
                </c:pt>
                <c:pt idx="52">
                  <c:v>V</c:v>
                </c:pt>
                <c:pt idx="53">
                  <c:v>VI</c:v>
                </c:pt>
                <c:pt idx="54">
                  <c:v>VII</c:v>
                </c:pt>
                <c:pt idx="55">
                  <c:v>VIII</c:v>
                </c:pt>
                <c:pt idx="56">
                  <c:v>IX</c:v>
                </c:pt>
                <c:pt idx="57">
                  <c:v>X</c:v>
                </c:pt>
                <c:pt idx="58">
                  <c:v>XI</c:v>
                </c:pt>
                <c:pt idx="59">
                  <c:v>XII</c:v>
                </c:pt>
                <c:pt idx="60">
                  <c:v>2012`I</c:v>
                </c:pt>
                <c:pt idx="61">
                  <c:v>II</c:v>
                </c:pt>
                <c:pt idx="62">
                  <c:v>III</c:v>
                </c:pt>
                <c:pt idx="63">
                  <c:v>IV</c:v>
                </c:pt>
                <c:pt idx="64">
                  <c:v>V</c:v>
                </c:pt>
                <c:pt idx="65">
                  <c:v>VI</c:v>
                </c:pt>
                <c:pt idx="66">
                  <c:v>VII</c:v>
                </c:pt>
                <c:pt idx="67">
                  <c:v>VIII</c:v>
                </c:pt>
                <c:pt idx="68">
                  <c:v>IX</c:v>
                </c:pt>
                <c:pt idx="69">
                  <c:v>X</c:v>
                </c:pt>
                <c:pt idx="70">
                  <c:v>XI</c:v>
                </c:pt>
                <c:pt idx="71">
                  <c:v>XII</c:v>
                </c:pt>
                <c:pt idx="72">
                  <c:v>2013`I</c:v>
                </c:pt>
                <c:pt idx="73">
                  <c:v>II</c:v>
                </c:pt>
                <c:pt idx="74">
                  <c:v>III</c:v>
                </c:pt>
                <c:pt idx="75">
                  <c:v>IV</c:v>
                </c:pt>
                <c:pt idx="76">
                  <c:v>V</c:v>
                </c:pt>
                <c:pt idx="77">
                  <c:v>VI</c:v>
                </c:pt>
                <c:pt idx="78">
                  <c:v>VII</c:v>
                </c:pt>
                <c:pt idx="79">
                  <c:v>VIII</c:v>
                </c:pt>
                <c:pt idx="80">
                  <c:v>IX</c:v>
                </c:pt>
                <c:pt idx="81">
                  <c:v>X</c:v>
                </c:pt>
                <c:pt idx="82">
                  <c:v>XI</c:v>
                </c:pt>
                <c:pt idx="83">
                  <c:v>XII</c:v>
                </c:pt>
                <c:pt idx="84">
                  <c:v>2014`I</c:v>
                </c:pt>
                <c:pt idx="85">
                  <c:v>II</c:v>
                </c:pt>
                <c:pt idx="86">
                  <c:v>III</c:v>
                </c:pt>
                <c:pt idx="87">
                  <c:v>IV</c:v>
                </c:pt>
                <c:pt idx="88">
                  <c:v>V</c:v>
                </c:pt>
                <c:pt idx="89">
                  <c:v>VI</c:v>
                </c:pt>
                <c:pt idx="90">
                  <c:v>VII</c:v>
                </c:pt>
                <c:pt idx="91">
                  <c:v>VIII</c:v>
                </c:pt>
                <c:pt idx="92">
                  <c:v>IX</c:v>
                </c:pt>
                <c:pt idx="93">
                  <c:v>X</c:v>
                </c:pt>
                <c:pt idx="94">
                  <c:v>XI</c:v>
                </c:pt>
                <c:pt idx="95">
                  <c:v>XII</c:v>
                </c:pt>
                <c:pt idx="96">
                  <c:v>2015`I</c:v>
                </c:pt>
                <c:pt idx="97">
                  <c:v>II</c:v>
                </c:pt>
                <c:pt idx="98">
                  <c:v>III</c:v>
                </c:pt>
                <c:pt idx="99">
                  <c:v>IV</c:v>
                </c:pt>
                <c:pt idx="100">
                  <c:v>V</c:v>
                </c:pt>
                <c:pt idx="101">
                  <c:v>VI</c:v>
                </c:pt>
                <c:pt idx="102">
                  <c:v>VII</c:v>
                </c:pt>
                <c:pt idx="103">
                  <c:v>VIII</c:v>
                </c:pt>
                <c:pt idx="104">
                  <c:v>IX</c:v>
                </c:pt>
                <c:pt idx="105">
                  <c:v>X</c:v>
                </c:pt>
                <c:pt idx="106">
                  <c:v>XI</c:v>
                </c:pt>
                <c:pt idx="107">
                  <c:v>XII</c:v>
                </c:pt>
                <c:pt idx="108">
                  <c:v>2016`I</c:v>
                </c:pt>
                <c:pt idx="109">
                  <c:v>II</c:v>
                </c:pt>
                <c:pt idx="110">
                  <c:v>III</c:v>
                </c:pt>
                <c:pt idx="111">
                  <c:v>IV</c:v>
                </c:pt>
                <c:pt idx="112">
                  <c:v>V</c:v>
                </c:pt>
                <c:pt idx="113">
                  <c:v>VI</c:v>
                </c:pt>
                <c:pt idx="114">
                  <c:v>VII</c:v>
                </c:pt>
                <c:pt idx="115">
                  <c:v>VIII</c:v>
                </c:pt>
                <c:pt idx="116">
                  <c:v>IX</c:v>
                </c:pt>
                <c:pt idx="117">
                  <c:v>X</c:v>
                </c:pt>
                <c:pt idx="118">
                  <c:v>XI</c:v>
                </c:pt>
                <c:pt idx="119">
                  <c:v>XII</c:v>
                </c:pt>
                <c:pt idx="120">
                  <c:v>2017`I</c:v>
                </c:pt>
                <c:pt idx="121">
                  <c:v>II</c:v>
                </c:pt>
                <c:pt idx="122">
                  <c:v>III</c:v>
                </c:pt>
                <c:pt idx="123">
                  <c:v>IV</c:v>
                </c:pt>
                <c:pt idx="124">
                  <c:v>V</c:v>
                </c:pt>
                <c:pt idx="125">
                  <c:v>VI</c:v>
                </c:pt>
                <c:pt idx="126">
                  <c:v>VII</c:v>
                </c:pt>
                <c:pt idx="127">
                  <c:v>VIII</c:v>
                </c:pt>
                <c:pt idx="128">
                  <c:v>IX</c:v>
                </c:pt>
                <c:pt idx="129">
                  <c:v>X</c:v>
                </c:pt>
                <c:pt idx="130">
                  <c:v>XI</c:v>
                </c:pt>
                <c:pt idx="131">
                  <c:v>XII</c:v>
                </c:pt>
                <c:pt idx="132">
                  <c:v>2018`I</c:v>
                </c:pt>
                <c:pt idx="133">
                  <c:v>II</c:v>
                </c:pt>
                <c:pt idx="134">
                  <c:v>III</c:v>
                </c:pt>
                <c:pt idx="135">
                  <c:v>IV</c:v>
                </c:pt>
                <c:pt idx="136">
                  <c:v>V</c:v>
                </c:pt>
                <c:pt idx="137">
                  <c:v>VI</c:v>
                </c:pt>
                <c:pt idx="138">
                  <c:v>VII</c:v>
                </c:pt>
                <c:pt idx="139">
                  <c:v>VIII</c:v>
                </c:pt>
                <c:pt idx="140">
                  <c:v>IX</c:v>
                </c:pt>
                <c:pt idx="141">
                  <c:v>X</c:v>
                </c:pt>
                <c:pt idx="142">
                  <c:v>XI</c:v>
                </c:pt>
                <c:pt idx="143">
                  <c:v>XII</c:v>
                </c:pt>
                <c:pt idx="144">
                  <c:v>2019`I</c:v>
                </c:pt>
                <c:pt idx="145">
                  <c:v>II</c:v>
                </c:pt>
                <c:pt idx="146">
                  <c:v>III</c:v>
                </c:pt>
                <c:pt idx="147">
                  <c:v>IV</c:v>
                </c:pt>
                <c:pt idx="148">
                  <c:v>V</c:v>
                </c:pt>
                <c:pt idx="149">
                  <c:v>VI</c:v>
                </c:pt>
                <c:pt idx="150">
                  <c:v>VII</c:v>
                </c:pt>
                <c:pt idx="151">
                  <c:v>VIII</c:v>
                </c:pt>
                <c:pt idx="152">
                  <c:v>IX</c:v>
                </c:pt>
                <c:pt idx="153">
                  <c:v>X</c:v>
                </c:pt>
                <c:pt idx="154">
                  <c:v>XI</c:v>
                </c:pt>
                <c:pt idx="155">
                  <c:v>XII</c:v>
                </c:pt>
                <c:pt idx="156">
                  <c:v>2020`I</c:v>
                </c:pt>
                <c:pt idx="157">
                  <c:v>II</c:v>
                </c:pt>
                <c:pt idx="158">
                  <c:v>III</c:v>
                </c:pt>
                <c:pt idx="159">
                  <c:v>IV</c:v>
                </c:pt>
                <c:pt idx="160">
                  <c:v>V</c:v>
                </c:pt>
                <c:pt idx="161">
                  <c:v>VI</c:v>
                </c:pt>
                <c:pt idx="162">
                  <c:v>VII</c:v>
                </c:pt>
                <c:pt idx="163">
                  <c:v>VIII</c:v>
                </c:pt>
                <c:pt idx="164">
                  <c:v>IX</c:v>
                </c:pt>
                <c:pt idx="165">
                  <c:v>X</c:v>
                </c:pt>
                <c:pt idx="166">
                  <c:v>XI</c:v>
                </c:pt>
                <c:pt idx="167">
                  <c:v>XII</c:v>
                </c:pt>
                <c:pt idx="168">
                  <c:v>2021`I</c:v>
                </c:pt>
                <c:pt idx="169">
                  <c:v>II</c:v>
                </c:pt>
                <c:pt idx="170">
                  <c:v>III</c:v>
                </c:pt>
                <c:pt idx="171">
                  <c:v>IV</c:v>
                </c:pt>
                <c:pt idx="172">
                  <c:v>V</c:v>
                </c:pt>
                <c:pt idx="173">
                  <c:v>VI</c:v>
                </c:pt>
                <c:pt idx="174">
                  <c:v>VII</c:v>
                </c:pt>
                <c:pt idx="175">
                  <c:v>VIII</c:v>
                </c:pt>
              </c:strCache>
            </c:strRef>
          </c:cat>
          <c:val>
            <c:numRef>
              <c:f>Sheet2!$B$9:$FU$9</c:f>
              <c:numCache>
                <c:formatCode>General</c:formatCode>
                <c:ptCount val="176"/>
                <c:pt idx="1">
                  <c:v>7</c:v>
                </c:pt>
                <c:pt idx="2">
                  <c:v>6.8</c:v>
                </c:pt>
                <c:pt idx="3">
                  <c:v>6.5</c:v>
                </c:pt>
                <c:pt idx="4">
                  <c:v>6.1</c:v>
                </c:pt>
                <c:pt idx="5">
                  <c:v>5.9</c:v>
                </c:pt>
                <c:pt idx="6">
                  <c:v>5.7</c:v>
                </c:pt>
                <c:pt idx="7">
                  <c:v>5.4</c:v>
                </c:pt>
                <c:pt idx="8">
                  <c:v>5.0999999999999996</c:v>
                </c:pt>
                <c:pt idx="9">
                  <c:v>4.8</c:v>
                </c:pt>
                <c:pt idx="10">
                  <c:v>4.8</c:v>
                </c:pt>
                <c:pt idx="11">
                  <c:v>4.9000000000000004</c:v>
                </c:pt>
                <c:pt idx="12">
                  <c:v>5</c:v>
                </c:pt>
                <c:pt idx="13">
                  <c:v>5.0999999999999996</c:v>
                </c:pt>
                <c:pt idx="14">
                  <c:v>5</c:v>
                </c:pt>
                <c:pt idx="15">
                  <c:v>4.9000000000000004</c:v>
                </c:pt>
                <c:pt idx="16">
                  <c:v>4.9000000000000004</c:v>
                </c:pt>
                <c:pt idx="17">
                  <c:v>4.9000000000000004</c:v>
                </c:pt>
                <c:pt idx="18">
                  <c:v>4.9000000000000004</c:v>
                </c:pt>
                <c:pt idx="19">
                  <c:v>5.0999999999999996</c:v>
                </c:pt>
                <c:pt idx="20">
                  <c:v>5.3</c:v>
                </c:pt>
                <c:pt idx="21">
                  <c:v>5.7</c:v>
                </c:pt>
                <c:pt idx="22">
                  <c:v>6.5</c:v>
                </c:pt>
                <c:pt idx="23">
                  <c:v>7.6</c:v>
                </c:pt>
                <c:pt idx="24">
                  <c:v>9.1999999999999993</c:v>
                </c:pt>
                <c:pt idx="25">
                  <c:v>10.7</c:v>
                </c:pt>
                <c:pt idx="26">
                  <c:v>12.2</c:v>
                </c:pt>
                <c:pt idx="27">
                  <c:v>12.2</c:v>
                </c:pt>
                <c:pt idx="28">
                  <c:v>12.3</c:v>
                </c:pt>
                <c:pt idx="29">
                  <c:v>12.3</c:v>
                </c:pt>
                <c:pt idx="30">
                  <c:v>12.5</c:v>
                </c:pt>
                <c:pt idx="31">
                  <c:v>13.1</c:v>
                </c:pt>
                <c:pt idx="32">
                  <c:v>14.2</c:v>
                </c:pt>
                <c:pt idx="33">
                  <c:v>15.1</c:v>
                </c:pt>
                <c:pt idx="34">
                  <c:v>16.5</c:v>
                </c:pt>
                <c:pt idx="35">
                  <c:v>17.8</c:v>
                </c:pt>
                <c:pt idx="36">
                  <c:v>18.899999999999999</c:v>
                </c:pt>
                <c:pt idx="37">
                  <c:v>19.5</c:v>
                </c:pt>
                <c:pt idx="38">
                  <c:v>19.8</c:v>
                </c:pt>
                <c:pt idx="39">
                  <c:v>18.7</c:v>
                </c:pt>
                <c:pt idx="40">
                  <c:v>17.8</c:v>
                </c:pt>
                <c:pt idx="41">
                  <c:v>17</c:v>
                </c:pt>
                <c:pt idx="42">
                  <c:v>16.399999999999999</c:v>
                </c:pt>
                <c:pt idx="43">
                  <c:v>16.100000000000001</c:v>
                </c:pt>
                <c:pt idx="44">
                  <c:v>15.6</c:v>
                </c:pt>
                <c:pt idx="45">
                  <c:v>15.4</c:v>
                </c:pt>
                <c:pt idx="46">
                  <c:v>15.5</c:v>
                </c:pt>
                <c:pt idx="47">
                  <c:v>15.8</c:v>
                </c:pt>
                <c:pt idx="48">
                  <c:v>16.100000000000001</c:v>
                </c:pt>
                <c:pt idx="49">
                  <c:v>16.3</c:v>
                </c:pt>
                <c:pt idx="50">
                  <c:v>16.100000000000001</c:v>
                </c:pt>
                <c:pt idx="51">
                  <c:v>15.4</c:v>
                </c:pt>
                <c:pt idx="52">
                  <c:v>14.5</c:v>
                </c:pt>
                <c:pt idx="53">
                  <c:v>13.9</c:v>
                </c:pt>
                <c:pt idx="54">
                  <c:v>13.2</c:v>
                </c:pt>
                <c:pt idx="55">
                  <c:v>12.9</c:v>
                </c:pt>
                <c:pt idx="56">
                  <c:v>12.6</c:v>
                </c:pt>
                <c:pt idx="57">
                  <c:v>12.5</c:v>
                </c:pt>
                <c:pt idx="58">
                  <c:v>12.5</c:v>
                </c:pt>
                <c:pt idx="59">
                  <c:v>12.7</c:v>
                </c:pt>
                <c:pt idx="60">
                  <c:v>13.1</c:v>
                </c:pt>
                <c:pt idx="61">
                  <c:v>13.3</c:v>
                </c:pt>
                <c:pt idx="62">
                  <c:v>13.1</c:v>
                </c:pt>
                <c:pt idx="63" formatCode="0.0">
                  <c:v>14.4</c:v>
                </c:pt>
                <c:pt idx="64" formatCode="0.0">
                  <c:v>13.6</c:v>
                </c:pt>
                <c:pt idx="65">
                  <c:v>13</c:v>
                </c:pt>
                <c:pt idx="66">
                  <c:v>12.7</c:v>
                </c:pt>
                <c:pt idx="67">
                  <c:v>12.4</c:v>
                </c:pt>
                <c:pt idx="68">
                  <c:v>12.1</c:v>
                </c:pt>
                <c:pt idx="69">
                  <c:v>11.8</c:v>
                </c:pt>
                <c:pt idx="70">
                  <c:v>11.7</c:v>
                </c:pt>
                <c:pt idx="71">
                  <c:v>11.7</c:v>
                </c:pt>
                <c:pt idx="72">
                  <c:v>12.1</c:v>
                </c:pt>
                <c:pt idx="73">
                  <c:v>12</c:v>
                </c:pt>
                <c:pt idx="74">
                  <c:v>11.8</c:v>
                </c:pt>
                <c:pt idx="75">
                  <c:v>11.2</c:v>
                </c:pt>
                <c:pt idx="76">
                  <c:v>10.5</c:v>
                </c:pt>
                <c:pt idx="77">
                  <c:v>10.1</c:v>
                </c:pt>
                <c:pt idx="78">
                  <c:v>9.6999999999999993</c:v>
                </c:pt>
                <c:pt idx="79">
                  <c:v>9.4</c:v>
                </c:pt>
                <c:pt idx="80">
                  <c:v>9.1999999999999993</c:v>
                </c:pt>
                <c:pt idx="81">
                  <c:v>9.1999999999999993</c:v>
                </c:pt>
                <c:pt idx="82">
                  <c:v>9.4</c:v>
                </c:pt>
                <c:pt idx="83">
                  <c:v>9.8000000000000007</c:v>
                </c:pt>
                <c:pt idx="84">
                  <c:v>10.4</c:v>
                </c:pt>
                <c:pt idx="85">
                  <c:v>10.5</c:v>
                </c:pt>
                <c:pt idx="86">
                  <c:v>10.199999999999999</c:v>
                </c:pt>
                <c:pt idx="87">
                  <c:v>9.6</c:v>
                </c:pt>
                <c:pt idx="88">
                  <c:v>8.9</c:v>
                </c:pt>
                <c:pt idx="89">
                  <c:v>8.6</c:v>
                </c:pt>
                <c:pt idx="90">
                  <c:v>8.1999999999999993</c:v>
                </c:pt>
                <c:pt idx="91">
                  <c:v>7.9</c:v>
                </c:pt>
                <c:pt idx="92">
                  <c:v>7.8</c:v>
                </c:pt>
                <c:pt idx="93">
                  <c:v>7.7</c:v>
                </c:pt>
                <c:pt idx="94">
                  <c:v>8</c:v>
                </c:pt>
                <c:pt idx="95">
                  <c:v>8.3000000000000007</c:v>
                </c:pt>
                <c:pt idx="96">
                  <c:v>9</c:v>
                </c:pt>
                <c:pt idx="97">
                  <c:v>9.3000000000000007</c:v>
                </c:pt>
                <c:pt idx="98">
                  <c:v>9.6</c:v>
                </c:pt>
                <c:pt idx="99">
                  <c:v>9</c:v>
                </c:pt>
                <c:pt idx="100">
                  <c:v>8.5</c:v>
                </c:pt>
                <c:pt idx="101">
                  <c:v>8.3000000000000007</c:v>
                </c:pt>
                <c:pt idx="102">
                  <c:v>8.1</c:v>
                </c:pt>
                <c:pt idx="103">
                  <c:v>8</c:v>
                </c:pt>
                <c:pt idx="104">
                  <c:v>8</c:v>
                </c:pt>
                <c:pt idx="105">
                  <c:v>7.9</c:v>
                </c:pt>
                <c:pt idx="106">
                  <c:v>8.3000000000000007</c:v>
                </c:pt>
                <c:pt idx="107">
                  <c:v>8.6999999999999993</c:v>
                </c:pt>
                <c:pt idx="108">
                  <c:v>9.5</c:v>
                </c:pt>
                <c:pt idx="109">
                  <c:v>9.6999999999999993</c:v>
                </c:pt>
                <c:pt idx="110">
                  <c:v>9.4</c:v>
                </c:pt>
                <c:pt idx="111">
                  <c:v>8.8000000000000007</c:v>
                </c:pt>
                <c:pt idx="112">
                  <c:v>8.1999999999999993</c:v>
                </c:pt>
                <c:pt idx="113">
                  <c:v>8</c:v>
                </c:pt>
                <c:pt idx="114">
                  <c:v>7.7</c:v>
                </c:pt>
                <c:pt idx="115">
                  <c:v>7.4</c:v>
                </c:pt>
                <c:pt idx="116">
                  <c:v>7.3</c:v>
                </c:pt>
                <c:pt idx="117">
                  <c:v>7.4</c:v>
                </c:pt>
                <c:pt idx="118" formatCode="0.0">
                  <c:v>7.7</c:v>
                </c:pt>
                <c:pt idx="119">
                  <c:v>8.1999999999999993</c:v>
                </c:pt>
                <c:pt idx="120">
                  <c:v>8.5</c:v>
                </c:pt>
                <c:pt idx="121">
                  <c:v>8.5</c:v>
                </c:pt>
                <c:pt idx="122">
                  <c:v>8.1999999999999993</c:v>
                </c:pt>
                <c:pt idx="123">
                  <c:v>7.4</c:v>
                </c:pt>
                <c:pt idx="124">
                  <c:v>7</c:v>
                </c:pt>
                <c:pt idx="125">
                  <c:v>6.7</c:v>
                </c:pt>
                <c:pt idx="126">
                  <c:v>6.5</c:v>
                </c:pt>
                <c:pt idx="127">
                  <c:v>6.3</c:v>
                </c:pt>
                <c:pt idx="128">
                  <c:v>6</c:v>
                </c:pt>
                <c:pt idx="129">
                  <c:v>6</c:v>
                </c:pt>
                <c:pt idx="130">
                  <c:v>6.2</c:v>
                </c:pt>
                <c:pt idx="131">
                  <c:v>6.5</c:v>
                </c:pt>
                <c:pt idx="132">
                  <c:v>6.9</c:v>
                </c:pt>
                <c:pt idx="133">
                  <c:v>6.9</c:v>
                </c:pt>
                <c:pt idx="134">
                  <c:v>6.8</c:v>
                </c:pt>
                <c:pt idx="135">
                  <c:v>6.4</c:v>
                </c:pt>
                <c:pt idx="136">
                  <c:v>6</c:v>
                </c:pt>
                <c:pt idx="137">
                  <c:v>5.9</c:v>
                </c:pt>
                <c:pt idx="138">
                  <c:v>5.8</c:v>
                </c:pt>
                <c:pt idx="139">
                  <c:v>5.6</c:v>
                </c:pt>
                <c:pt idx="140">
                  <c:v>5.6</c:v>
                </c:pt>
                <c:pt idx="141">
                  <c:v>5.6</c:v>
                </c:pt>
                <c:pt idx="142">
                  <c:v>5.8</c:v>
                </c:pt>
                <c:pt idx="143">
                  <c:v>6.2</c:v>
                </c:pt>
                <c:pt idx="144">
                  <c:v>6.6</c:v>
                </c:pt>
                <c:pt idx="145">
                  <c:v>6.6</c:v>
                </c:pt>
                <c:pt idx="146">
                  <c:v>6.7</c:v>
                </c:pt>
                <c:pt idx="147">
                  <c:v>6.2</c:v>
                </c:pt>
                <c:pt idx="148">
                  <c:v>5.8</c:v>
                </c:pt>
                <c:pt idx="149">
                  <c:v>5.8</c:v>
                </c:pt>
                <c:pt idx="150">
                  <c:v>5.7</c:v>
                </c:pt>
                <c:pt idx="151">
                  <c:v>5.5</c:v>
                </c:pt>
                <c:pt idx="152">
                  <c:v>5.3</c:v>
                </c:pt>
                <c:pt idx="153">
                  <c:v>5.4</c:v>
                </c:pt>
                <c:pt idx="154">
                  <c:v>5.7</c:v>
                </c:pt>
                <c:pt idx="155">
                  <c:v>6.3</c:v>
                </c:pt>
                <c:pt idx="156">
                  <c:v>6.5</c:v>
                </c:pt>
                <c:pt idx="157">
                  <c:v>6.5</c:v>
                </c:pt>
                <c:pt idx="158">
                  <c:v>6.8</c:v>
                </c:pt>
                <c:pt idx="159">
                  <c:v>7.7</c:v>
                </c:pt>
                <c:pt idx="160">
                  <c:v>8</c:v>
                </c:pt>
                <c:pt idx="161">
                  <c:v>8.1999999999999993</c:v>
                </c:pt>
                <c:pt idx="162">
                  <c:v>8</c:v>
                </c:pt>
                <c:pt idx="163">
                  <c:v>7.6</c:v>
                </c:pt>
                <c:pt idx="164">
                  <c:v>7.1</c:v>
                </c:pt>
                <c:pt idx="165">
                  <c:v>6.7</c:v>
                </c:pt>
                <c:pt idx="166">
                  <c:v>6.9</c:v>
                </c:pt>
                <c:pt idx="167">
                  <c:v>7.3</c:v>
                </c:pt>
                <c:pt idx="168">
                  <c:v>7.8</c:v>
                </c:pt>
                <c:pt idx="169">
                  <c:v>8</c:v>
                </c:pt>
                <c:pt idx="170">
                  <c:v>8</c:v>
                </c:pt>
                <c:pt idx="171">
                  <c:v>7.5</c:v>
                </c:pt>
                <c:pt idx="172">
                  <c:v>7.1</c:v>
                </c:pt>
                <c:pt idx="173">
                  <c:v>6.9</c:v>
                </c:pt>
                <c:pt idx="174">
                  <c:v>6.5</c:v>
                </c:pt>
                <c:pt idx="175">
                  <c:v>5.9</c:v>
                </c:pt>
              </c:numCache>
            </c:numRef>
          </c:val>
          <c:smooth val="1"/>
          <c:extLst>
            <c:ext xmlns:c16="http://schemas.microsoft.com/office/drawing/2014/chart" uri="{C3380CC4-5D6E-409C-BE32-E72D297353CC}">
              <c16:uniqueId val="{00000005-AD39-4180-8DC6-A1611A693C37}"/>
            </c:ext>
          </c:extLst>
        </c:ser>
        <c:dLbls>
          <c:showLegendKey val="0"/>
          <c:showVal val="0"/>
          <c:showCatName val="0"/>
          <c:showSerName val="0"/>
          <c:showPercent val="0"/>
          <c:showBubbleSize val="0"/>
        </c:dLbls>
        <c:marker val="1"/>
        <c:smooth val="0"/>
        <c:axId val="336009504"/>
        <c:axId val="336013816"/>
      </c:lineChart>
      <c:catAx>
        <c:axId val="336009504"/>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5400000" spcFirstLastPara="1" vertOverflow="ellipsis"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v-LV"/>
          </a:p>
        </c:txPr>
        <c:crossAx val="336013816"/>
        <c:crosses val="autoZero"/>
        <c:auto val="1"/>
        <c:lblAlgn val="ctr"/>
        <c:lblOffset val="100"/>
        <c:tickLblSkip val="12"/>
        <c:tickMarkSkip val="12"/>
        <c:noMultiLvlLbl val="0"/>
      </c:catAx>
      <c:valAx>
        <c:axId val="336013816"/>
        <c:scaling>
          <c:orientation val="minMax"/>
          <c:max val="25"/>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v-LV"/>
          </a:p>
        </c:txPr>
        <c:crossAx val="336009504"/>
        <c:crosses val="autoZero"/>
        <c:crossBetween val="between"/>
      </c:valAx>
      <c:spPr>
        <a:noFill/>
        <a:ln>
          <a:noFill/>
        </a:ln>
        <a:effectLst/>
      </c:spPr>
    </c:plotArea>
    <c:legend>
      <c:legendPos val="b"/>
      <c:layout>
        <c:manualLayout>
          <c:xMode val="edge"/>
          <c:yMode val="edge"/>
          <c:x val="7.6483705960112655E-2"/>
          <c:y val="0.87860517435320584"/>
          <c:w val="0.81584360434477865"/>
          <c:h val="0.1067521878914072"/>
        </c:manualLayout>
      </c:layou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v-LV"/>
        </a:p>
      </c:txPr>
    </c:legend>
    <c:plotVisOnly val="1"/>
    <c:dispBlanksAs val="gap"/>
    <c:showDLblsOverMax val="0"/>
  </c:chart>
  <c:spPr>
    <a:solidFill>
      <a:schemeClr val="bg1"/>
    </a:solidFill>
    <a:ln w="9525" cap="flat" cmpd="sng" algn="ctr">
      <a:noFill/>
      <a:round/>
    </a:ln>
    <a:effectLst/>
  </c:spPr>
  <c:txPr>
    <a:bodyPr/>
    <a:lstStyle/>
    <a:p>
      <a:pPr>
        <a:defRPr/>
      </a:pPr>
      <a:endParaRPr lang="lv-LV"/>
    </a:p>
  </c:txPr>
  <c:externalData r:id="rId4">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35812185120704"/>
          <c:y val="9.7991493911704988E-2"/>
          <c:w val="0.69897816012177827"/>
          <c:h val="0.81531332786504396"/>
        </c:manualLayout>
      </c:layout>
      <c:lineChart>
        <c:grouping val="standard"/>
        <c:varyColors val="0"/>
        <c:ser>
          <c:idx val="0"/>
          <c:order val="0"/>
          <c:tx>
            <c:strRef>
              <c:f>'vienreizējie darba ņēmēji'!$E$4</c:f>
              <c:strCache>
                <c:ptCount val="1"/>
                <c:pt idx="0">
                  <c:v>2007</c:v>
                </c:pt>
              </c:strCache>
            </c:strRef>
          </c:tx>
          <c:spPr>
            <a:ln>
              <a:prstDash val="sysDash"/>
            </a:ln>
          </c:spPr>
          <c:marker>
            <c:symbol val="none"/>
          </c:marker>
          <c:cat>
            <c:strRef>
              <c:f>'vienreizējie darba ņēmēji'!$F$3:$Q$3</c:f>
              <c:strCache>
                <c:ptCount val="12"/>
                <c:pt idx="0">
                  <c:v>I</c:v>
                </c:pt>
                <c:pt idx="1">
                  <c:v>II</c:v>
                </c:pt>
                <c:pt idx="2">
                  <c:v>III</c:v>
                </c:pt>
                <c:pt idx="3">
                  <c:v>IV</c:v>
                </c:pt>
                <c:pt idx="4">
                  <c:v>V</c:v>
                </c:pt>
                <c:pt idx="5">
                  <c:v>VI</c:v>
                </c:pt>
                <c:pt idx="6">
                  <c:v>VII</c:v>
                </c:pt>
                <c:pt idx="7">
                  <c:v>VIII</c:v>
                </c:pt>
                <c:pt idx="8">
                  <c:v>IX</c:v>
                </c:pt>
                <c:pt idx="9">
                  <c:v>X</c:v>
                </c:pt>
                <c:pt idx="10">
                  <c:v>XI</c:v>
                </c:pt>
                <c:pt idx="11">
                  <c:v>XII</c:v>
                </c:pt>
              </c:strCache>
            </c:strRef>
          </c:cat>
          <c:val>
            <c:numRef>
              <c:f>'vienreizējie darba ņēmēji'!$F$4:$Q$4</c:f>
              <c:numCache>
                <c:formatCode>0</c:formatCode>
                <c:ptCount val="12"/>
                <c:pt idx="0">
                  <c:v>909945</c:v>
                </c:pt>
                <c:pt idx="1">
                  <c:v>913544</c:v>
                </c:pt>
                <c:pt idx="2">
                  <c:v>921960</c:v>
                </c:pt>
                <c:pt idx="3">
                  <c:v>927286</c:v>
                </c:pt>
                <c:pt idx="4">
                  <c:v>933115</c:v>
                </c:pt>
                <c:pt idx="5">
                  <c:v>950147</c:v>
                </c:pt>
                <c:pt idx="6">
                  <c:v>960794</c:v>
                </c:pt>
                <c:pt idx="7">
                  <c:v>955827</c:v>
                </c:pt>
                <c:pt idx="8">
                  <c:v>944256</c:v>
                </c:pt>
                <c:pt idx="9">
                  <c:v>947652</c:v>
                </c:pt>
                <c:pt idx="10">
                  <c:v>947181</c:v>
                </c:pt>
                <c:pt idx="11">
                  <c:v>939483</c:v>
                </c:pt>
              </c:numCache>
            </c:numRef>
          </c:val>
          <c:smooth val="1"/>
          <c:extLst>
            <c:ext xmlns:c16="http://schemas.microsoft.com/office/drawing/2014/chart" uri="{C3380CC4-5D6E-409C-BE32-E72D297353CC}">
              <c16:uniqueId val="{00000000-1A67-4C10-BE79-6E6185C0D168}"/>
            </c:ext>
          </c:extLst>
        </c:ser>
        <c:ser>
          <c:idx val="1"/>
          <c:order val="1"/>
          <c:tx>
            <c:strRef>
              <c:f>'vienreizējie darba ņēmēji'!$E$5</c:f>
              <c:strCache>
                <c:ptCount val="1"/>
                <c:pt idx="0">
                  <c:v>2008</c:v>
                </c:pt>
              </c:strCache>
            </c:strRef>
          </c:tx>
          <c:spPr>
            <a:ln>
              <a:prstDash val="sysDash"/>
            </a:ln>
          </c:spPr>
          <c:marker>
            <c:symbol val="none"/>
          </c:marker>
          <c:cat>
            <c:strRef>
              <c:f>'vienreizējie darba ņēmēji'!$F$3:$Q$3</c:f>
              <c:strCache>
                <c:ptCount val="12"/>
                <c:pt idx="0">
                  <c:v>I</c:v>
                </c:pt>
                <c:pt idx="1">
                  <c:v>II</c:v>
                </c:pt>
                <c:pt idx="2">
                  <c:v>III</c:v>
                </c:pt>
                <c:pt idx="3">
                  <c:v>IV</c:v>
                </c:pt>
                <c:pt idx="4">
                  <c:v>V</c:v>
                </c:pt>
                <c:pt idx="5">
                  <c:v>VI</c:v>
                </c:pt>
                <c:pt idx="6">
                  <c:v>VII</c:v>
                </c:pt>
                <c:pt idx="7">
                  <c:v>VIII</c:v>
                </c:pt>
                <c:pt idx="8">
                  <c:v>IX</c:v>
                </c:pt>
                <c:pt idx="9">
                  <c:v>X</c:v>
                </c:pt>
                <c:pt idx="10">
                  <c:v>XI</c:v>
                </c:pt>
                <c:pt idx="11">
                  <c:v>XII</c:v>
                </c:pt>
              </c:strCache>
            </c:strRef>
          </c:cat>
          <c:val>
            <c:numRef>
              <c:f>'vienreizējie darba ņēmēji'!$F$5:$Q$5</c:f>
              <c:numCache>
                <c:formatCode>0</c:formatCode>
                <c:ptCount val="12"/>
                <c:pt idx="0">
                  <c:v>938553</c:v>
                </c:pt>
                <c:pt idx="1">
                  <c:v>940687</c:v>
                </c:pt>
                <c:pt idx="2">
                  <c:v>941685</c:v>
                </c:pt>
                <c:pt idx="3">
                  <c:v>944934</c:v>
                </c:pt>
                <c:pt idx="4">
                  <c:v>938459</c:v>
                </c:pt>
                <c:pt idx="5">
                  <c:v>946991</c:v>
                </c:pt>
                <c:pt idx="6">
                  <c:v>950010</c:v>
                </c:pt>
                <c:pt idx="7">
                  <c:v>947591</c:v>
                </c:pt>
                <c:pt idx="8">
                  <c:v>929977</c:v>
                </c:pt>
                <c:pt idx="9">
                  <c:v>926331</c:v>
                </c:pt>
                <c:pt idx="10">
                  <c:v>909914</c:v>
                </c:pt>
                <c:pt idx="11">
                  <c:v>896900</c:v>
                </c:pt>
              </c:numCache>
            </c:numRef>
          </c:val>
          <c:smooth val="1"/>
          <c:extLst>
            <c:ext xmlns:c16="http://schemas.microsoft.com/office/drawing/2014/chart" uri="{C3380CC4-5D6E-409C-BE32-E72D297353CC}">
              <c16:uniqueId val="{00000001-1A67-4C10-BE79-6E6185C0D168}"/>
            </c:ext>
          </c:extLst>
        </c:ser>
        <c:ser>
          <c:idx val="2"/>
          <c:order val="2"/>
          <c:tx>
            <c:strRef>
              <c:f>'vienreizējie darba ņēmēji'!$E$6</c:f>
              <c:strCache>
                <c:ptCount val="1"/>
                <c:pt idx="0">
                  <c:v>2009</c:v>
                </c:pt>
              </c:strCache>
            </c:strRef>
          </c:tx>
          <c:spPr>
            <a:ln>
              <a:prstDash val="sysDash"/>
            </a:ln>
          </c:spPr>
          <c:marker>
            <c:symbol val="none"/>
          </c:marker>
          <c:cat>
            <c:strRef>
              <c:f>'vienreizējie darba ņēmēji'!$F$3:$Q$3</c:f>
              <c:strCache>
                <c:ptCount val="12"/>
                <c:pt idx="0">
                  <c:v>I</c:v>
                </c:pt>
                <c:pt idx="1">
                  <c:v>II</c:v>
                </c:pt>
                <c:pt idx="2">
                  <c:v>III</c:v>
                </c:pt>
                <c:pt idx="3">
                  <c:v>IV</c:v>
                </c:pt>
                <c:pt idx="4">
                  <c:v>V</c:v>
                </c:pt>
                <c:pt idx="5">
                  <c:v>VI</c:v>
                </c:pt>
                <c:pt idx="6">
                  <c:v>VII</c:v>
                </c:pt>
                <c:pt idx="7">
                  <c:v>VIII</c:v>
                </c:pt>
                <c:pt idx="8">
                  <c:v>IX</c:v>
                </c:pt>
                <c:pt idx="9">
                  <c:v>X</c:v>
                </c:pt>
                <c:pt idx="10">
                  <c:v>XI</c:v>
                </c:pt>
                <c:pt idx="11">
                  <c:v>XII</c:v>
                </c:pt>
              </c:strCache>
            </c:strRef>
          </c:cat>
          <c:val>
            <c:numRef>
              <c:f>'vienreizējie darba ņēmēji'!$F$6:$Q$6</c:f>
              <c:numCache>
                <c:formatCode>0</c:formatCode>
                <c:ptCount val="12"/>
                <c:pt idx="0">
                  <c:v>872567</c:v>
                </c:pt>
                <c:pt idx="1">
                  <c:v>851772</c:v>
                </c:pt>
                <c:pt idx="2">
                  <c:v>834139</c:v>
                </c:pt>
                <c:pt idx="3">
                  <c:v>833105</c:v>
                </c:pt>
                <c:pt idx="4">
                  <c:v>821980</c:v>
                </c:pt>
                <c:pt idx="5">
                  <c:v>814469</c:v>
                </c:pt>
                <c:pt idx="6">
                  <c:v>777030</c:v>
                </c:pt>
                <c:pt idx="7">
                  <c:v>765995</c:v>
                </c:pt>
                <c:pt idx="8">
                  <c:v>755239</c:v>
                </c:pt>
                <c:pt idx="9">
                  <c:v>744453</c:v>
                </c:pt>
                <c:pt idx="10">
                  <c:v>733801</c:v>
                </c:pt>
                <c:pt idx="11">
                  <c:v>732594</c:v>
                </c:pt>
              </c:numCache>
            </c:numRef>
          </c:val>
          <c:smooth val="0"/>
          <c:extLst>
            <c:ext xmlns:c16="http://schemas.microsoft.com/office/drawing/2014/chart" uri="{C3380CC4-5D6E-409C-BE32-E72D297353CC}">
              <c16:uniqueId val="{00000002-1A67-4C10-BE79-6E6185C0D168}"/>
            </c:ext>
          </c:extLst>
        </c:ser>
        <c:ser>
          <c:idx val="3"/>
          <c:order val="3"/>
          <c:tx>
            <c:strRef>
              <c:f>'vienreizējie darba ņēmēji'!$E$7</c:f>
              <c:strCache>
                <c:ptCount val="1"/>
                <c:pt idx="0">
                  <c:v>2010</c:v>
                </c:pt>
              </c:strCache>
            </c:strRef>
          </c:tx>
          <c:spPr>
            <a:ln>
              <a:prstDash val="sysDash"/>
            </a:ln>
          </c:spPr>
          <c:marker>
            <c:symbol val="none"/>
          </c:marker>
          <c:cat>
            <c:strRef>
              <c:f>'vienreizējie darba ņēmēji'!$F$3:$Q$3</c:f>
              <c:strCache>
                <c:ptCount val="12"/>
                <c:pt idx="0">
                  <c:v>I</c:v>
                </c:pt>
                <c:pt idx="1">
                  <c:v>II</c:v>
                </c:pt>
                <c:pt idx="2">
                  <c:v>III</c:v>
                </c:pt>
                <c:pt idx="3">
                  <c:v>IV</c:v>
                </c:pt>
                <c:pt idx="4">
                  <c:v>V</c:v>
                </c:pt>
                <c:pt idx="5">
                  <c:v>VI</c:v>
                </c:pt>
                <c:pt idx="6">
                  <c:v>VII</c:v>
                </c:pt>
                <c:pt idx="7">
                  <c:v>VIII</c:v>
                </c:pt>
                <c:pt idx="8">
                  <c:v>IX</c:v>
                </c:pt>
                <c:pt idx="9">
                  <c:v>X</c:v>
                </c:pt>
                <c:pt idx="10">
                  <c:v>XI</c:v>
                </c:pt>
                <c:pt idx="11">
                  <c:v>XII</c:v>
                </c:pt>
              </c:strCache>
            </c:strRef>
          </c:cat>
          <c:val>
            <c:numRef>
              <c:f>'vienreizējie darba ņēmēji'!$F$7:$Q$7</c:f>
              <c:numCache>
                <c:formatCode>0</c:formatCode>
                <c:ptCount val="12"/>
                <c:pt idx="0">
                  <c:v>718364</c:v>
                </c:pt>
                <c:pt idx="1">
                  <c:v>716878</c:v>
                </c:pt>
                <c:pt idx="2">
                  <c:v>710564</c:v>
                </c:pt>
                <c:pt idx="3">
                  <c:v>728335</c:v>
                </c:pt>
                <c:pt idx="4">
                  <c:v>734565</c:v>
                </c:pt>
                <c:pt idx="5">
                  <c:v>739612</c:v>
                </c:pt>
                <c:pt idx="6">
                  <c:v>748664</c:v>
                </c:pt>
                <c:pt idx="7">
                  <c:v>743181</c:v>
                </c:pt>
                <c:pt idx="8">
                  <c:v>750809</c:v>
                </c:pt>
                <c:pt idx="9">
                  <c:v>752420</c:v>
                </c:pt>
                <c:pt idx="10">
                  <c:v>747919</c:v>
                </c:pt>
                <c:pt idx="11">
                  <c:v>742123</c:v>
                </c:pt>
              </c:numCache>
            </c:numRef>
          </c:val>
          <c:smooth val="1"/>
          <c:extLst>
            <c:ext xmlns:c16="http://schemas.microsoft.com/office/drawing/2014/chart" uri="{C3380CC4-5D6E-409C-BE32-E72D297353CC}">
              <c16:uniqueId val="{00000003-1A67-4C10-BE79-6E6185C0D168}"/>
            </c:ext>
          </c:extLst>
        </c:ser>
        <c:ser>
          <c:idx val="4"/>
          <c:order val="4"/>
          <c:tx>
            <c:strRef>
              <c:f>'vienreizējie darba ņēmēji'!$E$8</c:f>
              <c:strCache>
                <c:ptCount val="1"/>
                <c:pt idx="0">
                  <c:v>2011</c:v>
                </c:pt>
              </c:strCache>
            </c:strRef>
          </c:tx>
          <c:spPr>
            <a:ln>
              <a:prstDash val="sysDash"/>
            </a:ln>
          </c:spPr>
          <c:marker>
            <c:symbol val="none"/>
          </c:marker>
          <c:cat>
            <c:strRef>
              <c:f>'vienreizējie darba ņēmēji'!$F$3:$Q$3</c:f>
              <c:strCache>
                <c:ptCount val="12"/>
                <c:pt idx="0">
                  <c:v>I</c:v>
                </c:pt>
                <c:pt idx="1">
                  <c:v>II</c:v>
                </c:pt>
                <c:pt idx="2">
                  <c:v>III</c:v>
                </c:pt>
                <c:pt idx="3">
                  <c:v>IV</c:v>
                </c:pt>
                <c:pt idx="4">
                  <c:v>V</c:v>
                </c:pt>
                <c:pt idx="5">
                  <c:v>VI</c:v>
                </c:pt>
                <c:pt idx="6">
                  <c:v>VII</c:v>
                </c:pt>
                <c:pt idx="7">
                  <c:v>VIII</c:v>
                </c:pt>
                <c:pt idx="8">
                  <c:v>IX</c:v>
                </c:pt>
                <c:pt idx="9">
                  <c:v>X</c:v>
                </c:pt>
                <c:pt idx="10">
                  <c:v>XI</c:v>
                </c:pt>
                <c:pt idx="11">
                  <c:v>XII</c:v>
                </c:pt>
              </c:strCache>
            </c:strRef>
          </c:cat>
          <c:val>
            <c:numRef>
              <c:f>'vienreizējie darba ņēmēji'!$F$8:$Q$8</c:f>
              <c:numCache>
                <c:formatCode>0</c:formatCode>
                <c:ptCount val="12"/>
                <c:pt idx="0">
                  <c:v>728541</c:v>
                </c:pt>
                <c:pt idx="1">
                  <c:v>727303</c:v>
                </c:pt>
                <c:pt idx="2">
                  <c:v>732546</c:v>
                </c:pt>
                <c:pt idx="3">
                  <c:v>741234</c:v>
                </c:pt>
                <c:pt idx="4">
                  <c:v>740468</c:v>
                </c:pt>
                <c:pt idx="5">
                  <c:v>750876</c:v>
                </c:pt>
                <c:pt idx="6">
                  <c:v>761310</c:v>
                </c:pt>
                <c:pt idx="7">
                  <c:v>762347</c:v>
                </c:pt>
                <c:pt idx="8">
                  <c:v>761274</c:v>
                </c:pt>
                <c:pt idx="9">
                  <c:v>752697</c:v>
                </c:pt>
                <c:pt idx="10">
                  <c:v>755559</c:v>
                </c:pt>
                <c:pt idx="11">
                  <c:v>758207</c:v>
                </c:pt>
              </c:numCache>
            </c:numRef>
          </c:val>
          <c:smooth val="1"/>
          <c:extLst>
            <c:ext xmlns:c16="http://schemas.microsoft.com/office/drawing/2014/chart" uri="{C3380CC4-5D6E-409C-BE32-E72D297353CC}">
              <c16:uniqueId val="{00000004-1A67-4C10-BE79-6E6185C0D168}"/>
            </c:ext>
          </c:extLst>
        </c:ser>
        <c:ser>
          <c:idx val="5"/>
          <c:order val="5"/>
          <c:tx>
            <c:strRef>
              <c:f>'vienreizējie darba ņēmēji'!$E$9</c:f>
              <c:strCache>
                <c:ptCount val="1"/>
                <c:pt idx="0">
                  <c:v>2012</c:v>
                </c:pt>
              </c:strCache>
            </c:strRef>
          </c:tx>
          <c:spPr>
            <a:ln>
              <a:prstDash val="sysDash"/>
            </a:ln>
          </c:spPr>
          <c:marker>
            <c:symbol val="none"/>
          </c:marker>
          <c:cat>
            <c:strRef>
              <c:f>'vienreizējie darba ņēmēji'!$F$3:$Q$3</c:f>
              <c:strCache>
                <c:ptCount val="12"/>
                <c:pt idx="0">
                  <c:v>I</c:v>
                </c:pt>
                <c:pt idx="1">
                  <c:v>II</c:v>
                </c:pt>
                <c:pt idx="2">
                  <c:v>III</c:v>
                </c:pt>
                <c:pt idx="3">
                  <c:v>IV</c:v>
                </c:pt>
                <c:pt idx="4">
                  <c:v>V</c:v>
                </c:pt>
                <c:pt idx="5">
                  <c:v>VI</c:v>
                </c:pt>
                <c:pt idx="6">
                  <c:v>VII</c:v>
                </c:pt>
                <c:pt idx="7">
                  <c:v>VIII</c:v>
                </c:pt>
                <c:pt idx="8">
                  <c:v>IX</c:v>
                </c:pt>
                <c:pt idx="9">
                  <c:v>X</c:v>
                </c:pt>
                <c:pt idx="10">
                  <c:v>XI</c:v>
                </c:pt>
                <c:pt idx="11">
                  <c:v>XII</c:v>
                </c:pt>
              </c:strCache>
            </c:strRef>
          </c:cat>
          <c:val>
            <c:numRef>
              <c:f>'vienreizējie darba ņēmēji'!$F$9:$Q$9</c:f>
              <c:numCache>
                <c:formatCode>0</c:formatCode>
                <c:ptCount val="12"/>
                <c:pt idx="0">
                  <c:v>752117</c:v>
                </c:pt>
                <c:pt idx="1">
                  <c:v>753180</c:v>
                </c:pt>
                <c:pt idx="2">
                  <c:v>756307</c:v>
                </c:pt>
                <c:pt idx="3">
                  <c:v>760899</c:v>
                </c:pt>
                <c:pt idx="4">
                  <c:v>768871</c:v>
                </c:pt>
                <c:pt idx="5">
                  <c:v>778393</c:v>
                </c:pt>
                <c:pt idx="6">
                  <c:v>784417</c:v>
                </c:pt>
                <c:pt idx="7">
                  <c:v>785240</c:v>
                </c:pt>
                <c:pt idx="8">
                  <c:v>781634</c:v>
                </c:pt>
                <c:pt idx="9">
                  <c:v>782431</c:v>
                </c:pt>
                <c:pt idx="10">
                  <c:v>778614</c:v>
                </c:pt>
                <c:pt idx="11">
                  <c:v>774554</c:v>
                </c:pt>
              </c:numCache>
            </c:numRef>
          </c:val>
          <c:smooth val="1"/>
          <c:extLst>
            <c:ext xmlns:c16="http://schemas.microsoft.com/office/drawing/2014/chart" uri="{C3380CC4-5D6E-409C-BE32-E72D297353CC}">
              <c16:uniqueId val="{00000005-1A67-4C10-BE79-6E6185C0D168}"/>
            </c:ext>
          </c:extLst>
        </c:ser>
        <c:ser>
          <c:idx val="6"/>
          <c:order val="6"/>
          <c:tx>
            <c:strRef>
              <c:f>'vienreizējie darba ņēmēji'!$E$10</c:f>
              <c:strCache>
                <c:ptCount val="1"/>
                <c:pt idx="0">
                  <c:v>2013</c:v>
                </c:pt>
              </c:strCache>
            </c:strRef>
          </c:tx>
          <c:spPr>
            <a:ln>
              <a:prstDash val="sysDash"/>
            </a:ln>
          </c:spPr>
          <c:marker>
            <c:symbol val="none"/>
          </c:marker>
          <c:cat>
            <c:strRef>
              <c:f>'vienreizējie darba ņēmēji'!$F$3:$Q$3</c:f>
              <c:strCache>
                <c:ptCount val="12"/>
                <c:pt idx="0">
                  <c:v>I</c:v>
                </c:pt>
                <c:pt idx="1">
                  <c:v>II</c:v>
                </c:pt>
                <c:pt idx="2">
                  <c:v>III</c:v>
                </c:pt>
                <c:pt idx="3">
                  <c:v>IV</c:v>
                </c:pt>
                <c:pt idx="4">
                  <c:v>V</c:v>
                </c:pt>
                <c:pt idx="5">
                  <c:v>VI</c:v>
                </c:pt>
                <c:pt idx="6">
                  <c:v>VII</c:v>
                </c:pt>
                <c:pt idx="7">
                  <c:v>VIII</c:v>
                </c:pt>
                <c:pt idx="8">
                  <c:v>IX</c:v>
                </c:pt>
                <c:pt idx="9">
                  <c:v>X</c:v>
                </c:pt>
                <c:pt idx="10">
                  <c:v>XI</c:v>
                </c:pt>
                <c:pt idx="11">
                  <c:v>XII</c:v>
                </c:pt>
              </c:strCache>
            </c:strRef>
          </c:cat>
          <c:val>
            <c:numRef>
              <c:f>'vienreizējie darba ņēmēji'!$F$10:$Q$10</c:f>
              <c:numCache>
                <c:formatCode>0</c:formatCode>
                <c:ptCount val="12"/>
                <c:pt idx="0">
                  <c:v>769638</c:v>
                </c:pt>
                <c:pt idx="1">
                  <c:v>767846</c:v>
                </c:pt>
                <c:pt idx="2">
                  <c:v>769803</c:v>
                </c:pt>
                <c:pt idx="3">
                  <c:v>777688</c:v>
                </c:pt>
                <c:pt idx="4">
                  <c:v>785356</c:v>
                </c:pt>
                <c:pt idx="5">
                  <c:v>793304</c:v>
                </c:pt>
                <c:pt idx="6">
                  <c:v>799442</c:v>
                </c:pt>
                <c:pt idx="7">
                  <c:v>798430</c:v>
                </c:pt>
                <c:pt idx="8">
                  <c:v>792702</c:v>
                </c:pt>
                <c:pt idx="9">
                  <c:v>791884</c:v>
                </c:pt>
                <c:pt idx="10">
                  <c:v>786606</c:v>
                </c:pt>
                <c:pt idx="11">
                  <c:v>781355</c:v>
                </c:pt>
              </c:numCache>
            </c:numRef>
          </c:val>
          <c:smooth val="0"/>
          <c:extLst>
            <c:ext xmlns:c16="http://schemas.microsoft.com/office/drawing/2014/chart" uri="{C3380CC4-5D6E-409C-BE32-E72D297353CC}">
              <c16:uniqueId val="{00000006-1A67-4C10-BE79-6E6185C0D168}"/>
            </c:ext>
          </c:extLst>
        </c:ser>
        <c:ser>
          <c:idx val="7"/>
          <c:order val="7"/>
          <c:tx>
            <c:strRef>
              <c:f>'vienreizējie darba ņēmēji'!$E$11</c:f>
              <c:strCache>
                <c:ptCount val="1"/>
                <c:pt idx="0">
                  <c:v>2014</c:v>
                </c:pt>
              </c:strCache>
            </c:strRef>
          </c:tx>
          <c:spPr>
            <a:ln>
              <a:prstDash val="sysDash"/>
            </a:ln>
          </c:spPr>
          <c:marker>
            <c:symbol val="none"/>
          </c:marker>
          <c:cat>
            <c:strRef>
              <c:f>'vienreizējie darba ņēmēji'!$F$3:$Q$3</c:f>
              <c:strCache>
                <c:ptCount val="12"/>
                <c:pt idx="0">
                  <c:v>I</c:v>
                </c:pt>
                <c:pt idx="1">
                  <c:v>II</c:v>
                </c:pt>
                <c:pt idx="2">
                  <c:v>III</c:v>
                </c:pt>
                <c:pt idx="3">
                  <c:v>IV</c:v>
                </c:pt>
                <c:pt idx="4">
                  <c:v>V</c:v>
                </c:pt>
                <c:pt idx="5">
                  <c:v>VI</c:v>
                </c:pt>
                <c:pt idx="6">
                  <c:v>VII</c:v>
                </c:pt>
                <c:pt idx="7">
                  <c:v>VIII</c:v>
                </c:pt>
                <c:pt idx="8">
                  <c:v>IX</c:v>
                </c:pt>
                <c:pt idx="9">
                  <c:v>X</c:v>
                </c:pt>
                <c:pt idx="10">
                  <c:v>XI</c:v>
                </c:pt>
                <c:pt idx="11">
                  <c:v>XII</c:v>
                </c:pt>
              </c:strCache>
            </c:strRef>
          </c:cat>
          <c:val>
            <c:numRef>
              <c:f>'vienreizējie darba ņēmēji'!$F$11:$Q$11</c:f>
              <c:numCache>
                <c:formatCode>0</c:formatCode>
                <c:ptCount val="12"/>
                <c:pt idx="0">
                  <c:v>775747</c:v>
                </c:pt>
                <c:pt idx="1">
                  <c:v>774999</c:v>
                </c:pt>
                <c:pt idx="2">
                  <c:v>779199</c:v>
                </c:pt>
                <c:pt idx="3">
                  <c:v>783428</c:v>
                </c:pt>
                <c:pt idx="4">
                  <c:v>788783</c:v>
                </c:pt>
                <c:pt idx="5">
                  <c:v>797046</c:v>
                </c:pt>
                <c:pt idx="6">
                  <c:v>805194</c:v>
                </c:pt>
                <c:pt idx="7">
                  <c:v>802171</c:v>
                </c:pt>
                <c:pt idx="8">
                  <c:v>798468</c:v>
                </c:pt>
                <c:pt idx="9">
                  <c:v>797571</c:v>
                </c:pt>
                <c:pt idx="10">
                  <c:v>792301</c:v>
                </c:pt>
                <c:pt idx="11">
                  <c:v>789110</c:v>
                </c:pt>
              </c:numCache>
            </c:numRef>
          </c:val>
          <c:smooth val="0"/>
          <c:extLst>
            <c:ext xmlns:c16="http://schemas.microsoft.com/office/drawing/2014/chart" uri="{C3380CC4-5D6E-409C-BE32-E72D297353CC}">
              <c16:uniqueId val="{00000007-1A67-4C10-BE79-6E6185C0D168}"/>
            </c:ext>
          </c:extLst>
        </c:ser>
        <c:ser>
          <c:idx val="8"/>
          <c:order val="8"/>
          <c:tx>
            <c:strRef>
              <c:f>'vienreizējie darba ņēmēji'!$E$12</c:f>
              <c:strCache>
                <c:ptCount val="1"/>
                <c:pt idx="0">
                  <c:v>2015</c:v>
                </c:pt>
              </c:strCache>
            </c:strRef>
          </c:tx>
          <c:spPr>
            <a:ln>
              <a:prstDash val="sysDash"/>
            </a:ln>
          </c:spPr>
          <c:marker>
            <c:symbol val="none"/>
          </c:marker>
          <c:cat>
            <c:strRef>
              <c:f>'vienreizējie darba ņēmēji'!$F$3:$Q$3</c:f>
              <c:strCache>
                <c:ptCount val="12"/>
                <c:pt idx="0">
                  <c:v>I</c:v>
                </c:pt>
                <c:pt idx="1">
                  <c:v>II</c:v>
                </c:pt>
                <c:pt idx="2">
                  <c:v>III</c:v>
                </c:pt>
                <c:pt idx="3">
                  <c:v>IV</c:v>
                </c:pt>
                <c:pt idx="4">
                  <c:v>V</c:v>
                </c:pt>
                <c:pt idx="5">
                  <c:v>VI</c:v>
                </c:pt>
                <c:pt idx="6">
                  <c:v>VII</c:v>
                </c:pt>
                <c:pt idx="7">
                  <c:v>VIII</c:v>
                </c:pt>
                <c:pt idx="8">
                  <c:v>IX</c:v>
                </c:pt>
                <c:pt idx="9">
                  <c:v>X</c:v>
                </c:pt>
                <c:pt idx="10">
                  <c:v>XI</c:v>
                </c:pt>
                <c:pt idx="11">
                  <c:v>XII</c:v>
                </c:pt>
              </c:strCache>
            </c:strRef>
          </c:cat>
          <c:val>
            <c:numRef>
              <c:f>'vienreizējie darba ņēmēji'!$F$12:$Q$12</c:f>
              <c:numCache>
                <c:formatCode>0</c:formatCode>
                <c:ptCount val="12"/>
                <c:pt idx="0">
                  <c:v>782414</c:v>
                </c:pt>
                <c:pt idx="1">
                  <c:v>780045</c:v>
                </c:pt>
                <c:pt idx="2">
                  <c:v>784170</c:v>
                </c:pt>
                <c:pt idx="3">
                  <c:v>786993</c:v>
                </c:pt>
                <c:pt idx="4">
                  <c:v>789919</c:v>
                </c:pt>
                <c:pt idx="5">
                  <c:v>798878</c:v>
                </c:pt>
                <c:pt idx="6">
                  <c:v>803205</c:v>
                </c:pt>
                <c:pt idx="7">
                  <c:v>801092</c:v>
                </c:pt>
                <c:pt idx="8">
                  <c:v>795369</c:v>
                </c:pt>
                <c:pt idx="9">
                  <c:v>793464</c:v>
                </c:pt>
                <c:pt idx="10">
                  <c:v>788961</c:v>
                </c:pt>
                <c:pt idx="11">
                  <c:v>785449</c:v>
                </c:pt>
              </c:numCache>
            </c:numRef>
          </c:val>
          <c:smooth val="0"/>
          <c:extLst>
            <c:ext xmlns:c16="http://schemas.microsoft.com/office/drawing/2014/chart" uri="{C3380CC4-5D6E-409C-BE32-E72D297353CC}">
              <c16:uniqueId val="{00000008-1A67-4C10-BE79-6E6185C0D168}"/>
            </c:ext>
          </c:extLst>
        </c:ser>
        <c:ser>
          <c:idx val="9"/>
          <c:order val="9"/>
          <c:tx>
            <c:strRef>
              <c:f>'vienreizējie darba ņēmēji'!$E$13</c:f>
              <c:strCache>
                <c:ptCount val="1"/>
                <c:pt idx="0">
                  <c:v>2016</c:v>
                </c:pt>
              </c:strCache>
            </c:strRef>
          </c:tx>
          <c:spPr>
            <a:ln>
              <a:prstDash val="sysDash"/>
            </a:ln>
          </c:spPr>
          <c:marker>
            <c:symbol val="none"/>
          </c:marker>
          <c:cat>
            <c:strRef>
              <c:f>'vienreizējie darba ņēmēji'!$F$3:$Q$3</c:f>
              <c:strCache>
                <c:ptCount val="12"/>
                <c:pt idx="0">
                  <c:v>I</c:v>
                </c:pt>
                <c:pt idx="1">
                  <c:v>II</c:v>
                </c:pt>
                <c:pt idx="2">
                  <c:v>III</c:v>
                </c:pt>
                <c:pt idx="3">
                  <c:v>IV</c:v>
                </c:pt>
                <c:pt idx="4">
                  <c:v>V</c:v>
                </c:pt>
                <c:pt idx="5">
                  <c:v>VI</c:v>
                </c:pt>
                <c:pt idx="6">
                  <c:v>VII</c:v>
                </c:pt>
                <c:pt idx="7">
                  <c:v>VIII</c:v>
                </c:pt>
                <c:pt idx="8">
                  <c:v>IX</c:v>
                </c:pt>
                <c:pt idx="9">
                  <c:v>X</c:v>
                </c:pt>
                <c:pt idx="10">
                  <c:v>XI</c:v>
                </c:pt>
                <c:pt idx="11">
                  <c:v>XII</c:v>
                </c:pt>
              </c:strCache>
            </c:strRef>
          </c:cat>
          <c:val>
            <c:numRef>
              <c:f>'vienreizējie darba ņēmēji'!$F$13:$Q$13</c:f>
              <c:numCache>
                <c:formatCode>0</c:formatCode>
                <c:ptCount val="12"/>
                <c:pt idx="0">
                  <c:v>778287</c:v>
                </c:pt>
                <c:pt idx="1">
                  <c:v>778038</c:v>
                </c:pt>
                <c:pt idx="2">
                  <c:v>779873</c:v>
                </c:pt>
                <c:pt idx="3">
                  <c:v>784909</c:v>
                </c:pt>
                <c:pt idx="4">
                  <c:v>790802</c:v>
                </c:pt>
                <c:pt idx="5">
                  <c:v>798399</c:v>
                </c:pt>
                <c:pt idx="6">
                  <c:v>802184</c:v>
                </c:pt>
                <c:pt idx="7">
                  <c:v>801672</c:v>
                </c:pt>
                <c:pt idx="8">
                  <c:v>793889</c:v>
                </c:pt>
                <c:pt idx="9">
                  <c:v>792675</c:v>
                </c:pt>
                <c:pt idx="10">
                  <c:v>788889</c:v>
                </c:pt>
                <c:pt idx="11">
                  <c:v>783818</c:v>
                </c:pt>
              </c:numCache>
            </c:numRef>
          </c:val>
          <c:smooth val="1"/>
          <c:extLst>
            <c:ext xmlns:c16="http://schemas.microsoft.com/office/drawing/2014/chart" uri="{C3380CC4-5D6E-409C-BE32-E72D297353CC}">
              <c16:uniqueId val="{00000009-1A67-4C10-BE79-6E6185C0D168}"/>
            </c:ext>
          </c:extLst>
        </c:ser>
        <c:ser>
          <c:idx val="10"/>
          <c:order val="10"/>
          <c:tx>
            <c:strRef>
              <c:f>'vienreizējie darba ņēmēji'!$E$14</c:f>
              <c:strCache>
                <c:ptCount val="1"/>
                <c:pt idx="0">
                  <c:v>2017</c:v>
                </c:pt>
              </c:strCache>
            </c:strRef>
          </c:tx>
          <c:spPr>
            <a:ln>
              <a:prstDash val="sysDash"/>
            </a:ln>
          </c:spPr>
          <c:marker>
            <c:symbol val="none"/>
          </c:marker>
          <c:cat>
            <c:strRef>
              <c:f>'vienreizējie darba ņēmēji'!$F$3:$Q$3</c:f>
              <c:strCache>
                <c:ptCount val="12"/>
                <c:pt idx="0">
                  <c:v>I</c:v>
                </c:pt>
                <c:pt idx="1">
                  <c:v>II</c:v>
                </c:pt>
                <c:pt idx="2">
                  <c:v>III</c:v>
                </c:pt>
                <c:pt idx="3">
                  <c:v>IV</c:v>
                </c:pt>
                <c:pt idx="4">
                  <c:v>V</c:v>
                </c:pt>
                <c:pt idx="5">
                  <c:v>VI</c:v>
                </c:pt>
                <c:pt idx="6">
                  <c:v>VII</c:v>
                </c:pt>
                <c:pt idx="7">
                  <c:v>VIII</c:v>
                </c:pt>
                <c:pt idx="8">
                  <c:v>IX</c:v>
                </c:pt>
                <c:pt idx="9">
                  <c:v>X</c:v>
                </c:pt>
                <c:pt idx="10">
                  <c:v>XI</c:v>
                </c:pt>
                <c:pt idx="11">
                  <c:v>XII</c:v>
                </c:pt>
              </c:strCache>
            </c:strRef>
          </c:cat>
          <c:val>
            <c:numRef>
              <c:f>'vienreizējie darba ņēmēji'!$F$14:$Q$14</c:f>
              <c:numCache>
                <c:formatCode>0</c:formatCode>
                <c:ptCount val="12"/>
                <c:pt idx="0">
                  <c:v>776684</c:v>
                </c:pt>
                <c:pt idx="1">
                  <c:v>777445</c:v>
                </c:pt>
                <c:pt idx="2">
                  <c:v>783122</c:v>
                </c:pt>
                <c:pt idx="3">
                  <c:v>787170</c:v>
                </c:pt>
                <c:pt idx="4">
                  <c:v>794136</c:v>
                </c:pt>
                <c:pt idx="5">
                  <c:v>805057</c:v>
                </c:pt>
                <c:pt idx="6">
                  <c:v>807486</c:v>
                </c:pt>
                <c:pt idx="7">
                  <c:v>808410</c:v>
                </c:pt>
                <c:pt idx="8">
                  <c:v>801412</c:v>
                </c:pt>
                <c:pt idx="9">
                  <c:v>801147</c:v>
                </c:pt>
                <c:pt idx="10">
                  <c:v>799021</c:v>
                </c:pt>
                <c:pt idx="11">
                  <c:v>795862</c:v>
                </c:pt>
              </c:numCache>
            </c:numRef>
          </c:val>
          <c:smooth val="0"/>
          <c:extLst>
            <c:ext xmlns:c16="http://schemas.microsoft.com/office/drawing/2014/chart" uri="{C3380CC4-5D6E-409C-BE32-E72D297353CC}">
              <c16:uniqueId val="{0000000A-1A67-4C10-BE79-6E6185C0D168}"/>
            </c:ext>
          </c:extLst>
        </c:ser>
        <c:ser>
          <c:idx val="11"/>
          <c:order val="11"/>
          <c:tx>
            <c:strRef>
              <c:f>'vienreizējie darba ņēmēji'!$E$15</c:f>
              <c:strCache>
                <c:ptCount val="1"/>
                <c:pt idx="0">
                  <c:v>2018</c:v>
                </c:pt>
              </c:strCache>
            </c:strRef>
          </c:tx>
          <c:spPr>
            <a:ln>
              <a:prstDash val="sysDash"/>
            </a:ln>
          </c:spPr>
          <c:marker>
            <c:symbol val="none"/>
          </c:marker>
          <c:cat>
            <c:strRef>
              <c:f>'vienreizējie darba ņēmēji'!$F$3:$Q$3</c:f>
              <c:strCache>
                <c:ptCount val="12"/>
                <c:pt idx="0">
                  <c:v>I</c:v>
                </c:pt>
                <c:pt idx="1">
                  <c:v>II</c:v>
                </c:pt>
                <c:pt idx="2">
                  <c:v>III</c:v>
                </c:pt>
                <c:pt idx="3">
                  <c:v>IV</c:v>
                </c:pt>
                <c:pt idx="4">
                  <c:v>V</c:v>
                </c:pt>
                <c:pt idx="5">
                  <c:v>VI</c:v>
                </c:pt>
                <c:pt idx="6">
                  <c:v>VII</c:v>
                </c:pt>
                <c:pt idx="7">
                  <c:v>VIII</c:v>
                </c:pt>
                <c:pt idx="8">
                  <c:v>IX</c:v>
                </c:pt>
                <c:pt idx="9">
                  <c:v>X</c:v>
                </c:pt>
                <c:pt idx="10">
                  <c:v>XI</c:v>
                </c:pt>
                <c:pt idx="11">
                  <c:v>XII</c:v>
                </c:pt>
              </c:strCache>
            </c:strRef>
          </c:cat>
          <c:val>
            <c:numRef>
              <c:f>'vienreizējie darba ņēmēji'!$F$15:$Q$15</c:f>
              <c:numCache>
                <c:formatCode>0</c:formatCode>
                <c:ptCount val="12"/>
                <c:pt idx="0">
                  <c:v>795904</c:v>
                </c:pt>
                <c:pt idx="1">
                  <c:v>795412</c:v>
                </c:pt>
                <c:pt idx="2">
                  <c:v>798238</c:v>
                </c:pt>
                <c:pt idx="3">
                  <c:v>804381</c:v>
                </c:pt>
                <c:pt idx="4">
                  <c:v>809727</c:v>
                </c:pt>
                <c:pt idx="5">
                  <c:v>821975</c:v>
                </c:pt>
                <c:pt idx="6">
                  <c:v>823815</c:v>
                </c:pt>
                <c:pt idx="7">
                  <c:v>823399</c:v>
                </c:pt>
                <c:pt idx="8">
                  <c:v>815535</c:v>
                </c:pt>
                <c:pt idx="9">
                  <c:v>816089</c:v>
                </c:pt>
                <c:pt idx="10">
                  <c:v>813115</c:v>
                </c:pt>
                <c:pt idx="11">
                  <c:v>809850</c:v>
                </c:pt>
              </c:numCache>
            </c:numRef>
          </c:val>
          <c:smooth val="1"/>
          <c:extLst>
            <c:ext xmlns:c16="http://schemas.microsoft.com/office/drawing/2014/chart" uri="{C3380CC4-5D6E-409C-BE32-E72D297353CC}">
              <c16:uniqueId val="{0000000B-1A67-4C10-BE79-6E6185C0D168}"/>
            </c:ext>
          </c:extLst>
        </c:ser>
        <c:ser>
          <c:idx val="12"/>
          <c:order val="12"/>
          <c:tx>
            <c:strRef>
              <c:f>'vienreizējie darba ņēmēji'!$E$16</c:f>
              <c:strCache>
                <c:ptCount val="1"/>
                <c:pt idx="0">
                  <c:v>2019</c:v>
                </c:pt>
              </c:strCache>
            </c:strRef>
          </c:tx>
          <c:spPr>
            <a:ln>
              <a:prstDash val="sysDash"/>
            </a:ln>
          </c:spPr>
          <c:marker>
            <c:symbol val="none"/>
          </c:marker>
          <c:cat>
            <c:strRef>
              <c:f>'vienreizējie darba ņēmēji'!$F$3:$Q$3</c:f>
              <c:strCache>
                <c:ptCount val="12"/>
                <c:pt idx="0">
                  <c:v>I</c:v>
                </c:pt>
                <c:pt idx="1">
                  <c:v>II</c:v>
                </c:pt>
                <c:pt idx="2">
                  <c:v>III</c:v>
                </c:pt>
                <c:pt idx="3">
                  <c:v>IV</c:v>
                </c:pt>
                <c:pt idx="4">
                  <c:v>V</c:v>
                </c:pt>
                <c:pt idx="5">
                  <c:v>VI</c:v>
                </c:pt>
                <c:pt idx="6">
                  <c:v>VII</c:v>
                </c:pt>
                <c:pt idx="7">
                  <c:v>VIII</c:v>
                </c:pt>
                <c:pt idx="8">
                  <c:v>IX</c:v>
                </c:pt>
                <c:pt idx="9">
                  <c:v>X</c:v>
                </c:pt>
                <c:pt idx="10">
                  <c:v>XI</c:v>
                </c:pt>
                <c:pt idx="11">
                  <c:v>XII</c:v>
                </c:pt>
              </c:strCache>
            </c:strRef>
          </c:cat>
          <c:val>
            <c:numRef>
              <c:f>'vienreizējie darba ņēmēji'!$F$16:$Q$16</c:f>
              <c:numCache>
                <c:formatCode>0</c:formatCode>
                <c:ptCount val="12"/>
                <c:pt idx="0">
                  <c:v>810225</c:v>
                </c:pt>
                <c:pt idx="1">
                  <c:v>810012</c:v>
                </c:pt>
                <c:pt idx="2">
                  <c:v>813400</c:v>
                </c:pt>
                <c:pt idx="3">
                  <c:v>819631</c:v>
                </c:pt>
                <c:pt idx="4">
                  <c:v>822925</c:v>
                </c:pt>
                <c:pt idx="5">
                  <c:v>832400</c:v>
                </c:pt>
                <c:pt idx="6">
                  <c:v>837116</c:v>
                </c:pt>
                <c:pt idx="7">
                  <c:v>833259</c:v>
                </c:pt>
                <c:pt idx="8">
                  <c:v>826215</c:v>
                </c:pt>
                <c:pt idx="9">
                  <c:v>824659</c:v>
                </c:pt>
                <c:pt idx="10">
                  <c:v>820982</c:v>
                </c:pt>
                <c:pt idx="11">
                  <c:v>817262</c:v>
                </c:pt>
              </c:numCache>
            </c:numRef>
          </c:val>
          <c:smooth val="1"/>
          <c:extLst>
            <c:ext xmlns:c16="http://schemas.microsoft.com/office/drawing/2014/chart" uri="{C3380CC4-5D6E-409C-BE32-E72D297353CC}">
              <c16:uniqueId val="{0000000C-1A67-4C10-BE79-6E6185C0D168}"/>
            </c:ext>
          </c:extLst>
        </c:ser>
        <c:ser>
          <c:idx val="13"/>
          <c:order val="13"/>
          <c:tx>
            <c:strRef>
              <c:f>'vienreizējie darba ņēmēji'!$E$17</c:f>
              <c:strCache>
                <c:ptCount val="1"/>
                <c:pt idx="0">
                  <c:v>2020</c:v>
                </c:pt>
              </c:strCache>
            </c:strRef>
          </c:tx>
          <c:spPr>
            <a:ln w="41275">
              <a:solidFill>
                <a:srgbClr val="C00000"/>
              </a:solidFill>
            </a:ln>
          </c:spPr>
          <c:marker>
            <c:symbol val="none"/>
          </c:marker>
          <c:cat>
            <c:strRef>
              <c:f>'vienreizējie darba ņēmēji'!$F$3:$Q$3</c:f>
              <c:strCache>
                <c:ptCount val="12"/>
                <c:pt idx="0">
                  <c:v>I</c:v>
                </c:pt>
                <c:pt idx="1">
                  <c:v>II</c:v>
                </c:pt>
                <c:pt idx="2">
                  <c:v>III</c:v>
                </c:pt>
                <c:pt idx="3">
                  <c:v>IV</c:v>
                </c:pt>
                <c:pt idx="4">
                  <c:v>V</c:v>
                </c:pt>
                <c:pt idx="5">
                  <c:v>VI</c:v>
                </c:pt>
                <c:pt idx="6">
                  <c:v>VII</c:v>
                </c:pt>
                <c:pt idx="7">
                  <c:v>VIII</c:v>
                </c:pt>
                <c:pt idx="8">
                  <c:v>IX</c:v>
                </c:pt>
                <c:pt idx="9">
                  <c:v>X</c:v>
                </c:pt>
                <c:pt idx="10">
                  <c:v>XI</c:v>
                </c:pt>
                <c:pt idx="11">
                  <c:v>XII</c:v>
                </c:pt>
              </c:strCache>
            </c:strRef>
          </c:cat>
          <c:val>
            <c:numRef>
              <c:f>'vienreizējie darba ņēmēji'!$F$17:$Q$17</c:f>
              <c:numCache>
                <c:formatCode>0</c:formatCode>
                <c:ptCount val="12"/>
                <c:pt idx="0">
                  <c:v>813751</c:v>
                </c:pt>
                <c:pt idx="1">
                  <c:v>813879</c:v>
                </c:pt>
                <c:pt idx="2">
                  <c:v>813913</c:v>
                </c:pt>
                <c:pt idx="3">
                  <c:v>799512</c:v>
                </c:pt>
                <c:pt idx="4">
                  <c:v>792568</c:v>
                </c:pt>
                <c:pt idx="5">
                  <c:v>798958</c:v>
                </c:pt>
                <c:pt idx="6">
                  <c:v>808522</c:v>
                </c:pt>
                <c:pt idx="7">
                  <c:v>811673</c:v>
                </c:pt>
                <c:pt idx="8">
                  <c:v>808358</c:v>
                </c:pt>
                <c:pt idx="9">
                  <c:v>807781</c:v>
                </c:pt>
                <c:pt idx="10">
                  <c:v>804367</c:v>
                </c:pt>
                <c:pt idx="11">
                  <c:v>799541</c:v>
                </c:pt>
              </c:numCache>
            </c:numRef>
          </c:val>
          <c:smooth val="1"/>
          <c:extLst>
            <c:ext xmlns:c16="http://schemas.microsoft.com/office/drawing/2014/chart" uri="{C3380CC4-5D6E-409C-BE32-E72D297353CC}">
              <c16:uniqueId val="{0000000D-1A67-4C10-BE79-6E6185C0D168}"/>
            </c:ext>
          </c:extLst>
        </c:ser>
        <c:ser>
          <c:idx val="14"/>
          <c:order val="14"/>
          <c:tx>
            <c:strRef>
              <c:f>'vienreizējie darba ņēmēji'!$E$18</c:f>
              <c:strCache>
                <c:ptCount val="1"/>
                <c:pt idx="0">
                  <c:v>2021</c:v>
                </c:pt>
              </c:strCache>
            </c:strRef>
          </c:tx>
          <c:spPr>
            <a:ln w="41275">
              <a:solidFill>
                <a:srgbClr val="00B050"/>
              </a:solidFill>
            </a:ln>
          </c:spPr>
          <c:marker>
            <c:symbol val="none"/>
          </c:marker>
          <c:cat>
            <c:strRef>
              <c:f>'vienreizējie darba ņēmēji'!$F$3:$Q$3</c:f>
              <c:strCache>
                <c:ptCount val="12"/>
                <c:pt idx="0">
                  <c:v>I</c:v>
                </c:pt>
                <c:pt idx="1">
                  <c:v>II</c:v>
                </c:pt>
                <c:pt idx="2">
                  <c:v>III</c:v>
                </c:pt>
                <c:pt idx="3">
                  <c:v>IV</c:v>
                </c:pt>
                <c:pt idx="4">
                  <c:v>V</c:v>
                </c:pt>
                <c:pt idx="5">
                  <c:v>VI</c:v>
                </c:pt>
                <c:pt idx="6">
                  <c:v>VII</c:v>
                </c:pt>
                <c:pt idx="7">
                  <c:v>VIII</c:v>
                </c:pt>
                <c:pt idx="8">
                  <c:v>IX</c:v>
                </c:pt>
                <c:pt idx="9">
                  <c:v>X</c:v>
                </c:pt>
                <c:pt idx="10">
                  <c:v>XI</c:v>
                </c:pt>
                <c:pt idx="11">
                  <c:v>XII</c:v>
                </c:pt>
              </c:strCache>
            </c:strRef>
          </c:cat>
          <c:val>
            <c:numRef>
              <c:f>'vienreizējie darba ņēmēji'!$F$18:$Q$18</c:f>
              <c:numCache>
                <c:formatCode>0</c:formatCode>
                <c:ptCount val="12"/>
                <c:pt idx="0">
                  <c:v>796273</c:v>
                </c:pt>
                <c:pt idx="1">
                  <c:v>797034</c:v>
                </c:pt>
                <c:pt idx="2">
                  <c:v>803312</c:v>
                </c:pt>
                <c:pt idx="3">
                  <c:v>808261</c:v>
                </c:pt>
                <c:pt idx="4">
                  <c:v>814278</c:v>
                </c:pt>
                <c:pt idx="5">
                  <c:v>826488</c:v>
                </c:pt>
                <c:pt idx="6">
                  <c:v>826659</c:v>
                </c:pt>
              </c:numCache>
            </c:numRef>
          </c:val>
          <c:smooth val="1"/>
          <c:extLst>
            <c:ext xmlns:c16="http://schemas.microsoft.com/office/drawing/2014/chart" uri="{C3380CC4-5D6E-409C-BE32-E72D297353CC}">
              <c16:uniqueId val="{0000000E-1A67-4C10-BE79-6E6185C0D168}"/>
            </c:ext>
          </c:extLst>
        </c:ser>
        <c:dLbls>
          <c:showLegendKey val="0"/>
          <c:showVal val="0"/>
          <c:showCatName val="0"/>
          <c:showSerName val="0"/>
          <c:showPercent val="0"/>
          <c:showBubbleSize val="0"/>
        </c:dLbls>
        <c:smooth val="0"/>
        <c:axId val="277192120"/>
        <c:axId val="277192512"/>
      </c:lineChart>
      <c:catAx>
        <c:axId val="277192120"/>
        <c:scaling>
          <c:orientation val="minMax"/>
        </c:scaling>
        <c:delete val="0"/>
        <c:axPos val="b"/>
        <c:numFmt formatCode="General" sourceLinked="0"/>
        <c:majorTickMark val="out"/>
        <c:minorTickMark val="none"/>
        <c:tickLblPos val="nextTo"/>
        <c:crossAx val="277192512"/>
        <c:crosses val="autoZero"/>
        <c:auto val="1"/>
        <c:lblAlgn val="ctr"/>
        <c:lblOffset val="100"/>
        <c:noMultiLvlLbl val="0"/>
      </c:catAx>
      <c:valAx>
        <c:axId val="277192512"/>
        <c:scaling>
          <c:orientation val="minMax"/>
          <c:min val="650000"/>
        </c:scaling>
        <c:delete val="0"/>
        <c:axPos val="l"/>
        <c:majorGridlines>
          <c:spPr>
            <a:ln>
              <a:solidFill>
                <a:schemeClr val="bg1">
                  <a:lumMod val="75000"/>
                </a:schemeClr>
              </a:solidFill>
            </a:ln>
          </c:spPr>
        </c:majorGridlines>
        <c:numFmt formatCode="#,##0" sourceLinked="0"/>
        <c:majorTickMark val="out"/>
        <c:minorTickMark val="none"/>
        <c:tickLblPos val="nextTo"/>
        <c:crossAx val="277192120"/>
        <c:crosses val="autoZero"/>
        <c:crossBetween val="between"/>
      </c:valAx>
      <c:spPr>
        <a:ln>
          <a:noFill/>
        </a:ln>
      </c:spPr>
    </c:plotArea>
    <c:legend>
      <c:legendPos val="r"/>
      <c:layout>
        <c:manualLayout>
          <c:xMode val="edge"/>
          <c:yMode val="edge"/>
          <c:x val="0.84366666666666668"/>
          <c:y val="3.5117745698454363E-2"/>
          <c:w val="0.13966666666666666"/>
          <c:h val="0.93289832885165114"/>
        </c:manualLayout>
      </c:layout>
      <c:overlay val="0"/>
    </c:legend>
    <c:plotVisOnly val="1"/>
    <c:dispBlanksAs val="gap"/>
    <c:showDLblsOverMax val="0"/>
  </c:chart>
  <c:spPr>
    <a:ln>
      <a:noFill/>
    </a:ln>
  </c:spPr>
  <c:txPr>
    <a:bodyPr/>
    <a:lstStyle/>
    <a:p>
      <a:pPr>
        <a:defRPr sz="900">
          <a:solidFill>
            <a:sysClr val="windowText" lastClr="000000"/>
          </a:solidFill>
          <a:latin typeface="Times New Roman" panose="02020603050405020304" pitchFamily="18" charset="0"/>
          <a:ea typeface="Verdana" panose="020B0604030504040204" pitchFamily="34" charset="0"/>
          <a:cs typeface="Times New Roman" panose="02020603050405020304" pitchFamily="18" charset="0"/>
        </a:defRPr>
      </a:pPr>
      <a:endParaRPr lang="lv-LV"/>
    </a:p>
  </c:tx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46315937637132898"/>
          <c:y val="4.4570502431118313E-2"/>
          <c:w val="0.44640949849723044"/>
          <c:h val="0.77845620796590054"/>
        </c:manualLayout>
      </c:layout>
      <c:barChart>
        <c:barDir val="bar"/>
        <c:grouping val="clustered"/>
        <c:varyColors val="0"/>
        <c:ser>
          <c:idx val="0"/>
          <c:order val="0"/>
          <c:tx>
            <c:strRef>
              <c:f>'IKP nozares &amp; izlietojums (2)'!$BA$36</c:f>
              <c:strCache>
                <c:ptCount val="1"/>
                <c:pt idx="0">
                  <c:v>2021 1.pusg.</c:v>
                </c:pt>
              </c:strCache>
            </c:strRef>
          </c:tx>
          <c:spPr>
            <a:pattFill prst="dkUpDiag">
              <a:fgClr>
                <a:srgbClr val="00B050"/>
              </a:fgClr>
              <a:bgClr>
                <a:schemeClr val="bg1"/>
              </a:bgClr>
            </a:pattFill>
            <a:ln>
              <a:solidFill>
                <a:srgbClr val="00B050"/>
              </a:solidFill>
            </a:ln>
            <a:effectLst/>
          </c:spPr>
          <c:invertIfNegative val="0"/>
          <c:dPt>
            <c:idx val="2"/>
            <c:invertIfNegative val="0"/>
            <c:bubble3D val="0"/>
            <c:spPr>
              <a:pattFill prst="dkUpDiag">
                <a:fgClr>
                  <a:srgbClr val="00B050"/>
                </a:fgClr>
                <a:bgClr>
                  <a:schemeClr val="bg1"/>
                </a:bgClr>
              </a:pattFill>
              <a:ln>
                <a:solidFill>
                  <a:srgbClr val="00B050"/>
                </a:solidFill>
              </a:ln>
              <a:effectLst/>
            </c:spPr>
            <c:extLst>
              <c:ext xmlns:c16="http://schemas.microsoft.com/office/drawing/2014/chart" uri="{C3380CC4-5D6E-409C-BE32-E72D297353CC}">
                <c16:uniqueId val="{00000001-4BF2-4ECA-9441-08723B4DB231}"/>
              </c:ext>
            </c:extLst>
          </c:dPt>
          <c:dPt>
            <c:idx val="4"/>
            <c:invertIfNegative val="0"/>
            <c:bubble3D val="0"/>
            <c:extLst>
              <c:ext xmlns:c16="http://schemas.microsoft.com/office/drawing/2014/chart" uri="{C3380CC4-5D6E-409C-BE32-E72D297353CC}">
                <c16:uniqueId val="{00000002-4BF2-4ECA-9441-08723B4DB231}"/>
              </c:ext>
            </c:extLst>
          </c:dPt>
          <c:dPt>
            <c:idx val="6"/>
            <c:invertIfNegative val="0"/>
            <c:bubble3D val="0"/>
            <c:spPr>
              <a:pattFill prst="dkUpDiag">
                <a:fgClr>
                  <a:srgbClr val="00B050"/>
                </a:fgClr>
                <a:bgClr>
                  <a:schemeClr val="bg1"/>
                </a:bgClr>
              </a:pattFill>
              <a:ln>
                <a:solidFill>
                  <a:srgbClr val="00B050"/>
                </a:solidFill>
              </a:ln>
              <a:effectLst/>
            </c:spPr>
            <c:extLst>
              <c:ext xmlns:c16="http://schemas.microsoft.com/office/drawing/2014/chart" uri="{C3380CC4-5D6E-409C-BE32-E72D297353CC}">
                <c16:uniqueId val="{00000004-4BF2-4ECA-9441-08723B4DB231}"/>
              </c:ext>
            </c:extLst>
          </c:dPt>
          <c:dPt>
            <c:idx val="7"/>
            <c:invertIfNegative val="0"/>
            <c:bubble3D val="0"/>
            <c:extLst>
              <c:ext xmlns:c16="http://schemas.microsoft.com/office/drawing/2014/chart" uri="{C3380CC4-5D6E-409C-BE32-E72D297353CC}">
                <c16:uniqueId val="{00000005-4BF2-4ECA-9441-08723B4DB231}"/>
              </c:ext>
            </c:extLst>
          </c:dPt>
          <c:dLbls>
            <c:dLbl>
              <c:idx val="2"/>
              <c:layout>
                <c:manualLayout>
                  <c:x val="-5.7424509633456702E-2"/>
                  <c:y val="-3.646677471636952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4BF2-4ECA-9441-08723B4DB231}"/>
                </c:ext>
              </c:extLst>
            </c:dLbl>
            <c:dLbl>
              <c:idx val="5"/>
              <c:layout>
                <c:manualLayout>
                  <c:x val="-1.4029370392464447E-2"/>
                  <c:y val="-4.1977304166649175E-17"/>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4BF2-4ECA-9441-08723B4DB231}"/>
                </c:ext>
              </c:extLst>
            </c:dLbl>
            <c:dLbl>
              <c:idx val="6"/>
              <c:layout>
                <c:manualLayout>
                  <c:x val="-1.3727242501791026E-2"/>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4BF2-4ECA-9441-08723B4DB231}"/>
                </c:ext>
              </c:extLst>
            </c:dLbl>
            <c:numFmt formatCode="#,##0.0" sourceLinked="0"/>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lv-LV"/>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'IKP nozares &amp; izlietojums (2)'!$A$25:$A$34</c:f>
              <c:strCache>
                <c:ptCount val="10"/>
                <c:pt idx="0">
                  <c:v>Citi pakalpojumi</c:v>
                </c:pt>
                <c:pt idx="1">
                  <c:v>IT un komunikācijas pak</c:v>
                </c:pt>
                <c:pt idx="2">
                  <c:v>Finanšu pak.</c:v>
                </c:pt>
                <c:pt idx="3">
                  <c:v>Operācijas ar NĪ</c:v>
                </c:pt>
                <c:pt idx="4">
                  <c:v>Tirdzniecība, izmitināšana</c:v>
                </c:pt>
                <c:pt idx="5">
                  <c:v>Transports un uzglabāšana</c:v>
                </c:pt>
                <c:pt idx="6">
                  <c:v>Būvniecība</c:v>
                </c:pt>
                <c:pt idx="7">
                  <c:v>Rūpniecība</c:v>
                </c:pt>
                <c:pt idx="8">
                  <c:v>Lauksaimniecība</c:v>
                </c:pt>
                <c:pt idx="9">
                  <c:v>Kopējā pievienotā vērtība</c:v>
                </c:pt>
              </c:strCache>
            </c:strRef>
          </c:cat>
          <c:val>
            <c:numRef>
              <c:f>'IKP nozares &amp; izlietojums (2)'!$AT$25:$AT$34</c:f>
              <c:numCache>
                <c:formatCode>0.0</c:formatCode>
                <c:ptCount val="10"/>
                <c:pt idx="0">
                  <c:v>4.5191245738296582</c:v>
                </c:pt>
                <c:pt idx="1">
                  <c:v>6.1000533553893455</c:v>
                </c:pt>
                <c:pt idx="2">
                  <c:v>14.767371049266176</c:v>
                </c:pt>
                <c:pt idx="3">
                  <c:v>-2.1693175898844008</c:v>
                </c:pt>
                <c:pt idx="4">
                  <c:v>6.4518508536950847</c:v>
                </c:pt>
                <c:pt idx="5">
                  <c:v>3.5552188663087403</c:v>
                </c:pt>
                <c:pt idx="6">
                  <c:v>-4.5786496630261571</c:v>
                </c:pt>
                <c:pt idx="7">
                  <c:v>8.0247157307569381</c:v>
                </c:pt>
                <c:pt idx="8">
                  <c:v>-2.1478031256020547</c:v>
                </c:pt>
                <c:pt idx="9">
                  <c:v>3.8824845402321895</c:v>
                </c:pt>
              </c:numCache>
            </c:numRef>
          </c:val>
          <c:extLst>
            <c:ext xmlns:c16="http://schemas.microsoft.com/office/drawing/2014/chart" uri="{C3380CC4-5D6E-409C-BE32-E72D297353CC}">
              <c16:uniqueId val="{00000007-4BF2-4ECA-9441-08723B4DB231}"/>
            </c:ext>
          </c:extLst>
        </c:ser>
        <c:ser>
          <c:idx val="1"/>
          <c:order val="1"/>
          <c:tx>
            <c:strRef>
              <c:f>'IKP nozares &amp; izlietojums (2)'!$AZ$36</c:f>
              <c:strCache>
                <c:ptCount val="1"/>
                <c:pt idx="0">
                  <c:v>2020</c:v>
                </c:pt>
              </c:strCache>
            </c:strRef>
          </c:tx>
          <c:spPr>
            <a:solidFill>
              <a:schemeClr val="bg1">
                <a:lumMod val="65000"/>
              </a:schemeClr>
            </a:solidFill>
            <a:ln>
              <a:noFill/>
            </a:ln>
            <a:effectLst/>
          </c:spPr>
          <c:invertIfNegative val="0"/>
          <c:dPt>
            <c:idx val="2"/>
            <c:invertIfNegative val="0"/>
            <c:bubble3D val="0"/>
            <c:spPr>
              <a:solidFill>
                <a:schemeClr val="bg1">
                  <a:lumMod val="65000"/>
                </a:schemeClr>
              </a:solidFill>
              <a:ln>
                <a:noFill/>
              </a:ln>
              <a:effectLst/>
            </c:spPr>
            <c:extLst>
              <c:ext xmlns:c16="http://schemas.microsoft.com/office/drawing/2014/chart" uri="{C3380CC4-5D6E-409C-BE32-E72D297353CC}">
                <c16:uniqueId val="{00000009-4BF2-4ECA-9441-08723B4DB231}"/>
              </c:ext>
            </c:extLst>
          </c:dPt>
          <c:dLbls>
            <c:dLbl>
              <c:idx val="2"/>
              <c:layout>
                <c:manualLayout>
                  <c:x val="-1.8838467557414681E-2"/>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4BF2-4ECA-9441-08723B4DB231}"/>
                </c:ext>
              </c:extLst>
            </c:dLbl>
            <c:dLbl>
              <c:idx val="5"/>
              <c:layout>
                <c:manualLayout>
                  <c:x val="-4.2054364655522165E-3"/>
                  <c:y val="-4.0517043351752831E-3"/>
                </c:manualLayout>
              </c:layout>
              <c:showLegendKey val="0"/>
              <c:showVal val="1"/>
              <c:showCatName val="0"/>
              <c:showSerName val="0"/>
              <c:showPercent val="0"/>
              <c:showBubbleSize val="0"/>
              <c:extLst>
                <c:ext xmlns:c15="http://schemas.microsoft.com/office/drawing/2012/chart" uri="{CE6537A1-D6FC-4f65-9D91-7224C49458BB}">
                  <c15:layout>
                    <c:manualLayout>
                      <c:w val="0.10408008147246578"/>
                      <c:h val="3.78648272693628E-2"/>
                    </c:manualLayout>
                  </c15:layout>
                </c:ext>
                <c:ext xmlns:c16="http://schemas.microsoft.com/office/drawing/2014/chart" uri="{C3380CC4-5D6E-409C-BE32-E72D297353CC}">
                  <c16:uniqueId val="{0000000A-4BF2-4ECA-9441-08723B4DB231}"/>
                </c:ext>
              </c:extLst>
            </c:dLbl>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lv-LV"/>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'IKP nozares &amp; izlietojums (2)'!$AO$25:$AO$34</c:f>
              <c:numCache>
                <c:formatCode>0.0</c:formatCode>
                <c:ptCount val="10"/>
                <c:pt idx="0">
                  <c:v>-2.245155575307245</c:v>
                </c:pt>
                <c:pt idx="1">
                  <c:v>-6.2300846237612451</c:v>
                </c:pt>
                <c:pt idx="2">
                  <c:v>-5.7181256467617843</c:v>
                </c:pt>
                <c:pt idx="3">
                  <c:v>-0.38097104720551389</c:v>
                </c:pt>
                <c:pt idx="4">
                  <c:v>-6.6129488514936057</c:v>
                </c:pt>
                <c:pt idx="5">
                  <c:v>-14.876634425935876</c:v>
                </c:pt>
                <c:pt idx="6">
                  <c:v>2.6464310391395962</c:v>
                </c:pt>
                <c:pt idx="7">
                  <c:v>-1.0221040608687337</c:v>
                </c:pt>
                <c:pt idx="8">
                  <c:v>1.7899090522549121</c:v>
                </c:pt>
                <c:pt idx="9">
                  <c:v>-3.462292905362363</c:v>
                </c:pt>
              </c:numCache>
            </c:numRef>
          </c:val>
          <c:extLst>
            <c:ext xmlns:c16="http://schemas.microsoft.com/office/drawing/2014/chart" uri="{C3380CC4-5D6E-409C-BE32-E72D297353CC}">
              <c16:uniqueId val="{0000000B-4BF2-4ECA-9441-08723B4DB231}"/>
            </c:ext>
          </c:extLst>
        </c:ser>
        <c:dLbls>
          <c:showLegendKey val="0"/>
          <c:showVal val="0"/>
          <c:showCatName val="0"/>
          <c:showSerName val="0"/>
          <c:showPercent val="0"/>
          <c:showBubbleSize val="0"/>
        </c:dLbls>
        <c:gapWidth val="50"/>
        <c:overlap val="-10"/>
        <c:axId val="212684440"/>
        <c:axId val="212684832"/>
      </c:barChart>
      <c:catAx>
        <c:axId val="21268444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0"/>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lv-LV"/>
          </a:p>
        </c:txPr>
        <c:crossAx val="212684832"/>
        <c:crosses val="autoZero"/>
        <c:auto val="1"/>
        <c:lblAlgn val="ctr"/>
        <c:lblOffset val="100"/>
        <c:noMultiLvlLbl val="0"/>
      </c:catAx>
      <c:valAx>
        <c:axId val="212684832"/>
        <c:scaling>
          <c:orientation val="minMax"/>
          <c:max val="15"/>
          <c:min val="-20"/>
        </c:scaling>
        <c:delete val="0"/>
        <c:axPos val="b"/>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lv-LV"/>
          </a:p>
        </c:txPr>
        <c:crossAx val="212684440"/>
        <c:crosses val="autoZero"/>
        <c:crossBetween val="between"/>
        <c:majorUnit val="5"/>
      </c:valAx>
      <c:spPr>
        <a:noFill/>
        <a:ln>
          <a:noFill/>
        </a:ln>
        <a:effectLst/>
      </c:spPr>
    </c:plotArea>
    <c:legend>
      <c:legendPos val="b"/>
      <c:layout>
        <c:manualLayout>
          <c:xMode val="edge"/>
          <c:yMode val="edge"/>
          <c:x val="0.43200437462716246"/>
          <c:y val="0.89744570712351968"/>
          <c:w val="0.39676892541776215"/>
          <c:h val="7.5602339644610855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lv-LV"/>
        </a:p>
      </c:txPr>
    </c:legend>
    <c:plotVisOnly val="1"/>
    <c:dispBlanksAs val="gap"/>
    <c:showDLblsOverMax val="0"/>
  </c:chart>
  <c:spPr>
    <a:solidFill>
      <a:schemeClr val="bg1"/>
    </a:solidFill>
    <a:ln w="9525" cap="flat" cmpd="sng" algn="ctr">
      <a:solidFill>
        <a:schemeClr val="bg1"/>
      </a:solidFill>
      <a:round/>
    </a:ln>
    <a:effectLst/>
  </c:spPr>
  <c:txPr>
    <a:bodyPr/>
    <a:lstStyle/>
    <a:p>
      <a:pPr>
        <a:defRPr sz="900">
          <a:latin typeface="Times New Roman" panose="02020603050405020304" pitchFamily="18" charset="0"/>
          <a:cs typeface="Times New Roman" panose="02020603050405020304" pitchFamily="18" charset="0"/>
        </a:defRPr>
      </a:pPr>
      <a:endParaRPr lang="lv-LV"/>
    </a:p>
  </c:txPr>
  <c:externalData r:id="rId3">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7.9477653286535763E-2"/>
          <c:y val="2.9754427143007051E-2"/>
          <c:w val="0.88905920475951528"/>
          <c:h val="0.66978369083174949"/>
        </c:manualLayout>
      </c:layout>
      <c:lineChart>
        <c:grouping val="standard"/>
        <c:varyColors val="0"/>
        <c:ser>
          <c:idx val="0"/>
          <c:order val="0"/>
          <c:tx>
            <c:strRef>
              <c:f>'graf2 (2)'!$A$13</c:f>
              <c:strCache>
                <c:ptCount val="1"/>
                <c:pt idx="0">
                  <c:v>ES27</c:v>
                </c:pt>
              </c:strCache>
            </c:strRef>
          </c:tx>
          <c:spPr>
            <a:ln w="28575" cap="rnd">
              <a:solidFill>
                <a:sysClr val="windowText" lastClr="000000"/>
              </a:solidFill>
              <a:prstDash val="sysDash"/>
              <a:round/>
            </a:ln>
            <a:effectLst/>
          </c:spPr>
          <c:marker>
            <c:symbol val="none"/>
          </c:marker>
          <c:cat>
            <c:strRef>
              <c:f>'graf2 (2)'!$B$12:$AU$12</c:f>
              <c:strCache>
                <c:ptCount val="46"/>
                <c:pt idx="0">
                  <c:v>2010Q1</c:v>
                </c:pt>
                <c:pt idx="1">
                  <c:v>2010Q2</c:v>
                </c:pt>
                <c:pt idx="2">
                  <c:v>2010Q3</c:v>
                </c:pt>
                <c:pt idx="3">
                  <c:v>2010Q4</c:v>
                </c:pt>
                <c:pt idx="4">
                  <c:v>2011Q1</c:v>
                </c:pt>
                <c:pt idx="5">
                  <c:v>2011Q2</c:v>
                </c:pt>
                <c:pt idx="6">
                  <c:v>2011Q3</c:v>
                </c:pt>
                <c:pt idx="7">
                  <c:v>2011Q4</c:v>
                </c:pt>
                <c:pt idx="8">
                  <c:v>2012Q1</c:v>
                </c:pt>
                <c:pt idx="9">
                  <c:v>2012Q2</c:v>
                </c:pt>
                <c:pt idx="10">
                  <c:v>2012Q3</c:v>
                </c:pt>
                <c:pt idx="11">
                  <c:v>2012Q4</c:v>
                </c:pt>
                <c:pt idx="12">
                  <c:v>2013Q1</c:v>
                </c:pt>
                <c:pt idx="13">
                  <c:v>2013Q2</c:v>
                </c:pt>
                <c:pt idx="14">
                  <c:v>2013Q3</c:v>
                </c:pt>
                <c:pt idx="15">
                  <c:v>2013Q4</c:v>
                </c:pt>
                <c:pt idx="16">
                  <c:v>2014Q1</c:v>
                </c:pt>
                <c:pt idx="17">
                  <c:v>2014Q2</c:v>
                </c:pt>
                <c:pt idx="18">
                  <c:v>2014Q3</c:v>
                </c:pt>
                <c:pt idx="19">
                  <c:v>2014Q4</c:v>
                </c:pt>
                <c:pt idx="20">
                  <c:v>2015Q1</c:v>
                </c:pt>
                <c:pt idx="21">
                  <c:v>2015Q2</c:v>
                </c:pt>
                <c:pt idx="22">
                  <c:v>2015Q3</c:v>
                </c:pt>
                <c:pt idx="23">
                  <c:v>2015Q4</c:v>
                </c:pt>
                <c:pt idx="24">
                  <c:v>2016Q1</c:v>
                </c:pt>
                <c:pt idx="25">
                  <c:v>2016Q2</c:v>
                </c:pt>
                <c:pt idx="26">
                  <c:v>2016Q3</c:v>
                </c:pt>
                <c:pt idx="27">
                  <c:v>2016Q4</c:v>
                </c:pt>
                <c:pt idx="28">
                  <c:v>2017Q1</c:v>
                </c:pt>
                <c:pt idx="29">
                  <c:v>2017Q2</c:v>
                </c:pt>
                <c:pt idx="30">
                  <c:v>2017Q3</c:v>
                </c:pt>
                <c:pt idx="31">
                  <c:v>2017Q4</c:v>
                </c:pt>
                <c:pt idx="32">
                  <c:v>2018Q1</c:v>
                </c:pt>
                <c:pt idx="33">
                  <c:v>2018Q2</c:v>
                </c:pt>
                <c:pt idx="34">
                  <c:v>2018Q3</c:v>
                </c:pt>
                <c:pt idx="35">
                  <c:v>2018Q4</c:v>
                </c:pt>
                <c:pt idx="36">
                  <c:v>2019Q1</c:v>
                </c:pt>
                <c:pt idx="37">
                  <c:v>2019Q2</c:v>
                </c:pt>
                <c:pt idx="38">
                  <c:v>2019Q3</c:v>
                </c:pt>
                <c:pt idx="39">
                  <c:v>2019Q4</c:v>
                </c:pt>
                <c:pt idx="40">
                  <c:v>2020Q1</c:v>
                </c:pt>
                <c:pt idx="41">
                  <c:v>2020Q2</c:v>
                </c:pt>
                <c:pt idx="42">
                  <c:v>2020Q3</c:v>
                </c:pt>
                <c:pt idx="43">
                  <c:v>2020Q4</c:v>
                </c:pt>
                <c:pt idx="44">
                  <c:v>2021Q1</c:v>
                </c:pt>
                <c:pt idx="45">
                  <c:v>2021Q2</c:v>
                </c:pt>
              </c:strCache>
            </c:strRef>
          </c:cat>
          <c:val>
            <c:numRef>
              <c:f>'graf2 (2)'!$B$13:$AU$13</c:f>
              <c:numCache>
                <c:formatCode>#\ ##0.0</c:formatCode>
                <c:ptCount val="46"/>
                <c:pt idx="0">
                  <c:v>10.4</c:v>
                </c:pt>
                <c:pt idx="1">
                  <c:v>9.8000000000000007</c:v>
                </c:pt>
                <c:pt idx="2">
                  <c:v>9.4</c:v>
                </c:pt>
                <c:pt idx="3">
                  <c:v>9.8000000000000007</c:v>
                </c:pt>
                <c:pt idx="4">
                  <c:v>10.199999999999999</c:v>
                </c:pt>
                <c:pt idx="5">
                  <c:v>9.6</c:v>
                </c:pt>
                <c:pt idx="6">
                  <c:v>9.5</c:v>
                </c:pt>
                <c:pt idx="7">
                  <c:v>10.199999999999999</c:v>
                </c:pt>
                <c:pt idx="8">
                  <c:v>11</c:v>
                </c:pt>
                <c:pt idx="9">
                  <c:v>10.6</c:v>
                </c:pt>
                <c:pt idx="10">
                  <c:v>10.6</c:v>
                </c:pt>
                <c:pt idx="11">
                  <c:v>11.2</c:v>
                </c:pt>
                <c:pt idx="12">
                  <c:v>12</c:v>
                </c:pt>
                <c:pt idx="13">
                  <c:v>11.3</c:v>
                </c:pt>
                <c:pt idx="14">
                  <c:v>10.9</c:v>
                </c:pt>
                <c:pt idx="15">
                  <c:v>11.2</c:v>
                </c:pt>
                <c:pt idx="16">
                  <c:v>11.6</c:v>
                </c:pt>
                <c:pt idx="17">
                  <c:v>10.7</c:v>
                </c:pt>
                <c:pt idx="18">
                  <c:v>10.3</c:v>
                </c:pt>
                <c:pt idx="19">
                  <c:v>10.6</c:v>
                </c:pt>
                <c:pt idx="20">
                  <c:v>10.8</c:v>
                </c:pt>
                <c:pt idx="21">
                  <c:v>10.1</c:v>
                </c:pt>
                <c:pt idx="22">
                  <c:v>9.5</c:v>
                </c:pt>
                <c:pt idx="23">
                  <c:v>9.6999999999999993</c:v>
                </c:pt>
                <c:pt idx="24">
                  <c:v>9.8000000000000007</c:v>
                </c:pt>
                <c:pt idx="25">
                  <c:v>9.1</c:v>
                </c:pt>
                <c:pt idx="26">
                  <c:v>8.6999999999999993</c:v>
                </c:pt>
                <c:pt idx="27">
                  <c:v>8.8000000000000007</c:v>
                </c:pt>
                <c:pt idx="28">
                  <c:v>8.9</c:v>
                </c:pt>
                <c:pt idx="29">
                  <c:v>8.1</c:v>
                </c:pt>
                <c:pt idx="30">
                  <c:v>7.8</c:v>
                </c:pt>
                <c:pt idx="31">
                  <c:v>7.8</c:v>
                </c:pt>
                <c:pt idx="32">
                  <c:v>7.9</c:v>
                </c:pt>
                <c:pt idx="33">
                  <c:v>7.2</c:v>
                </c:pt>
                <c:pt idx="34">
                  <c:v>6.9</c:v>
                </c:pt>
                <c:pt idx="35">
                  <c:v>7</c:v>
                </c:pt>
                <c:pt idx="36">
                  <c:v>7.2</c:v>
                </c:pt>
                <c:pt idx="37">
                  <c:v>6.6</c:v>
                </c:pt>
                <c:pt idx="38">
                  <c:v>6.4</c:v>
                </c:pt>
                <c:pt idx="39">
                  <c:v>6.5</c:v>
                </c:pt>
                <c:pt idx="40">
                  <c:v>6.8</c:v>
                </c:pt>
                <c:pt idx="41">
                  <c:v>6.7</c:v>
                </c:pt>
                <c:pt idx="42">
                  <c:v>7.6</c:v>
                </c:pt>
                <c:pt idx="43">
                  <c:v>7.2</c:v>
                </c:pt>
                <c:pt idx="44">
                  <c:v>7.8</c:v>
                </c:pt>
              </c:numCache>
            </c:numRef>
          </c:val>
          <c:smooth val="0"/>
          <c:extLst>
            <c:ext xmlns:c16="http://schemas.microsoft.com/office/drawing/2014/chart" uri="{C3380CC4-5D6E-409C-BE32-E72D297353CC}">
              <c16:uniqueId val="{00000000-97B8-4A34-90E3-8FF393A5A767}"/>
            </c:ext>
          </c:extLst>
        </c:ser>
        <c:ser>
          <c:idx val="1"/>
          <c:order val="1"/>
          <c:tx>
            <c:strRef>
              <c:f>'graf2 (2)'!$A$14</c:f>
              <c:strCache>
                <c:ptCount val="1"/>
                <c:pt idx="0">
                  <c:v>Igaunija</c:v>
                </c:pt>
              </c:strCache>
            </c:strRef>
          </c:tx>
          <c:spPr>
            <a:ln w="28575" cap="rnd">
              <a:solidFill>
                <a:srgbClr val="094E7D"/>
              </a:solidFill>
              <a:round/>
            </a:ln>
            <a:effectLst/>
          </c:spPr>
          <c:marker>
            <c:symbol val="none"/>
          </c:marker>
          <c:cat>
            <c:strRef>
              <c:f>'graf2 (2)'!$B$12:$AU$12</c:f>
              <c:strCache>
                <c:ptCount val="46"/>
                <c:pt idx="0">
                  <c:v>2010Q1</c:v>
                </c:pt>
                <c:pt idx="1">
                  <c:v>2010Q2</c:v>
                </c:pt>
                <c:pt idx="2">
                  <c:v>2010Q3</c:v>
                </c:pt>
                <c:pt idx="3">
                  <c:v>2010Q4</c:v>
                </c:pt>
                <c:pt idx="4">
                  <c:v>2011Q1</c:v>
                </c:pt>
                <c:pt idx="5">
                  <c:v>2011Q2</c:v>
                </c:pt>
                <c:pt idx="6">
                  <c:v>2011Q3</c:v>
                </c:pt>
                <c:pt idx="7">
                  <c:v>2011Q4</c:v>
                </c:pt>
                <c:pt idx="8">
                  <c:v>2012Q1</c:v>
                </c:pt>
                <c:pt idx="9">
                  <c:v>2012Q2</c:v>
                </c:pt>
                <c:pt idx="10">
                  <c:v>2012Q3</c:v>
                </c:pt>
                <c:pt idx="11">
                  <c:v>2012Q4</c:v>
                </c:pt>
                <c:pt idx="12">
                  <c:v>2013Q1</c:v>
                </c:pt>
                <c:pt idx="13">
                  <c:v>2013Q2</c:v>
                </c:pt>
                <c:pt idx="14">
                  <c:v>2013Q3</c:v>
                </c:pt>
                <c:pt idx="15">
                  <c:v>2013Q4</c:v>
                </c:pt>
                <c:pt idx="16">
                  <c:v>2014Q1</c:v>
                </c:pt>
                <c:pt idx="17">
                  <c:v>2014Q2</c:v>
                </c:pt>
                <c:pt idx="18">
                  <c:v>2014Q3</c:v>
                </c:pt>
                <c:pt idx="19">
                  <c:v>2014Q4</c:v>
                </c:pt>
                <c:pt idx="20">
                  <c:v>2015Q1</c:v>
                </c:pt>
                <c:pt idx="21">
                  <c:v>2015Q2</c:v>
                </c:pt>
                <c:pt idx="22">
                  <c:v>2015Q3</c:v>
                </c:pt>
                <c:pt idx="23">
                  <c:v>2015Q4</c:v>
                </c:pt>
                <c:pt idx="24">
                  <c:v>2016Q1</c:v>
                </c:pt>
                <c:pt idx="25">
                  <c:v>2016Q2</c:v>
                </c:pt>
                <c:pt idx="26">
                  <c:v>2016Q3</c:v>
                </c:pt>
                <c:pt idx="27">
                  <c:v>2016Q4</c:v>
                </c:pt>
                <c:pt idx="28">
                  <c:v>2017Q1</c:v>
                </c:pt>
                <c:pt idx="29">
                  <c:v>2017Q2</c:v>
                </c:pt>
                <c:pt idx="30">
                  <c:v>2017Q3</c:v>
                </c:pt>
                <c:pt idx="31">
                  <c:v>2017Q4</c:v>
                </c:pt>
                <c:pt idx="32">
                  <c:v>2018Q1</c:v>
                </c:pt>
                <c:pt idx="33">
                  <c:v>2018Q2</c:v>
                </c:pt>
                <c:pt idx="34">
                  <c:v>2018Q3</c:v>
                </c:pt>
                <c:pt idx="35">
                  <c:v>2018Q4</c:v>
                </c:pt>
                <c:pt idx="36">
                  <c:v>2019Q1</c:v>
                </c:pt>
                <c:pt idx="37">
                  <c:v>2019Q2</c:v>
                </c:pt>
                <c:pt idx="38">
                  <c:v>2019Q3</c:v>
                </c:pt>
                <c:pt idx="39">
                  <c:v>2019Q4</c:v>
                </c:pt>
                <c:pt idx="40">
                  <c:v>2020Q1</c:v>
                </c:pt>
                <c:pt idx="41">
                  <c:v>2020Q2</c:v>
                </c:pt>
                <c:pt idx="42">
                  <c:v>2020Q3</c:v>
                </c:pt>
                <c:pt idx="43">
                  <c:v>2020Q4</c:v>
                </c:pt>
                <c:pt idx="44">
                  <c:v>2021Q1</c:v>
                </c:pt>
                <c:pt idx="45">
                  <c:v>2021Q2</c:v>
                </c:pt>
              </c:strCache>
            </c:strRef>
          </c:cat>
          <c:val>
            <c:numRef>
              <c:f>'graf2 (2)'!$B$14:$AU$14</c:f>
              <c:numCache>
                <c:formatCode>#\ ##0.0</c:formatCode>
                <c:ptCount val="46"/>
                <c:pt idx="0">
                  <c:v>19.5</c:v>
                </c:pt>
                <c:pt idx="1">
                  <c:v>18.3</c:v>
                </c:pt>
                <c:pt idx="2">
                  <c:v>15.4</c:v>
                </c:pt>
                <c:pt idx="3">
                  <c:v>13.6</c:v>
                </c:pt>
                <c:pt idx="4">
                  <c:v>14.3</c:v>
                </c:pt>
                <c:pt idx="5">
                  <c:v>13</c:v>
                </c:pt>
                <c:pt idx="6">
                  <c:v>10.7</c:v>
                </c:pt>
                <c:pt idx="7">
                  <c:v>11.3</c:v>
                </c:pt>
                <c:pt idx="8">
                  <c:v>11.3</c:v>
                </c:pt>
                <c:pt idx="9">
                  <c:v>10.1</c:v>
                </c:pt>
                <c:pt idx="10">
                  <c:v>9.5</c:v>
                </c:pt>
                <c:pt idx="11">
                  <c:v>9.1</c:v>
                </c:pt>
                <c:pt idx="12">
                  <c:v>10</c:v>
                </c:pt>
                <c:pt idx="13">
                  <c:v>8</c:v>
                </c:pt>
                <c:pt idx="14">
                  <c:v>7.8</c:v>
                </c:pt>
                <c:pt idx="15">
                  <c:v>8.6999999999999993</c:v>
                </c:pt>
                <c:pt idx="16">
                  <c:v>8.5</c:v>
                </c:pt>
                <c:pt idx="17">
                  <c:v>7</c:v>
                </c:pt>
                <c:pt idx="18">
                  <c:v>7.5</c:v>
                </c:pt>
                <c:pt idx="19">
                  <c:v>6.3</c:v>
                </c:pt>
                <c:pt idx="20">
                  <c:v>6.6</c:v>
                </c:pt>
                <c:pt idx="21">
                  <c:v>6.5</c:v>
                </c:pt>
                <c:pt idx="22">
                  <c:v>5.2</c:v>
                </c:pt>
                <c:pt idx="23">
                  <c:v>6.4</c:v>
                </c:pt>
                <c:pt idx="24">
                  <c:v>6.5</c:v>
                </c:pt>
                <c:pt idx="25">
                  <c:v>6.5</c:v>
                </c:pt>
                <c:pt idx="26">
                  <c:v>7.5</c:v>
                </c:pt>
                <c:pt idx="27">
                  <c:v>6.6</c:v>
                </c:pt>
                <c:pt idx="28">
                  <c:v>5.6</c:v>
                </c:pt>
                <c:pt idx="29">
                  <c:v>7</c:v>
                </c:pt>
                <c:pt idx="30">
                  <c:v>5.2</c:v>
                </c:pt>
                <c:pt idx="31">
                  <c:v>5.3</c:v>
                </c:pt>
                <c:pt idx="32">
                  <c:v>6.8</c:v>
                </c:pt>
                <c:pt idx="33">
                  <c:v>5.0999999999999996</c:v>
                </c:pt>
                <c:pt idx="34">
                  <c:v>5.2</c:v>
                </c:pt>
                <c:pt idx="35">
                  <c:v>4.4000000000000004</c:v>
                </c:pt>
                <c:pt idx="36">
                  <c:v>4.7</c:v>
                </c:pt>
                <c:pt idx="37">
                  <c:v>5.0999999999999996</c:v>
                </c:pt>
                <c:pt idx="38">
                  <c:v>3.9</c:v>
                </c:pt>
                <c:pt idx="39">
                  <c:v>4.0999999999999996</c:v>
                </c:pt>
                <c:pt idx="40">
                  <c:v>5</c:v>
                </c:pt>
                <c:pt idx="41">
                  <c:v>7.1</c:v>
                </c:pt>
                <c:pt idx="42">
                  <c:v>7.7</c:v>
                </c:pt>
                <c:pt idx="43">
                  <c:v>7.4</c:v>
                </c:pt>
                <c:pt idx="44">
                  <c:v>7.1</c:v>
                </c:pt>
                <c:pt idx="45">
                  <c:v>6.9</c:v>
                </c:pt>
              </c:numCache>
            </c:numRef>
          </c:val>
          <c:smooth val="0"/>
          <c:extLst>
            <c:ext xmlns:c16="http://schemas.microsoft.com/office/drawing/2014/chart" uri="{C3380CC4-5D6E-409C-BE32-E72D297353CC}">
              <c16:uniqueId val="{00000001-97B8-4A34-90E3-8FF393A5A767}"/>
            </c:ext>
          </c:extLst>
        </c:ser>
        <c:ser>
          <c:idx val="2"/>
          <c:order val="2"/>
          <c:tx>
            <c:strRef>
              <c:f>'graf2 (2)'!$A$15</c:f>
              <c:strCache>
                <c:ptCount val="1"/>
                <c:pt idx="0">
                  <c:v>Latvija</c:v>
                </c:pt>
              </c:strCache>
            </c:strRef>
          </c:tx>
          <c:spPr>
            <a:ln w="28575" cap="rnd">
              <a:solidFill>
                <a:srgbClr val="FF1919"/>
              </a:solidFill>
              <a:round/>
            </a:ln>
            <a:effectLst/>
          </c:spPr>
          <c:marker>
            <c:symbol val="none"/>
          </c:marker>
          <c:cat>
            <c:strRef>
              <c:f>'graf2 (2)'!$B$12:$AU$12</c:f>
              <c:strCache>
                <c:ptCount val="46"/>
                <c:pt idx="0">
                  <c:v>2010Q1</c:v>
                </c:pt>
                <c:pt idx="1">
                  <c:v>2010Q2</c:v>
                </c:pt>
                <c:pt idx="2">
                  <c:v>2010Q3</c:v>
                </c:pt>
                <c:pt idx="3">
                  <c:v>2010Q4</c:v>
                </c:pt>
                <c:pt idx="4">
                  <c:v>2011Q1</c:v>
                </c:pt>
                <c:pt idx="5">
                  <c:v>2011Q2</c:v>
                </c:pt>
                <c:pt idx="6">
                  <c:v>2011Q3</c:v>
                </c:pt>
                <c:pt idx="7">
                  <c:v>2011Q4</c:v>
                </c:pt>
                <c:pt idx="8">
                  <c:v>2012Q1</c:v>
                </c:pt>
                <c:pt idx="9">
                  <c:v>2012Q2</c:v>
                </c:pt>
                <c:pt idx="10">
                  <c:v>2012Q3</c:v>
                </c:pt>
                <c:pt idx="11">
                  <c:v>2012Q4</c:v>
                </c:pt>
                <c:pt idx="12">
                  <c:v>2013Q1</c:v>
                </c:pt>
                <c:pt idx="13">
                  <c:v>2013Q2</c:v>
                </c:pt>
                <c:pt idx="14">
                  <c:v>2013Q3</c:v>
                </c:pt>
                <c:pt idx="15">
                  <c:v>2013Q4</c:v>
                </c:pt>
                <c:pt idx="16">
                  <c:v>2014Q1</c:v>
                </c:pt>
                <c:pt idx="17">
                  <c:v>2014Q2</c:v>
                </c:pt>
                <c:pt idx="18">
                  <c:v>2014Q3</c:v>
                </c:pt>
                <c:pt idx="19">
                  <c:v>2014Q4</c:v>
                </c:pt>
                <c:pt idx="20">
                  <c:v>2015Q1</c:v>
                </c:pt>
                <c:pt idx="21">
                  <c:v>2015Q2</c:v>
                </c:pt>
                <c:pt idx="22">
                  <c:v>2015Q3</c:v>
                </c:pt>
                <c:pt idx="23">
                  <c:v>2015Q4</c:v>
                </c:pt>
                <c:pt idx="24">
                  <c:v>2016Q1</c:v>
                </c:pt>
                <c:pt idx="25">
                  <c:v>2016Q2</c:v>
                </c:pt>
                <c:pt idx="26">
                  <c:v>2016Q3</c:v>
                </c:pt>
                <c:pt idx="27">
                  <c:v>2016Q4</c:v>
                </c:pt>
                <c:pt idx="28">
                  <c:v>2017Q1</c:v>
                </c:pt>
                <c:pt idx="29">
                  <c:v>2017Q2</c:v>
                </c:pt>
                <c:pt idx="30">
                  <c:v>2017Q3</c:v>
                </c:pt>
                <c:pt idx="31">
                  <c:v>2017Q4</c:v>
                </c:pt>
                <c:pt idx="32">
                  <c:v>2018Q1</c:v>
                </c:pt>
                <c:pt idx="33">
                  <c:v>2018Q2</c:v>
                </c:pt>
                <c:pt idx="34">
                  <c:v>2018Q3</c:v>
                </c:pt>
                <c:pt idx="35">
                  <c:v>2018Q4</c:v>
                </c:pt>
                <c:pt idx="36">
                  <c:v>2019Q1</c:v>
                </c:pt>
                <c:pt idx="37">
                  <c:v>2019Q2</c:v>
                </c:pt>
                <c:pt idx="38">
                  <c:v>2019Q3</c:v>
                </c:pt>
                <c:pt idx="39">
                  <c:v>2019Q4</c:v>
                </c:pt>
                <c:pt idx="40">
                  <c:v>2020Q1</c:v>
                </c:pt>
                <c:pt idx="41">
                  <c:v>2020Q2</c:v>
                </c:pt>
                <c:pt idx="42">
                  <c:v>2020Q3</c:v>
                </c:pt>
                <c:pt idx="43">
                  <c:v>2020Q4</c:v>
                </c:pt>
                <c:pt idx="44">
                  <c:v>2021Q1</c:v>
                </c:pt>
                <c:pt idx="45">
                  <c:v>2021Q2</c:v>
                </c:pt>
              </c:strCache>
            </c:strRef>
          </c:cat>
          <c:val>
            <c:numRef>
              <c:f>'graf2 (2)'!$B$15:$AU$15</c:f>
              <c:numCache>
                <c:formatCode>#\ ##0.0</c:formatCode>
                <c:ptCount val="46"/>
                <c:pt idx="0">
                  <c:v>21.3</c:v>
                </c:pt>
                <c:pt idx="1">
                  <c:v>20.399999999999999</c:v>
                </c:pt>
                <c:pt idx="2">
                  <c:v>18.5</c:v>
                </c:pt>
                <c:pt idx="3">
                  <c:v>17.8</c:v>
                </c:pt>
                <c:pt idx="4">
                  <c:v>17.600000000000001</c:v>
                </c:pt>
                <c:pt idx="5">
                  <c:v>17.100000000000001</c:v>
                </c:pt>
                <c:pt idx="6">
                  <c:v>15.1</c:v>
                </c:pt>
                <c:pt idx="7">
                  <c:v>15</c:v>
                </c:pt>
                <c:pt idx="8">
                  <c:v>16.3</c:v>
                </c:pt>
                <c:pt idx="9">
                  <c:v>16.3</c:v>
                </c:pt>
                <c:pt idx="10">
                  <c:v>13.7</c:v>
                </c:pt>
                <c:pt idx="11">
                  <c:v>13.9</c:v>
                </c:pt>
                <c:pt idx="12">
                  <c:v>13</c:v>
                </c:pt>
                <c:pt idx="13">
                  <c:v>11.4</c:v>
                </c:pt>
                <c:pt idx="14">
                  <c:v>11.8</c:v>
                </c:pt>
                <c:pt idx="15">
                  <c:v>11.3</c:v>
                </c:pt>
                <c:pt idx="16">
                  <c:v>11.9</c:v>
                </c:pt>
                <c:pt idx="17">
                  <c:v>10.7</c:v>
                </c:pt>
                <c:pt idx="18">
                  <c:v>10.6</c:v>
                </c:pt>
                <c:pt idx="19">
                  <c:v>10.199999999999999</c:v>
                </c:pt>
                <c:pt idx="20">
                  <c:v>10.199999999999999</c:v>
                </c:pt>
                <c:pt idx="21">
                  <c:v>9.8000000000000007</c:v>
                </c:pt>
                <c:pt idx="22">
                  <c:v>9.6999999999999993</c:v>
                </c:pt>
                <c:pt idx="23">
                  <c:v>9.8000000000000007</c:v>
                </c:pt>
                <c:pt idx="24">
                  <c:v>10.3</c:v>
                </c:pt>
                <c:pt idx="25">
                  <c:v>9.5</c:v>
                </c:pt>
                <c:pt idx="26">
                  <c:v>9.5</c:v>
                </c:pt>
                <c:pt idx="27">
                  <c:v>9.3000000000000007</c:v>
                </c:pt>
                <c:pt idx="28">
                  <c:v>9.4</c:v>
                </c:pt>
                <c:pt idx="29">
                  <c:v>8.9</c:v>
                </c:pt>
                <c:pt idx="30">
                  <c:v>8.5</c:v>
                </c:pt>
                <c:pt idx="31">
                  <c:v>8.1</c:v>
                </c:pt>
                <c:pt idx="32">
                  <c:v>8.1999999999999993</c:v>
                </c:pt>
                <c:pt idx="33">
                  <c:v>7.7</c:v>
                </c:pt>
                <c:pt idx="34">
                  <c:v>7</c:v>
                </c:pt>
                <c:pt idx="35">
                  <c:v>6.9</c:v>
                </c:pt>
                <c:pt idx="36">
                  <c:v>6.9</c:v>
                </c:pt>
                <c:pt idx="37">
                  <c:v>6.4</c:v>
                </c:pt>
                <c:pt idx="38">
                  <c:v>6</c:v>
                </c:pt>
                <c:pt idx="39">
                  <c:v>6</c:v>
                </c:pt>
                <c:pt idx="40">
                  <c:v>7.4</c:v>
                </c:pt>
                <c:pt idx="41">
                  <c:v>8.6</c:v>
                </c:pt>
                <c:pt idx="42">
                  <c:v>8.4</c:v>
                </c:pt>
                <c:pt idx="43">
                  <c:v>7.9</c:v>
                </c:pt>
                <c:pt idx="44">
                  <c:v>8.1</c:v>
                </c:pt>
                <c:pt idx="45">
                  <c:v>7.9</c:v>
                </c:pt>
              </c:numCache>
            </c:numRef>
          </c:val>
          <c:smooth val="0"/>
          <c:extLst>
            <c:ext xmlns:c16="http://schemas.microsoft.com/office/drawing/2014/chart" uri="{C3380CC4-5D6E-409C-BE32-E72D297353CC}">
              <c16:uniqueId val="{00000002-97B8-4A34-90E3-8FF393A5A767}"/>
            </c:ext>
          </c:extLst>
        </c:ser>
        <c:ser>
          <c:idx val="3"/>
          <c:order val="3"/>
          <c:tx>
            <c:strRef>
              <c:f>'graf2 (2)'!$A$16</c:f>
              <c:strCache>
                <c:ptCount val="1"/>
                <c:pt idx="0">
                  <c:v>Lietuva</c:v>
                </c:pt>
              </c:strCache>
            </c:strRef>
          </c:tx>
          <c:spPr>
            <a:ln w="28575" cap="rnd">
              <a:solidFill>
                <a:srgbClr val="4C9E54"/>
              </a:solidFill>
              <a:round/>
            </a:ln>
            <a:effectLst/>
          </c:spPr>
          <c:marker>
            <c:symbol val="none"/>
          </c:marker>
          <c:cat>
            <c:strRef>
              <c:f>'graf2 (2)'!$B$12:$AU$12</c:f>
              <c:strCache>
                <c:ptCount val="46"/>
                <c:pt idx="0">
                  <c:v>2010Q1</c:v>
                </c:pt>
                <c:pt idx="1">
                  <c:v>2010Q2</c:v>
                </c:pt>
                <c:pt idx="2">
                  <c:v>2010Q3</c:v>
                </c:pt>
                <c:pt idx="3">
                  <c:v>2010Q4</c:v>
                </c:pt>
                <c:pt idx="4">
                  <c:v>2011Q1</c:v>
                </c:pt>
                <c:pt idx="5">
                  <c:v>2011Q2</c:v>
                </c:pt>
                <c:pt idx="6">
                  <c:v>2011Q3</c:v>
                </c:pt>
                <c:pt idx="7">
                  <c:v>2011Q4</c:v>
                </c:pt>
                <c:pt idx="8">
                  <c:v>2012Q1</c:v>
                </c:pt>
                <c:pt idx="9">
                  <c:v>2012Q2</c:v>
                </c:pt>
                <c:pt idx="10">
                  <c:v>2012Q3</c:v>
                </c:pt>
                <c:pt idx="11">
                  <c:v>2012Q4</c:v>
                </c:pt>
                <c:pt idx="12">
                  <c:v>2013Q1</c:v>
                </c:pt>
                <c:pt idx="13">
                  <c:v>2013Q2</c:v>
                </c:pt>
                <c:pt idx="14">
                  <c:v>2013Q3</c:v>
                </c:pt>
                <c:pt idx="15">
                  <c:v>2013Q4</c:v>
                </c:pt>
                <c:pt idx="16">
                  <c:v>2014Q1</c:v>
                </c:pt>
                <c:pt idx="17">
                  <c:v>2014Q2</c:v>
                </c:pt>
                <c:pt idx="18">
                  <c:v>2014Q3</c:v>
                </c:pt>
                <c:pt idx="19">
                  <c:v>2014Q4</c:v>
                </c:pt>
                <c:pt idx="20">
                  <c:v>2015Q1</c:v>
                </c:pt>
                <c:pt idx="21">
                  <c:v>2015Q2</c:v>
                </c:pt>
                <c:pt idx="22">
                  <c:v>2015Q3</c:v>
                </c:pt>
                <c:pt idx="23">
                  <c:v>2015Q4</c:v>
                </c:pt>
                <c:pt idx="24">
                  <c:v>2016Q1</c:v>
                </c:pt>
                <c:pt idx="25">
                  <c:v>2016Q2</c:v>
                </c:pt>
                <c:pt idx="26">
                  <c:v>2016Q3</c:v>
                </c:pt>
                <c:pt idx="27">
                  <c:v>2016Q4</c:v>
                </c:pt>
                <c:pt idx="28">
                  <c:v>2017Q1</c:v>
                </c:pt>
                <c:pt idx="29">
                  <c:v>2017Q2</c:v>
                </c:pt>
                <c:pt idx="30">
                  <c:v>2017Q3</c:v>
                </c:pt>
                <c:pt idx="31">
                  <c:v>2017Q4</c:v>
                </c:pt>
                <c:pt idx="32">
                  <c:v>2018Q1</c:v>
                </c:pt>
                <c:pt idx="33">
                  <c:v>2018Q2</c:v>
                </c:pt>
                <c:pt idx="34">
                  <c:v>2018Q3</c:v>
                </c:pt>
                <c:pt idx="35">
                  <c:v>2018Q4</c:v>
                </c:pt>
                <c:pt idx="36">
                  <c:v>2019Q1</c:v>
                </c:pt>
                <c:pt idx="37">
                  <c:v>2019Q2</c:v>
                </c:pt>
                <c:pt idx="38">
                  <c:v>2019Q3</c:v>
                </c:pt>
                <c:pt idx="39">
                  <c:v>2019Q4</c:v>
                </c:pt>
                <c:pt idx="40">
                  <c:v>2020Q1</c:v>
                </c:pt>
                <c:pt idx="41">
                  <c:v>2020Q2</c:v>
                </c:pt>
                <c:pt idx="42">
                  <c:v>2020Q3</c:v>
                </c:pt>
                <c:pt idx="43">
                  <c:v>2020Q4</c:v>
                </c:pt>
                <c:pt idx="44">
                  <c:v>2021Q1</c:v>
                </c:pt>
                <c:pt idx="45">
                  <c:v>2021Q2</c:v>
                </c:pt>
              </c:strCache>
            </c:strRef>
          </c:cat>
          <c:val>
            <c:numRef>
              <c:f>'graf2 (2)'!$B$16:$AU$16</c:f>
              <c:numCache>
                <c:formatCode>#\ ##0.0</c:formatCode>
                <c:ptCount val="46"/>
                <c:pt idx="0">
                  <c:v>18.2</c:v>
                </c:pt>
                <c:pt idx="1">
                  <c:v>18.2</c:v>
                </c:pt>
                <c:pt idx="2">
                  <c:v>17.7</c:v>
                </c:pt>
                <c:pt idx="3">
                  <c:v>17.2</c:v>
                </c:pt>
                <c:pt idx="4">
                  <c:v>17.2</c:v>
                </c:pt>
                <c:pt idx="5">
                  <c:v>15.6</c:v>
                </c:pt>
                <c:pt idx="6">
                  <c:v>15</c:v>
                </c:pt>
                <c:pt idx="7">
                  <c:v>13.9</c:v>
                </c:pt>
                <c:pt idx="8">
                  <c:v>14.6</c:v>
                </c:pt>
                <c:pt idx="9">
                  <c:v>13.3</c:v>
                </c:pt>
                <c:pt idx="10">
                  <c:v>12.5</c:v>
                </c:pt>
                <c:pt idx="11">
                  <c:v>13.2</c:v>
                </c:pt>
                <c:pt idx="12">
                  <c:v>13.1</c:v>
                </c:pt>
                <c:pt idx="13">
                  <c:v>11.7</c:v>
                </c:pt>
                <c:pt idx="14">
                  <c:v>10.9</c:v>
                </c:pt>
                <c:pt idx="15">
                  <c:v>11.4</c:v>
                </c:pt>
                <c:pt idx="16">
                  <c:v>12.4</c:v>
                </c:pt>
                <c:pt idx="17">
                  <c:v>11.2</c:v>
                </c:pt>
                <c:pt idx="18">
                  <c:v>9.1</c:v>
                </c:pt>
                <c:pt idx="19">
                  <c:v>10.1</c:v>
                </c:pt>
                <c:pt idx="20">
                  <c:v>10</c:v>
                </c:pt>
                <c:pt idx="21">
                  <c:v>9.4</c:v>
                </c:pt>
                <c:pt idx="22">
                  <c:v>8.3000000000000007</c:v>
                </c:pt>
                <c:pt idx="23">
                  <c:v>8.8000000000000007</c:v>
                </c:pt>
                <c:pt idx="24">
                  <c:v>8.4</c:v>
                </c:pt>
                <c:pt idx="25">
                  <c:v>8</c:v>
                </c:pt>
                <c:pt idx="26">
                  <c:v>7.5</c:v>
                </c:pt>
                <c:pt idx="27">
                  <c:v>7.7</c:v>
                </c:pt>
                <c:pt idx="28">
                  <c:v>8.1</c:v>
                </c:pt>
                <c:pt idx="29">
                  <c:v>7</c:v>
                </c:pt>
                <c:pt idx="30">
                  <c:v>6.6</c:v>
                </c:pt>
                <c:pt idx="31">
                  <c:v>6.7</c:v>
                </c:pt>
                <c:pt idx="32">
                  <c:v>7.2</c:v>
                </c:pt>
                <c:pt idx="33">
                  <c:v>5.9</c:v>
                </c:pt>
                <c:pt idx="34">
                  <c:v>5.6</c:v>
                </c:pt>
                <c:pt idx="35">
                  <c:v>6</c:v>
                </c:pt>
                <c:pt idx="36">
                  <c:v>6.5</c:v>
                </c:pt>
                <c:pt idx="37">
                  <c:v>6.2</c:v>
                </c:pt>
                <c:pt idx="38">
                  <c:v>6.1</c:v>
                </c:pt>
                <c:pt idx="39">
                  <c:v>6.4</c:v>
                </c:pt>
                <c:pt idx="40">
                  <c:v>7.2</c:v>
                </c:pt>
                <c:pt idx="41">
                  <c:v>8.6</c:v>
                </c:pt>
                <c:pt idx="42">
                  <c:v>9.3000000000000007</c:v>
                </c:pt>
                <c:pt idx="43">
                  <c:v>9.1</c:v>
                </c:pt>
                <c:pt idx="44">
                  <c:v>7.5</c:v>
                </c:pt>
                <c:pt idx="45">
                  <c:v>7.4</c:v>
                </c:pt>
              </c:numCache>
            </c:numRef>
          </c:val>
          <c:smooth val="0"/>
          <c:extLst>
            <c:ext xmlns:c16="http://schemas.microsoft.com/office/drawing/2014/chart" uri="{C3380CC4-5D6E-409C-BE32-E72D297353CC}">
              <c16:uniqueId val="{00000003-97B8-4A34-90E3-8FF393A5A767}"/>
            </c:ext>
          </c:extLst>
        </c:ser>
        <c:dLbls>
          <c:showLegendKey val="0"/>
          <c:showVal val="0"/>
          <c:showCatName val="0"/>
          <c:showSerName val="0"/>
          <c:showPercent val="0"/>
          <c:showBubbleSize val="0"/>
        </c:dLbls>
        <c:smooth val="0"/>
        <c:axId val="557917464"/>
        <c:axId val="1"/>
      </c:lineChart>
      <c:catAx>
        <c:axId val="557917464"/>
        <c:scaling>
          <c:orientation val="minMax"/>
        </c:scaling>
        <c:delete val="0"/>
        <c:axPos val="b"/>
        <c:majorGridlines>
          <c:spPr>
            <a:ln>
              <a:solidFill>
                <a:sysClr val="window" lastClr="FFFFFF">
                  <a:lumMod val="85000"/>
                </a:sysClr>
              </a:solidFill>
            </a:ln>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540000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Verdana" panose="020B0604030504040204" pitchFamily="34" charset="0"/>
                <a:cs typeface="Times New Roman" panose="02020603050405020304" pitchFamily="18" charset="0"/>
              </a:defRPr>
            </a:pPr>
            <a:endParaRPr lang="lv-LV"/>
          </a:p>
        </c:txPr>
        <c:crossAx val="1"/>
        <c:crosses val="autoZero"/>
        <c:auto val="1"/>
        <c:lblAlgn val="ctr"/>
        <c:lblOffset val="100"/>
        <c:tickLblSkip val="2"/>
        <c:tickMarkSkip val="4"/>
        <c:noMultiLvlLbl val="0"/>
      </c:catAx>
      <c:valAx>
        <c:axId val="1"/>
        <c:scaling>
          <c:orientation val="minMax"/>
          <c:max val="22"/>
          <c:min val="0"/>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ln w="6350">
            <a:noFill/>
          </a:ln>
        </c:spPr>
        <c:txPr>
          <a:bodyPr rot="-6000000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Verdana" panose="020B0604030504040204" pitchFamily="34" charset="0"/>
                <a:cs typeface="Times New Roman" panose="02020603050405020304" pitchFamily="18" charset="0"/>
              </a:defRPr>
            </a:pPr>
            <a:endParaRPr lang="lv-LV"/>
          </a:p>
        </c:txPr>
        <c:crossAx val="557917464"/>
        <c:crosses val="autoZero"/>
        <c:crossBetween val="between"/>
      </c:valAx>
      <c:spPr>
        <a:noFill/>
        <a:ln w="25400">
          <a:noFill/>
        </a:ln>
      </c:spPr>
    </c:plotArea>
    <c:legend>
      <c:legendPos val="b"/>
      <c:overlay val="0"/>
      <c:spPr>
        <a:noFill/>
        <a:ln w="25400">
          <a:noFill/>
        </a:ln>
      </c:spPr>
      <c:txPr>
        <a:bodyPr rot="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Verdana" panose="020B0604030504040204" pitchFamily="34" charset="0"/>
              <a:cs typeface="Times New Roman" panose="02020603050405020304" pitchFamily="18" charset="0"/>
            </a:defRPr>
          </a:pPr>
          <a:endParaRPr lang="lv-LV"/>
        </a:p>
      </c:txPr>
    </c:legend>
    <c:plotVisOnly val="1"/>
    <c:dispBlanksAs val="gap"/>
    <c:showDLblsOverMax val="0"/>
  </c:chart>
  <c:spPr>
    <a:solidFill>
      <a:schemeClr val="bg1"/>
    </a:solidFill>
    <a:ln w="9525" cap="flat" cmpd="sng" algn="ctr">
      <a:noFill/>
      <a:round/>
    </a:ln>
    <a:effectLst/>
  </c:spPr>
  <c:txPr>
    <a:bodyPr/>
    <a:lstStyle/>
    <a:p>
      <a:pPr>
        <a:defRPr/>
      </a:pPr>
      <a:endParaRPr lang="lv-LV"/>
    </a:p>
  </c:txPr>
  <c:externalData r:id="rId2">
    <c:autoUpdate val="0"/>
  </c:externalData>
</c:chartSpace>
</file>

<file path=word/charts/chart3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3104728391012285"/>
          <c:y val="4.4044044044044044E-2"/>
          <c:w val="0.80598410028989576"/>
          <c:h val="0.55144815348785625"/>
        </c:manualLayout>
      </c:layout>
      <c:barChart>
        <c:barDir val="col"/>
        <c:grouping val="stacked"/>
        <c:varyColors val="0"/>
        <c:ser>
          <c:idx val="1"/>
          <c:order val="0"/>
          <c:tx>
            <c:strRef>
              <c:f>'2020'!$D$1</c:f>
              <c:strCache>
                <c:ptCount val="1"/>
                <c:pt idx="0">
                  <c:v>Vidējā alga 2021.gada 2.ceturksnī, euro</c:v>
                </c:pt>
              </c:strCache>
            </c:strRef>
          </c:tx>
          <c:spPr>
            <a:solidFill>
              <a:srgbClr val="ED7D31"/>
            </a:solidFill>
            <a:ln>
              <a:solidFill>
                <a:srgbClr val="ED7D31"/>
              </a:solidFill>
            </a:ln>
            <a:effectLst/>
          </c:spPr>
          <c:invertIfNegative val="0"/>
          <c:cat>
            <c:strRef>
              <c:f>'2020'!$C$4:$C$23</c:f>
              <c:strCache>
                <c:ptCount val="20"/>
                <c:pt idx="0">
                  <c:v>Finanšu pakalpojumi</c:v>
                </c:pt>
                <c:pt idx="1">
                  <c:v>Informācijas, komunik. pak.</c:v>
                </c:pt>
                <c:pt idx="2">
                  <c:v>Enerģētika</c:v>
                </c:pt>
                <c:pt idx="3">
                  <c:v>Veselība, sociālā aprūpe</c:v>
                </c:pt>
                <c:pt idx="4">
                  <c:v>Valsts pārvalde</c:v>
                </c:pt>
                <c:pt idx="5">
                  <c:v>Prof. pakalpojumi</c:v>
                </c:pt>
                <c:pt idx="6">
                  <c:v>Ieguves rūpniecība</c:v>
                </c:pt>
                <c:pt idx="7">
                  <c:v>Pavisam</c:v>
                </c:pt>
                <c:pt idx="8">
                  <c:v>Ūdens apgāde</c:v>
                </c:pt>
                <c:pt idx="9">
                  <c:v>Apstrādes rūpniecība</c:v>
                </c:pt>
                <c:pt idx="10">
                  <c:v>Būvniecība</c:v>
                </c:pt>
                <c:pt idx="11">
                  <c:v>Transports</c:v>
                </c:pt>
                <c:pt idx="12">
                  <c:v>Lauksaimniecība</c:v>
                </c:pt>
                <c:pt idx="13">
                  <c:v>Tirdzniecība</c:v>
                </c:pt>
                <c:pt idx="14">
                  <c:v>Admin. pakalpojumi</c:v>
                </c:pt>
                <c:pt idx="15">
                  <c:v>Izglītība</c:v>
                </c:pt>
                <c:pt idx="16">
                  <c:v>Nekustamā īpašuma operācijas</c:v>
                </c:pt>
                <c:pt idx="17">
                  <c:v>Māksla, izklaide</c:v>
                </c:pt>
                <c:pt idx="18">
                  <c:v>Citi pakalpojumi</c:v>
                </c:pt>
                <c:pt idx="19">
                  <c:v>Izmitināšana,ēdināšana</c:v>
                </c:pt>
              </c:strCache>
            </c:strRef>
          </c:cat>
          <c:val>
            <c:numRef>
              <c:f>'2020'!$D$4:$D$23</c:f>
              <c:numCache>
                <c:formatCode>0</c:formatCode>
                <c:ptCount val="20"/>
                <c:pt idx="0">
                  <c:v>2558</c:v>
                </c:pt>
                <c:pt idx="1">
                  <c:v>1955</c:v>
                </c:pt>
                <c:pt idx="2">
                  <c:v>1644</c:v>
                </c:pt>
                <c:pt idx="3">
                  <c:v>1564</c:v>
                </c:pt>
                <c:pt idx="4">
                  <c:v>1444</c:v>
                </c:pt>
                <c:pt idx="5">
                  <c:v>1400</c:v>
                </c:pt>
                <c:pt idx="6">
                  <c:v>1319</c:v>
                </c:pt>
                <c:pt idx="7">
                  <c:v>1237</c:v>
                </c:pt>
                <c:pt idx="8">
                  <c:v>1196</c:v>
                </c:pt>
                <c:pt idx="9">
                  <c:v>1176</c:v>
                </c:pt>
                <c:pt idx="10">
                  <c:v>1172</c:v>
                </c:pt>
                <c:pt idx="11">
                  <c:v>1117</c:v>
                </c:pt>
                <c:pt idx="12">
                  <c:v>1114</c:v>
                </c:pt>
                <c:pt idx="13">
                  <c:v>1089</c:v>
                </c:pt>
                <c:pt idx="14">
                  <c:v>1059</c:v>
                </c:pt>
                <c:pt idx="15">
                  <c:v>1007</c:v>
                </c:pt>
                <c:pt idx="16">
                  <c:v>992</c:v>
                </c:pt>
                <c:pt idx="17">
                  <c:v>982</c:v>
                </c:pt>
                <c:pt idx="18">
                  <c:v>956</c:v>
                </c:pt>
                <c:pt idx="19">
                  <c:v>738</c:v>
                </c:pt>
              </c:numCache>
            </c:numRef>
          </c:val>
          <c:extLst>
            <c:ext xmlns:c16="http://schemas.microsoft.com/office/drawing/2014/chart" uri="{C3380CC4-5D6E-409C-BE32-E72D297353CC}">
              <c16:uniqueId val="{00000000-B054-4CA4-8C0E-AA86EABA8057}"/>
            </c:ext>
          </c:extLst>
        </c:ser>
        <c:dLbls>
          <c:showLegendKey val="0"/>
          <c:showVal val="0"/>
          <c:showCatName val="0"/>
          <c:showSerName val="0"/>
          <c:showPercent val="0"/>
          <c:showBubbleSize val="0"/>
        </c:dLbls>
        <c:gapWidth val="82"/>
        <c:overlap val="100"/>
        <c:axId val="395291424"/>
        <c:axId val="395291816"/>
      </c:barChart>
      <c:lineChart>
        <c:grouping val="stacked"/>
        <c:varyColors val="0"/>
        <c:ser>
          <c:idx val="2"/>
          <c:order val="1"/>
          <c:tx>
            <c:strRef>
              <c:f>'2020'!$E$1</c:f>
              <c:strCache>
                <c:ptCount val="1"/>
                <c:pt idx="0">
                  <c:v>Vidējās algas izmaiņas, gads pret gadu, %, labā ass</c:v>
                </c:pt>
              </c:strCache>
            </c:strRef>
          </c:tx>
          <c:spPr>
            <a:ln w="28575" cap="rnd">
              <a:noFill/>
              <a:round/>
            </a:ln>
            <a:effectLst/>
          </c:spPr>
          <c:marker>
            <c:symbol val="diamond"/>
            <c:size val="8"/>
            <c:spPr>
              <a:solidFill>
                <a:schemeClr val="tx1">
                  <a:lumMod val="85000"/>
                  <a:lumOff val="15000"/>
                </a:schemeClr>
              </a:solidFill>
              <a:ln w="9525">
                <a:solidFill>
                  <a:schemeClr val="tx1">
                    <a:lumMod val="85000"/>
                    <a:lumOff val="15000"/>
                  </a:schemeClr>
                </a:solidFill>
              </a:ln>
              <a:effectLst/>
            </c:spPr>
          </c:marker>
          <c:cat>
            <c:strRef>
              <c:f>'2020'!$C$4:$C$23</c:f>
              <c:strCache>
                <c:ptCount val="20"/>
                <c:pt idx="0">
                  <c:v>Finanšu pakalpojumi</c:v>
                </c:pt>
                <c:pt idx="1">
                  <c:v>Informācijas, komunik. pak.</c:v>
                </c:pt>
                <c:pt idx="2">
                  <c:v>Enerģētika</c:v>
                </c:pt>
                <c:pt idx="3">
                  <c:v>Veselība, sociālā aprūpe</c:v>
                </c:pt>
                <c:pt idx="4">
                  <c:v>Valsts pārvalde</c:v>
                </c:pt>
                <c:pt idx="5">
                  <c:v>Prof. pakalpojumi</c:v>
                </c:pt>
                <c:pt idx="6">
                  <c:v>Ieguves rūpniecība</c:v>
                </c:pt>
                <c:pt idx="7">
                  <c:v>Pavisam</c:v>
                </c:pt>
                <c:pt idx="8">
                  <c:v>Ūdens apgāde</c:v>
                </c:pt>
                <c:pt idx="9">
                  <c:v>Apstrādes rūpniecība</c:v>
                </c:pt>
                <c:pt idx="10">
                  <c:v>Būvniecība</c:v>
                </c:pt>
                <c:pt idx="11">
                  <c:v>Transports</c:v>
                </c:pt>
                <c:pt idx="12">
                  <c:v>Lauksaimniecība</c:v>
                </c:pt>
                <c:pt idx="13">
                  <c:v>Tirdzniecība</c:v>
                </c:pt>
                <c:pt idx="14">
                  <c:v>Admin. pakalpojumi</c:v>
                </c:pt>
                <c:pt idx="15">
                  <c:v>Izglītība</c:v>
                </c:pt>
                <c:pt idx="16">
                  <c:v>Nekustamā īpašuma operācijas</c:v>
                </c:pt>
                <c:pt idx="17">
                  <c:v>Māksla, izklaide</c:v>
                </c:pt>
                <c:pt idx="18">
                  <c:v>Citi pakalpojumi</c:v>
                </c:pt>
                <c:pt idx="19">
                  <c:v>Izmitināšana,ēdināšana</c:v>
                </c:pt>
              </c:strCache>
            </c:strRef>
          </c:cat>
          <c:val>
            <c:numRef>
              <c:f>'2020'!$E$4:$E$23</c:f>
              <c:numCache>
                <c:formatCode>0.0</c:formatCode>
                <c:ptCount val="20"/>
                <c:pt idx="0">
                  <c:v>4.4000000000000004</c:v>
                </c:pt>
                <c:pt idx="1">
                  <c:v>7.3</c:v>
                </c:pt>
                <c:pt idx="2">
                  <c:v>9.6999999999999993</c:v>
                </c:pt>
                <c:pt idx="3">
                  <c:v>35.1</c:v>
                </c:pt>
                <c:pt idx="4">
                  <c:v>6.5</c:v>
                </c:pt>
                <c:pt idx="5">
                  <c:v>3.1</c:v>
                </c:pt>
                <c:pt idx="6">
                  <c:v>6.8</c:v>
                </c:pt>
                <c:pt idx="7">
                  <c:v>10.199999999999999</c:v>
                </c:pt>
                <c:pt idx="8">
                  <c:v>5.8</c:v>
                </c:pt>
                <c:pt idx="9">
                  <c:v>8.5</c:v>
                </c:pt>
                <c:pt idx="10">
                  <c:v>7.9</c:v>
                </c:pt>
                <c:pt idx="11">
                  <c:v>7.5</c:v>
                </c:pt>
                <c:pt idx="12">
                  <c:v>5.5</c:v>
                </c:pt>
                <c:pt idx="13">
                  <c:v>11.7</c:v>
                </c:pt>
                <c:pt idx="14">
                  <c:v>4.8</c:v>
                </c:pt>
                <c:pt idx="15">
                  <c:v>12.4</c:v>
                </c:pt>
                <c:pt idx="16">
                  <c:v>5.5</c:v>
                </c:pt>
                <c:pt idx="17">
                  <c:v>9.6</c:v>
                </c:pt>
                <c:pt idx="18">
                  <c:v>2.9</c:v>
                </c:pt>
                <c:pt idx="19">
                  <c:v>7.3</c:v>
                </c:pt>
              </c:numCache>
            </c:numRef>
          </c:val>
          <c:smooth val="0"/>
          <c:extLst>
            <c:ext xmlns:c16="http://schemas.microsoft.com/office/drawing/2014/chart" uri="{C3380CC4-5D6E-409C-BE32-E72D297353CC}">
              <c16:uniqueId val="{00000001-B054-4CA4-8C0E-AA86EABA8057}"/>
            </c:ext>
          </c:extLst>
        </c:ser>
        <c:dLbls>
          <c:showLegendKey val="0"/>
          <c:showVal val="0"/>
          <c:showCatName val="0"/>
          <c:showSerName val="0"/>
          <c:showPercent val="0"/>
          <c:showBubbleSize val="0"/>
        </c:dLbls>
        <c:marker val="1"/>
        <c:smooth val="0"/>
        <c:axId val="407967296"/>
        <c:axId val="407966904"/>
      </c:lineChart>
      <c:catAx>
        <c:axId val="395291424"/>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5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lv-LV"/>
          </a:p>
        </c:txPr>
        <c:crossAx val="395291816"/>
        <c:crosses val="autoZero"/>
        <c:auto val="1"/>
        <c:lblAlgn val="ctr"/>
        <c:lblOffset val="100"/>
        <c:noMultiLvlLbl val="0"/>
      </c:catAx>
      <c:valAx>
        <c:axId val="395291816"/>
        <c:scaling>
          <c:orientation val="minMax"/>
          <c:max val="2600"/>
          <c:min val="0"/>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lv-LV"/>
          </a:p>
        </c:txPr>
        <c:crossAx val="395291424"/>
        <c:crosses val="autoZero"/>
        <c:crossBetween val="between"/>
        <c:majorUnit val="800"/>
        <c:minorUnit val="400"/>
      </c:valAx>
      <c:valAx>
        <c:axId val="407966904"/>
        <c:scaling>
          <c:orientation val="minMax"/>
          <c:max val="36"/>
          <c:min val="0"/>
        </c:scaling>
        <c:delete val="0"/>
        <c:axPos val="r"/>
        <c:numFmt formatCode="0" sourceLinked="0"/>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lv-LV"/>
          </a:p>
        </c:txPr>
        <c:crossAx val="407967296"/>
        <c:crosses val="max"/>
        <c:crossBetween val="between"/>
        <c:majorUnit val="5"/>
      </c:valAx>
      <c:catAx>
        <c:axId val="407967296"/>
        <c:scaling>
          <c:orientation val="minMax"/>
        </c:scaling>
        <c:delete val="1"/>
        <c:axPos val="b"/>
        <c:numFmt formatCode="General" sourceLinked="1"/>
        <c:majorTickMark val="out"/>
        <c:minorTickMark val="none"/>
        <c:tickLblPos val="nextTo"/>
        <c:crossAx val="407966904"/>
        <c:crosses val="autoZero"/>
        <c:auto val="1"/>
        <c:lblAlgn val="ctr"/>
        <c:lblOffset val="100"/>
        <c:noMultiLvlLbl val="0"/>
      </c:catAx>
      <c:spPr>
        <a:noFill/>
        <a:ln>
          <a:noFill/>
        </a:ln>
        <a:effectLst/>
      </c:spPr>
    </c:plotArea>
    <c:legend>
      <c:legendPos val="b"/>
      <c:legendEntry>
        <c:idx val="0"/>
        <c:txPr>
          <a:bodyPr rot="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lv-LV"/>
          </a:p>
        </c:txPr>
      </c:legendEntry>
      <c:legendEntry>
        <c:idx val="1"/>
        <c:txPr>
          <a:bodyPr rot="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lv-LV"/>
          </a:p>
        </c:txPr>
      </c:legendEntry>
      <c:layout>
        <c:manualLayout>
          <c:xMode val="edge"/>
          <c:yMode val="edge"/>
          <c:x val="1.3250074417317147E-2"/>
          <c:y val="0.93582931987870444"/>
          <c:w val="0.98400549076561672"/>
          <c:h val="6.0816260224753456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lv-LV"/>
        </a:p>
      </c:txPr>
    </c:legend>
    <c:plotVisOnly val="1"/>
    <c:dispBlanksAs val="gap"/>
    <c:showDLblsOverMax val="0"/>
  </c:chart>
  <c:spPr>
    <a:solidFill>
      <a:schemeClr val="bg1"/>
    </a:solidFill>
    <a:ln w="9525" cap="flat" cmpd="sng" algn="ctr">
      <a:noFill/>
      <a:round/>
    </a:ln>
    <a:effectLst/>
  </c:spPr>
  <c:txPr>
    <a:bodyPr/>
    <a:lstStyle/>
    <a:p>
      <a:pPr>
        <a:defRPr>
          <a:latin typeface="Times New Roman" panose="02020603050405020304" pitchFamily="18" charset="0"/>
          <a:cs typeface="Times New Roman" panose="02020603050405020304" pitchFamily="18" charset="0"/>
        </a:defRPr>
      </a:pPr>
      <a:endParaRPr lang="lv-LV"/>
    </a:p>
  </c:txPr>
  <c:externalData r:id="rId4">
    <c:autoUpdate val="0"/>
  </c:externalData>
</c:chartSpace>
</file>

<file path=word/charts/chart3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1640507436570428"/>
          <c:y val="5.0925925925925923E-2"/>
          <c:w val="0.8613727034120735"/>
          <c:h val="0.72295654465785919"/>
        </c:manualLayout>
      </c:layout>
      <c:barChart>
        <c:barDir val="col"/>
        <c:grouping val="stacked"/>
        <c:varyColors val="0"/>
        <c:ser>
          <c:idx val="0"/>
          <c:order val="0"/>
          <c:tx>
            <c:strRef>
              <c:f>Sheet1!$G$6</c:f>
              <c:strCache>
                <c:ptCount val="1"/>
                <c:pt idx="0">
                  <c:v>Sociālais atbalsts</c:v>
                </c:pt>
              </c:strCache>
            </c:strRef>
          </c:tx>
          <c:spPr>
            <a:solidFill>
              <a:schemeClr val="accent1"/>
            </a:solidFill>
            <a:ln>
              <a:noFill/>
            </a:ln>
            <a:effectLst/>
          </c:spPr>
          <c:invertIfNegative val="0"/>
          <c:cat>
            <c:strRef>
              <c:f>Sheet1!$H$5:$O$5</c:f>
              <c:strCache>
                <c:ptCount val="8"/>
                <c:pt idx="0">
                  <c:v>2014.</c:v>
                </c:pt>
                <c:pt idx="1">
                  <c:v>2015.</c:v>
                </c:pt>
                <c:pt idx="2">
                  <c:v>2016.</c:v>
                </c:pt>
                <c:pt idx="3">
                  <c:v>2017.</c:v>
                </c:pt>
                <c:pt idx="4">
                  <c:v>2018.</c:v>
                </c:pt>
                <c:pt idx="5">
                  <c:v>2019.</c:v>
                </c:pt>
                <c:pt idx="6">
                  <c:v>2020.</c:v>
                </c:pt>
                <c:pt idx="7">
                  <c:v>2021.</c:v>
                </c:pt>
              </c:strCache>
            </c:strRef>
          </c:cat>
          <c:val>
            <c:numRef>
              <c:f>Sheet1!$H$6:$O$6</c:f>
              <c:numCache>
                <c:formatCode>#\ ##0.0</c:formatCode>
                <c:ptCount val="8"/>
                <c:pt idx="0">
                  <c:v>1182.2559640600002</c:v>
                </c:pt>
                <c:pt idx="1">
                  <c:v>1277.6811147999999</c:v>
                </c:pt>
                <c:pt idx="2">
                  <c:v>1355.3041962</c:v>
                </c:pt>
                <c:pt idx="3">
                  <c:v>1424.43649301</c:v>
                </c:pt>
                <c:pt idx="4">
                  <c:v>1495.0470542099997</c:v>
                </c:pt>
                <c:pt idx="5">
                  <c:v>1569.16271824</c:v>
                </c:pt>
                <c:pt idx="6">
                  <c:v>1806.8640301900004</c:v>
                </c:pt>
                <c:pt idx="7">
                  <c:v>2773.5150531399995</c:v>
                </c:pt>
              </c:numCache>
            </c:numRef>
          </c:val>
          <c:extLst>
            <c:ext xmlns:c16="http://schemas.microsoft.com/office/drawing/2014/chart" uri="{C3380CC4-5D6E-409C-BE32-E72D297353CC}">
              <c16:uniqueId val="{00000000-967F-4C32-B0A9-CAC24D844C41}"/>
            </c:ext>
          </c:extLst>
        </c:ser>
        <c:ser>
          <c:idx val="1"/>
          <c:order val="1"/>
          <c:tx>
            <c:strRef>
              <c:f>Sheet1!$G$9</c:f>
              <c:strCache>
                <c:ptCount val="1"/>
                <c:pt idx="0">
                  <c:v>Algu fonds</c:v>
                </c:pt>
              </c:strCache>
            </c:strRef>
          </c:tx>
          <c:spPr>
            <a:solidFill>
              <a:schemeClr val="accent2"/>
            </a:solidFill>
            <a:ln>
              <a:noFill/>
            </a:ln>
            <a:effectLst/>
          </c:spPr>
          <c:invertIfNegative val="0"/>
          <c:val>
            <c:numRef>
              <c:f>Sheet1!$H$9:$O$9</c:f>
              <c:numCache>
                <c:formatCode>0.0</c:formatCode>
                <c:ptCount val="8"/>
                <c:pt idx="0">
                  <c:v>4065.1080000000002</c:v>
                </c:pt>
                <c:pt idx="1">
                  <c:v>4377.1909999999998</c:v>
                </c:pt>
                <c:pt idx="2">
                  <c:v>4668.8500000000004</c:v>
                </c:pt>
                <c:pt idx="3">
                  <c:v>5045.8040000000001</c:v>
                </c:pt>
                <c:pt idx="4">
                  <c:v>5529.8389999999999</c:v>
                </c:pt>
                <c:pt idx="5">
                  <c:v>6023.7160000000003</c:v>
                </c:pt>
                <c:pt idx="6">
                  <c:v>6122.9690000000001</c:v>
                </c:pt>
                <c:pt idx="7">
                  <c:v>6557.433</c:v>
                </c:pt>
              </c:numCache>
            </c:numRef>
          </c:val>
          <c:extLst>
            <c:ext xmlns:c16="http://schemas.microsoft.com/office/drawing/2014/chart" uri="{C3380CC4-5D6E-409C-BE32-E72D297353CC}">
              <c16:uniqueId val="{00000001-967F-4C32-B0A9-CAC24D844C41}"/>
            </c:ext>
          </c:extLst>
        </c:ser>
        <c:dLbls>
          <c:showLegendKey val="0"/>
          <c:showVal val="0"/>
          <c:showCatName val="0"/>
          <c:showSerName val="0"/>
          <c:showPercent val="0"/>
          <c:showBubbleSize val="0"/>
        </c:dLbls>
        <c:gapWidth val="137"/>
        <c:overlap val="100"/>
        <c:axId val="970416304"/>
        <c:axId val="970431720"/>
      </c:barChart>
      <c:catAx>
        <c:axId val="970416304"/>
        <c:scaling>
          <c:orientation val="minMax"/>
        </c:scaling>
        <c:delete val="0"/>
        <c:axPos val="b"/>
        <c:numFmt formatCode="#,##0" sourceLinked="0"/>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v-LV"/>
          </a:p>
        </c:txPr>
        <c:crossAx val="970431720"/>
        <c:crosses val="autoZero"/>
        <c:auto val="1"/>
        <c:lblAlgn val="ctr"/>
        <c:lblOffset val="100"/>
        <c:noMultiLvlLbl val="0"/>
      </c:catAx>
      <c:valAx>
        <c:axId val="970431720"/>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v-LV"/>
          </a:p>
        </c:txPr>
        <c:crossAx val="970416304"/>
        <c:crosses val="autoZero"/>
        <c:crossBetween val="between"/>
      </c:valAx>
      <c:spPr>
        <a:noFill/>
        <a:ln>
          <a:noFill/>
        </a:ln>
        <a:effectLst/>
      </c:spPr>
    </c:plotArea>
    <c:legend>
      <c:legendPos val="b"/>
      <c:layout>
        <c:manualLayout>
          <c:xMode val="edge"/>
          <c:yMode val="edge"/>
          <c:x val="0.33425448345909586"/>
          <c:y val="0.88723637578775449"/>
          <c:w val="0.32252543855082105"/>
          <c:h val="9.4831765276202393E-2"/>
        </c:manualLayout>
      </c:layout>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v-LV"/>
        </a:p>
      </c:txPr>
    </c:legend>
    <c:plotVisOnly val="1"/>
    <c:dispBlanksAs val="gap"/>
    <c:showDLblsOverMax val="0"/>
  </c:chart>
  <c:spPr>
    <a:solidFill>
      <a:schemeClr val="bg1"/>
    </a:solidFill>
    <a:ln w="9525" cap="flat" cmpd="sng" algn="ctr">
      <a:noFill/>
      <a:round/>
    </a:ln>
    <a:effectLst/>
  </c:spPr>
  <c:txPr>
    <a:bodyPr/>
    <a:lstStyle/>
    <a:p>
      <a:pPr>
        <a:defRPr>
          <a:solidFill>
            <a:sysClr val="windowText" lastClr="000000"/>
          </a:solidFill>
          <a:latin typeface="Times New Roman" panose="02020603050405020304" pitchFamily="18" charset="0"/>
          <a:cs typeface="Times New Roman" panose="02020603050405020304" pitchFamily="18" charset="0"/>
        </a:defRPr>
      </a:pPr>
      <a:endParaRPr lang="lv-LV"/>
    </a:p>
  </c:txPr>
  <c:externalData r:id="rId3">
    <c:autoUpdate val="0"/>
  </c:externalData>
</c:chartSpace>
</file>

<file path=word/charts/chart3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1644761876884349"/>
          <c:y val="5.4295253363650438E-2"/>
          <c:w val="0.81468840558498956"/>
          <c:h val="0.84982156548293386"/>
        </c:manualLayout>
      </c:layout>
      <c:lineChart>
        <c:grouping val="standard"/>
        <c:varyColors val="0"/>
        <c:ser>
          <c:idx val="1"/>
          <c:order val="0"/>
          <c:tx>
            <c:strRef>
              <c:f>'noguldījumi graf'!$C$4</c:f>
              <c:strCache>
                <c:ptCount val="1"/>
                <c:pt idx="0">
                  <c:v>milj. euro</c:v>
                </c:pt>
              </c:strCache>
            </c:strRef>
          </c:tx>
          <c:spPr>
            <a:ln w="28575" cap="rnd">
              <a:solidFill>
                <a:srgbClr val="1F497D">
                  <a:lumMod val="50000"/>
                </a:srgbClr>
              </a:solidFill>
              <a:round/>
            </a:ln>
            <a:effectLst/>
          </c:spPr>
          <c:marker>
            <c:symbol val="none"/>
          </c:marker>
          <c:cat>
            <c:strRef>
              <c:f>'noguldījumi graf'!$Q$2:$CE$2</c:f>
              <c:strCache>
                <c:ptCount val="67"/>
                <c:pt idx="0">
                  <c:v>2016</c:v>
                </c:pt>
                <c:pt idx="1">
                  <c:v>II</c:v>
                </c:pt>
                <c:pt idx="2">
                  <c:v>III</c:v>
                </c:pt>
                <c:pt idx="3">
                  <c:v>IV</c:v>
                </c:pt>
                <c:pt idx="4">
                  <c:v>V</c:v>
                </c:pt>
                <c:pt idx="5">
                  <c:v>VI</c:v>
                </c:pt>
                <c:pt idx="6">
                  <c:v>VII</c:v>
                </c:pt>
                <c:pt idx="7">
                  <c:v>VIII</c:v>
                </c:pt>
                <c:pt idx="8">
                  <c:v>IX</c:v>
                </c:pt>
                <c:pt idx="9">
                  <c:v>X</c:v>
                </c:pt>
                <c:pt idx="10">
                  <c:v>XI</c:v>
                </c:pt>
                <c:pt idx="11">
                  <c:v>XII</c:v>
                </c:pt>
                <c:pt idx="12">
                  <c:v>2017</c:v>
                </c:pt>
                <c:pt idx="13">
                  <c:v>II</c:v>
                </c:pt>
                <c:pt idx="14">
                  <c:v>III</c:v>
                </c:pt>
                <c:pt idx="15">
                  <c:v>IV</c:v>
                </c:pt>
                <c:pt idx="16">
                  <c:v>V</c:v>
                </c:pt>
                <c:pt idx="17">
                  <c:v>VI</c:v>
                </c:pt>
                <c:pt idx="18">
                  <c:v>VII</c:v>
                </c:pt>
                <c:pt idx="19">
                  <c:v>VIII</c:v>
                </c:pt>
                <c:pt idx="20">
                  <c:v>IX</c:v>
                </c:pt>
                <c:pt idx="21">
                  <c:v>X</c:v>
                </c:pt>
                <c:pt idx="22">
                  <c:v>XI</c:v>
                </c:pt>
                <c:pt idx="23">
                  <c:v>XII</c:v>
                </c:pt>
                <c:pt idx="24">
                  <c:v>2018</c:v>
                </c:pt>
                <c:pt idx="25">
                  <c:v>II</c:v>
                </c:pt>
                <c:pt idx="26">
                  <c:v>III</c:v>
                </c:pt>
                <c:pt idx="27">
                  <c:v>IV</c:v>
                </c:pt>
                <c:pt idx="28">
                  <c:v>V</c:v>
                </c:pt>
                <c:pt idx="29">
                  <c:v>VI</c:v>
                </c:pt>
                <c:pt idx="30">
                  <c:v>VII</c:v>
                </c:pt>
                <c:pt idx="31">
                  <c:v>VIII</c:v>
                </c:pt>
                <c:pt idx="32">
                  <c:v>IX</c:v>
                </c:pt>
                <c:pt idx="33">
                  <c:v>X</c:v>
                </c:pt>
                <c:pt idx="34">
                  <c:v>XI</c:v>
                </c:pt>
                <c:pt idx="35">
                  <c:v>XII</c:v>
                </c:pt>
                <c:pt idx="36">
                  <c:v>2019</c:v>
                </c:pt>
                <c:pt idx="37">
                  <c:v>II</c:v>
                </c:pt>
                <c:pt idx="38">
                  <c:v>III</c:v>
                </c:pt>
                <c:pt idx="39">
                  <c:v>IV</c:v>
                </c:pt>
                <c:pt idx="40">
                  <c:v>V</c:v>
                </c:pt>
                <c:pt idx="41">
                  <c:v>VI</c:v>
                </c:pt>
                <c:pt idx="42">
                  <c:v>VII</c:v>
                </c:pt>
                <c:pt idx="43">
                  <c:v>VIII</c:v>
                </c:pt>
                <c:pt idx="44">
                  <c:v>IX</c:v>
                </c:pt>
                <c:pt idx="45">
                  <c:v>X</c:v>
                </c:pt>
                <c:pt idx="46">
                  <c:v>XI</c:v>
                </c:pt>
                <c:pt idx="47">
                  <c:v>XII</c:v>
                </c:pt>
                <c:pt idx="48">
                  <c:v>2020</c:v>
                </c:pt>
                <c:pt idx="49">
                  <c:v>II</c:v>
                </c:pt>
                <c:pt idx="50">
                  <c:v>III</c:v>
                </c:pt>
                <c:pt idx="51">
                  <c:v>IV</c:v>
                </c:pt>
                <c:pt idx="52">
                  <c:v>V</c:v>
                </c:pt>
                <c:pt idx="53">
                  <c:v>VI</c:v>
                </c:pt>
                <c:pt idx="54">
                  <c:v>VII</c:v>
                </c:pt>
                <c:pt idx="55">
                  <c:v>VIII</c:v>
                </c:pt>
                <c:pt idx="56">
                  <c:v>IX</c:v>
                </c:pt>
                <c:pt idx="57">
                  <c:v>X</c:v>
                </c:pt>
                <c:pt idx="58">
                  <c:v>XI</c:v>
                </c:pt>
                <c:pt idx="59">
                  <c:v>XII</c:v>
                </c:pt>
                <c:pt idx="60">
                  <c:v>2021</c:v>
                </c:pt>
                <c:pt idx="61">
                  <c:v>II</c:v>
                </c:pt>
                <c:pt idx="62">
                  <c:v>III</c:v>
                </c:pt>
                <c:pt idx="63">
                  <c:v>IV</c:v>
                </c:pt>
                <c:pt idx="64">
                  <c:v>V</c:v>
                </c:pt>
                <c:pt idx="65">
                  <c:v>VI</c:v>
                </c:pt>
                <c:pt idx="66">
                  <c:v>VII</c:v>
                </c:pt>
              </c:strCache>
            </c:strRef>
          </c:cat>
          <c:val>
            <c:numRef>
              <c:f>'noguldījumi graf'!$Q$4:$CE$4</c:f>
              <c:numCache>
                <c:formatCode>0.00</c:formatCode>
                <c:ptCount val="67"/>
                <c:pt idx="0">
                  <c:v>5371.6</c:v>
                </c:pt>
                <c:pt idx="1">
                  <c:v>5414.6</c:v>
                </c:pt>
                <c:pt idx="2">
                  <c:v>5399.9</c:v>
                </c:pt>
                <c:pt idx="3">
                  <c:v>5467.5</c:v>
                </c:pt>
                <c:pt idx="4">
                  <c:v>5490.4</c:v>
                </c:pt>
                <c:pt idx="5">
                  <c:v>5587</c:v>
                </c:pt>
                <c:pt idx="6">
                  <c:v>5597.9</c:v>
                </c:pt>
                <c:pt idx="7">
                  <c:v>5580</c:v>
                </c:pt>
                <c:pt idx="8">
                  <c:v>5580.2</c:v>
                </c:pt>
                <c:pt idx="9">
                  <c:v>5622.5</c:v>
                </c:pt>
                <c:pt idx="10">
                  <c:v>5706.8</c:v>
                </c:pt>
                <c:pt idx="11">
                  <c:v>5877.9</c:v>
                </c:pt>
                <c:pt idx="12">
                  <c:v>5839.8</c:v>
                </c:pt>
                <c:pt idx="13">
                  <c:v>5876.7</c:v>
                </c:pt>
                <c:pt idx="14">
                  <c:v>5885.6</c:v>
                </c:pt>
                <c:pt idx="15">
                  <c:v>5947.7</c:v>
                </c:pt>
                <c:pt idx="16">
                  <c:v>5921.5</c:v>
                </c:pt>
                <c:pt idx="17">
                  <c:v>6007.5</c:v>
                </c:pt>
                <c:pt idx="18">
                  <c:v>5985</c:v>
                </c:pt>
                <c:pt idx="19">
                  <c:v>5961.6</c:v>
                </c:pt>
                <c:pt idx="20">
                  <c:v>6053.1</c:v>
                </c:pt>
                <c:pt idx="21">
                  <c:v>6098.9</c:v>
                </c:pt>
                <c:pt idx="22">
                  <c:v>6160.8</c:v>
                </c:pt>
                <c:pt idx="23">
                  <c:v>6357.2</c:v>
                </c:pt>
                <c:pt idx="24">
                  <c:v>6306.6</c:v>
                </c:pt>
                <c:pt idx="25">
                  <c:v>6311.9</c:v>
                </c:pt>
                <c:pt idx="26">
                  <c:v>6339.8</c:v>
                </c:pt>
                <c:pt idx="27">
                  <c:v>6402</c:v>
                </c:pt>
                <c:pt idx="28">
                  <c:v>6399.7</c:v>
                </c:pt>
                <c:pt idx="29">
                  <c:v>6522.8</c:v>
                </c:pt>
                <c:pt idx="30">
                  <c:v>6533.6</c:v>
                </c:pt>
                <c:pt idx="31">
                  <c:v>6544.3</c:v>
                </c:pt>
                <c:pt idx="32">
                  <c:v>6581.7</c:v>
                </c:pt>
                <c:pt idx="33">
                  <c:v>6659.6</c:v>
                </c:pt>
                <c:pt idx="34">
                  <c:v>6731.9</c:v>
                </c:pt>
                <c:pt idx="35">
                  <c:v>6925.7</c:v>
                </c:pt>
                <c:pt idx="36">
                  <c:v>6900.8</c:v>
                </c:pt>
                <c:pt idx="37">
                  <c:v>6950.8</c:v>
                </c:pt>
                <c:pt idx="38">
                  <c:v>6959.3</c:v>
                </c:pt>
                <c:pt idx="39">
                  <c:v>6975.9</c:v>
                </c:pt>
                <c:pt idx="40">
                  <c:v>7022.2</c:v>
                </c:pt>
                <c:pt idx="41">
                  <c:v>7089.1</c:v>
                </c:pt>
                <c:pt idx="42">
                  <c:v>7093.3</c:v>
                </c:pt>
                <c:pt idx="43">
                  <c:v>7232.5</c:v>
                </c:pt>
                <c:pt idx="44">
                  <c:v>7090.9</c:v>
                </c:pt>
                <c:pt idx="45">
                  <c:v>7158.3</c:v>
                </c:pt>
                <c:pt idx="46">
                  <c:v>7233.5</c:v>
                </c:pt>
                <c:pt idx="47">
                  <c:v>7442.3</c:v>
                </c:pt>
                <c:pt idx="48">
                  <c:v>7415</c:v>
                </c:pt>
                <c:pt idx="49">
                  <c:v>7463.9</c:v>
                </c:pt>
                <c:pt idx="50">
                  <c:v>7534.1</c:v>
                </c:pt>
                <c:pt idx="51">
                  <c:v>7718.1</c:v>
                </c:pt>
                <c:pt idx="52">
                  <c:v>7739.4</c:v>
                </c:pt>
                <c:pt idx="53">
                  <c:v>7799.4</c:v>
                </c:pt>
                <c:pt idx="54">
                  <c:v>7805.3</c:v>
                </c:pt>
                <c:pt idx="55">
                  <c:v>7842.4</c:v>
                </c:pt>
                <c:pt idx="56">
                  <c:v>7921.3</c:v>
                </c:pt>
                <c:pt idx="57">
                  <c:v>8028.7</c:v>
                </c:pt>
                <c:pt idx="58">
                  <c:v>8117.3</c:v>
                </c:pt>
                <c:pt idx="59">
                  <c:v>8395.2999999999993</c:v>
                </c:pt>
                <c:pt idx="60">
                  <c:v>8452.2999999999993</c:v>
                </c:pt>
                <c:pt idx="61">
                  <c:v>8573.5</c:v>
                </c:pt>
                <c:pt idx="62">
                  <c:v>8845.2999999999993</c:v>
                </c:pt>
                <c:pt idx="63">
                  <c:v>8998.7999999999993</c:v>
                </c:pt>
                <c:pt idx="64">
                  <c:v>9019.7999999999993</c:v>
                </c:pt>
                <c:pt idx="65">
                  <c:v>9161.5</c:v>
                </c:pt>
                <c:pt idx="66">
                  <c:v>9184.9</c:v>
                </c:pt>
              </c:numCache>
            </c:numRef>
          </c:val>
          <c:smooth val="0"/>
          <c:extLst>
            <c:ext xmlns:c16="http://schemas.microsoft.com/office/drawing/2014/chart" uri="{C3380CC4-5D6E-409C-BE32-E72D297353CC}">
              <c16:uniqueId val="{00000000-8732-44BA-ADFA-718E68AF2738}"/>
            </c:ext>
          </c:extLst>
        </c:ser>
        <c:dLbls>
          <c:showLegendKey val="0"/>
          <c:showVal val="0"/>
          <c:showCatName val="0"/>
          <c:showSerName val="0"/>
          <c:showPercent val="0"/>
          <c:showBubbleSize val="0"/>
        </c:dLbls>
        <c:marker val="1"/>
        <c:smooth val="0"/>
        <c:axId val="546921120"/>
        <c:axId val="546915872"/>
      </c:lineChart>
      <c:lineChart>
        <c:grouping val="standard"/>
        <c:varyColors val="0"/>
        <c:ser>
          <c:idx val="3"/>
          <c:order val="1"/>
          <c:tx>
            <c:strRef>
              <c:f>'noguldījumi graf'!$C$6</c:f>
              <c:strCache>
                <c:ptCount val="1"/>
                <c:pt idx="0">
                  <c:v>izmaiņas pret iepriekšējā gada attiecīgo mēnesi, % (labā ass)</c:v>
                </c:pt>
              </c:strCache>
            </c:strRef>
          </c:tx>
          <c:spPr>
            <a:ln w="28575" cap="rnd">
              <a:solidFill>
                <a:srgbClr val="C00000"/>
              </a:solidFill>
              <a:prstDash val="sysDash"/>
              <a:round/>
            </a:ln>
            <a:effectLst/>
          </c:spPr>
          <c:marker>
            <c:symbol val="none"/>
          </c:marker>
          <c:cat>
            <c:strRef>
              <c:f>'noguldījumi graf'!$Q$2:$CE$2</c:f>
              <c:strCache>
                <c:ptCount val="67"/>
                <c:pt idx="0">
                  <c:v>2016</c:v>
                </c:pt>
                <c:pt idx="1">
                  <c:v>II</c:v>
                </c:pt>
                <c:pt idx="2">
                  <c:v>III</c:v>
                </c:pt>
                <c:pt idx="3">
                  <c:v>IV</c:v>
                </c:pt>
                <c:pt idx="4">
                  <c:v>V</c:v>
                </c:pt>
                <c:pt idx="5">
                  <c:v>VI</c:v>
                </c:pt>
                <c:pt idx="6">
                  <c:v>VII</c:v>
                </c:pt>
                <c:pt idx="7">
                  <c:v>VIII</c:v>
                </c:pt>
                <c:pt idx="8">
                  <c:v>IX</c:v>
                </c:pt>
                <c:pt idx="9">
                  <c:v>X</c:v>
                </c:pt>
                <c:pt idx="10">
                  <c:v>XI</c:v>
                </c:pt>
                <c:pt idx="11">
                  <c:v>XII</c:v>
                </c:pt>
                <c:pt idx="12">
                  <c:v>2017</c:v>
                </c:pt>
                <c:pt idx="13">
                  <c:v>II</c:v>
                </c:pt>
                <c:pt idx="14">
                  <c:v>III</c:v>
                </c:pt>
                <c:pt idx="15">
                  <c:v>IV</c:v>
                </c:pt>
                <c:pt idx="16">
                  <c:v>V</c:v>
                </c:pt>
                <c:pt idx="17">
                  <c:v>VI</c:v>
                </c:pt>
                <c:pt idx="18">
                  <c:v>VII</c:v>
                </c:pt>
                <c:pt idx="19">
                  <c:v>VIII</c:v>
                </c:pt>
                <c:pt idx="20">
                  <c:v>IX</c:v>
                </c:pt>
                <c:pt idx="21">
                  <c:v>X</c:v>
                </c:pt>
                <c:pt idx="22">
                  <c:v>XI</c:v>
                </c:pt>
                <c:pt idx="23">
                  <c:v>XII</c:v>
                </c:pt>
                <c:pt idx="24">
                  <c:v>2018</c:v>
                </c:pt>
                <c:pt idx="25">
                  <c:v>II</c:v>
                </c:pt>
                <c:pt idx="26">
                  <c:v>III</c:v>
                </c:pt>
                <c:pt idx="27">
                  <c:v>IV</c:v>
                </c:pt>
                <c:pt idx="28">
                  <c:v>V</c:v>
                </c:pt>
                <c:pt idx="29">
                  <c:v>VI</c:v>
                </c:pt>
                <c:pt idx="30">
                  <c:v>VII</c:v>
                </c:pt>
                <c:pt idx="31">
                  <c:v>VIII</c:v>
                </c:pt>
                <c:pt idx="32">
                  <c:v>IX</c:v>
                </c:pt>
                <c:pt idx="33">
                  <c:v>X</c:v>
                </c:pt>
                <c:pt idx="34">
                  <c:v>XI</c:v>
                </c:pt>
                <c:pt idx="35">
                  <c:v>XII</c:v>
                </c:pt>
                <c:pt idx="36">
                  <c:v>2019</c:v>
                </c:pt>
                <c:pt idx="37">
                  <c:v>II</c:v>
                </c:pt>
                <c:pt idx="38">
                  <c:v>III</c:v>
                </c:pt>
                <c:pt idx="39">
                  <c:v>IV</c:v>
                </c:pt>
                <c:pt idx="40">
                  <c:v>V</c:v>
                </c:pt>
                <c:pt idx="41">
                  <c:v>VI</c:v>
                </c:pt>
                <c:pt idx="42">
                  <c:v>VII</c:v>
                </c:pt>
                <c:pt idx="43">
                  <c:v>VIII</c:v>
                </c:pt>
                <c:pt idx="44">
                  <c:v>IX</c:v>
                </c:pt>
                <c:pt idx="45">
                  <c:v>X</c:v>
                </c:pt>
                <c:pt idx="46">
                  <c:v>XI</c:v>
                </c:pt>
                <c:pt idx="47">
                  <c:v>XII</c:v>
                </c:pt>
                <c:pt idx="48">
                  <c:v>2020</c:v>
                </c:pt>
                <c:pt idx="49">
                  <c:v>II</c:v>
                </c:pt>
                <c:pt idx="50">
                  <c:v>III</c:v>
                </c:pt>
                <c:pt idx="51">
                  <c:v>IV</c:v>
                </c:pt>
                <c:pt idx="52">
                  <c:v>V</c:v>
                </c:pt>
                <c:pt idx="53">
                  <c:v>VI</c:v>
                </c:pt>
                <c:pt idx="54">
                  <c:v>VII</c:v>
                </c:pt>
                <c:pt idx="55">
                  <c:v>VIII</c:v>
                </c:pt>
                <c:pt idx="56">
                  <c:v>IX</c:v>
                </c:pt>
                <c:pt idx="57">
                  <c:v>X</c:v>
                </c:pt>
                <c:pt idx="58">
                  <c:v>XI</c:v>
                </c:pt>
                <c:pt idx="59">
                  <c:v>XII</c:v>
                </c:pt>
                <c:pt idx="60">
                  <c:v>2021</c:v>
                </c:pt>
                <c:pt idx="61">
                  <c:v>II</c:v>
                </c:pt>
                <c:pt idx="62">
                  <c:v>III</c:v>
                </c:pt>
                <c:pt idx="63">
                  <c:v>IV</c:v>
                </c:pt>
                <c:pt idx="64">
                  <c:v>V</c:v>
                </c:pt>
                <c:pt idx="65">
                  <c:v>VI</c:v>
                </c:pt>
                <c:pt idx="66">
                  <c:v>VII</c:v>
                </c:pt>
              </c:strCache>
            </c:strRef>
          </c:cat>
          <c:val>
            <c:numRef>
              <c:f>'noguldījumi graf'!$Q$6:$CE$6</c:f>
              <c:numCache>
                <c:formatCode>0.0</c:formatCode>
                <c:ptCount val="67"/>
                <c:pt idx="0">
                  <c:v>6.059588919383188</c:v>
                </c:pt>
                <c:pt idx="1">
                  <c:v>6.4671529976208006</c:v>
                </c:pt>
                <c:pt idx="2">
                  <c:v>5.8803921568627402</c:v>
                </c:pt>
                <c:pt idx="3">
                  <c:v>5.8116581514166228</c:v>
                </c:pt>
                <c:pt idx="4">
                  <c:v>6.5848734275508463</c:v>
                </c:pt>
                <c:pt idx="5">
                  <c:v>7.5436468980385314</c:v>
                </c:pt>
                <c:pt idx="6">
                  <c:v>7.0651238404896048</c:v>
                </c:pt>
                <c:pt idx="7">
                  <c:v>7.3097559568453363</c:v>
                </c:pt>
                <c:pt idx="8">
                  <c:v>7.0932330249875264</c:v>
                </c:pt>
                <c:pt idx="9">
                  <c:v>7.3774874909285444</c:v>
                </c:pt>
                <c:pt idx="10">
                  <c:v>7.5314201729758139</c:v>
                </c:pt>
                <c:pt idx="11">
                  <c:v>8.9448223453746607</c:v>
                </c:pt>
                <c:pt idx="12">
                  <c:v>8.7162111847494117</c:v>
                </c:pt>
                <c:pt idx="13">
                  <c:v>8.5343330993979123</c:v>
                </c:pt>
                <c:pt idx="14">
                  <c:v>8.9946110113150439</c:v>
                </c:pt>
                <c:pt idx="15">
                  <c:v>8.7828074988568687</c:v>
                </c:pt>
                <c:pt idx="16">
                  <c:v>7.8518869299140306</c:v>
                </c:pt>
                <c:pt idx="17">
                  <c:v>7.5264005727581917</c:v>
                </c:pt>
                <c:pt idx="18">
                  <c:v>6.9150931599349974</c:v>
                </c:pt>
                <c:pt idx="19">
                  <c:v>6.8387096774193594</c:v>
                </c:pt>
                <c:pt idx="20">
                  <c:v>8.4746066449231279</c:v>
                </c:pt>
                <c:pt idx="21">
                  <c:v>8.4730991551800656</c:v>
                </c:pt>
                <c:pt idx="22">
                  <c:v>7.9554216022990119</c:v>
                </c:pt>
                <c:pt idx="23">
                  <c:v>8.1542727844978771</c:v>
                </c:pt>
                <c:pt idx="24">
                  <c:v>7.9934244323435593</c:v>
                </c:pt>
                <c:pt idx="25">
                  <c:v>7.4055167015501837</c:v>
                </c:pt>
                <c:pt idx="26">
                  <c:v>7.7171401386434582</c:v>
                </c:pt>
                <c:pt idx="27">
                  <c:v>7.6382467172184221</c:v>
                </c:pt>
                <c:pt idx="28">
                  <c:v>8.0756565059528782</c:v>
                </c:pt>
                <c:pt idx="29">
                  <c:v>8.5776113191843564</c:v>
                </c:pt>
                <c:pt idx="30">
                  <c:v>9.1662489557226507</c:v>
                </c:pt>
                <c:pt idx="31">
                  <c:v>9.7742216854535684</c:v>
                </c:pt>
                <c:pt idx="32">
                  <c:v>8.7327154681072301</c:v>
                </c:pt>
                <c:pt idx="33">
                  <c:v>9.1934611159389448</c:v>
                </c:pt>
                <c:pt idx="34">
                  <c:v>9.2699000129853175</c:v>
                </c:pt>
                <c:pt idx="35">
                  <c:v>8.9426162461461018</c:v>
                </c:pt>
                <c:pt idx="36">
                  <c:v>9.4218754955126371</c:v>
                </c:pt>
                <c:pt idx="37">
                  <c:v>10.122150224179734</c:v>
                </c:pt>
                <c:pt idx="38">
                  <c:v>9.7716016278116058</c:v>
                </c:pt>
                <c:pt idx="39">
                  <c:v>8.9643861293345708</c:v>
                </c:pt>
                <c:pt idx="40">
                  <c:v>9.7270184539900271</c:v>
                </c:pt>
                <c:pt idx="41">
                  <c:v>8.6818544183479389</c:v>
                </c:pt>
                <c:pt idx="42">
                  <c:v>8.5664870821598953</c:v>
                </c:pt>
                <c:pt idx="43">
                  <c:v>10.516021576027995</c:v>
                </c:pt>
                <c:pt idx="44">
                  <c:v>7.7366030053025838</c:v>
                </c:pt>
                <c:pt idx="45">
                  <c:v>7.4884377440086496</c:v>
                </c:pt>
                <c:pt idx="46">
                  <c:v>7.4510910738424485</c:v>
                </c:pt>
                <c:pt idx="47">
                  <c:v>7.4591738019261555</c:v>
                </c:pt>
                <c:pt idx="48">
                  <c:v>7.4513099930442905</c:v>
                </c:pt>
                <c:pt idx="49">
                  <c:v>7.3818840996719786</c:v>
                </c:pt>
                <c:pt idx="50">
                  <c:v>8.2594513816044639</c:v>
                </c:pt>
                <c:pt idx="51">
                  <c:v>10.639487377972756</c:v>
                </c:pt>
                <c:pt idx="52">
                  <c:v>10.213323459884379</c:v>
                </c:pt>
                <c:pt idx="53">
                  <c:v>10.019607566545801</c:v>
                </c:pt>
                <c:pt idx="54">
                  <c:v>10.037641154328725</c:v>
                </c:pt>
                <c:pt idx="55">
                  <c:v>8.4327687521603849</c:v>
                </c:pt>
                <c:pt idx="56">
                  <c:v>11.710784244595203</c:v>
                </c:pt>
                <c:pt idx="57">
                  <c:v>12.159311568389143</c:v>
                </c:pt>
                <c:pt idx="58">
                  <c:v>12.218151655491809</c:v>
                </c:pt>
                <c:pt idx="59">
                  <c:v>12.805181193985732</c:v>
                </c:pt>
                <c:pt idx="60">
                  <c:v>13.989211058664864</c:v>
                </c:pt>
                <c:pt idx="61">
                  <c:v>14.866222752180505</c:v>
                </c:pt>
                <c:pt idx="62">
                  <c:v>17.403538577932309</c:v>
                </c:pt>
                <c:pt idx="63">
                  <c:v>16.593462121506562</c:v>
                </c:pt>
                <c:pt idx="64">
                  <c:v>16.543918133188612</c:v>
                </c:pt>
                <c:pt idx="65">
                  <c:v>17.464163910044377</c:v>
                </c:pt>
                <c:pt idx="66">
                  <c:v>17.675169436152345</c:v>
                </c:pt>
              </c:numCache>
            </c:numRef>
          </c:val>
          <c:smooth val="1"/>
          <c:extLst>
            <c:ext xmlns:c16="http://schemas.microsoft.com/office/drawing/2014/chart" uri="{C3380CC4-5D6E-409C-BE32-E72D297353CC}">
              <c16:uniqueId val="{00000001-8732-44BA-ADFA-718E68AF2738}"/>
            </c:ext>
          </c:extLst>
        </c:ser>
        <c:dLbls>
          <c:showLegendKey val="0"/>
          <c:showVal val="0"/>
          <c:showCatName val="0"/>
          <c:showSerName val="0"/>
          <c:showPercent val="0"/>
          <c:showBubbleSize val="0"/>
        </c:dLbls>
        <c:marker val="1"/>
        <c:smooth val="0"/>
        <c:axId val="550711248"/>
        <c:axId val="550706328"/>
      </c:lineChart>
      <c:catAx>
        <c:axId val="546921120"/>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Verdana" panose="020B0604030504040204" pitchFamily="34" charset="0"/>
                    <a:cs typeface="Times New Roman" panose="02020603050405020304" pitchFamily="18" charset="0"/>
                  </a:defRPr>
                </a:pPr>
                <a:r>
                  <a:rPr lang="lv-LV"/>
                  <a:t>milj. euro</a:t>
                </a:r>
              </a:p>
            </c:rich>
          </c:tx>
          <c:layout>
            <c:manualLayout>
              <c:xMode val="edge"/>
              <c:yMode val="edge"/>
              <c:x val="0.12373063598475281"/>
              <c:y val="1.9675843140941418E-3"/>
            </c:manualLayout>
          </c:layout>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Verdana" panose="020B0604030504040204" pitchFamily="34" charset="0"/>
                  <a:cs typeface="Times New Roman" panose="02020603050405020304" pitchFamily="18" charset="0"/>
                </a:defRPr>
              </a:pPr>
              <a:endParaRPr lang="lv-LV"/>
            </a:p>
          </c:txPr>
        </c:title>
        <c:numFmt formatCode="General" sourceLinked="1"/>
        <c:majorTickMark val="out"/>
        <c:minorTickMark val="none"/>
        <c:tickLblPos val="nextTo"/>
        <c:spPr>
          <a:noFill/>
          <a:ln w="9525" cap="flat" cmpd="sng" algn="ctr">
            <a:solidFill>
              <a:schemeClr val="tx1">
                <a:lumMod val="15000"/>
                <a:lumOff val="85000"/>
              </a:schemeClr>
            </a:solidFill>
            <a:round/>
          </a:ln>
          <a:effectLst/>
        </c:spPr>
        <c:txPr>
          <a:bodyPr rot="0" spcFirstLastPara="1" vertOverflow="ellipsis" wrap="square" anchor="ctr" anchorCtr="1"/>
          <a:lstStyle/>
          <a:p>
            <a:pPr>
              <a:defRPr sz="900" b="0" i="0" u="none" strike="noStrike" kern="1200" baseline="0">
                <a:solidFill>
                  <a:sysClr val="windowText" lastClr="000000"/>
                </a:solidFill>
                <a:latin typeface="Times New Roman" panose="02020603050405020304" pitchFamily="18" charset="0"/>
                <a:ea typeface="Verdana" panose="020B0604030504040204" pitchFamily="34" charset="0"/>
                <a:cs typeface="Times New Roman" panose="02020603050405020304" pitchFamily="18" charset="0"/>
              </a:defRPr>
            </a:pPr>
            <a:endParaRPr lang="lv-LV"/>
          </a:p>
        </c:txPr>
        <c:crossAx val="546915872"/>
        <c:crosses val="autoZero"/>
        <c:auto val="1"/>
        <c:lblAlgn val="ctr"/>
        <c:lblOffset val="100"/>
        <c:tickLblSkip val="12"/>
        <c:tickMarkSkip val="12"/>
        <c:noMultiLvlLbl val="0"/>
      </c:catAx>
      <c:valAx>
        <c:axId val="546915872"/>
        <c:scaling>
          <c:orientation val="minMax"/>
          <c:max val="12000"/>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Verdana" panose="020B0604030504040204" pitchFamily="34" charset="0"/>
                <a:cs typeface="Times New Roman" panose="02020603050405020304" pitchFamily="18" charset="0"/>
              </a:defRPr>
            </a:pPr>
            <a:endParaRPr lang="lv-LV"/>
          </a:p>
        </c:txPr>
        <c:crossAx val="546921120"/>
        <c:crosses val="autoZero"/>
        <c:crossBetween val="between"/>
        <c:majorUnit val="2000"/>
      </c:valAx>
      <c:valAx>
        <c:axId val="550706328"/>
        <c:scaling>
          <c:orientation val="minMax"/>
        </c:scaling>
        <c:delete val="0"/>
        <c:axPos val="r"/>
        <c:numFmt formatCode="0" sourceLinked="0"/>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Verdana" panose="020B0604030504040204" pitchFamily="34" charset="0"/>
                <a:cs typeface="Times New Roman" panose="02020603050405020304" pitchFamily="18" charset="0"/>
              </a:defRPr>
            </a:pPr>
            <a:endParaRPr lang="lv-LV"/>
          </a:p>
        </c:txPr>
        <c:crossAx val="550711248"/>
        <c:crosses val="max"/>
        <c:crossBetween val="between"/>
      </c:valAx>
      <c:catAx>
        <c:axId val="550711248"/>
        <c:scaling>
          <c:orientation val="minMax"/>
        </c:scaling>
        <c:delete val="1"/>
        <c:axPos val="b"/>
        <c:title>
          <c:tx>
            <c:rich>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Verdana" panose="020B0604030504040204" pitchFamily="34" charset="0"/>
                    <a:cs typeface="Times New Roman" panose="02020603050405020304" pitchFamily="18" charset="0"/>
                  </a:defRPr>
                </a:pPr>
                <a:r>
                  <a:rPr lang="lv-LV"/>
                  <a:t>%</a:t>
                </a:r>
              </a:p>
            </c:rich>
          </c:tx>
          <c:layout>
            <c:manualLayout>
              <c:xMode val="edge"/>
              <c:yMode val="edge"/>
              <c:x val="0.89233277391512822"/>
              <c:y val="6.5104485956557758E-3"/>
            </c:manualLayout>
          </c:layout>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Verdana" panose="020B0604030504040204" pitchFamily="34" charset="0"/>
                  <a:cs typeface="Times New Roman" panose="02020603050405020304" pitchFamily="18" charset="0"/>
                </a:defRPr>
              </a:pPr>
              <a:endParaRPr lang="lv-LV"/>
            </a:p>
          </c:txPr>
        </c:title>
        <c:numFmt formatCode="General" sourceLinked="1"/>
        <c:majorTickMark val="out"/>
        <c:minorTickMark val="none"/>
        <c:tickLblPos val="nextTo"/>
        <c:crossAx val="550706328"/>
        <c:crosses val="autoZero"/>
        <c:auto val="1"/>
        <c:lblAlgn val="ctr"/>
        <c:lblOffset val="100"/>
        <c:noMultiLvlLbl val="0"/>
      </c:catAx>
      <c:spPr>
        <a:noFill/>
        <a:ln>
          <a:noFill/>
        </a:ln>
        <a:effectLst/>
      </c:spPr>
    </c:plotArea>
    <c:legend>
      <c:legendPos val="b"/>
      <c:layout>
        <c:manualLayout>
          <c:xMode val="edge"/>
          <c:yMode val="edge"/>
          <c:x val="0.17685983527333138"/>
          <c:y val="0.73097882619331289"/>
          <c:w val="0.71935746155969227"/>
          <c:h val="0.12887990858398357"/>
        </c:manualLayout>
      </c:layout>
      <c:overlay val="0"/>
      <c:spPr>
        <a:solidFill>
          <a:sysClr val="window" lastClr="FFFFFF"/>
        </a:solid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Verdana" panose="020B0604030504040204" pitchFamily="34" charset="0"/>
              <a:cs typeface="Times New Roman" panose="02020603050405020304" pitchFamily="18" charset="0"/>
            </a:defRPr>
          </a:pPr>
          <a:endParaRPr lang="lv-LV"/>
        </a:p>
      </c:txPr>
    </c:legend>
    <c:plotVisOnly val="1"/>
    <c:dispBlanksAs val="gap"/>
    <c:showDLblsOverMax val="0"/>
  </c:chart>
  <c:spPr>
    <a:solidFill>
      <a:schemeClr val="bg1"/>
    </a:solidFill>
    <a:ln w="9525" cap="flat" cmpd="sng" algn="ctr">
      <a:noFill/>
      <a:round/>
    </a:ln>
    <a:effectLst/>
  </c:spPr>
  <c:txPr>
    <a:bodyPr/>
    <a:lstStyle/>
    <a:p>
      <a:pPr>
        <a:defRPr sz="900">
          <a:solidFill>
            <a:sysClr val="windowText" lastClr="000000"/>
          </a:solidFill>
          <a:latin typeface="Times New Roman" panose="02020603050405020304" pitchFamily="18" charset="0"/>
          <a:ea typeface="Verdana" panose="020B0604030504040204" pitchFamily="34" charset="0"/>
          <a:cs typeface="Times New Roman" panose="02020603050405020304" pitchFamily="18" charset="0"/>
        </a:defRPr>
      </a:pPr>
      <a:endParaRPr lang="lv-LV"/>
    </a:p>
  </c:txPr>
  <c:externalData r:id="rId4">
    <c:autoUpdate val="0"/>
  </c:externalData>
</c:chartSpace>
</file>

<file path=word/charts/chart3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Data!$N$6</c:f>
              <c:strCache>
                <c:ptCount val="1"/>
                <c:pt idx="0">
                  <c:v>ES vidēji</c:v>
                </c:pt>
              </c:strCache>
            </c:strRef>
          </c:tx>
          <c:spPr>
            <a:pattFill prst="dkUpDiag">
              <a:fgClr>
                <a:sysClr val="windowText" lastClr="000000"/>
              </a:fgClr>
              <a:bgClr>
                <a:sysClr val="window" lastClr="FFFFFF"/>
              </a:bgClr>
            </a:pattFill>
            <a:ln>
              <a:solidFill>
                <a:sysClr val="windowText" lastClr="000000"/>
              </a:solidFill>
            </a:ln>
            <a:effectLst/>
          </c:spPr>
          <c:invertIfNegative val="0"/>
          <c:cat>
            <c:strRef>
              <c:f>Data!$M$7:$M$10</c:f>
              <c:strCache>
                <c:ptCount val="4"/>
                <c:pt idx="0">
                  <c:v>Pavisam</c:v>
                </c:pt>
                <c:pt idx="1">
                  <c:v>Strādājošie</c:v>
                </c:pt>
                <c:pt idx="2">
                  <c:v>Pensionāri</c:v>
                </c:pt>
                <c:pt idx="3">
                  <c:v>Bezdarbnieki</c:v>
                </c:pt>
              </c:strCache>
            </c:strRef>
          </c:cat>
          <c:val>
            <c:numRef>
              <c:f>Data!$N$7:$N$10</c:f>
              <c:numCache>
                <c:formatCode>#\ ##0.0</c:formatCode>
                <c:ptCount val="4"/>
                <c:pt idx="0">
                  <c:v>21.4</c:v>
                </c:pt>
                <c:pt idx="1">
                  <c:v>11.2</c:v>
                </c:pt>
                <c:pt idx="2" formatCode="General">
                  <c:v>19.2</c:v>
                </c:pt>
                <c:pt idx="3" formatCode="General">
                  <c:v>65.400000000000006</c:v>
                </c:pt>
              </c:numCache>
            </c:numRef>
          </c:val>
          <c:extLst>
            <c:ext xmlns:c16="http://schemas.microsoft.com/office/drawing/2014/chart" uri="{C3380CC4-5D6E-409C-BE32-E72D297353CC}">
              <c16:uniqueId val="{00000000-2C4F-479E-B5A7-00745F89C96F}"/>
            </c:ext>
          </c:extLst>
        </c:ser>
        <c:ser>
          <c:idx val="1"/>
          <c:order val="1"/>
          <c:tx>
            <c:strRef>
              <c:f>Data!$O$6</c:f>
              <c:strCache>
                <c:ptCount val="1"/>
                <c:pt idx="0">
                  <c:v>Latvija</c:v>
                </c:pt>
              </c:strCache>
            </c:strRef>
          </c:tx>
          <c:spPr>
            <a:pattFill prst="dkUpDiag">
              <a:fgClr>
                <a:srgbClr val="C00000"/>
              </a:fgClr>
              <a:bgClr>
                <a:sysClr val="window" lastClr="FFFFFF"/>
              </a:bgClr>
            </a:pattFill>
            <a:ln>
              <a:solidFill>
                <a:srgbClr val="C00000"/>
              </a:solidFill>
            </a:ln>
            <a:effectLst/>
          </c:spPr>
          <c:invertIfNegative val="0"/>
          <c:cat>
            <c:strRef>
              <c:f>Data!$M$7:$M$10</c:f>
              <c:strCache>
                <c:ptCount val="4"/>
                <c:pt idx="0">
                  <c:v>Pavisam</c:v>
                </c:pt>
                <c:pt idx="1">
                  <c:v>Strādājošie</c:v>
                </c:pt>
                <c:pt idx="2">
                  <c:v>Pensionāri</c:v>
                </c:pt>
                <c:pt idx="3">
                  <c:v>Bezdarbnieki</c:v>
                </c:pt>
              </c:strCache>
            </c:strRef>
          </c:cat>
          <c:val>
            <c:numRef>
              <c:f>Data!$O$7:$O$10</c:f>
              <c:numCache>
                <c:formatCode>General</c:formatCode>
                <c:ptCount val="4"/>
                <c:pt idx="0">
                  <c:v>27.3</c:v>
                </c:pt>
                <c:pt idx="1">
                  <c:v>11.5</c:v>
                </c:pt>
                <c:pt idx="2">
                  <c:v>55.6</c:v>
                </c:pt>
                <c:pt idx="3">
                  <c:v>66.400000000000006</c:v>
                </c:pt>
              </c:numCache>
            </c:numRef>
          </c:val>
          <c:extLst>
            <c:ext xmlns:c16="http://schemas.microsoft.com/office/drawing/2014/chart" uri="{C3380CC4-5D6E-409C-BE32-E72D297353CC}">
              <c16:uniqueId val="{00000001-2C4F-479E-B5A7-00745F89C96F}"/>
            </c:ext>
          </c:extLst>
        </c:ser>
        <c:dLbls>
          <c:showLegendKey val="0"/>
          <c:showVal val="0"/>
          <c:showCatName val="0"/>
          <c:showSerName val="0"/>
          <c:showPercent val="0"/>
          <c:showBubbleSize val="0"/>
        </c:dLbls>
        <c:gapWidth val="219"/>
        <c:overlap val="-27"/>
        <c:axId val="700402575"/>
        <c:axId val="700391343"/>
      </c:barChart>
      <c:catAx>
        <c:axId val="700402575"/>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v-LV"/>
          </a:p>
        </c:txPr>
        <c:crossAx val="700391343"/>
        <c:crosses val="autoZero"/>
        <c:auto val="1"/>
        <c:lblAlgn val="ctr"/>
        <c:lblOffset val="100"/>
        <c:noMultiLvlLbl val="0"/>
      </c:catAx>
      <c:valAx>
        <c:axId val="700391343"/>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v-LV"/>
          </a:p>
        </c:txPr>
        <c:crossAx val="700402575"/>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v-LV"/>
        </a:p>
      </c:txPr>
    </c:legend>
    <c:plotVisOnly val="1"/>
    <c:dispBlanksAs val="gap"/>
    <c:showDLblsOverMax val="0"/>
  </c:chart>
  <c:spPr>
    <a:solidFill>
      <a:schemeClr val="bg1"/>
    </a:solidFill>
    <a:ln w="9525" cap="flat" cmpd="sng" algn="ctr">
      <a:noFill/>
      <a:round/>
    </a:ln>
    <a:effectLst/>
  </c:spPr>
  <c:txPr>
    <a:bodyPr/>
    <a:lstStyle/>
    <a:p>
      <a:pPr>
        <a:defRPr>
          <a:solidFill>
            <a:sysClr val="windowText" lastClr="000000"/>
          </a:solidFill>
          <a:latin typeface="Times New Roman" panose="02020603050405020304" pitchFamily="18" charset="0"/>
          <a:cs typeface="Times New Roman" panose="02020603050405020304" pitchFamily="18" charset="0"/>
        </a:defRPr>
      </a:pPr>
      <a:endParaRPr lang="lv-LV"/>
    </a:p>
  </c:txPr>
  <c:externalData r:id="rId4">
    <c:autoUpdate val="0"/>
  </c:externalData>
</c:chartSpace>
</file>

<file path=word/charts/chart3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5.6346896560877158E-2"/>
          <c:y val="4.6491969568892642E-2"/>
          <c:w val="0.92920571600834989"/>
          <c:h val="0.64506796953058387"/>
        </c:manualLayout>
      </c:layout>
      <c:barChart>
        <c:barDir val="col"/>
        <c:grouping val="clustered"/>
        <c:varyColors val="0"/>
        <c:ser>
          <c:idx val="0"/>
          <c:order val="0"/>
          <c:spPr>
            <a:solidFill>
              <a:srgbClr val="5B9BD5"/>
            </a:solidFill>
            <a:ln>
              <a:solidFill>
                <a:srgbClr val="5B9BD5"/>
              </a:solidFill>
            </a:ln>
            <a:effectLst/>
          </c:spPr>
          <c:invertIfNegative val="0"/>
          <c:dPt>
            <c:idx val="1"/>
            <c:invertIfNegative val="0"/>
            <c:bubble3D val="0"/>
            <c:extLst>
              <c:ext xmlns:c16="http://schemas.microsoft.com/office/drawing/2014/chart" uri="{C3380CC4-5D6E-409C-BE32-E72D297353CC}">
                <c16:uniqueId val="{00000000-854B-4C8F-851F-04D0083E9972}"/>
              </c:ext>
            </c:extLst>
          </c:dPt>
          <c:dPt>
            <c:idx val="2"/>
            <c:invertIfNegative val="0"/>
            <c:bubble3D val="0"/>
            <c:extLst>
              <c:ext xmlns:c16="http://schemas.microsoft.com/office/drawing/2014/chart" uri="{C3380CC4-5D6E-409C-BE32-E72D297353CC}">
                <c16:uniqueId val="{00000001-854B-4C8F-851F-04D0083E9972}"/>
              </c:ext>
            </c:extLst>
          </c:dPt>
          <c:dPt>
            <c:idx val="3"/>
            <c:invertIfNegative val="0"/>
            <c:bubble3D val="0"/>
            <c:extLst>
              <c:ext xmlns:c16="http://schemas.microsoft.com/office/drawing/2014/chart" uri="{C3380CC4-5D6E-409C-BE32-E72D297353CC}">
                <c16:uniqueId val="{00000002-854B-4C8F-851F-04D0083E9972}"/>
              </c:ext>
            </c:extLst>
          </c:dPt>
          <c:dPt>
            <c:idx val="4"/>
            <c:invertIfNegative val="0"/>
            <c:bubble3D val="0"/>
            <c:extLst>
              <c:ext xmlns:c16="http://schemas.microsoft.com/office/drawing/2014/chart" uri="{C3380CC4-5D6E-409C-BE32-E72D297353CC}">
                <c16:uniqueId val="{00000003-854B-4C8F-851F-04D0083E9972}"/>
              </c:ext>
            </c:extLst>
          </c:dPt>
          <c:dPt>
            <c:idx val="7"/>
            <c:invertIfNegative val="0"/>
            <c:bubble3D val="0"/>
            <c:extLst>
              <c:ext xmlns:c16="http://schemas.microsoft.com/office/drawing/2014/chart" uri="{C3380CC4-5D6E-409C-BE32-E72D297353CC}">
                <c16:uniqueId val="{00000004-854B-4C8F-851F-04D0083E9972}"/>
              </c:ext>
            </c:extLst>
          </c:dPt>
          <c:dPt>
            <c:idx val="9"/>
            <c:invertIfNegative val="0"/>
            <c:bubble3D val="0"/>
            <c:extLst>
              <c:ext xmlns:c16="http://schemas.microsoft.com/office/drawing/2014/chart" uri="{C3380CC4-5D6E-409C-BE32-E72D297353CC}">
                <c16:uniqueId val="{00000005-854B-4C8F-851F-04D0083E9972}"/>
              </c:ext>
            </c:extLst>
          </c:dPt>
          <c:dPt>
            <c:idx val="10"/>
            <c:invertIfNegative val="0"/>
            <c:bubble3D val="0"/>
            <c:extLst>
              <c:ext xmlns:c16="http://schemas.microsoft.com/office/drawing/2014/chart" uri="{C3380CC4-5D6E-409C-BE32-E72D297353CC}">
                <c16:uniqueId val="{00000006-854B-4C8F-851F-04D0083E9972}"/>
              </c:ext>
            </c:extLst>
          </c:dPt>
          <c:dPt>
            <c:idx val="11"/>
            <c:invertIfNegative val="0"/>
            <c:bubble3D val="0"/>
            <c:extLst>
              <c:ext xmlns:c16="http://schemas.microsoft.com/office/drawing/2014/chart" uri="{C3380CC4-5D6E-409C-BE32-E72D297353CC}">
                <c16:uniqueId val="{00000007-854B-4C8F-851F-04D0083E9972}"/>
              </c:ext>
            </c:extLst>
          </c:dPt>
          <c:dPt>
            <c:idx val="12"/>
            <c:invertIfNegative val="0"/>
            <c:bubble3D val="0"/>
            <c:extLst>
              <c:ext xmlns:c16="http://schemas.microsoft.com/office/drawing/2014/chart" uri="{C3380CC4-5D6E-409C-BE32-E72D297353CC}">
                <c16:uniqueId val="{00000008-854B-4C8F-851F-04D0083E9972}"/>
              </c:ext>
            </c:extLst>
          </c:dPt>
          <c:dPt>
            <c:idx val="14"/>
            <c:invertIfNegative val="0"/>
            <c:bubble3D val="0"/>
            <c:extLst>
              <c:ext xmlns:c16="http://schemas.microsoft.com/office/drawing/2014/chart" uri="{C3380CC4-5D6E-409C-BE32-E72D297353CC}">
                <c16:uniqueId val="{00000009-854B-4C8F-851F-04D0083E9972}"/>
              </c:ext>
            </c:extLst>
          </c:dPt>
          <c:dPt>
            <c:idx val="15"/>
            <c:invertIfNegative val="0"/>
            <c:bubble3D val="0"/>
            <c:extLst>
              <c:ext xmlns:c16="http://schemas.microsoft.com/office/drawing/2014/chart" uri="{C3380CC4-5D6E-409C-BE32-E72D297353CC}">
                <c16:uniqueId val="{0000000A-854B-4C8F-851F-04D0083E9972}"/>
              </c:ext>
            </c:extLst>
          </c:dPt>
          <c:dPt>
            <c:idx val="23"/>
            <c:invertIfNegative val="0"/>
            <c:bubble3D val="0"/>
            <c:extLst>
              <c:ext xmlns:c16="http://schemas.microsoft.com/office/drawing/2014/chart" uri="{C3380CC4-5D6E-409C-BE32-E72D297353CC}">
                <c16:uniqueId val="{0000000B-854B-4C8F-851F-04D0083E9972}"/>
              </c:ext>
            </c:extLst>
          </c:dPt>
          <c:dPt>
            <c:idx val="24"/>
            <c:invertIfNegative val="0"/>
            <c:bubble3D val="0"/>
            <c:spPr>
              <a:pattFill prst="dkUpDiag">
                <a:fgClr>
                  <a:srgbClr val="C00000"/>
                </a:fgClr>
                <a:bgClr>
                  <a:sysClr val="window" lastClr="FFFFFF"/>
                </a:bgClr>
              </a:pattFill>
              <a:ln>
                <a:solidFill>
                  <a:srgbClr val="C00000"/>
                </a:solidFill>
              </a:ln>
              <a:effectLst/>
            </c:spPr>
            <c:extLst>
              <c:ext xmlns:c16="http://schemas.microsoft.com/office/drawing/2014/chart" uri="{C3380CC4-5D6E-409C-BE32-E72D297353CC}">
                <c16:uniqueId val="{0000000D-854B-4C8F-851F-04D0083E9972}"/>
              </c:ext>
            </c:extLst>
          </c:dPt>
          <c:dPt>
            <c:idx val="25"/>
            <c:invertIfNegative val="0"/>
            <c:bubble3D val="0"/>
            <c:extLst>
              <c:ext xmlns:c16="http://schemas.microsoft.com/office/drawing/2014/chart" uri="{C3380CC4-5D6E-409C-BE32-E72D297353CC}">
                <c16:uniqueId val="{0000000E-854B-4C8F-851F-04D0083E9972}"/>
              </c:ext>
            </c:extLst>
          </c:dPt>
          <c:cat>
            <c:strRef>
              <c:f>Sheet1!$F$6:$F$32</c:f>
              <c:strCache>
                <c:ptCount val="27"/>
                <c:pt idx="0">
                  <c:v>Luksemburga</c:v>
                </c:pt>
                <c:pt idx="1">
                  <c:v>Vācija</c:v>
                </c:pt>
                <c:pt idx="2">
                  <c:v>Austrija</c:v>
                </c:pt>
                <c:pt idx="3">
                  <c:v>Beļģija</c:v>
                </c:pt>
                <c:pt idx="4">
                  <c:v>Nīderlande</c:v>
                </c:pt>
                <c:pt idx="5">
                  <c:v>Francija</c:v>
                </c:pt>
                <c:pt idx="6">
                  <c:v>Somija</c:v>
                </c:pt>
                <c:pt idx="7">
                  <c:v>Dānija</c:v>
                </c:pt>
                <c:pt idx="8">
                  <c:v>Lielbritānija</c:v>
                </c:pt>
                <c:pt idx="9">
                  <c:v>Zviedrija</c:v>
                </c:pt>
                <c:pt idx="10">
                  <c:v>Itālija</c:v>
                </c:pt>
                <c:pt idx="11">
                  <c:v>Īrija</c:v>
                </c:pt>
                <c:pt idx="12">
                  <c:v>Kipra</c:v>
                </c:pt>
                <c:pt idx="13">
                  <c:v>Spānija</c:v>
                </c:pt>
                <c:pt idx="14">
                  <c:v>Čehija</c:v>
                </c:pt>
                <c:pt idx="15">
                  <c:v>Lietuva</c:v>
                </c:pt>
                <c:pt idx="16">
                  <c:v>Portugāle</c:v>
                </c:pt>
                <c:pt idx="17">
                  <c:v>Slovēnija</c:v>
                </c:pt>
                <c:pt idx="18">
                  <c:v>Igaunija</c:v>
                </c:pt>
                <c:pt idx="19">
                  <c:v>Polija</c:v>
                </c:pt>
                <c:pt idx="20">
                  <c:v>Rumānija</c:v>
                </c:pt>
                <c:pt idx="21">
                  <c:v>Slovākija</c:v>
                </c:pt>
                <c:pt idx="22">
                  <c:v>Grieķija</c:v>
                </c:pt>
                <c:pt idx="23">
                  <c:v>Ungārija</c:v>
                </c:pt>
                <c:pt idx="24">
                  <c:v>Latvija</c:v>
                </c:pt>
                <c:pt idx="25">
                  <c:v>Horvātija</c:v>
                </c:pt>
                <c:pt idx="26">
                  <c:v>Bulgārija</c:v>
                </c:pt>
              </c:strCache>
            </c:strRef>
          </c:cat>
          <c:val>
            <c:numRef>
              <c:f>Sheet1!$G$6:$G$32</c:f>
              <c:numCache>
                <c:formatCode>General</c:formatCode>
                <c:ptCount val="27"/>
                <c:pt idx="0">
                  <c:v>145.79014127629796</c:v>
                </c:pt>
                <c:pt idx="1">
                  <c:v>127.72575109114793</c:v>
                </c:pt>
                <c:pt idx="2">
                  <c:v>119.399127081656</c:v>
                </c:pt>
                <c:pt idx="3">
                  <c:v>114.7590999618628</c:v>
                </c:pt>
                <c:pt idx="4">
                  <c:v>113.74210771642865</c:v>
                </c:pt>
                <c:pt idx="5">
                  <c:v>110.84367981694139</c:v>
                </c:pt>
                <c:pt idx="6">
                  <c:v>109.0058172593273</c:v>
                </c:pt>
                <c:pt idx="7">
                  <c:v>109.13174287046061</c:v>
                </c:pt>
                <c:pt idx="8">
                  <c:v>106.59349972456459</c:v>
                </c:pt>
                <c:pt idx="9">
                  <c:v>105.95364210347896</c:v>
                </c:pt>
                <c:pt idx="10">
                  <c:v>97.474469257171918</c:v>
                </c:pt>
                <c:pt idx="11">
                  <c:v>95.516759184711219</c:v>
                </c:pt>
                <c:pt idx="12">
                  <c:v>87.991016568498665</c:v>
                </c:pt>
                <c:pt idx="13">
                  <c:v>86.215517606678247</c:v>
                </c:pt>
                <c:pt idx="14">
                  <c:v>85.198525361244108</c:v>
                </c:pt>
                <c:pt idx="15">
                  <c:v>83.893385312936985</c:v>
                </c:pt>
                <c:pt idx="16">
                  <c:v>83.173015805754474</c:v>
                </c:pt>
                <c:pt idx="17">
                  <c:v>82.834018390609771</c:v>
                </c:pt>
                <c:pt idx="18">
                  <c:v>75.367600322047551</c:v>
                </c:pt>
                <c:pt idx="19">
                  <c:v>73.333615831179287</c:v>
                </c:pt>
                <c:pt idx="20">
                  <c:v>70.375863384041693</c:v>
                </c:pt>
                <c:pt idx="21">
                  <c:v>67.981694139582189</c:v>
                </c:pt>
                <c:pt idx="22">
                  <c:v>67.392686130768254</c:v>
                </c:pt>
                <c:pt idx="23">
                  <c:v>67.35878638925378</c:v>
                </c:pt>
                <c:pt idx="24">
                  <c:v>65.761261070384336</c:v>
                </c:pt>
                <c:pt idx="25">
                  <c:v>63.430653841264458</c:v>
                </c:pt>
                <c:pt idx="26">
                  <c:v>49.052774018944518</c:v>
                </c:pt>
              </c:numCache>
            </c:numRef>
          </c:val>
          <c:extLst>
            <c:ext xmlns:c16="http://schemas.microsoft.com/office/drawing/2014/chart" uri="{C3380CC4-5D6E-409C-BE32-E72D297353CC}">
              <c16:uniqueId val="{0000000F-854B-4C8F-851F-04D0083E9972}"/>
            </c:ext>
          </c:extLst>
        </c:ser>
        <c:dLbls>
          <c:showLegendKey val="0"/>
          <c:showVal val="0"/>
          <c:showCatName val="0"/>
          <c:showSerName val="0"/>
          <c:showPercent val="0"/>
          <c:showBubbleSize val="0"/>
        </c:dLbls>
        <c:gapWidth val="50"/>
        <c:overlap val="-27"/>
        <c:axId val="567518600"/>
        <c:axId val="1"/>
      </c:barChart>
      <c:lineChart>
        <c:grouping val="standard"/>
        <c:varyColors val="0"/>
        <c:ser>
          <c:idx val="1"/>
          <c:order val="1"/>
          <c:spPr>
            <a:ln w="28575" cap="rnd">
              <a:solidFill>
                <a:sysClr val="windowText" lastClr="000000"/>
              </a:solidFill>
              <a:prstDash val="sysDash"/>
              <a:round/>
            </a:ln>
            <a:effectLst/>
          </c:spPr>
          <c:marker>
            <c:symbol val="none"/>
          </c:marker>
          <c:cat>
            <c:strRef>
              <c:f>Sheet1!$F$6:$F$32</c:f>
              <c:strCache>
                <c:ptCount val="27"/>
                <c:pt idx="0">
                  <c:v>Luksemburga</c:v>
                </c:pt>
                <c:pt idx="1">
                  <c:v>Vācija</c:v>
                </c:pt>
                <c:pt idx="2">
                  <c:v>Austrija</c:v>
                </c:pt>
                <c:pt idx="3">
                  <c:v>Beļģija</c:v>
                </c:pt>
                <c:pt idx="4">
                  <c:v>Nīderlande</c:v>
                </c:pt>
                <c:pt idx="5">
                  <c:v>Francija</c:v>
                </c:pt>
                <c:pt idx="6">
                  <c:v>Somija</c:v>
                </c:pt>
                <c:pt idx="7">
                  <c:v>Dānija</c:v>
                </c:pt>
                <c:pt idx="8">
                  <c:v>Lielbritānija</c:v>
                </c:pt>
                <c:pt idx="9">
                  <c:v>Zviedrija</c:v>
                </c:pt>
                <c:pt idx="10">
                  <c:v>Itālija</c:v>
                </c:pt>
                <c:pt idx="11">
                  <c:v>Īrija</c:v>
                </c:pt>
                <c:pt idx="12">
                  <c:v>Kipra</c:v>
                </c:pt>
                <c:pt idx="13">
                  <c:v>Spānija</c:v>
                </c:pt>
                <c:pt idx="14">
                  <c:v>Čehija</c:v>
                </c:pt>
                <c:pt idx="15">
                  <c:v>Lietuva</c:v>
                </c:pt>
                <c:pt idx="16">
                  <c:v>Portugāle</c:v>
                </c:pt>
                <c:pt idx="17">
                  <c:v>Slovēnija</c:v>
                </c:pt>
                <c:pt idx="18">
                  <c:v>Igaunija</c:v>
                </c:pt>
                <c:pt idx="19">
                  <c:v>Polija</c:v>
                </c:pt>
                <c:pt idx="20">
                  <c:v>Rumānija</c:v>
                </c:pt>
                <c:pt idx="21">
                  <c:v>Slovākija</c:v>
                </c:pt>
                <c:pt idx="22">
                  <c:v>Grieķija</c:v>
                </c:pt>
                <c:pt idx="23">
                  <c:v>Ungārija</c:v>
                </c:pt>
                <c:pt idx="24">
                  <c:v>Latvija</c:v>
                </c:pt>
                <c:pt idx="25">
                  <c:v>Horvātija</c:v>
                </c:pt>
                <c:pt idx="26">
                  <c:v>Bulgārija</c:v>
                </c:pt>
              </c:strCache>
            </c:strRef>
          </c:cat>
          <c:val>
            <c:numRef>
              <c:f>Sheet1!$H$6:$H$32</c:f>
              <c:numCache>
                <c:formatCode>General</c:formatCode>
                <c:ptCount val="27"/>
                <c:pt idx="0">
                  <c:v>100</c:v>
                </c:pt>
                <c:pt idx="1">
                  <c:v>100</c:v>
                </c:pt>
                <c:pt idx="2">
                  <c:v>100</c:v>
                </c:pt>
                <c:pt idx="3">
                  <c:v>100</c:v>
                </c:pt>
                <c:pt idx="4">
                  <c:v>100</c:v>
                </c:pt>
                <c:pt idx="5">
                  <c:v>100</c:v>
                </c:pt>
                <c:pt idx="6">
                  <c:v>100</c:v>
                </c:pt>
                <c:pt idx="7">
                  <c:v>100</c:v>
                </c:pt>
                <c:pt idx="8">
                  <c:v>100</c:v>
                </c:pt>
                <c:pt idx="9">
                  <c:v>100</c:v>
                </c:pt>
                <c:pt idx="10">
                  <c:v>100</c:v>
                </c:pt>
                <c:pt idx="11">
                  <c:v>100</c:v>
                </c:pt>
                <c:pt idx="12">
                  <c:v>100</c:v>
                </c:pt>
                <c:pt idx="13">
                  <c:v>100</c:v>
                </c:pt>
                <c:pt idx="14">
                  <c:v>100</c:v>
                </c:pt>
                <c:pt idx="15">
                  <c:v>100</c:v>
                </c:pt>
                <c:pt idx="16">
                  <c:v>100</c:v>
                </c:pt>
                <c:pt idx="17">
                  <c:v>100</c:v>
                </c:pt>
                <c:pt idx="18">
                  <c:v>100</c:v>
                </c:pt>
                <c:pt idx="19">
                  <c:v>100</c:v>
                </c:pt>
                <c:pt idx="20">
                  <c:v>100</c:v>
                </c:pt>
                <c:pt idx="21">
                  <c:v>100</c:v>
                </c:pt>
                <c:pt idx="22">
                  <c:v>100</c:v>
                </c:pt>
                <c:pt idx="23">
                  <c:v>100</c:v>
                </c:pt>
                <c:pt idx="24">
                  <c:v>100</c:v>
                </c:pt>
                <c:pt idx="25">
                  <c:v>100</c:v>
                </c:pt>
                <c:pt idx="26">
                  <c:v>100</c:v>
                </c:pt>
              </c:numCache>
            </c:numRef>
          </c:val>
          <c:smooth val="0"/>
          <c:extLst>
            <c:ext xmlns:c16="http://schemas.microsoft.com/office/drawing/2014/chart" uri="{C3380CC4-5D6E-409C-BE32-E72D297353CC}">
              <c16:uniqueId val="{00000010-854B-4C8F-851F-04D0083E9972}"/>
            </c:ext>
          </c:extLst>
        </c:ser>
        <c:dLbls>
          <c:showLegendKey val="0"/>
          <c:showVal val="0"/>
          <c:showCatName val="0"/>
          <c:showSerName val="0"/>
          <c:showPercent val="0"/>
          <c:showBubbleSize val="0"/>
        </c:dLbls>
        <c:marker val="1"/>
        <c:smooth val="0"/>
        <c:axId val="567518600"/>
        <c:axId val="1"/>
      </c:lineChart>
      <c:catAx>
        <c:axId val="567518600"/>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v-LV"/>
          </a:p>
        </c:txPr>
        <c:crossAx val="1"/>
        <c:crosses val="autoZero"/>
        <c:auto val="1"/>
        <c:lblAlgn val="ctr"/>
        <c:lblOffset val="100"/>
        <c:noMultiLvlLbl val="0"/>
      </c:catAx>
      <c:valAx>
        <c:axId val="1"/>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v-LV"/>
          </a:p>
        </c:txPr>
        <c:crossAx val="567518600"/>
        <c:crosses val="autoZero"/>
        <c:crossBetween val="between"/>
      </c:valAx>
      <c:spPr>
        <a:noFill/>
        <a:ln w="25400">
          <a:noFill/>
        </a:ln>
      </c:spPr>
    </c:plotArea>
    <c:plotVisOnly val="1"/>
    <c:dispBlanksAs val="gap"/>
    <c:showDLblsOverMax val="0"/>
  </c:chart>
  <c:spPr>
    <a:solidFill>
      <a:schemeClr val="bg1"/>
    </a:solidFill>
    <a:ln w="9525" cap="flat" cmpd="sng" algn="ctr">
      <a:noFill/>
      <a:round/>
    </a:ln>
    <a:effectLst/>
  </c:spPr>
  <c:txPr>
    <a:bodyPr/>
    <a:lstStyle/>
    <a:p>
      <a:pPr>
        <a:defRPr/>
      </a:pPr>
      <a:endParaRPr lang="lv-LV"/>
    </a:p>
  </c:txPr>
  <c:externalData r:id="rId2">
    <c:autoUpdate val="0"/>
  </c:externalData>
  <c:userShapes r:id="rId3"/>
</c:chartSpace>
</file>

<file path=word/charts/chart3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spPr>
            <a:solidFill>
              <a:schemeClr val="bg1">
                <a:lumMod val="65000"/>
              </a:schemeClr>
            </a:solidFill>
            <a:ln>
              <a:noFill/>
            </a:ln>
            <a:effectLst/>
          </c:spPr>
          <c:invertIfNegative val="0"/>
          <c:dPt>
            <c:idx val="4"/>
            <c:invertIfNegative val="0"/>
            <c:bubble3D val="0"/>
            <c:spPr>
              <a:solidFill>
                <a:srgbClr val="FF0000"/>
              </a:solidFill>
              <a:ln>
                <a:noFill/>
              </a:ln>
              <a:effectLst/>
            </c:spPr>
            <c:extLst>
              <c:ext xmlns:c16="http://schemas.microsoft.com/office/drawing/2014/chart" uri="{C3380CC4-5D6E-409C-BE32-E72D297353CC}">
                <c16:uniqueId val="{00000001-13F0-48DB-8EEF-890214BA1788}"/>
              </c:ext>
            </c:extLst>
          </c:dPt>
          <c:dPt>
            <c:idx val="8"/>
            <c:invertIfNegative val="0"/>
            <c:bubble3D val="0"/>
            <c:spPr>
              <a:solidFill>
                <a:srgbClr val="00B050"/>
              </a:solidFill>
              <a:ln>
                <a:noFill/>
              </a:ln>
              <a:effectLst/>
            </c:spPr>
            <c:extLst>
              <c:ext xmlns:c16="http://schemas.microsoft.com/office/drawing/2014/chart" uri="{C3380CC4-5D6E-409C-BE32-E72D297353CC}">
                <c16:uniqueId val="{00000003-13F0-48DB-8EEF-890214BA1788}"/>
              </c:ext>
            </c:extLst>
          </c:dPt>
          <c:dPt>
            <c:idx val="15"/>
            <c:invertIfNegative val="0"/>
            <c:bubble3D val="0"/>
            <c:spPr>
              <a:solidFill>
                <a:schemeClr val="accent4"/>
              </a:solidFill>
              <a:ln>
                <a:noFill/>
              </a:ln>
              <a:effectLst/>
            </c:spPr>
            <c:extLst>
              <c:ext xmlns:c16="http://schemas.microsoft.com/office/drawing/2014/chart" uri="{C3380CC4-5D6E-409C-BE32-E72D297353CC}">
                <c16:uniqueId val="{00000005-13F0-48DB-8EEF-890214BA1788}"/>
              </c:ext>
            </c:extLst>
          </c:dPt>
          <c:dLbls>
            <c:dLbl>
              <c:idx val="4"/>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13F0-48DB-8EEF-890214BA1788}"/>
                </c:ext>
              </c:extLst>
            </c:dLbl>
            <c:dLbl>
              <c:idx val="8"/>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13F0-48DB-8EEF-890214BA1788}"/>
                </c:ext>
              </c:extLst>
            </c:dLbl>
            <c:dLbl>
              <c:idx val="15"/>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13F0-48DB-8EEF-890214BA1788}"/>
                </c:ext>
              </c:extLst>
            </c:dLbl>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v-LV"/>
              </a:p>
            </c:txPr>
            <c:showLegendKey val="0"/>
            <c:showVal val="0"/>
            <c:showCatName val="0"/>
            <c:showSerName val="0"/>
            <c:showPercent val="0"/>
            <c:showBubbleSize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Data!$H$47:$H$74</c:f>
              <c:strCache>
                <c:ptCount val="28"/>
                <c:pt idx="0">
                  <c:v>Īrija</c:v>
                </c:pt>
                <c:pt idx="1">
                  <c:v>Luksemburga</c:v>
                </c:pt>
                <c:pt idx="2">
                  <c:v>Lietuva</c:v>
                </c:pt>
                <c:pt idx="3">
                  <c:v>Polija</c:v>
                </c:pt>
                <c:pt idx="4">
                  <c:v>Latvija</c:v>
                </c:pt>
                <c:pt idx="5">
                  <c:v>Zvierdija</c:v>
                </c:pt>
                <c:pt idx="6">
                  <c:v>Beļģija</c:v>
                </c:pt>
                <c:pt idx="7">
                  <c:v>Nīderlande</c:v>
                </c:pt>
                <c:pt idx="8">
                  <c:v>Igaunija</c:v>
                </c:pt>
                <c:pt idx="9">
                  <c:v>Malta</c:v>
                </c:pt>
                <c:pt idx="10">
                  <c:v>Somija</c:v>
                </c:pt>
                <c:pt idx="11">
                  <c:v>Ungārija</c:v>
                </c:pt>
                <c:pt idx="12">
                  <c:v>Čehija</c:v>
                </c:pt>
                <c:pt idx="13">
                  <c:v>Dānija</c:v>
                </c:pt>
                <c:pt idx="14">
                  <c:v>Slovākija</c:v>
                </c:pt>
                <c:pt idx="15">
                  <c:v>ES vidēji</c:v>
                </c:pt>
                <c:pt idx="16">
                  <c:v>Slovēnija</c:v>
                </c:pt>
                <c:pt idx="17">
                  <c:v>Vācija</c:v>
                </c:pt>
                <c:pt idx="18">
                  <c:v>Rumānija</c:v>
                </c:pt>
                <c:pt idx="19">
                  <c:v>Austrija</c:v>
                </c:pt>
                <c:pt idx="20">
                  <c:v>Bulgārija</c:v>
                </c:pt>
                <c:pt idx="21">
                  <c:v>Kipra</c:v>
                </c:pt>
                <c:pt idx="22">
                  <c:v>Itālija</c:v>
                </c:pt>
                <c:pt idx="23">
                  <c:v>Frncija</c:v>
                </c:pt>
                <c:pt idx="24">
                  <c:v>Portugāle</c:v>
                </c:pt>
                <c:pt idx="25">
                  <c:v>Spānija</c:v>
                </c:pt>
                <c:pt idx="26">
                  <c:v>Grieķija</c:v>
                </c:pt>
                <c:pt idx="27">
                  <c:v>Horvātija</c:v>
                </c:pt>
              </c:strCache>
            </c:strRef>
          </c:cat>
          <c:val>
            <c:numRef>
              <c:f>Data!$I$47:$I$74</c:f>
              <c:numCache>
                <c:formatCode>0.0</c:formatCode>
                <c:ptCount val="28"/>
                <c:pt idx="0">
                  <c:v>9.4975985935013529</c:v>
                </c:pt>
                <c:pt idx="1">
                  <c:v>2.471453566956618</c:v>
                </c:pt>
                <c:pt idx="2">
                  <c:v>-9.2264850446943086E-3</c:v>
                </c:pt>
                <c:pt idx="3">
                  <c:v>-0.19411837276266616</c:v>
                </c:pt>
                <c:pt idx="4">
                  <c:v>-2.7261988049225345</c:v>
                </c:pt>
                <c:pt idx="5">
                  <c:v>-4.6225559131321141</c:v>
                </c:pt>
                <c:pt idx="6">
                  <c:v>-4.6229828662694272</c:v>
                </c:pt>
                <c:pt idx="7">
                  <c:v>-4.830447029573671</c:v>
                </c:pt>
                <c:pt idx="8">
                  <c:v>-4.9776505242342406</c:v>
                </c:pt>
                <c:pt idx="9">
                  <c:v>-6.3038028375813706</c:v>
                </c:pt>
                <c:pt idx="10">
                  <c:v>-6.7309683396000217</c:v>
                </c:pt>
                <c:pt idx="11">
                  <c:v>-6.7973357659204812</c:v>
                </c:pt>
                <c:pt idx="12">
                  <c:v>-6.9235271064306225</c:v>
                </c:pt>
                <c:pt idx="13">
                  <c:v>-7.0067189765754394</c:v>
                </c:pt>
                <c:pt idx="14">
                  <c:v>-7.5142999885434714</c:v>
                </c:pt>
                <c:pt idx="15">
                  <c:v>-8.4294494484864302</c:v>
                </c:pt>
                <c:pt idx="16">
                  <c:v>-8.6627124176339763</c:v>
                </c:pt>
                <c:pt idx="17">
                  <c:v>-9.3190633315795726</c:v>
                </c:pt>
                <c:pt idx="18">
                  <c:v>-9.7118072118606609</c:v>
                </c:pt>
                <c:pt idx="19">
                  <c:v>-10.004861571075201</c:v>
                </c:pt>
                <c:pt idx="20">
                  <c:v>-11.31814119749777</c:v>
                </c:pt>
                <c:pt idx="21">
                  <c:v>-12.390400604686322</c:v>
                </c:pt>
                <c:pt idx="22">
                  <c:v>-13.759997111707451</c:v>
                </c:pt>
                <c:pt idx="23">
                  <c:v>-15.817143841949921</c:v>
                </c:pt>
                <c:pt idx="24">
                  <c:v>-18.649915644883414</c:v>
                </c:pt>
                <c:pt idx="25">
                  <c:v>-20.195837852333703</c:v>
                </c:pt>
                <c:pt idx="26">
                  <c:v>-21.673614481911887</c:v>
                </c:pt>
                <c:pt idx="27">
                  <c:v>-24.952740926082452</c:v>
                </c:pt>
              </c:numCache>
            </c:numRef>
          </c:val>
          <c:extLst>
            <c:ext xmlns:c16="http://schemas.microsoft.com/office/drawing/2014/chart" uri="{C3380CC4-5D6E-409C-BE32-E72D297353CC}">
              <c16:uniqueId val="{00000006-13F0-48DB-8EEF-890214BA1788}"/>
            </c:ext>
          </c:extLst>
        </c:ser>
        <c:dLbls>
          <c:showLegendKey val="0"/>
          <c:showVal val="0"/>
          <c:showCatName val="0"/>
          <c:showSerName val="0"/>
          <c:showPercent val="0"/>
          <c:showBubbleSize val="0"/>
        </c:dLbls>
        <c:gapWidth val="50"/>
        <c:overlap val="-27"/>
        <c:axId val="931875392"/>
        <c:axId val="931869984"/>
      </c:barChart>
      <c:catAx>
        <c:axId val="931875392"/>
        <c:scaling>
          <c:orientation val="minMax"/>
        </c:scaling>
        <c:delete val="0"/>
        <c:axPos val="b"/>
        <c:numFmt formatCode="General" sourceLinked="1"/>
        <c:majorTickMark val="none"/>
        <c:minorTickMark val="none"/>
        <c:tickLblPos val="low"/>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v-LV"/>
          </a:p>
        </c:txPr>
        <c:crossAx val="931869984"/>
        <c:crosses val="autoZero"/>
        <c:auto val="1"/>
        <c:lblAlgn val="ctr"/>
        <c:lblOffset val="100"/>
        <c:noMultiLvlLbl val="0"/>
      </c:catAx>
      <c:valAx>
        <c:axId val="931869984"/>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v-LV"/>
          </a:p>
        </c:txPr>
        <c:crossAx val="931875392"/>
        <c:crosses val="autoZero"/>
        <c:crossBetween val="between"/>
        <c:majorUnit val="3"/>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900">
          <a:solidFill>
            <a:sysClr val="windowText" lastClr="000000"/>
          </a:solidFill>
          <a:latin typeface="Times New Roman" panose="02020603050405020304" pitchFamily="18" charset="0"/>
          <a:cs typeface="Times New Roman" panose="02020603050405020304" pitchFamily="18" charset="0"/>
        </a:defRPr>
      </a:pPr>
      <a:endParaRPr lang="lv-LV"/>
    </a:p>
  </c:txPr>
  <c:externalData r:id="rId3">
    <c:autoUpdate val="0"/>
  </c:externalData>
</c:chartSpace>
</file>

<file path=word/charts/chart3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1570391826951229"/>
          <c:y val="5.0925925925925923E-2"/>
          <c:w val="0.8765149770259878"/>
          <c:h val="0.75165099154272386"/>
        </c:manualLayout>
      </c:layout>
      <c:lineChart>
        <c:grouping val="standard"/>
        <c:varyColors val="0"/>
        <c:ser>
          <c:idx val="0"/>
          <c:order val="0"/>
          <c:spPr>
            <a:ln w="38100" cap="rnd">
              <a:solidFill>
                <a:schemeClr val="accent1"/>
              </a:solidFill>
              <a:round/>
            </a:ln>
            <a:effectLst/>
          </c:spPr>
          <c:marker>
            <c:symbol val="none"/>
          </c:marker>
          <c:cat>
            <c:multiLvlStrRef>
              <c:f>'[ATD020m_20210915-165106.xlsx]ATD020m'!$AB$10:$AT$11</c:f>
              <c:multiLvlStrCache>
                <c:ptCount val="19"/>
                <c:lvl>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lvl>
                <c:lvl>
                  <c:pt idx="0">
                    <c:v>2020</c:v>
                  </c:pt>
                  <c:pt idx="12">
                    <c:v>2021</c:v>
                  </c:pt>
                </c:lvl>
              </c:multiLvlStrCache>
            </c:multiLvlStrRef>
          </c:cat>
          <c:val>
            <c:numRef>
              <c:f>'[ATD020m_20210915-165106.xlsx]ATD020m'!$AB$13:$AT$13</c:f>
              <c:numCache>
                <c:formatCode>0</c:formatCode>
                <c:ptCount val="19"/>
                <c:pt idx="0">
                  <c:v>5.6026276491629634</c:v>
                </c:pt>
                <c:pt idx="1">
                  <c:v>8.177943185410804</c:v>
                </c:pt>
                <c:pt idx="2">
                  <c:v>0.39577641283820714</c:v>
                </c:pt>
                <c:pt idx="3">
                  <c:v>-12.791584148035785</c:v>
                </c:pt>
                <c:pt idx="4">
                  <c:v>-15.816855031803295</c:v>
                </c:pt>
                <c:pt idx="5">
                  <c:v>-0.54764469565261742</c:v>
                </c:pt>
                <c:pt idx="6">
                  <c:v>0.50999723453855239</c:v>
                </c:pt>
                <c:pt idx="7">
                  <c:v>-2.0762146236819619</c:v>
                </c:pt>
                <c:pt idx="8">
                  <c:v>15.246307844118906</c:v>
                </c:pt>
                <c:pt idx="9">
                  <c:v>8.6113726031538089</c:v>
                </c:pt>
                <c:pt idx="10">
                  <c:v>9.1506254129152378</c:v>
                </c:pt>
                <c:pt idx="11">
                  <c:v>14.453668160040085</c:v>
                </c:pt>
                <c:pt idx="12">
                  <c:v>-1.8797628036291405</c:v>
                </c:pt>
                <c:pt idx="13">
                  <c:v>7.0211398967726328</c:v>
                </c:pt>
                <c:pt idx="14">
                  <c:v>20.88886985292827</c:v>
                </c:pt>
                <c:pt idx="15">
                  <c:v>34.043037468993518</c:v>
                </c:pt>
                <c:pt idx="16">
                  <c:v>36.224286539140664</c:v>
                </c:pt>
                <c:pt idx="17">
                  <c:v>31.664425044502622</c:v>
                </c:pt>
                <c:pt idx="18">
                  <c:v>25.516846973611361</c:v>
                </c:pt>
              </c:numCache>
            </c:numRef>
          </c:val>
          <c:smooth val="0"/>
          <c:extLst>
            <c:ext xmlns:c16="http://schemas.microsoft.com/office/drawing/2014/chart" uri="{C3380CC4-5D6E-409C-BE32-E72D297353CC}">
              <c16:uniqueId val="{00000000-845D-4576-9FE6-2E3E6DF20EAA}"/>
            </c:ext>
          </c:extLst>
        </c:ser>
        <c:dLbls>
          <c:showLegendKey val="0"/>
          <c:showVal val="0"/>
          <c:showCatName val="0"/>
          <c:showSerName val="0"/>
          <c:showPercent val="0"/>
          <c:showBubbleSize val="0"/>
        </c:dLbls>
        <c:smooth val="0"/>
        <c:axId val="931874976"/>
        <c:axId val="931865408"/>
      </c:lineChart>
      <c:catAx>
        <c:axId val="931874976"/>
        <c:scaling>
          <c:orientation val="minMax"/>
        </c:scaling>
        <c:delete val="0"/>
        <c:axPos val="b"/>
        <c:numFmt formatCode="General" sourceLinked="1"/>
        <c:majorTickMark val="none"/>
        <c:minorTickMark val="none"/>
        <c:tickLblPos val="low"/>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v-LV"/>
          </a:p>
        </c:txPr>
        <c:crossAx val="931865408"/>
        <c:crosses val="autoZero"/>
        <c:auto val="1"/>
        <c:lblAlgn val="ctr"/>
        <c:lblOffset val="100"/>
        <c:tickLblSkip val="1"/>
        <c:noMultiLvlLbl val="0"/>
      </c:catAx>
      <c:valAx>
        <c:axId val="931865408"/>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v-LV"/>
          </a:p>
        </c:txPr>
        <c:crossAx val="931874976"/>
        <c:crosses val="autoZero"/>
        <c:crossBetween val="between"/>
        <c:majorUnit val="5"/>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900">
          <a:latin typeface="Times New Roman" panose="02020603050405020304" pitchFamily="18" charset="0"/>
          <a:cs typeface="Times New Roman" panose="02020603050405020304" pitchFamily="18" charset="0"/>
        </a:defRPr>
      </a:pPr>
      <a:endParaRPr lang="lv-LV"/>
    </a:p>
  </c:txPr>
  <c:externalData r:id="rId3">
    <c:autoUpdate val="0"/>
  </c:externalData>
</c:chartSpace>
</file>

<file path=word/charts/chart3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3632443158460614"/>
          <c:y val="5.0925925925925923E-2"/>
          <c:w val="0.85537267178952026"/>
          <c:h val="0.75165099154272386"/>
        </c:manualLayout>
      </c:layout>
      <c:barChart>
        <c:barDir val="col"/>
        <c:grouping val="clustered"/>
        <c:varyColors val="0"/>
        <c:ser>
          <c:idx val="0"/>
          <c:order val="0"/>
          <c:spPr>
            <a:solidFill>
              <a:schemeClr val="accent1"/>
            </a:solidFill>
            <a:ln>
              <a:noFill/>
            </a:ln>
            <a:effectLst/>
          </c:spPr>
          <c:invertIfNegative val="0"/>
          <c:cat>
            <c:multiLvlStrRef>
              <c:f>'[ATD020m_20210915-165106.xlsx]ATD020m'!$AB$10:$AT$11</c:f>
              <c:multiLvlStrCache>
                <c:ptCount val="19"/>
                <c:lvl>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lvl>
                <c:lvl>
                  <c:pt idx="0">
                    <c:v>2020</c:v>
                  </c:pt>
                  <c:pt idx="12">
                    <c:v>2021</c:v>
                  </c:pt>
                </c:lvl>
              </c:multiLvlStrCache>
            </c:multiLvlStrRef>
          </c:cat>
          <c:val>
            <c:numRef>
              <c:f>'[ATD020m_20210915-165106.xlsx]ATD020m'!$AB$12:$AT$12</c:f>
              <c:numCache>
                <c:formatCode>0</c:formatCode>
                <c:ptCount val="19"/>
                <c:pt idx="0">
                  <c:v>1084.7542020000001</c:v>
                </c:pt>
                <c:pt idx="1">
                  <c:v>1070.583468</c:v>
                </c:pt>
                <c:pt idx="2">
                  <c:v>1111.090062</c:v>
                </c:pt>
                <c:pt idx="3">
                  <c:v>939.350639</c:v>
                </c:pt>
                <c:pt idx="4">
                  <c:v>916.63735499999996</c:v>
                </c:pt>
                <c:pt idx="5">
                  <c:v>986.75416199999995</c:v>
                </c:pt>
                <c:pt idx="6">
                  <c:v>1058.6316220000001</c:v>
                </c:pt>
                <c:pt idx="7">
                  <c:v>1093.270094</c:v>
                </c:pt>
                <c:pt idx="8">
                  <c:v>1300.896559</c:v>
                </c:pt>
                <c:pt idx="9">
                  <c:v>1322.6392579999999</c:v>
                </c:pt>
                <c:pt idx="10">
                  <c:v>1251.691585</c:v>
                </c:pt>
                <c:pt idx="11">
                  <c:v>1168.3612450000001</c:v>
                </c:pt>
                <c:pt idx="12">
                  <c:v>1064.363396</c:v>
                </c:pt>
                <c:pt idx="13">
                  <c:v>1145.7506310000001</c:v>
                </c:pt>
                <c:pt idx="14">
                  <c:v>1343.184219</c:v>
                </c:pt>
                <c:pt idx="15">
                  <c:v>1259.134129</c:v>
                </c:pt>
                <c:pt idx="16">
                  <c:v>1248.682697</c:v>
                </c:pt>
                <c:pt idx="17">
                  <c:v>1299.2041939999999</c:v>
                </c:pt>
                <c:pt idx="18">
                  <c:v>1328.761033</c:v>
                </c:pt>
              </c:numCache>
            </c:numRef>
          </c:val>
          <c:extLst>
            <c:ext xmlns:c16="http://schemas.microsoft.com/office/drawing/2014/chart" uri="{C3380CC4-5D6E-409C-BE32-E72D297353CC}">
              <c16:uniqueId val="{00000000-3357-4900-8F9F-105767331099}"/>
            </c:ext>
          </c:extLst>
        </c:ser>
        <c:dLbls>
          <c:showLegendKey val="0"/>
          <c:showVal val="0"/>
          <c:showCatName val="0"/>
          <c:showSerName val="0"/>
          <c:showPercent val="0"/>
          <c:showBubbleSize val="0"/>
        </c:dLbls>
        <c:gapWidth val="50"/>
        <c:overlap val="-27"/>
        <c:axId val="925392352"/>
        <c:axId val="925385280"/>
      </c:barChart>
      <c:catAx>
        <c:axId val="925392352"/>
        <c:scaling>
          <c:orientation val="minMax"/>
        </c:scaling>
        <c:delete val="0"/>
        <c:axPos val="b"/>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v-LV"/>
          </a:p>
        </c:txPr>
        <c:crossAx val="925385280"/>
        <c:crosses val="autoZero"/>
        <c:auto val="1"/>
        <c:lblAlgn val="ctr"/>
        <c:lblOffset val="100"/>
        <c:tickLblSkip val="1"/>
        <c:noMultiLvlLbl val="0"/>
      </c:catAx>
      <c:valAx>
        <c:axId val="925385280"/>
        <c:scaling>
          <c:orientation val="minMax"/>
          <c:max val="1400"/>
          <c:min val="600"/>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v-LV"/>
          </a:p>
        </c:txPr>
        <c:crossAx val="925392352"/>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900">
          <a:latin typeface="Times New Roman" panose="02020603050405020304" pitchFamily="18" charset="0"/>
          <a:cs typeface="Times New Roman" panose="02020603050405020304" pitchFamily="18" charset="0"/>
        </a:defRPr>
      </a:pPr>
      <a:endParaRPr lang="lv-LV"/>
    </a:p>
  </c:txPr>
  <c:externalData r:id="rId3">
    <c:autoUpdate val="0"/>
  </c:externalData>
</c:chartSpace>
</file>

<file path=word/charts/chart3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5.2271831637022273E-2"/>
          <c:y val="4.2886576943087208E-2"/>
          <c:w val="0.90203231033889009"/>
          <c:h val="0.53273611088681305"/>
        </c:manualLayout>
      </c:layout>
      <c:barChart>
        <c:barDir val="col"/>
        <c:grouping val="stacked"/>
        <c:varyColors val="0"/>
        <c:ser>
          <c:idx val="0"/>
          <c:order val="0"/>
          <c:tx>
            <c:strRef>
              <c:f>Pakalp_eksports_Q!$AK$35</c:f>
              <c:strCache>
                <c:ptCount val="1"/>
                <c:pt idx="0">
                  <c:v>Transporta pakalpojumi</c:v>
                </c:pt>
              </c:strCache>
            </c:strRef>
          </c:tx>
          <c:spPr>
            <a:solidFill>
              <a:schemeClr val="accent1"/>
            </a:solidFill>
            <a:ln>
              <a:noFill/>
            </a:ln>
            <a:effectLst/>
          </c:spPr>
          <c:invertIfNegative val="0"/>
          <c:cat>
            <c:multiLvlStrRef>
              <c:f>Pakalp_eksports_Q!$BQ$5:$BV$6</c:f>
              <c:multiLvlStrCache>
                <c:ptCount val="6"/>
                <c:lvl>
                  <c:pt idx="0">
                    <c:v>I</c:v>
                  </c:pt>
                  <c:pt idx="1">
                    <c:v>II</c:v>
                  </c:pt>
                  <c:pt idx="2">
                    <c:v>III</c:v>
                  </c:pt>
                  <c:pt idx="3">
                    <c:v>IV</c:v>
                  </c:pt>
                  <c:pt idx="4">
                    <c:v>I</c:v>
                  </c:pt>
                  <c:pt idx="5">
                    <c:v>II</c:v>
                  </c:pt>
                </c:lvl>
                <c:lvl>
                  <c:pt idx="0">
                    <c:v>2020</c:v>
                  </c:pt>
                  <c:pt idx="4">
                    <c:v>2021</c:v>
                  </c:pt>
                </c:lvl>
              </c:multiLvlStrCache>
            </c:multiLvlStrRef>
          </c:cat>
          <c:val>
            <c:numRef>
              <c:f>Pakalp_eksports_Q!$BQ$35:$BV$35</c:f>
              <c:numCache>
                <c:formatCode>0.0</c:formatCode>
                <c:ptCount val="6"/>
                <c:pt idx="0">
                  <c:v>-6.9433359936153227</c:v>
                </c:pt>
                <c:pt idx="1">
                  <c:v>-18.589743589743591</c:v>
                </c:pt>
                <c:pt idx="2">
                  <c:v>-16.406779661016948</c:v>
                </c:pt>
                <c:pt idx="3">
                  <c:v>-9.6193771626297568</c:v>
                </c:pt>
                <c:pt idx="4">
                  <c:v>-4.675324675324676</c:v>
                </c:pt>
                <c:pt idx="5">
                  <c:v>6.415478615071283</c:v>
                </c:pt>
              </c:numCache>
            </c:numRef>
          </c:val>
          <c:extLst>
            <c:ext xmlns:c16="http://schemas.microsoft.com/office/drawing/2014/chart" uri="{C3380CC4-5D6E-409C-BE32-E72D297353CC}">
              <c16:uniqueId val="{00000000-F486-4FD0-9C50-63263CA996F8}"/>
            </c:ext>
          </c:extLst>
        </c:ser>
        <c:ser>
          <c:idx val="1"/>
          <c:order val="1"/>
          <c:tx>
            <c:strRef>
              <c:f>Pakalp_eksports_Q!$AK$36</c:f>
              <c:strCache>
                <c:ptCount val="1"/>
                <c:pt idx="0">
                  <c:v>Braucieni</c:v>
                </c:pt>
              </c:strCache>
            </c:strRef>
          </c:tx>
          <c:spPr>
            <a:solidFill>
              <a:schemeClr val="accent2"/>
            </a:solidFill>
            <a:ln>
              <a:noFill/>
            </a:ln>
            <a:effectLst/>
          </c:spPr>
          <c:invertIfNegative val="0"/>
          <c:cat>
            <c:multiLvlStrRef>
              <c:f>Pakalp_eksports_Q!$BQ$5:$BV$6</c:f>
              <c:multiLvlStrCache>
                <c:ptCount val="6"/>
                <c:lvl>
                  <c:pt idx="0">
                    <c:v>I</c:v>
                  </c:pt>
                  <c:pt idx="1">
                    <c:v>II</c:v>
                  </c:pt>
                  <c:pt idx="2">
                    <c:v>III</c:v>
                  </c:pt>
                  <c:pt idx="3">
                    <c:v>IV</c:v>
                  </c:pt>
                  <c:pt idx="4">
                    <c:v>I</c:v>
                  </c:pt>
                  <c:pt idx="5">
                    <c:v>II</c:v>
                  </c:pt>
                </c:lvl>
                <c:lvl>
                  <c:pt idx="0">
                    <c:v>2020</c:v>
                  </c:pt>
                  <c:pt idx="4">
                    <c:v>2021</c:v>
                  </c:pt>
                </c:lvl>
              </c:multiLvlStrCache>
            </c:multiLvlStrRef>
          </c:cat>
          <c:val>
            <c:numRef>
              <c:f>Pakalp_eksports_Q!$BQ$36:$BV$36</c:f>
              <c:numCache>
                <c:formatCode>0.0</c:formatCode>
                <c:ptCount val="6"/>
                <c:pt idx="0">
                  <c:v>-2.3942537909018355</c:v>
                </c:pt>
                <c:pt idx="1">
                  <c:v>-11.823361823361823</c:v>
                </c:pt>
                <c:pt idx="2">
                  <c:v>-11.050847457627119</c:v>
                </c:pt>
                <c:pt idx="3">
                  <c:v>-11.76470588235294</c:v>
                </c:pt>
                <c:pt idx="4">
                  <c:v>-10.735930735930735</c:v>
                </c:pt>
                <c:pt idx="5">
                  <c:v>-1.1201629327902241</c:v>
                </c:pt>
              </c:numCache>
            </c:numRef>
          </c:val>
          <c:extLst>
            <c:ext xmlns:c16="http://schemas.microsoft.com/office/drawing/2014/chart" uri="{C3380CC4-5D6E-409C-BE32-E72D297353CC}">
              <c16:uniqueId val="{00000001-F486-4FD0-9C50-63263CA996F8}"/>
            </c:ext>
          </c:extLst>
        </c:ser>
        <c:ser>
          <c:idx val="2"/>
          <c:order val="2"/>
          <c:tx>
            <c:strRef>
              <c:f>Pakalp_eksports_Q!$AK$37</c:f>
              <c:strCache>
                <c:ptCount val="1"/>
                <c:pt idx="0">
                  <c:v>Telesakaru un IT</c:v>
                </c:pt>
              </c:strCache>
            </c:strRef>
          </c:tx>
          <c:spPr>
            <a:solidFill>
              <a:schemeClr val="accent3"/>
            </a:solidFill>
            <a:ln>
              <a:noFill/>
            </a:ln>
            <a:effectLst/>
          </c:spPr>
          <c:invertIfNegative val="0"/>
          <c:cat>
            <c:multiLvlStrRef>
              <c:f>Pakalp_eksports_Q!$BQ$5:$BV$6</c:f>
              <c:multiLvlStrCache>
                <c:ptCount val="6"/>
                <c:lvl>
                  <c:pt idx="0">
                    <c:v>I</c:v>
                  </c:pt>
                  <c:pt idx="1">
                    <c:v>II</c:v>
                  </c:pt>
                  <c:pt idx="2">
                    <c:v>III</c:v>
                  </c:pt>
                  <c:pt idx="3">
                    <c:v>IV</c:v>
                  </c:pt>
                  <c:pt idx="4">
                    <c:v>I</c:v>
                  </c:pt>
                  <c:pt idx="5">
                    <c:v>II</c:v>
                  </c:pt>
                </c:lvl>
                <c:lvl>
                  <c:pt idx="0">
                    <c:v>2020</c:v>
                  </c:pt>
                  <c:pt idx="4">
                    <c:v>2021</c:v>
                  </c:pt>
                </c:lvl>
              </c:multiLvlStrCache>
            </c:multiLvlStrRef>
          </c:cat>
          <c:val>
            <c:numRef>
              <c:f>Pakalp_eksports_Q!$BQ$37:$BV$37</c:f>
              <c:numCache>
                <c:formatCode>0.0</c:formatCode>
                <c:ptCount val="6"/>
                <c:pt idx="0">
                  <c:v>0</c:v>
                </c:pt>
                <c:pt idx="1">
                  <c:v>-0.28490028490028491</c:v>
                </c:pt>
                <c:pt idx="2">
                  <c:v>-0.5423728813559322</c:v>
                </c:pt>
                <c:pt idx="3">
                  <c:v>1.0380622837370241</c:v>
                </c:pt>
                <c:pt idx="4">
                  <c:v>0.43290043290043284</c:v>
                </c:pt>
                <c:pt idx="5">
                  <c:v>3.0549898167006106</c:v>
                </c:pt>
              </c:numCache>
            </c:numRef>
          </c:val>
          <c:extLst>
            <c:ext xmlns:c16="http://schemas.microsoft.com/office/drawing/2014/chart" uri="{C3380CC4-5D6E-409C-BE32-E72D297353CC}">
              <c16:uniqueId val="{00000002-F486-4FD0-9C50-63263CA996F8}"/>
            </c:ext>
          </c:extLst>
        </c:ser>
        <c:ser>
          <c:idx val="3"/>
          <c:order val="3"/>
          <c:tx>
            <c:strRef>
              <c:f>Pakalp_eksports_Q!$AK$38</c:f>
              <c:strCache>
                <c:ptCount val="1"/>
                <c:pt idx="0">
                  <c:v>Finanšu pakalpojumi</c:v>
                </c:pt>
              </c:strCache>
            </c:strRef>
          </c:tx>
          <c:spPr>
            <a:solidFill>
              <a:schemeClr val="accent4"/>
            </a:solidFill>
            <a:ln>
              <a:noFill/>
            </a:ln>
            <a:effectLst/>
          </c:spPr>
          <c:invertIfNegative val="0"/>
          <c:cat>
            <c:multiLvlStrRef>
              <c:f>Pakalp_eksports_Q!$BQ$5:$BV$6</c:f>
              <c:multiLvlStrCache>
                <c:ptCount val="6"/>
                <c:lvl>
                  <c:pt idx="0">
                    <c:v>I</c:v>
                  </c:pt>
                  <c:pt idx="1">
                    <c:v>II</c:v>
                  </c:pt>
                  <c:pt idx="2">
                    <c:v>III</c:v>
                  </c:pt>
                  <c:pt idx="3">
                    <c:v>IV</c:v>
                  </c:pt>
                  <c:pt idx="4">
                    <c:v>I</c:v>
                  </c:pt>
                  <c:pt idx="5">
                    <c:v>II</c:v>
                  </c:pt>
                </c:lvl>
                <c:lvl>
                  <c:pt idx="0">
                    <c:v>2020</c:v>
                  </c:pt>
                  <c:pt idx="4">
                    <c:v>2021</c:v>
                  </c:pt>
                </c:lvl>
              </c:multiLvlStrCache>
            </c:multiLvlStrRef>
          </c:cat>
          <c:val>
            <c:numRef>
              <c:f>Pakalp_eksports_Q!$BQ$38:$BV$38</c:f>
              <c:numCache>
                <c:formatCode>0.0</c:formatCode>
                <c:ptCount val="6"/>
                <c:pt idx="0">
                  <c:v>-1.1971268954509178</c:v>
                </c:pt>
                <c:pt idx="1">
                  <c:v>-1.1396011396011396</c:v>
                </c:pt>
                <c:pt idx="2">
                  <c:v>-1.0847457627118642</c:v>
                </c:pt>
                <c:pt idx="3">
                  <c:v>-0.76124567474048443</c:v>
                </c:pt>
                <c:pt idx="4">
                  <c:v>0.34632034632034631</c:v>
                </c:pt>
                <c:pt idx="5">
                  <c:v>-0.40733197556008149</c:v>
                </c:pt>
              </c:numCache>
            </c:numRef>
          </c:val>
          <c:extLst>
            <c:ext xmlns:c16="http://schemas.microsoft.com/office/drawing/2014/chart" uri="{C3380CC4-5D6E-409C-BE32-E72D297353CC}">
              <c16:uniqueId val="{00000003-F486-4FD0-9C50-63263CA996F8}"/>
            </c:ext>
          </c:extLst>
        </c:ser>
        <c:ser>
          <c:idx val="4"/>
          <c:order val="4"/>
          <c:tx>
            <c:strRef>
              <c:f>Pakalp_eksports_Q!$AK$39</c:f>
              <c:strCache>
                <c:ptCount val="1"/>
                <c:pt idx="0">
                  <c:v>Būvniecība</c:v>
                </c:pt>
              </c:strCache>
            </c:strRef>
          </c:tx>
          <c:spPr>
            <a:solidFill>
              <a:schemeClr val="accent5"/>
            </a:solidFill>
            <a:ln>
              <a:noFill/>
            </a:ln>
            <a:effectLst/>
          </c:spPr>
          <c:invertIfNegative val="0"/>
          <c:cat>
            <c:multiLvlStrRef>
              <c:f>Pakalp_eksports_Q!$BQ$5:$BV$6</c:f>
              <c:multiLvlStrCache>
                <c:ptCount val="6"/>
                <c:lvl>
                  <c:pt idx="0">
                    <c:v>I</c:v>
                  </c:pt>
                  <c:pt idx="1">
                    <c:v>II</c:v>
                  </c:pt>
                  <c:pt idx="2">
                    <c:v>III</c:v>
                  </c:pt>
                  <c:pt idx="3">
                    <c:v>IV</c:v>
                  </c:pt>
                  <c:pt idx="4">
                    <c:v>I</c:v>
                  </c:pt>
                  <c:pt idx="5">
                    <c:v>II</c:v>
                  </c:pt>
                </c:lvl>
                <c:lvl>
                  <c:pt idx="0">
                    <c:v>2020</c:v>
                  </c:pt>
                  <c:pt idx="4">
                    <c:v>2021</c:v>
                  </c:pt>
                </c:lvl>
              </c:multiLvlStrCache>
            </c:multiLvlStrRef>
          </c:cat>
          <c:val>
            <c:numRef>
              <c:f>Pakalp_eksports_Q!$BQ$39:$BV$39</c:f>
              <c:numCache>
                <c:formatCode>0.0</c:formatCode>
                <c:ptCount val="6"/>
                <c:pt idx="0">
                  <c:v>1.5163607342378291</c:v>
                </c:pt>
                <c:pt idx="1">
                  <c:v>1.4245014245014245</c:v>
                </c:pt>
                <c:pt idx="2">
                  <c:v>0.40677966101694912</c:v>
                </c:pt>
                <c:pt idx="3">
                  <c:v>0.48442906574394456</c:v>
                </c:pt>
                <c:pt idx="4">
                  <c:v>0.51948051948051943</c:v>
                </c:pt>
                <c:pt idx="5">
                  <c:v>-1.4256619144602851</c:v>
                </c:pt>
              </c:numCache>
            </c:numRef>
          </c:val>
          <c:extLst>
            <c:ext xmlns:c16="http://schemas.microsoft.com/office/drawing/2014/chart" uri="{C3380CC4-5D6E-409C-BE32-E72D297353CC}">
              <c16:uniqueId val="{00000004-F486-4FD0-9C50-63263CA996F8}"/>
            </c:ext>
          </c:extLst>
        </c:ser>
        <c:ser>
          <c:idx val="5"/>
          <c:order val="5"/>
          <c:tx>
            <c:strRef>
              <c:f>Pakalp_eksports_Q!$AK$40</c:f>
              <c:strCache>
                <c:ptCount val="1"/>
                <c:pt idx="0">
                  <c:v>Citi pakalpojumi</c:v>
                </c:pt>
              </c:strCache>
            </c:strRef>
          </c:tx>
          <c:spPr>
            <a:solidFill>
              <a:schemeClr val="accent6"/>
            </a:solidFill>
            <a:ln>
              <a:noFill/>
            </a:ln>
            <a:effectLst/>
          </c:spPr>
          <c:invertIfNegative val="0"/>
          <c:cat>
            <c:multiLvlStrRef>
              <c:f>Pakalp_eksports_Q!$BQ$5:$BV$6</c:f>
              <c:multiLvlStrCache>
                <c:ptCount val="6"/>
                <c:lvl>
                  <c:pt idx="0">
                    <c:v>I</c:v>
                  </c:pt>
                  <c:pt idx="1">
                    <c:v>II</c:v>
                  </c:pt>
                  <c:pt idx="2">
                    <c:v>III</c:v>
                  </c:pt>
                  <c:pt idx="3">
                    <c:v>IV</c:v>
                  </c:pt>
                  <c:pt idx="4">
                    <c:v>I</c:v>
                  </c:pt>
                  <c:pt idx="5">
                    <c:v>II</c:v>
                  </c:pt>
                </c:lvl>
                <c:lvl>
                  <c:pt idx="0">
                    <c:v>2020</c:v>
                  </c:pt>
                  <c:pt idx="4">
                    <c:v>2021</c:v>
                  </c:pt>
                </c:lvl>
              </c:multiLvlStrCache>
            </c:multiLvlStrRef>
          </c:cat>
          <c:val>
            <c:numRef>
              <c:f>Pakalp_eksports_Q!$BQ$40:$BV$40</c:f>
              <c:numCache>
                <c:formatCode>0.0</c:formatCode>
                <c:ptCount val="6"/>
                <c:pt idx="0">
                  <c:v>1.1971268954509178</c:v>
                </c:pt>
                <c:pt idx="1">
                  <c:v>0.35612535612535617</c:v>
                </c:pt>
                <c:pt idx="2">
                  <c:v>2.1694915254237288</c:v>
                </c:pt>
                <c:pt idx="3">
                  <c:v>0.48442906574394462</c:v>
                </c:pt>
                <c:pt idx="4">
                  <c:v>3.2900432900432901</c:v>
                </c:pt>
                <c:pt idx="5">
                  <c:v>8.146639511201629</c:v>
                </c:pt>
              </c:numCache>
            </c:numRef>
          </c:val>
          <c:extLst>
            <c:ext xmlns:c16="http://schemas.microsoft.com/office/drawing/2014/chart" uri="{C3380CC4-5D6E-409C-BE32-E72D297353CC}">
              <c16:uniqueId val="{00000005-F486-4FD0-9C50-63263CA996F8}"/>
            </c:ext>
          </c:extLst>
        </c:ser>
        <c:dLbls>
          <c:showLegendKey val="0"/>
          <c:showVal val="0"/>
          <c:showCatName val="0"/>
          <c:showSerName val="0"/>
          <c:showPercent val="0"/>
          <c:showBubbleSize val="0"/>
        </c:dLbls>
        <c:gapWidth val="50"/>
        <c:overlap val="100"/>
        <c:axId val="348099048"/>
        <c:axId val="348099440"/>
      </c:barChart>
      <c:lineChart>
        <c:grouping val="standard"/>
        <c:varyColors val="0"/>
        <c:ser>
          <c:idx val="6"/>
          <c:order val="6"/>
          <c:tx>
            <c:strRef>
              <c:f>Pakalp_eksports_Q!$AK$41</c:f>
              <c:strCache>
                <c:ptCount val="1"/>
                <c:pt idx="0">
                  <c:v>Kopējais pieaugums</c:v>
                </c:pt>
              </c:strCache>
            </c:strRef>
          </c:tx>
          <c:spPr>
            <a:ln w="28575" cap="rnd">
              <a:solidFill>
                <a:schemeClr val="accent1">
                  <a:lumMod val="60000"/>
                </a:schemeClr>
              </a:solidFill>
              <a:round/>
            </a:ln>
            <a:effectLst/>
          </c:spPr>
          <c:marker>
            <c:symbol val="none"/>
          </c:marker>
          <c:cat>
            <c:multiLvlStrRef>
              <c:f>Pakalp_eksports_Q!$BQ$5:$BV$6</c:f>
              <c:multiLvlStrCache>
                <c:ptCount val="6"/>
                <c:lvl>
                  <c:pt idx="0">
                    <c:v>I</c:v>
                  </c:pt>
                  <c:pt idx="1">
                    <c:v>II</c:v>
                  </c:pt>
                  <c:pt idx="2">
                    <c:v>III</c:v>
                  </c:pt>
                  <c:pt idx="3">
                    <c:v>IV</c:v>
                  </c:pt>
                  <c:pt idx="4">
                    <c:v>I</c:v>
                  </c:pt>
                  <c:pt idx="5">
                    <c:v>II</c:v>
                  </c:pt>
                </c:lvl>
                <c:lvl>
                  <c:pt idx="0">
                    <c:v>2020</c:v>
                  </c:pt>
                  <c:pt idx="4">
                    <c:v>2021</c:v>
                  </c:pt>
                </c:lvl>
              </c:multiLvlStrCache>
            </c:multiLvlStrRef>
          </c:cat>
          <c:val>
            <c:numRef>
              <c:f>Pakalp_eksports_Q!$BQ$41:$BV$41</c:f>
              <c:numCache>
                <c:formatCode>0.0</c:formatCode>
                <c:ptCount val="6"/>
                <c:pt idx="0">
                  <c:v>-7.8212290502793298</c:v>
                </c:pt>
                <c:pt idx="1">
                  <c:v>-30.056980056980056</c:v>
                </c:pt>
                <c:pt idx="2">
                  <c:v>-26.508474576271187</c:v>
                </c:pt>
                <c:pt idx="3">
                  <c:v>-20.138408304498263</c:v>
                </c:pt>
                <c:pt idx="4">
                  <c:v>-10.822510822510823</c:v>
                </c:pt>
                <c:pt idx="5">
                  <c:v>14.663951120162931</c:v>
                </c:pt>
              </c:numCache>
            </c:numRef>
          </c:val>
          <c:smooth val="0"/>
          <c:extLst>
            <c:ext xmlns:c16="http://schemas.microsoft.com/office/drawing/2014/chart" uri="{C3380CC4-5D6E-409C-BE32-E72D297353CC}">
              <c16:uniqueId val="{00000006-F486-4FD0-9C50-63263CA996F8}"/>
            </c:ext>
          </c:extLst>
        </c:ser>
        <c:dLbls>
          <c:showLegendKey val="0"/>
          <c:showVal val="0"/>
          <c:showCatName val="0"/>
          <c:showSerName val="0"/>
          <c:showPercent val="0"/>
          <c:showBubbleSize val="0"/>
        </c:dLbls>
        <c:marker val="1"/>
        <c:smooth val="0"/>
        <c:axId val="348099048"/>
        <c:axId val="348099440"/>
      </c:lineChart>
      <c:catAx>
        <c:axId val="348099048"/>
        <c:scaling>
          <c:orientation val="minMax"/>
        </c:scaling>
        <c:delete val="0"/>
        <c:axPos val="b"/>
        <c:numFmt formatCode="General" sourceLinked="1"/>
        <c:majorTickMark val="none"/>
        <c:minorTickMark val="none"/>
        <c:tickLblPos val="low"/>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v-LV"/>
          </a:p>
        </c:txPr>
        <c:crossAx val="348099440"/>
        <c:crosses val="autoZero"/>
        <c:auto val="1"/>
        <c:lblAlgn val="ctr"/>
        <c:lblOffset val="100"/>
        <c:noMultiLvlLbl val="0"/>
      </c:catAx>
      <c:valAx>
        <c:axId val="348099440"/>
        <c:scaling>
          <c:orientation val="minMax"/>
          <c:max val="20"/>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lv-LV"/>
          </a:p>
        </c:txPr>
        <c:crossAx val="348099048"/>
        <c:crosses val="autoZero"/>
        <c:crossBetween val="between"/>
        <c:majorUnit val="5"/>
      </c:valAx>
      <c:spPr>
        <a:noFill/>
        <a:ln w="25400">
          <a:noFill/>
        </a:ln>
      </c:spPr>
    </c:plotArea>
    <c:legend>
      <c:legendPos val="b"/>
      <c:layout>
        <c:manualLayout>
          <c:xMode val="edge"/>
          <c:yMode val="edge"/>
          <c:x val="9.2853959292824237E-3"/>
          <c:y val="0.72155676189465479"/>
          <c:w val="0.97149736747701754"/>
          <c:h val="0.2541959760157434"/>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lv-LV"/>
        </a:p>
      </c:txPr>
    </c:legend>
    <c:plotVisOnly val="1"/>
    <c:dispBlanksAs val="gap"/>
    <c:showDLblsOverMax val="0"/>
  </c:chart>
  <c:spPr>
    <a:solidFill>
      <a:schemeClr val="bg1"/>
    </a:solidFill>
    <a:ln w="9525" cap="flat" cmpd="sng" algn="ctr">
      <a:noFill/>
      <a:round/>
    </a:ln>
    <a:effectLst/>
  </c:spPr>
  <c:txPr>
    <a:bodyPr/>
    <a:lstStyle/>
    <a:p>
      <a:pPr>
        <a:defRPr/>
      </a:pPr>
      <a:endParaRPr lang="lv-LV"/>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spPr>
            <a:solidFill>
              <a:schemeClr val="tx1">
                <a:lumMod val="65000"/>
                <a:lumOff val="35000"/>
              </a:schemeClr>
            </a:solidFill>
            <a:ln>
              <a:noFill/>
            </a:ln>
            <a:effectLst/>
          </c:spPr>
          <c:invertIfNegative val="0"/>
          <c:dPt>
            <c:idx val="1"/>
            <c:invertIfNegative val="0"/>
            <c:bubble3D val="0"/>
            <c:spPr>
              <a:solidFill>
                <a:schemeClr val="accent1">
                  <a:lumMod val="75000"/>
                </a:schemeClr>
              </a:solidFill>
              <a:ln w="25400">
                <a:noFill/>
              </a:ln>
            </c:spPr>
            <c:extLst>
              <c:ext xmlns:c16="http://schemas.microsoft.com/office/drawing/2014/chart" uri="{C3380CC4-5D6E-409C-BE32-E72D297353CC}">
                <c16:uniqueId val="{00000001-2347-47D6-8329-6096233A62B6}"/>
              </c:ext>
            </c:extLst>
          </c:dPt>
          <c:dPt>
            <c:idx val="2"/>
            <c:invertIfNegative val="0"/>
            <c:bubble3D val="0"/>
            <c:spPr>
              <a:solidFill>
                <a:srgbClr val="00B050"/>
              </a:solidFill>
              <a:ln>
                <a:noFill/>
              </a:ln>
              <a:effectLst/>
            </c:spPr>
            <c:extLst>
              <c:ext xmlns:c16="http://schemas.microsoft.com/office/drawing/2014/chart" uri="{C3380CC4-5D6E-409C-BE32-E72D297353CC}">
                <c16:uniqueId val="{00000003-2347-47D6-8329-6096233A62B6}"/>
              </c:ext>
            </c:extLst>
          </c:dPt>
          <c:dPt>
            <c:idx val="4"/>
            <c:invertIfNegative val="0"/>
            <c:bubble3D val="0"/>
            <c:spPr>
              <a:solidFill>
                <a:srgbClr val="C00000"/>
              </a:solidFill>
              <a:ln>
                <a:noFill/>
              </a:ln>
              <a:effectLst/>
            </c:spPr>
            <c:extLst>
              <c:ext xmlns:c16="http://schemas.microsoft.com/office/drawing/2014/chart" uri="{C3380CC4-5D6E-409C-BE32-E72D297353CC}">
                <c16:uniqueId val="{00000005-2347-47D6-8329-6096233A62B6}"/>
              </c:ext>
            </c:extLst>
          </c:dPt>
          <c:dPt>
            <c:idx val="5"/>
            <c:invertIfNegative val="0"/>
            <c:bubble3D val="0"/>
            <c:spPr>
              <a:solidFill>
                <a:schemeClr val="tx1">
                  <a:lumMod val="65000"/>
                  <a:lumOff val="35000"/>
                </a:schemeClr>
              </a:solidFill>
              <a:ln w="25400">
                <a:noFill/>
              </a:ln>
            </c:spPr>
            <c:extLst>
              <c:ext xmlns:c16="http://schemas.microsoft.com/office/drawing/2014/chart" uri="{C3380CC4-5D6E-409C-BE32-E72D297353CC}">
                <c16:uniqueId val="{00000007-2347-47D6-8329-6096233A62B6}"/>
              </c:ext>
            </c:extLst>
          </c:dPt>
          <c:dPt>
            <c:idx val="10"/>
            <c:invertIfNegative val="0"/>
            <c:bubble3D val="0"/>
            <c:extLst>
              <c:ext xmlns:c16="http://schemas.microsoft.com/office/drawing/2014/chart" uri="{C3380CC4-5D6E-409C-BE32-E72D297353CC}">
                <c16:uniqueId val="{00000008-2347-47D6-8329-6096233A62B6}"/>
              </c:ext>
            </c:extLst>
          </c:dPt>
          <c:dPt>
            <c:idx val="11"/>
            <c:invertIfNegative val="0"/>
            <c:bubble3D val="0"/>
            <c:spPr>
              <a:solidFill>
                <a:schemeClr val="tx1">
                  <a:lumMod val="65000"/>
                  <a:lumOff val="35000"/>
                </a:schemeClr>
              </a:solidFill>
              <a:ln w="25400">
                <a:noFill/>
              </a:ln>
            </c:spPr>
            <c:extLst>
              <c:ext xmlns:c16="http://schemas.microsoft.com/office/drawing/2014/chart" uri="{C3380CC4-5D6E-409C-BE32-E72D297353CC}">
                <c16:uniqueId val="{0000000A-2347-47D6-8329-6096233A62B6}"/>
              </c:ext>
            </c:extLst>
          </c:dPt>
          <c:dPt>
            <c:idx val="16"/>
            <c:invertIfNegative val="0"/>
            <c:bubble3D val="0"/>
            <c:spPr>
              <a:solidFill>
                <a:srgbClr val="002060"/>
              </a:solidFill>
              <a:ln>
                <a:noFill/>
              </a:ln>
              <a:effectLst/>
            </c:spPr>
            <c:extLst>
              <c:ext xmlns:c16="http://schemas.microsoft.com/office/drawing/2014/chart" uri="{C3380CC4-5D6E-409C-BE32-E72D297353CC}">
                <c16:uniqueId val="{0000000C-2347-47D6-8329-6096233A62B6}"/>
              </c:ext>
            </c:extLst>
          </c:dPt>
          <c:dPt>
            <c:idx val="20"/>
            <c:invertIfNegative val="0"/>
            <c:bubble3D val="0"/>
            <c:extLst>
              <c:ext xmlns:c16="http://schemas.microsoft.com/office/drawing/2014/chart" uri="{C3380CC4-5D6E-409C-BE32-E72D297353CC}">
                <c16:uniqueId val="{0000000D-2347-47D6-8329-6096233A62B6}"/>
              </c:ext>
            </c:extLst>
          </c:dPt>
          <c:dPt>
            <c:idx val="21"/>
            <c:invertIfNegative val="0"/>
            <c:bubble3D val="0"/>
            <c:spPr>
              <a:solidFill>
                <a:schemeClr val="tx1">
                  <a:lumMod val="65000"/>
                  <a:lumOff val="35000"/>
                </a:schemeClr>
              </a:solidFill>
              <a:ln w="25400">
                <a:noFill/>
              </a:ln>
            </c:spPr>
            <c:extLst>
              <c:ext xmlns:c16="http://schemas.microsoft.com/office/drawing/2014/chart" uri="{C3380CC4-5D6E-409C-BE32-E72D297353CC}">
                <c16:uniqueId val="{0000000F-2347-47D6-8329-6096233A62B6}"/>
              </c:ext>
            </c:extLst>
          </c:dPt>
          <c:dPt>
            <c:idx val="23"/>
            <c:invertIfNegative val="0"/>
            <c:bubble3D val="0"/>
            <c:extLst>
              <c:ext xmlns:c16="http://schemas.microsoft.com/office/drawing/2014/chart" uri="{C3380CC4-5D6E-409C-BE32-E72D297353CC}">
                <c16:uniqueId val="{00000010-2347-47D6-8329-6096233A62B6}"/>
              </c:ext>
            </c:extLst>
          </c:dPt>
          <c:dPt>
            <c:idx val="24"/>
            <c:invertIfNegative val="0"/>
            <c:bubble3D val="0"/>
            <c:spPr>
              <a:solidFill>
                <a:schemeClr val="tx1">
                  <a:lumMod val="65000"/>
                  <a:lumOff val="35000"/>
                </a:schemeClr>
              </a:solidFill>
              <a:ln w="25400">
                <a:noFill/>
              </a:ln>
            </c:spPr>
            <c:extLst>
              <c:ext xmlns:c16="http://schemas.microsoft.com/office/drawing/2014/chart" uri="{C3380CC4-5D6E-409C-BE32-E72D297353CC}">
                <c16:uniqueId val="{00000012-2347-47D6-8329-6096233A62B6}"/>
              </c:ext>
            </c:extLst>
          </c:dPt>
          <c:dLbls>
            <c:spPr>
              <a:noFill/>
              <a:ln w="25400">
                <a:noFill/>
              </a:ln>
            </c:spPr>
            <c:txPr>
              <a:bodyPr rot="0" vert="horz"/>
              <a:lstStyle/>
              <a:p>
                <a:pPr>
                  <a:defRPr sz="800" b="0"/>
                </a:pPr>
                <a:endParaRPr lang="lv-LV"/>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Data!$A$12:$A$38</c:f>
              <c:strCache>
                <c:ptCount val="27"/>
                <c:pt idx="0">
                  <c:v>Īrija</c:v>
                </c:pt>
                <c:pt idx="1">
                  <c:v>Igaunija</c:v>
                </c:pt>
                <c:pt idx="2">
                  <c:v>Lietuva</c:v>
                </c:pt>
                <c:pt idx="3">
                  <c:v>Rumānija</c:v>
                </c:pt>
                <c:pt idx="4">
                  <c:v>Latvija</c:v>
                </c:pt>
                <c:pt idx="5">
                  <c:v>Dānija</c:v>
                </c:pt>
                <c:pt idx="6">
                  <c:v>Grieķija</c:v>
                </c:pt>
                <c:pt idx="7">
                  <c:v>Polija</c:v>
                </c:pt>
                <c:pt idx="8">
                  <c:v>Ungārija</c:v>
                </c:pt>
                <c:pt idx="9">
                  <c:v>Somija</c:v>
                </c:pt>
                <c:pt idx="10">
                  <c:v>Zviedrija</c:v>
                </c:pt>
                <c:pt idx="11">
                  <c:v>Slovēnija</c:v>
                </c:pt>
                <c:pt idx="12">
                  <c:v>Bulgārija</c:v>
                </c:pt>
                <c:pt idx="13">
                  <c:v>Nīderlande</c:v>
                </c:pt>
                <c:pt idx="14">
                  <c:v>Horvātija</c:v>
                </c:pt>
                <c:pt idx="15">
                  <c:v>Slovākija</c:v>
                </c:pt>
                <c:pt idx="16">
                  <c:v>ES27</c:v>
                </c:pt>
                <c:pt idx="17">
                  <c:v>Beļģija</c:v>
                </c:pt>
                <c:pt idx="18">
                  <c:v>Austrija</c:v>
                </c:pt>
                <c:pt idx="19">
                  <c:v>Kipra</c:v>
                </c:pt>
                <c:pt idx="20">
                  <c:v>Francija</c:v>
                </c:pt>
                <c:pt idx="21">
                  <c:v>Vācija</c:v>
                </c:pt>
                <c:pt idx="22">
                  <c:v>Itālija</c:v>
                </c:pt>
                <c:pt idx="23">
                  <c:v>Portugāle</c:v>
                </c:pt>
                <c:pt idx="24">
                  <c:v>Čehija</c:v>
                </c:pt>
                <c:pt idx="25">
                  <c:v>Malta</c:v>
                </c:pt>
                <c:pt idx="26">
                  <c:v>Spānija</c:v>
                </c:pt>
              </c:strCache>
            </c:strRef>
          </c:cat>
          <c:val>
            <c:numRef>
              <c:f>Data!$K$12:$K$38</c:f>
              <c:numCache>
                <c:formatCode>0.0</c:formatCode>
                <c:ptCount val="27"/>
                <c:pt idx="0">
                  <c:v>20.69016623973765</c:v>
                </c:pt>
                <c:pt idx="1">
                  <c:v>6.6929326946656005</c:v>
                </c:pt>
                <c:pt idx="2">
                  <c:v>2.1091856630040695</c:v>
                </c:pt>
                <c:pt idx="3">
                  <c:v>1.8860331925582869</c:v>
                </c:pt>
                <c:pt idx="4">
                  <c:v>0.88358640636299413</c:v>
                </c:pt>
                <c:pt idx="5">
                  <c:v>0.83954842091225146</c:v>
                </c:pt>
                <c:pt idx="6">
                  <c:v>0.66567140655646995</c:v>
                </c:pt>
                <c:pt idx="7">
                  <c:v>0.64854495986814698</c:v>
                </c:pt>
                <c:pt idx="8">
                  <c:v>0.50404218555557634</c:v>
                </c:pt>
                <c:pt idx="9">
                  <c:v>0.32564781276120414</c:v>
                </c:pt>
                <c:pt idx="10">
                  <c:v>-0.15443563203083954</c:v>
                </c:pt>
                <c:pt idx="11">
                  <c:v>-0.22044783891685427</c:v>
                </c:pt>
                <c:pt idx="12">
                  <c:v>-0.71997398413334679</c:v>
                </c:pt>
                <c:pt idx="13">
                  <c:v>-0.87237998674348205</c:v>
                </c:pt>
                <c:pt idx="14">
                  <c:v>-1.9754463409078369</c:v>
                </c:pt>
                <c:pt idx="15">
                  <c:v>-2.0676364706984458</c:v>
                </c:pt>
                <c:pt idx="16">
                  <c:v>-2.1870143265829967</c:v>
                </c:pt>
                <c:pt idx="17">
                  <c:v>-2.215749691760621</c:v>
                </c:pt>
                <c:pt idx="18">
                  <c:v>-2.4781556833828944</c:v>
                </c:pt>
                <c:pt idx="19">
                  <c:v>-2.5673285560600334</c:v>
                </c:pt>
                <c:pt idx="20">
                  <c:v>-3.2009481274787532</c:v>
                </c:pt>
                <c:pt idx="21">
                  <c:v>-3.2625503337208102</c:v>
                </c:pt>
                <c:pt idx="22">
                  <c:v>-3.7990026415967435</c:v>
                </c:pt>
                <c:pt idx="23">
                  <c:v>-4.5863289754953342</c:v>
                </c:pt>
                <c:pt idx="24">
                  <c:v>-4.7801127752155281</c:v>
                </c:pt>
                <c:pt idx="25">
                  <c:v>-6.6638523700398054</c:v>
                </c:pt>
                <c:pt idx="26">
                  <c:v>-6.8085673361979957</c:v>
                </c:pt>
              </c:numCache>
            </c:numRef>
          </c:val>
          <c:extLst>
            <c:ext xmlns:c16="http://schemas.microsoft.com/office/drawing/2014/chart" uri="{C3380CC4-5D6E-409C-BE32-E72D297353CC}">
              <c16:uniqueId val="{00000013-2347-47D6-8329-6096233A62B6}"/>
            </c:ext>
          </c:extLst>
        </c:ser>
        <c:dLbls>
          <c:showLegendKey val="0"/>
          <c:showVal val="0"/>
          <c:showCatName val="0"/>
          <c:showSerName val="0"/>
          <c:showPercent val="0"/>
          <c:showBubbleSize val="0"/>
        </c:dLbls>
        <c:gapWidth val="50"/>
        <c:overlap val="-27"/>
        <c:axId val="985087200"/>
        <c:axId val="1"/>
      </c:barChart>
      <c:catAx>
        <c:axId val="985087200"/>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5400000" vert="horz"/>
          <a:lstStyle/>
          <a:p>
            <a:pPr>
              <a:defRPr sz="900"/>
            </a:pPr>
            <a:endParaRPr lang="lv-LV"/>
          </a:p>
        </c:txPr>
        <c:crossAx val="1"/>
        <c:crosses val="autoZero"/>
        <c:auto val="1"/>
        <c:lblAlgn val="ctr"/>
        <c:lblOffset val="100"/>
        <c:noMultiLvlLbl val="0"/>
      </c:catAx>
      <c:valAx>
        <c:axId val="1"/>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ln w="6350">
            <a:noFill/>
          </a:ln>
        </c:spPr>
        <c:txPr>
          <a:bodyPr rot="-60000000" vert="horz"/>
          <a:lstStyle/>
          <a:p>
            <a:pPr>
              <a:defRPr sz="900">
                <a:solidFill>
                  <a:sysClr val="windowText" lastClr="000000"/>
                </a:solidFill>
              </a:defRPr>
            </a:pPr>
            <a:endParaRPr lang="lv-LV"/>
          </a:p>
        </c:txPr>
        <c:crossAx val="985087200"/>
        <c:crosses val="autoZero"/>
        <c:crossBetween val="between"/>
      </c:valAx>
      <c:spPr>
        <a:noFill/>
        <a:ln w="25400">
          <a:noFill/>
        </a:ln>
      </c:spPr>
    </c:plotArea>
    <c:plotVisOnly val="1"/>
    <c:dispBlanksAs val="gap"/>
    <c:showDLblsOverMax val="0"/>
  </c:chart>
  <c:spPr>
    <a:solidFill>
      <a:schemeClr val="bg1"/>
    </a:solidFill>
    <a:ln w="9525" cap="flat" cmpd="sng" algn="ctr">
      <a:noFill/>
      <a:round/>
    </a:ln>
    <a:effectLst/>
  </c:spPr>
  <c:txPr>
    <a:bodyPr/>
    <a:lstStyle/>
    <a:p>
      <a:pPr>
        <a:defRPr>
          <a:latin typeface="Times New Roman" panose="02020603050405020304" pitchFamily="18" charset="0"/>
          <a:cs typeface="Times New Roman" panose="02020603050405020304" pitchFamily="18" charset="0"/>
        </a:defRPr>
      </a:pPr>
      <a:endParaRPr lang="lv-LV"/>
    </a:p>
  </c:txPr>
  <c:externalData r:id="rId1">
    <c:autoUpdate val="0"/>
  </c:externalData>
</c:chartSpace>
</file>

<file path=word/charts/chart4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3554193547119314"/>
          <c:y val="3.4450360162856249E-2"/>
          <c:w val="0.83081064829461826"/>
          <c:h val="0.53708331506906204"/>
        </c:manualLayout>
      </c:layout>
      <c:barChart>
        <c:barDir val="col"/>
        <c:grouping val="stacked"/>
        <c:varyColors val="0"/>
        <c:ser>
          <c:idx val="0"/>
          <c:order val="0"/>
          <c:tx>
            <c:strRef>
              <c:f>Pakalp_eksports_Q!$AF$7</c:f>
              <c:strCache>
                <c:ptCount val="1"/>
                <c:pt idx="0">
                  <c:v>Transporta pakalpojumi</c:v>
                </c:pt>
              </c:strCache>
            </c:strRef>
          </c:tx>
          <c:spPr>
            <a:solidFill>
              <a:schemeClr val="accent1"/>
            </a:solidFill>
            <a:ln>
              <a:noFill/>
            </a:ln>
            <a:effectLst/>
          </c:spPr>
          <c:invertIfNegative val="0"/>
          <c:cat>
            <c:multiLvlStrRef>
              <c:f>Pakalp_eksports_Q!$BQ$5:$BV$6</c:f>
              <c:multiLvlStrCache>
                <c:ptCount val="6"/>
                <c:lvl>
                  <c:pt idx="0">
                    <c:v>I</c:v>
                  </c:pt>
                  <c:pt idx="1">
                    <c:v>II</c:v>
                  </c:pt>
                  <c:pt idx="2">
                    <c:v>III</c:v>
                  </c:pt>
                  <c:pt idx="3">
                    <c:v>IV</c:v>
                  </c:pt>
                  <c:pt idx="4">
                    <c:v>I</c:v>
                  </c:pt>
                  <c:pt idx="5">
                    <c:v>II</c:v>
                  </c:pt>
                </c:lvl>
                <c:lvl>
                  <c:pt idx="0">
                    <c:v>2020</c:v>
                  </c:pt>
                  <c:pt idx="4">
                    <c:v>2021</c:v>
                  </c:pt>
                </c:lvl>
              </c:multiLvlStrCache>
            </c:multiLvlStrRef>
          </c:cat>
          <c:val>
            <c:numRef>
              <c:f>Pakalp_eksports_Q!$BQ$7:$BV$7</c:f>
              <c:numCache>
                <c:formatCode>General</c:formatCode>
                <c:ptCount val="6"/>
                <c:pt idx="0">
                  <c:v>402</c:v>
                </c:pt>
                <c:pt idx="1">
                  <c:v>296</c:v>
                </c:pt>
                <c:pt idx="2">
                  <c:v>332</c:v>
                </c:pt>
                <c:pt idx="3">
                  <c:v>372</c:v>
                </c:pt>
                <c:pt idx="4">
                  <c:v>348</c:v>
                </c:pt>
                <c:pt idx="5">
                  <c:v>359</c:v>
                </c:pt>
              </c:numCache>
            </c:numRef>
          </c:val>
          <c:extLst>
            <c:ext xmlns:c16="http://schemas.microsoft.com/office/drawing/2014/chart" uri="{C3380CC4-5D6E-409C-BE32-E72D297353CC}">
              <c16:uniqueId val="{00000000-8D6C-42B5-AC43-0B5B07281CDF}"/>
            </c:ext>
          </c:extLst>
        </c:ser>
        <c:ser>
          <c:idx val="1"/>
          <c:order val="1"/>
          <c:tx>
            <c:strRef>
              <c:f>Pakalp_eksports_Q!$AF$8</c:f>
              <c:strCache>
                <c:ptCount val="1"/>
                <c:pt idx="0">
                  <c:v>Braucieni</c:v>
                </c:pt>
              </c:strCache>
            </c:strRef>
          </c:tx>
          <c:spPr>
            <a:solidFill>
              <a:schemeClr val="accent2"/>
            </a:solidFill>
            <a:ln>
              <a:noFill/>
            </a:ln>
            <a:effectLst/>
          </c:spPr>
          <c:invertIfNegative val="0"/>
          <c:cat>
            <c:multiLvlStrRef>
              <c:f>Pakalp_eksports_Q!$BQ$5:$BV$6</c:f>
              <c:multiLvlStrCache>
                <c:ptCount val="6"/>
                <c:lvl>
                  <c:pt idx="0">
                    <c:v>I</c:v>
                  </c:pt>
                  <c:pt idx="1">
                    <c:v>II</c:v>
                  </c:pt>
                  <c:pt idx="2">
                    <c:v>III</c:v>
                  </c:pt>
                  <c:pt idx="3">
                    <c:v>IV</c:v>
                  </c:pt>
                  <c:pt idx="4">
                    <c:v>I</c:v>
                  </c:pt>
                  <c:pt idx="5">
                    <c:v>II</c:v>
                  </c:pt>
                </c:lvl>
                <c:lvl>
                  <c:pt idx="0">
                    <c:v>2020</c:v>
                  </c:pt>
                  <c:pt idx="4">
                    <c:v>2021</c:v>
                  </c:pt>
                </c:lvl>
              </c:multiLvlStrCache>
            </c:multiLvlStrRef>
          </c:cat>
          <c:val>
            <c:numRef>
              <c:f>Pakalp_eksports_Q!$BQ$8:$BV$8</c:f>
              <c:numCache>
                <c:formatCode>General</c:formatCode>
                <c:ptCount val="6"/>
                <c:pt idx="0">
                  <c:v>159</c:v>
                </c:pt>
                <c:pt idx="1">
                  <c:v>59</c:v>
                </c:pt>
                <c:pt idx="2">
                  <c:v>111</c:v>
                </c:pt>
                <c:pt idx="3">
                  <c:v>50</c:v>
                </c:pt>
                <c:pt idx="4">
                  <c:v>35</c:v>
                </c:pt>
                <c:pt idx="5">
                  <c:v>48</c:v>
                </c:pt>
              </c:numCache>
            </c:numRef>
          </c:val>
          <c:extLst>
            <c:ext xmlns:c16="http://schemas.microsoft.com/office/drawing/2014/chart" uri="{C3380CC4-5D6E-409C-BE32-E72D297353CC}">
              <c16:uniqueId val="{00000001-8D6C-42B5-AC43-0B5B07281CDF}"/>
            </c:ext>
          </c:extLst>
        </c:ser>
        <c:ser>
          <c:idx val="2"/>
          <c:order val="2"/>
          <c:tx>
            <c:strRef>
              <c:f>Pakalp_eksports_Q!$AF$9</c:f>
              <c:strCache>
                <c:ptCount val="1"/>
                <c:pt idx="0">
                  <c:v>Telesakaru un IT</c:v>
                </c:pt>
              </c:strCache>
            </c:strRef>
          </c:tx>
          <c:spPr>
            <a:solidFill>
              <a:schemeClr val="accent3"/>
            </a:solidFill>
            <a:ln>
              <a:noFill/>
            </a:ln>
            <a:effectLst/>
          </c:spPr>
          <c:invertIfNegative val="0"/>
          <c:cat>
            <c:multiLvlStrRef>
              <c:f>Pakalp_eksports_Q!$BQ$5:$BV$6</c:f>
              <c:multiLvlStrCache>
                <c:ptCount val="6"/>
                <c:lvl>
                  <c:pt idx="0">
                    <c:v>I</c:v>
                  </c:pt>
                  <c:pt idx="1">
                    <c:v>II</c:v>
                  </c:pt>
                  <c:pt idx="2">
                    <c:v>III</c:v>
                  </c:pt>
                  <c:pt idx="3">
                    <c:v>IV</c:v>
                  </c:pt>
                  <c:pt idx="4">
                    <c:v>I</c:v>
                  </c:pt>
                  <c:pt idx="5">
                    <c:v>II</c:v>
                  </c:pt>
                </c:lvl>
                <c:lvl>
                  <c:pt idx="0">
                    <c:v>2020</c:v>
                  </c:pt>
                  <c:pt idx="4">
                    <c:v>2021</c:v>
                  </c:pt>
                </c:lvl>
              </c:multiLvlStrCache>
            </c:multiLvlStrRef>
          </c:cat>
          <c:val>
            <c:numRef>
              <c:f>Pakalp_eksports_Q!$BQ$9:$BV$9</c:f>
              <c:numCache>
                <c:formatCode>General</c:formatCode>
                <c:ptCount val="6"/>
                <c:pt idx="0">
                  <c:v>206</c:v>
                </c:pt>
                <c:pt idx="1">
                  <c:v>206</c:v>
                </c:pt>
                <c:pt idx="2">
                  <c:v>202</c:v>
                </c:pt>
                <c:pt idx="3">
                  <c:v>235</c:v>
                </c:pt>
                <c:pt idx="4">
                  <c:v>211</c:v>
                </c:pt>
                <c:pt idx="5">
                  <c:v>236</c:v>
                </c:pt>
              </c:numCache>
            </c:numRef>
          </c:val>
          <c:extLst>
            <c:ext xmlns:c16="http://schemas.microsoft.com/office/drawing/2014/chart" uri="{C3380CC4-5D6E-409C-BE32-E72D297353CC}">
              <c16:uniqueId val="{00000002-8D6C-42B5-AC43-0B5B07281CDF}"/>
            </c:ext>
          </c:extLst>
        </c:ser>
        <c:ser>
          <c:idx val="3"/>
          <c:order val="3"/>
          <c:tx>
            <c:strRef>
              <c:f>Pakalp_eksports_Q!$AF$10</c:f>
              <c:strCache>
                <c:ptCount val="1"/>
                <c:pt idx="0">
                  <c:v>Finanšu pakalpojumi</c:v>
                </c:pt>
              </c:strCache>
            </c:strRef>
          </c:tx>
          <c:spPr>
            <a:solidFill>
              <a:schemeClr val="accent4"/>
            </a:solidFill>
            <a:ln>
              <a:noFill/>
            </a:ln>
            <a:effectLst/>
          </c:spPr>
          <c:invertIfNegative val="0"/>
          <c:cat>
            <c:multiLvlStrRef>
              <c:f>Pakalp_eksports_Q!$BQ$5:$BV$6</c:f>
              <c:multiLvlStrCache>
                <c:ptCount val="6"/>
                <c:lvl>
                  <c:pt idx="0">
                    <c:v>I</c:v>
                  </c:pt>
                  <c:pt idx="1">
                    <c:v>II</c:v>
                  </c:pt>
                  <c:pt idx="2">
                    <c:v>III</c:v>
                  </c:pt>
                  <c:pt idx="3">
                    <c:v>IV</c:v>
                  </c:pt>
                  <c:pt idx="4">
                    <c:v>I</c:v>
                  </c:pt>
                  <c:pt idx="5">
                    <c:v>II</c:v>
                  </c:pt>
                </c:lvl>
                <c:lvl>
                  <c:pt idx="0">
                    <c:v>2020</c:v>
                  </c:pt>
                  <c:pt idx="4">
                    <c:v>2021</c:v>
                  </c:pt>
                </c:lvl>
              </c:multiLvlStrCache>
            </c:multiLvlStrRef>
          </c:cat>
          <c:val>
            <c:numRef>
              <c:f>Pakalp_eksports_Q!$BQ$10:$BV$10</c:f>
              <c:numCache>
                <c:formatCode>General</c:formatCode>
                <c:ptCount val="6"/>
                <c:pt idx="0">
                  <c:v>38</c:v>
                </c:pt>
                <c:pt idx="1">
                  <c:v>37</c:v>
                </c:pt>
                <c:pt idx="2">
                  <c:v>38</c:v>
                </c:pt>
                <c:pt idx="3">
                  <c:v>33</c:v>
                </c:pt>
                <c:pt idx="4">
                  <c:v>42</c:v>
                </c:pt>
                <c:pt idx="5">
                  <c:v>33</c:v>
                </c:pt>
              </c:numCache>
            </c:numRef>
          </c:val>
          <c:extLst>
            <c:ext xmlns:c16="http://schemas.microsoft.com/office/drawing/2014/chart" uri="{C3380CC4-5D6E-409C-BE32-E72D297353CC}">
              <c16:uniqueId val="{00000003-8D6C-42B5-AC43-0B5B07281CDF}"/>
            </c:ext>
          </c:extLst>
        </c:ser>
        <c:ser>
          <c:idx val="4"/>
          <c:order val="4"/>
          <c:tx>
            <c:strRef>
              <c:f>Pakalp_eksports_Q!$AF$11</c:f>
              <c:strCache>
                <c:ptCount val="1"/>
                <c:pt idx="0">
                  <c:v>Būvniecība</c:v>
                </c:pt>
              </c:strCache>
            </c:strRef>
          </c:tx>
          <c:spPr>
            <a:solidFill>
              <a:schemeClr val="accent5"/>
            </a:solidFill>
            <a:ln>
              <a:noFill/>
            </a:ln>
            <a:effectLst/>
          </c:spPr>
          <c:invertIfNegative val="0"/>
          <c:cat>
            <c:multiLvlStrRef>
              <c:f>Pakalp_eksports_Q!$BQ$5:$BV$6</c:f>
              <c:multiLvlStrCache>
                <c:ptCount val="6"/>
                <c:lvl>
                  <c:pt idx="0">
                    <c:v>I</c:v>
                  </c:pt>
                  <c:pt idx="1">
                    <c:v>II</c:v>
                  </c:pt>
                  <c:pt idx="2">
                    <c:v>III</c:v>
                  </c:pt>
                  <c:pt idx="3">
                    <c:v>IV</c:v>
                  </c:pt>
                  <c:pt idx="4">
                    <c:v>I</c:v>
                  </c:pt>
                  <c:pt idx="5">
                    <c:v>II</c:v>
                  </c:pt>
                </c:lvl>
                <c:lvl>
                  <c:pt idx="0">
                    <c:v>2020</c:v>
                  </c:pt>
                  <c:pt idx="4">
                    <c:v>2021</c:v>
                  </c:pt>
                </c:lvl>
              </c:multiLvlStrCache>
            </c:multiLvlStrRef>
          </c:cat>
          <c:val>
            <c:numRef>
              <c:f>Pakalp_eksports_Q!$BQ$11:$BV$11</c:f>
              <c:numCache>
                <c:formatCode>General</c:formatCode>
                <c:ptCount val="6"/>
                <c:pt idx="0">
                  <c:v>76</c:v>
                </c:pt>
                <c:pt idx="1">
                  <c:v>90</c:v>
                </c:pt>
                <c:pt idx="2">
                  <c:v>86</c:v>
                </c:pt>
                <c:pt idx="3">
                  <c:v>105</c:v>
                </c:pt>
                <c:pt idx="4">
                  <c:v>82</c:v>
                </c:pt>
                <c:pt idx="5">
                  <c:v>76</c:v>
                </c:pt>
              </c:numCache>
            </c:numRef>
          </c:val>
          <c:extLst>
            <c:ext xmlns:c16="http://schemas.microsoft.com/office/drawing/2014/chart" uri="{C3380CC4-5D6E-409C-BE32-E72D297353CC}">
              <c16:uniqueId val="{00000004-8D6C-42B5-AC43-0B5B07281CDF}"/>
            </c:ext>
          </c:extLst>
        </c:ser>
        <c:ser>
          <c:idx val="5"/>
          <c:order val="5"/>
          <c:tx>
            <c:strRef>
              <c:f>Pakalp_eksports_Q!$AF$12</c:f>
              <c:strCache>
                <c:ptCount val="1"/>
                <c:pt idx="0">
                  <c:v>Citi pakalpojumi</c:v>
                </c:pt>
              </c:strCache>
            </c:strRef>
          </c:tx>
          <c:spPr>
            <a:solidFill>
              <a:schemeClr val="accent6"/>
            </a:solidFill>
            <a:ln>
              <a:noFill/>
            </a:ln>
            <a:effectLst/>
          </c:spPr>
          <c:invertIfNegative val="0"/>
          <c:cat>
            <c:multiLvlStrRef>
              <c:f>Pakalp_eksports_Q!$BQ$5:$BV$6</c:f>
              <c:multiLvlStrCache>
                <c:ptCount val="6"/>
                <c:lvl>
                  <c:pt idx="0">
                    <c:v>I</c:v>
                  </c:pt>
                  <c:pt idx="1">
                    <c:v>II</c:v>
                  </c:pt>
                  <c:pt idx="2">
                    <c:v>III</c:v>
                  </c:pt>
                  <c:pt idx="3">
                    <c:v>IV</c:v>
                  </c:pt>
                  <c:pt idx="4">
                    <c:v>I</c:v>
                  </c:pt>
                  <c:pt idx="5">
                    <c:v>II</c:v>
                  </c:pt>
                </c:lvl>
                <c:lvl>
                  <c:pt idx="0">
                    <c:v>2020</c:v>
                  </c:pt>
                  <c:pt idx="4">
                    <c:v>2021</c:v>
                  </c:pt>
                </c:lvl>
              </c:multiLvlStrCache>
            </c:multiLvlStrRef>
          </c:cat>
          <c:val>
            <c:numRef>
              <c:f>Pakalp_eksports_Q!$BQ$12:$BV$12</c:f>
              <c:numCache>
                <c:formatCode>General</c:formatCode>
                <c:ptCount val="6"/>
                <c:pt idx="0">
                  <c:v>274</c:v>
                </c:pt>
                <c:pt idx="1">
                  <c:v>294</c:v>
                </c:pt>
                <c:pt idx="2">
                  <c:v>315</c:v>
                </c:pt>
                <c:pt idx="3">
                  <c:v>359</c:v>
                </c:pt>
                <c:pt idx="4">
                  <c:v>312</c:v>
                </c:pt>
                <c:pt idx="5">
                  <c:v>374</c:v>
                </c:pt>
              </c:numCache>
            </c:numRef>
          </c:val>
          <c:extLst>
            <c:ext xmlns:c16="http://schemas.microsoft.com/office/drawing/2014/chart" uri="{C3380CC4-5D6E-409C-BE32-E72D297353CC}">
              <c16:uniqueId val="{00000005-8D6C-42B5-AC43-0B5B07281CDF}"/>
            </c:ext>
          </c:extLst>
        </c:ser>
        <c:dLbls>
          <c:showLegendKey val="0"/>
          <c:showVal val="0"/>
          <c:showCatName val="0"/>
          <c:showSerName val="0"/>
          <c:showPercent val="0"/>
          <c:showBubbleSize val="0"/>
        </c:dLbls>
        <c:gapWidth val="50"/>
        <c:overlap val="100"/>
        <c:axId val="493465056"/>
        <c:axId val="493457184"/>
      </c:barChart>
      <c:catAx>
        <c:axId val="493465056"/>
        <c:scaling>
          <c:orientation val="minMax"/>
        </c:scaling>
        <c:delete val="0"/>
        <c:axPos val="b"/>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v-LV"/>
          </a:p>
        </c:txPr>
        <c:crossAx val="493457184"/>
        <c:crosses val="autoZero"/>
        <c:auto val="1"/>
        <c:lblAlgn val="ctr"/>
        <c:lblOffset val="100"/>
        <c:noMultiLvlLbl val="0"/>
      </c:catAx>
      <c:valAx>
        <c:axId val="493457184"/>
        <c:scaling>
          <c:orientation val="minMax"/>
          <c:max val="1200"/>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v-LV"/>
          </a:p>
        </c:txPr>
        <c:crossAx val="493465056"/>
        <c:crosses val="autoZero"/>
        <c:crossBetween val="between"/>
      </c:valAx>
      <c:spPr>
        <a:noFill/>
        <a:ln>
          <a:noFill/>
        </a:ln>
        <a:effectLst/>
      </c:spPr>
    </c:plotArea>
    <c:legend>
      <c:legendPos val="b"/>
      <c:layout>
        <c:manualLayout>
          <c:xMode val="edge"/>
          <c:yMode val="edge"/>
          <c:x val="5.420190868059567E-2"/>
          <c:y val="0.69015321224313708"/>
          <c:w val="0.90266731466205807"/>
          <c:h val="0.24831734152187906"/>
        </c:manualLayout>
      </c:layout>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v-LV"/>
        </a:p>
      </c:txPr>
    </c:legend>
    <c:plotVisOnly val="1"/>
    <c:dispBlanksAs val="gap"/>
    <c:showDLblsOverMax val="0"/>
  </c:chart>
  <c:spPr>
    <a:solidFill>
      <a:schemeClr val="bg1"/>
    </a:solidFill>
    <a:ln w="9525" cap="flat" cmpd="sng" algn="ctr">
      <a:noFill/>
      <a:round/>
    </a:ln>
    <a:effectLst/>
  </c:spPr>
  <c:txPr>
    <a:bodyPr/>
    <a:lstStyle/>
    <a:p>
      <a:pPr>
        <a:defRPr sz="900">
          <a:solidFill>
            <a:sysClr val="windowText" lastClr="000000"/>
          </a:solidFill>
          <a:latin typeface="Times New Roman" panose="02020603050405020304" pitchFamily="18" charset="0"/>
          <a:cs typeface="Times New Roman" panose="02020603050405020304" pitchFamily="18" charset="0"/>
        </a:defRPr>
      </a:pPr>
      <a:endParaRPr lang="lv-LV"/>
    </a:p>
  </c:txPr>
  <c:externalData r:id="rId3">
    <c:autoUpdate val="0"/>
  </c:externalData>
</c:chartSpace>
</file>

<file path=word/charts/chart4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900" b="1"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lv-LV" sz="900" b="1"/>
              <a:t>milj. eiro</a:t>
            </a:r>
          </a:p>
        </c:rich>
      </c:tx>
      <c:layout>
        <c:manualLayout>
          <c:xMode val="edge"/>
          <c:yMode val="edge"/>
          <c:x val="7.6586044274348103E-4"/>
          <c:y val="0"/>
        </c:manualLayout>
      </c:layout>
      <c:overlay val="0"/>
      <c:spPr>
        <a:noFill/>
        <a:ln>
          <a:noFill/>
        </a:ln>
        <a:effectLst/>
      </c:spPr>
      <c:txPr>
        <a:bodyPr rot="0" spcFirstLastPara="1" vertOverflow="ellipsis" vert="horz" wrap="square" anchor="ctr" anchorCtr="1"/>
        <a:lstStyle/>
        <a:p>
          <a:pPr>
            <a:defRPr sz="900" b="1"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lv-LV"/>
        </a:p>
      </c:txPr>
    </c:title>
    <c:autoTitleDeleted val="0"/>
    <c:plotArea>
      <c:layout>
        <c:manualLayout>
          <c:layoutTarget val="inner"/>
          <c:xMode val="edge"/>
          <c:yMode val="edge"/>
          <c:x val="6.3469098235230559E-2"/>
          <c:y val="8.9168133395090332E-2"/>
          <c:w val="0.87379657224121887"/>
          <c:h val="0.68863078724120785"/>
        </c:manualLayout>
      </c:layout>
      <c:barChart>
        <c:barDir val="col"/>
        <c:grouping val="stacked"/>
        <c:varyColors val="0"/>
        <c:ser>
          <c:idx val="0"/>
          <c:order val="0"/>
          <c:tx>
            <c:strRef>
              <c:f>'Tekošais konts_Q'!$U$7</c:f>
              <c:strCache>
                <c:ptCount val="1"/>
                <c:pt idx="0">
                  <c:v>Preces</c:v>
                </c:pt>
              </c:strCache>
            </c:strRef>
          </c:tx>
          <c:spPr>
            <a:solidFill>
              <a:schemeClr val="accent1"/>
            </a:solidFill>
            <a:ln>
              <a:noFill/>
            </a:ln>
            <a:effectLst/>
          </c:spPr>
          <c:invertIfNegative val="0"/>
          <c:cat>
            <c:multiLvlStrRef>
              <c:f>'Tekošais konts_Q'!$AE$5:$AZ$6</c:f>
              <c:multiLvlStrCache>
                <c:ptCount val="22"/>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pt idx="19">
                    <c:v>IV</c:v>
                  </c:pt>
                  <c:pt idx="20">
                    <c:v>I</c:v>
                  </c:pt>
                  <c:pt idx="21">
                    <c:v>II</c:v>
                  </c:pt>
                </c:lvl>
                <c:lvl>
                  <c:pt idx="0">
                    <c:v>2016</c:v>
                  </c:pt>
                  <c:pt idx="4">
                    <c:v>2017</c:v>
                  </c:pt>
                  <c:pt idx="8">
                    <c:v>2018</c:v>
                  </c:pt>
                  <c:pt idx="12">
                    <c:v>2019</c:v>
                  </c:pt>
                  <c:pt idx="16">
                    <c:v>2020</c:v>
                  </c:pt>
                  <c:pt idx="20">
                    <c:v>2021</c:v>
                  </c:pt>
                </c:lvl>
              </c:multiLvlStrCache>
            </c:multiLvlStrRef>
          </c:cat>
          <c:val>
            <c:numRef>
              <c:f>'Tekošais konts_Q'!$AE$7:$AZ$7</c:f>
              <c:numCache>
                <c:formatCode>0</c:formatCode>
                <c:ptCount val="22"/>
                <c:pt idx="0">
                  <c:v>-496</c:v>
                </c:pt>
                <c:pt idx="1">
                  <c:v>-538</c:v>
                </c:pt>
                <c:pt idx="2">
                  <c:v>-484</c:v>
                </c:pt>
                <c:pt idx="3">
                  <c:v>-545</c:v>
                </c:pt>
                <c:pt idx="4">
                  <c:v>-560</c:v>
                </c:pt>
                <c:pt idx="5">
                  <c:v>-652</c:v>
                </c:pt>
                <c:pt idx="6">
                  <c:v>-804</c:v>
                </c:pt>
                <c:pt idx="7">
                  <c:v>-434</c:v>
                </c:pt>
                <c:pt idx="8">
                  <c:v>-547</c:v>
                </c:pt>
                <c:pt idx="9">
                  <c:v>-409</c:v>
                </c:pt>
                <c:pt idx="10" formatCode="General">
                  <c:v>-975</c:v>
                </c:pt>
                <c:pt idx="11" formatCode="General">
                  <c:v>-589</c:v>
                </c:pt>
                <c:pt idx="12" formatCode="General">
                  <c:v>-506</c:v>
                </c:pt>
                <c:pt idx="13" formatCode="General">
                  <c:v>-730</c:v>
                </c:pt>
                <c:pt idx="14" formatCode="General">
                  <c:v>-769</c:v>
                </c:pt>
                <c:pt idx="15" formatCode="General">
                  <c:v>-637</c:v>
                </c:pt>
                <c:pt idx="16" formatCode="General">
                  <c:v>-479</c:v>
                </c:pt>
                <c:pt idx="17" formatCode="General">
                  <c:v>-300</c:v>
                </c:pt>
                <c:pt idx="18" formatCode="General">
                  <c:v>-480</c:v>
                </c:pt>
                <c:pt idx="19" formatCode="General">
                  <c:v>-230</c:v>
                </c:pt>
                <c:pt idx="20" formatCode="General">
                  <c:v>-367</c:v>
                </c:pt>
                <c:pt idx="21" formatCode="General">
                  <c:v>-767</c:v>
                </c:pt>
              </c:numCache>
            </c:numRef>
          </c:val>
          <c:extLst>
            <c:ext xmlns:c16="http://schemas.microsoft.com/office/drawing/2014/chart" uri="{C3380CC4-5D6E-409C-BE32-E72D297353CC}">
              <c16:uniqueId val="{00000000-18F9-416A-8726-5E3A101FB4F7}"/>
            </c:ext>
          </c:extLst>
        </c:ser>
        <c:ser>
          <c:idx val="1"/>
          <c:order val="1"/>
          <c:tx>
            <c:strRef>
              <c:f>'Tekošais konts_Q'!$U$8</c:f>
              <c:strCache>
                <c:ptCount val="1"/>
                <c:pt idx="0">
                  <c:v>Pakalpojumi</c:v>
                </c:pt>
              </c:strCache>
            </c:strRef>
          </c:tx>
          <c:spPr>
            <a:solidFill>
              <a:schemeClr val="accent2"/>
            </a:solidFill>
            <a:ln>
              <a:noFill/>
            </a:ln>
            <a:effectLst/>
          </c:spPr>
          <c:invertIfNegative val="0"/>
          <c:cat>
            <c:multiLvlStrRef>
              <c:f>'Tekošais konts_Q'!$AE$5:$AZ$6</c:f>
              <c:multiLvlStrCache>
                <c:ptCount val="22"/>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pt idx="19">
                    <c:v>IV</c:v>
                  </c:pt>
                  <c:pt idx="20">
                    <c:v>I</c:v>
                  </c:pt>
                  <c:pt idx="21">
                    <c:v>II</c:v>
                  </c:pt>
                </c:lvl>
                <c:lvl>
                  <c:pt idx="0">
                    <c:v>2016</c:v>
                  </c:pt>
                  <c:pt idx="4">
                    <c:v>2017</c:v>
                  </c:pt>
                  <c:pt idx="8">
                    <c:v>2018</c:v>
                  </c:pt>
                  <c:pt idx="12">
                    <c:v>2019</c:v>
                  </c:pt>
                  <c:pt idx="16">
                    <c:v>2020</c:v>
                  </c:pt>
                  <c:pt idx="20">
                    <c:v>2021</c:v>
                  </c:pt>
                </c:lvl>
              </c:multiLvlStrCache>
            </c:multiLvlStrRef>
          </c:cat>
          <c:val>
            <c:numRef>
              <c:f>'Tekošais konts_Q'!$AE$8:$AZ$8</c:f>
              <c:numCache>
                <c:formatCode>0</c:formatCode>
                <c:ptCount val="22"/>
                <c:pt idx="0">
                  <c:v>542</c:v>
                </c:pt>
                <c:pt idx="1">
                  <c:v>533</c:v>
                </c:pt>
                <c:pt idx="2">
                  <c:v>537</c:v>
                </c:pt>
                <c:pt idx="3">
                  <c:v>534</c:v>
                </c:pt>
                <c:pt idx="4">
                  <c:v>577</c:v>
                </c:pt>
                <c:pt idx="5">
                  <c:v>540</c:v>
                </c:pt>
                <c:pt idx="6">
                  <c:v>586</c:v>
                </c:pt>
                <c:pt idx="7">
                  <c:v>573</c:v>
                </c:pt>
                <c:pt idx="8">
                  <c:v>517</c:v>
                </c:pt>
                <c:pt idx="9">
                  <c:v>616</c:v>
                </c:pt>
                <c:pt idx="10" formatCode="General">
                  <c:v>613</c:v>
                </c:pt>
                <c:pt idx="11" formatCode="General">
                  <c:v>570</c:v>
                </c:pt>
                <c:pt idx="12" formatCode="General">
                  <c:v>537</c:v>
                </c:pt>
                <c:pt idx="13" formatCode="General">
                  <c:v>626</c:v>
                </c:pt>
                <c:pt idx="14" formatCode="General">
                  <c:v>634</c:v>
                </c:pt>
                <c:pt idx="15" formatCode="General">
                  <c:v>629</c:v>
                </c:pt>
                <c:pt idx="16" formatCode="General">
                  <c:v>480</c:v>
                </c:pt>
                <c:pt idx="17" formatCode="General">
                  <c:v>453</c:v>
                </c:pt>
                <c:pt idx="18" formatCode="General">
                  <c:v>443</c:v>
                </c:pt>
                <c:pt idx="19" formatCode="General">
                  <c:v>459</c:v>
                </c:pt>
                <c:pt idx="20" formatCode="General">
                  <c:v>416</c:v>
                </c:pt>
                <c:pt idx="21" formatCode="General">
                  <c:v>401</c:v>
                </c:pt>
              </c:numCache>
            </c:numRef>
          </c:val>
          <c:extLst>
            <c:ext xmlns:c16="http://schemas.microsoft.com/office/drawing/2014/chart" uri="{C3380CC4-5D6E-409C-BE32-E72D297353CC}">
              <c16:uniqueId val="{00000001-18F9-416A-8726-5E3A101FB4F7}"/>
            </c:ext>
          </c:extLst>
        </c:ser>
        <c:ser>
          <c:idx val="2"/>
          <c:order val="2"/>
          <c:tx>
            <c:strRef>
              <c:f>'Tekošais konts_Q'!$U$9</c:f>
              <c:strCache>
                <c:ptCount val="1"/>
                <c:pt idx="0">
                  <c:v>Sākotnējie ienākumi</c:v>
                </c:pt>
              </c:strCache>
            </c:strRef>
          </c:tx>
          <c:spPr>
            <a:solidFill>
              <a:schemeClr val="accent3"/>
            </a:solidFill>
            <a:ln>
              <a:noFill/>
            </a:ln>
            <a:effectLst/>
          </c:spPr>
          <c:invertIfNegative val="0"/>
          <c:cat>
            <c:multiLvlStrRef>
              <c:f>'Tekošais konts_Q'!$AE$5:$AZ$6</c:f>
              <c:multiLvlStrCache>
                <c:ptCount val="22"/>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pt idx="19">
                    <c:v>IV</c:v>
                  </c:pt>
                  <c:pt idx="20">
                    <c:v>I</c:v>
                  </c:pt>
                  <c:pt idx="21">
                    <c:v>II</c:v>
                  </c:pt>
                </c:lvl>
                <c:lvl>
                  <c:pt idx="0">
                    <c:v>2016</c:v>
                  </c:pt>
                  <c:pt idx="4">
                    <c:v>2017</c:v>
                  </c:pt>
                  <c:pt idx="8">
                    <c:v>2018</c:v>
                  </c:pt>
                  <c:pt idx="12">
                    <c:v>2019</c:v>
                  </c:pt>
                  <c:pt idx="16">
                    <c:v>2020</c:v>
                  </c:pt>
                  <c:pt idx="20">
                    <c:v>2021</c:v>
                  </c:pt>
                </c:lvl>
              </c:multiLvlStrCache>
            </c:multiLvlStrRef>
          </c:cat>
          <c:val>
            <c:numRef>
              <c:f>'Tekošais konts_Q'!$AE$9:$AZ$9</c:f>
              <c:numCache>
                <c:formatCode>0</c:formatCode>
                <c:ptCount val="22"/>
                <c:pt idx="0">
                  <c:v>32</c:v>
                </c:pt>
                <c:pt idx="1">
                  <c:v>-143</c:v>
                </c:pt>
                <c:pt idx="2">
                  <c:v>-38</c:v>
                </c:pt>
                <c:pt idx="3">
                  <c:v>109</c:v>
                </c:pt>
                <c:pt idx="4">
                  <c:v>-39</c:v>
                </c:pt>
                <c:pt idx="5">
                  <c:v>-114</c:v>
                </c:pt>
                <c:pt idx="6">
                  <c:v>-121</c:v>
                </c:pt>
                <c:pt idx="7">
                  <c:v>206</c:v>
                </c:pt>
                <c:pt idx="8">
                  <c:v>-67</c:v>
                </c:pt>
                <c:pt idx="9">
                  <c:v>-256</c:v>
                </c:pt>
                <c:pt idx="10" formatCode="General">
                  <c:v>-220</c:v>
                </c:pt>
                <c:pt idx="11" formatCode="General">
                  <c:v>69</c:v>
                </c:pt>
                <c:pt idx="12" formatCode="General">
                  <c:v>-118</c:v>
                </c:pt>
                <c:pt idx="13" formatCode="General">
                  <c:v>-172</c:v>
                </c:pt>
                <c:pt idx="14" formatCode="General">
                  <c:v>-222</c:v>
                </c:pt>
                <c:pt idx="15" formatCode="General">
                  <c:v>54</c:v>
                </c:pt>
                <c:pt idx="16" formatCode="General">
                  <c:v>-38</c:v>
                </c:pt>
                <c:pt idx="17" formatCode="General">
                  <c:v>-45</c:v>
                </c:pt>
                <c:pt idx="18" formatCode="General">
                  <c:v>-209</c:v>
                </c:pt>
                <c:pt idx="19" formatCode="General">
                  <c:v>284</c:v>
                </c:pt>
                <c:pt idx="20" formatCode="General">
                  <c:v>-215</c:v>
                </c:pt>
                <c:pt idx="21" formatCode="General">
                  <c:v>-251</c:v>
                </c:pt>
              </c:numCache>
            </c:numRef>
          </c:val>
          <c:extLst>
            <c:ext xmlns:c16="http://schemas.microsoft.com/office/drawing/2014/chart" uri="{C3380CC4-5D6E-409C-BE32-E72D297353CC}">
              <c16:uniqueId val="{00000002-18F9-416A-8726-5E3A101FB4F7}"/>
            </c:ext>
          </c:extLst>
        </c:ser>
        <c:ser>
          <c:idx val="3"/>
          <c:order val="3"/>
          <c:tx>
            <c:strRef>
              <c:f>'Tekošais konts_Q'!$U$10</c:f>
              <c:strCache>
                <c:ptCount val="1"/>
                <c:pt idx="0">
                  <c:v>Otrreizējie ienākumi</c:v>
                </c:pt>
              </c:strCache>
            </c:strRef>
          </c:tx>
          <c:spPr>
            <a:solidFill>
              <a:schemeClr val="accent4"/>
            </a:solidFill>
            <a:ln>
              <a:noFill/>
            </a:ln>
            <a:effectLst/>
          </c:spPr>
          <c:invertIfNegative val="0"/>
          <c:cat>
            <c:multiLvlStrRef>
              <c:f>'Tekošais konts_Q'!$AE$5:$AZ$6</c:f>
              <c:multiLvlStrCache>
                <c:ptCount val="22"/>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pt idx="19">
                    <c:v>IV</c:v>
                  </c:pt>
                  <c:pt idx="20">
                    <c:v>I</c:v>
                  </c:pt>
                  <c:pt idx="21">
                    <c:v>II</c:v>
                  </c:pt>
                </c:lvl>
                <c:lvl>
                  <c:pt idx="0">
                    <c:v>2016</c:v>
                  </c:pt>
                  <c:pt idx="4">
                    <c:v>2017</c:v>
                  </c:pt>
                  <c:pt idx="8">
                    <c:v>2018</c:v>
                  </c:pt>
                  <c:pt idx="12">
                    <c:v>2019</c:v>
                  </c:pt>
                  <c:pt idx="16">
                    <c:v>2020</c:v>
                  </c:pt>
                  <c:pt idx="20">
                    <c:v>2021</c:v>
                  </c:pt>
                </c:lvl>
              </c:multiLvlStrCache>
            </c:multiLvlStrRef>
          </c:cat>
          <c:val>
            <c:numRef>
              <c:f>'Tekošais konts_Q'!$AE$10:$AZ$10</c:f>
              <c:numCache>
                <c:formatCode>0</c:formatCode>
                <c:ptCount val="22"/>
                <c:pt idx="0">
                  <c:v>64</c:v>
                </c:pt>
                <c:pt idx="1">
                  <c:v>108</c:v>
                </c:pt>
                <c:pt idx="2">
                  <c:v>89</c:v>
                </c:pt>
                <c:pt idx="3">
                  <c:v>97</c:v>
                </c:pt>
                <c:pt idx="4">
                  <c:v>93</c:v>
                </c:pt>
                <c:pt idx="5">
                  <c:v>130</c:v>
                </c:pt>
                <c:pt idx="6">
                  <c:v>150</c:v>
                </c:pt>
                <c:pt idx="7">
                  <c:v>207</c:v>
                </c:pt>
                <c:pt idx="8">
                  <c:v>107</c:v>
                </c:pt>
                <c:pt idx="9">
                  <c:v>173</c:v>
                </c:pt>
                <c:pt idx="10" formatCode="General">
                  <c:v>160</c:v>
                </c:pt>
                <c:pt idx="11" formatCode="General">
                  <c:v>177</c:v>
                </c:pt>
                <c:pt idx="12" formatCode="General">
                  <c:v>89</c:v>
                </c:pt>
                <c:pt idx="13" formatCode="General">
                  <c:v>133</c:v>
                </c:pt>
                <c:pt idx="14" formatCode="General">
                  <c:v>111</c:v>
                </c:pt>
                <c:pt idx="15" formatCode="General">
                  <c:v>137</c:v>
                </c:pt>
                <c:pt idx="16" formatCode="General">
                  <c:v>99</c:v>
                </c:pt>
                <c:pt idx="17" formatCode="General">
                  <c:v>136</c:v>
                </c:pt>
                <c:pt idx="18" formatCode="General">
                  <c:v>166</c:v>
                </c:pt>
                <c:pt idx="19" formatCode="General">
                  <c:v>106</c:v>
                </c:pt>
                <c:pt idx="20" formatCode="General">
                  <c:v>36</c:v>
                </c:pt>
                <c:pt idx="21" formatCode="General">
                  <c:v>96</c:v>
                </c:pt>
              </c:numCache>
            </c:numRef>
          </c:val>
          <c:extLst>
            <c:ext xmlns:c16="http://schemas.microsoft.com/office/drawing/2014/chart" uri="{C3380CC4-5D6E-409C-BE32-E72D297353CC}">
              <c16:uniqueId val="{00000003-18F9-416A-8726-5E3A101FB4F7}"/>
            </c:ext>
          </c:extLst>
        </c:ser>
        <c:dLbls>
          <c:showLegendKey val="0"/>
          <c:showVal val="0"/>
          <c:showCatName val="0"/>
          <c:showSerName val="0"/>
          <c:showPercent val="0"/>
          <c:showBubbleSize val="0"/>
        </c:dLbls>
        <c:gapWidth val="50"/>
        <c:overlap val="100"/>
        <c:axId val="1831334048"/>
        <c:axId val="1831339872"/>
      </c:barChart>
      <c:lineChart>
        <c:grouping val="standard"/>
        <c:varyColors val="0"/>
        <c:ser>
          <c:idx val="4"/>
          <c:order val="4"/>
          <c:tx>
            <c:strRef>
              <c:f>'Tekošais konts_Q'!$U$11</c:f>
              <c:strCache>
                <c:ptCount val="1"/>
                <c:pt idx="0">
                  <c:v>Tekošais konts (% no IKP, l.a.)</c:v>
                </c:pt>
              </c:strCache>
            </c:strRef>
          </c:tx>
          <c:spPr>
            <a:ln w="28575" cap="rnd">
              <a:solidFill>
                <a:schemeClr val="tx1"/>
              </a:solidFill>
              <a:round/>
            </a:ln>
            <a:effectLst/>
          </c:spPr>
          <c:marker>
            <c:symbol val="none"/>
          </c:marker>
          <c:cat>
            <c:multiLvlStrRef>
              <c:f>'Tekošais konts_Q'!$AE$5:$AZ$6</c:f>
              <c:multiLvlStrCache>
                <c:ptCount val="22"/>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pt idx="19">
                    <c:v>IV</c:v>
                  </c:pt>
                  <c:pt idx="20">
                    <c:v>I</c:v>
                  </c:pt>
                  <c:pt idx="21">
                    <c:v>II</c:v>
                  </c:pt>
                </c:lvl>
                <c:lvl>
                  <c:pt idx="0">
                    <c:v>2016</c:v>
                  </c:pt>
                  <c:pt idx="4">
                    <c:v>2017</c:v>
                  </c:pt>
                  <c:pt idx="8">
                    <c:v>2018</c:v>
                  </c:pt>
                  <c:pt idx="12">
                    <c:v>2019</c:v>
                  </c:pt>
                  <c:pt idx="16">
                    <c:v>2020</c:v>
                  </c:pt>
                  <c:pt idx="20">
                    <c:v>2021</c:v>
                  </c:pt>
                </c:lvl>
              </c:multiLvlStrCache>
            </c:multiLvlStrRef>
          </c:cat>
          <c:val>
            <c:numRef>
              <c:f>'Tekošais konts_Q'!$AE$11:$AZ$11</c:f>
              <c:numCache>
                <c:formatCode>0.0%</c:formatCode>
                <c:ptCount val="22"/>
                <c:pt idx="0">
                  <c:v>2.5000000000000001E-2</c:v>
                </c:pt>
                <c:pt idx="1">
                  <c:v>-6.0000000000000001E-3</c:v>
                </c:pt>
                <c:pt idx="2">
                  <c:v>1.6E-2</c:v>
                </c:pt>
                <c:pt idx="3">
                  <c:v>2.9000000000000001E-2</c:v>
                </c:pt>
                <c:pt idx="4">
                  <c:v>1.2E-2</c:v>
                </c:pt>
                <c:pt idx="5">
                  <c:v>-1.4E-2</c:v>
                </c:pt>
                <c:pt idx="6">
                  <c:v>-2.7E-2</c:v>
                </c:pt>
                <c:pt idx="7">
                  <c:v>7.6999999999999999E-2</c:v>
                </c:pt>
                <c:pt idx="8">
                  <c:v>2E-3</c:v>
                </c:pt>
                <c:pt idx="9">
                  <c:v>1.7000000000000001E-2</c:v>
                </c:pt>
                <c:pt idx="10">
                  <c:v>-5.5E-2</c:v>
                </c:pt>
                <c:pt idx="11">
                  <c:v>2.9000000000000001E-2</c:v>
                </c:pt>
                <c:pt idx="12">
                  <c:v>0</c:v>
                </c:pt>
                <c:pt idx="13">
                  <c:v>-1.9E-2</c:v>
                </c:pt>
                <c:pt idx="14">
                  <c:v>-3.1E-2</c:v>
                </c:pt>
                <c:pt idx="15">
                  <c:v>2.3E-2</c:v>
                </c:pt>
                <c:pt idx="16">
                  <c:v>8.9999999999999993E-3</c:v>
                </c:pt>
                <c:pt idx="17">
                  <c:v>3.5000000000000003E-2</c:v>
                </c:pt>
                <c:pt idx="18" formatCode="0.00%">
                  <c:v>-0.01</c:v>
                </c:pt>
                <c:pt idx="19" formatCode="0.00%">
                  <c:v>7.8E-2</c:v>
                </c:pt>
                <c:pt idx="20" formatCode="0.00%">
                  <c:v>-1.9E-2</c:v>
                </c:pt>
                <c:pt idx="21" formatCode="0.00%">
                  <c:v>-6.5000000000000002E-2</c:v>
                </c:pt>
              </c:numCache>
            </c:numRef>
          </c:val>
          <c:smooth val="1"/>
          <c:extLst>
            <c:ext xmlns:c16="http://schemas.microsoft.com/office/drawing/2014/chart" uri="{C3380CC4-5D6E-409C-BE32-E72D297353CC}">
              <c16:uniqueId val="{00000004-18F9-416A-8726-5E3A101FB4F7}"/>
            </c:ext>
          </c:extLst>
        </c:ser>
        <c:dLbls>
          <c:showLegendKey val="0"/>
          <c:showVal val="0"/>
          <c:showCatName val="0"/>
          <c:showSerName val="0"/>
          <c:showPercent val="0"/>
          <c:showBubbleSize val="0"/>
        </c:dLbls>
        <c:marker val="1"/>
        <c:smooth val="0"/>
        <c:axId val="1831373984"/>
        <c:axId val="1831363584"/>
      </c:lineChart>
      <c:catAx>
        <c:axId val="1831334048"/>
        <c:scaling>
          <c:orientation val="minMax"/>
        </c:scaling>
        <c:delete val="0"/>
        <c:axPos val="b"/>
        <c:numFmt formatCode="General" sourceLinked="1"/>
        <c:majorTickMark val="none"/>
        <c:minorTickMark val="none"/>
        <c:tickLblPos val="low"/>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v-LV"/>
          </a:p>
        </c:txPr>
        <c:crossAx val="1831339872"/>
        <c:crosses val="autoZero"/>
        <c:auto val="1"/>
        <c:lblAlgn val="ctr"/>
        <c:lblOffset val="100"/>
        <c:noMultiLvlLbl val="0"/>
      </c:catAx>
      <c:valAx>
        <c:axId val="1831339872"/>
        <c:scaling>
          <c:orientation val="minMax"/>
          <c:max val="1500"/>
          <c:min val="-1500"/>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v-LV"/>
          </a:p>
        </c:txPr>
        <c:crossAx val="1831334048"/>
        <c:crosses val="autoZero"/>
        <c:crossBetween val="between"/>
        <c:majorUnit val="300"/>
      </c:valAx>
      <c:valAx>
        <c:axId val="1831363584"/>
        <c:scaling>
          <c:orientation val="minMax"/>
          <c:max val="8.0000000000000016E-2"/>
        </c:scaling>
        <c:delete val="0"/>
        <c:axPos val="r"/>
        <c:numFmt formatCode="0%" sourceLinked="0"/>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v-LV"/>
          </a:p>
        </c:txPr>
        <c:crossAx val="1831373984"/>
        <c:crosses val="max"/>
        <c:crossBetween val="between"/>
      </c:valAx>
      <c:catAx>
        <c:axId val="1831373984"/>
        <c:scaling>
          <c:orientation val="minMax"/>
        </c:scaling>
        <c:delete val="1"/>
        <c:axPos val="b"/>
        <c:numFmt formatCode="General" sourceLinked="1"/>
        <c:majorTickMark val="out"/>
        <c:minorTickMark val="none"/>
        <c:tickLblPos val="nextTo"/>
        <c:crossAx val="1831363584"/>
        <c:crosses val="autoZero"/>
        <c:auto val="1"/>
        <c:lblAlgn val="ctr"/>
        <c:lblOffset val="100"/>
        <c:noMultiLvlLbl val="0"/>
      </c:catAx>
      <c:spPr>
        <a:noFill/>
        <a:ln>
          <a:noFill/>
        </a:ln>
        <a:effectLst/>
      </c:spPr>
    </c:plotArea>
    <c:legend>
      <c:legendPos val="b"/>
      <c:layout>
        <c:manualLayout>
          <c:xMode val="edge"/>
          <c:yMode val="edge"/>
          <c:x val="6.8433457367395967E-4"/>
          <c:y val="0.89774149921687485"/>
          <c:w val="0.99931566542632599"/>
          <c:h val="0.10225850078312511"/>
        </c:manualLayout>
      </c:layout>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v-LV"/>
        </a:p>
      </c:txPr>
    </c:legend>
    <c:plotVisOnly val="1"/>
    <c:dispBlanksAs val="gap"/>
    <c:showDLblsOverMax val="0"/>
  </c:chart>
  <c:spPr>
    <a:solidFill>
      <a:schemeClr val="bg1"/>
    </a:solidFill>
    <a:ln w="9525" cap="flat" cmpd="sng" algn="ctr">
      <a:noFill/>
      <a:round/>
    </a:ln>
    <a:effectLst/>
  </c:spPr>
  <c:txPr>
    <a:bodyPr/>
    <a:lstStyle/>
    <a:p>
      <a:pPr>
        <a:defRPr sz="900">
          <a:solidFill>
            <a:sysClr val="windowText" lastClr="000000"/>
          </a:solidFill>
          <a:latin typeface="Times New Roman" panose="02020603050405020304" pitchFamily="18" charset="0"/>
          <a:cs typeface="Times New Roman" panose="02020603050405020304" pitchFamily="18" charset="0"/>
        </a:defRPr>
      </a:pPr>
      <a:endParaRPr lang="lv-LV"/>
    </a:p>
  </c:txPr>
  <c:externalData r:id="rId3">
    <c:autoUpdate val="0"/>
  </c:externalData>
</c:chartSpace>
</file>

<file path=word/charts/chart4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3030885147977192"/>
          <c:y val="3.0112236517930466E-2"/>
          <c:w val="0.76790637575500365"/>
          <c:h val="0.59714944925327995"/>
        </c:manualLayout>
      </c:layout>
      <c:barChart>
        <c:barDir val="col"/>
        <c:grouping val="stacked"/>
        <c:varyColors val="0"/>
        <c:ser>
          <c:idx val="0"/>
          <c:order val="0"/>
          <c:tx>
            <c:strRef>
              <c:f>Invest_Eurostat!$D$31</c:f>
              <c:strCache>
                <c:ptCount val="1"/>
                <c:pt idx="0">
                  <c:v>Ēkas, būves, celtnes</c:v>
                </c:pt>
              </c:strCache>
            </c:strRef>
          </c:tx>
          <c:spPr>
            <a:solidFill>
              <a:srgbClr val="5B9BD5"/>
            </a:solidFill>
            <a:ln w="25400">
              <a:noFill/>
            </a:ln>
          </c:spPr>
          <c:invertIfNegative val="0"/>
          <c:cat>
            <c:multiLvlStrRef>
              <c:f>Invest_Eurostat!$K$9:$T$10</c:f>
              <c:multiLvlStrCache>
                <c:ptCount val="10"/>
                <c:lvl>
                  <c:pt idx="0">
                    <c:v>I</c:v>
                  </c:pt>
                  <c:pt idx="1">
                    <c:v>II</c:v>
                  </c:pt>
                  <c:pt idx="2">
                    <c:v>III</c:v>
                  </c:pt>
                  <c:pt idx="3">
                    <c:v>IV</c:v>
                  </c:pt>
                  <c:pt idx="4">
                    <c:v>I</c:v>
                  </c:pt>
                  <c:pt idx="5">
                    <c:v>II</c:v>
                  </c:pt>
                  <c:pt idx="6">
                    <c:v>III</c:v>
                  </c:pt>
                  <c:pt idx="7">
                    <c:v>IV</c:v>
                  </c:pt>
                  <c:pt idx="8">
                    <c:v>I</c:v>
                  </c:pt>
                  <c:pt idx="9">
                    <c:v>II</c:v>
                  </c:pt>
                </c:lvl>
                <c:lvl>
                  <c:pt idx="0">
                    <c:v>2019</c:v>
                  </c:pt>
                  <c:pt idx="4">
                    <c:v>2020</c:v>
                  </c:pt>
                  <c:pt idx="8">
                    <c:v>2021</c:v>
                  </c:pt>
                </c:lvl>
              </c:multiLvlStrCache>
            </c:multiLvlStrRef>
          </c:cat>
          <c:val>
            <c:numRef>
              <c:f>Invest_Eurostat!$K$31:$T$31</c:f>
              <c:numCache>
                <c:formatCode>0</c:formatCode>
                <c:ptCount val="10"/>
                <c:pt idx="0">
                  <c:v>29</c:v>
                </c:pt>
                <c:pt idx="1">
                  <c:v>-10.5</c:v>
                </c:pt>
                <c:pt idx="2">
                  <c:v>34.300000000000068</c:v>
                </c:pt>
                <c:pt idx="3">
                  <c:v>-29.800000000000068</c:v>
                </c:pt>
                <c:pt idx="4">
                  <c:v>54.900000000000091</c:v>
                </c:pt>
                <c:pt idx="5">
                  <c:v>-13.5</c:v>
                </c:pt>
                <c:pt idx="6">
                  <c:v>-8.8000000000000682</c:v>
                </c:pt>
                <c:pt idx="7">
                  <c:v>15.600000000000023</c:v>
                </c:pt>
                <c:pt idx="8">
                  <c:v>-84.900000000000091</c:v>
                </c:pt>
                <c:pt idx="9">
                  <c:v>8</c:v>
                </c:pt>
              </c:numCache>
            </c:numRef>
          </c:val>
          <c:extLst>
            <c:ext xmlns:c16="http://schemas.microsoft.com/office/drawing/2014/chart" uri="{C3380CC4-5D6E-409C-BE32-E72D297353CC}">
              <c16:uniqueId val="{00000000-765D-43CD-B8F6-33F64BA682D8}"/>
            </c:ext>
          </c:extLst>
        </c:ser>
        <c:ser>
          <c:idx val="1"/>
          <c:order val="1"/>
          <c:tx>
            <c:strRef>
              <c:f>Invest_Eurostat!$D$32</c:f>
              <c:strCache>
                <c:ptCount val="1"/>
                <c:pt idx="0">
                  <c:v>Tehnoģiskās iekārtas un mašīnas</c:v>
                </c:pt>
              </c:strCache>
            </c:strRef>
          </c:tx>
          <c:spPr>
            <a:solidFill>
              <a:srgbClr val="ED7D31"/>
            </a:solidFill>
            <a:ln w="25400">
              <a:noFill/>
            </a:ln>
          </c:spPr>
          <c:invertIfNegative val="0"/>
          <c:cat>
            <c:multiLvlStrRef>
              <c:f>Invest_Eurostat!$K$9:$T$10</c:f>
              <c:multiLvlStrCache>
                <c:ptCount val="10"/>
                <c:lvl>
                  <c:pt idx="0">
                    <c:v>I</c:v>
                  </c:pt>
                  <c:pt idx="1">
                    <c:v>II</c:v>
                  </c:pt>
                  <c:pt idx="2">
                    <c:v>III</c:v>
                  </c:pt>
                  <c:pt idx="3">
                    <c:v>IV</c:v>
                  </c:pt>
                  <c:pt idx="4">
                    <c:v>I</c:v>
                  </c:pt>
                  <c:pt idx="5">
                    <c:v>II</c:v>
                  </c:pt>
                  <c:pt idx="6">
                    <c:v>III</c:v>
                  </c:pt>
                  <c:pt idx="7">
                    <c:v>IV</c:v>
                  </c:pt>
                  <c:pt idx="8">
                    <c:v>I</c:v>
                  </c:pt>
                  <c:pt idx="9">
                    <c:v>II</c:v>
                  </c:pt>
                </c:lvl>
                <c:lvl>
                  <c:pt idx="0">
                    <c:v>2019</c:v>
                  </c:pt>
                  <c:pt idx="4">
                    <c:v>2020</c:v>
                  </c:pt>
                  <c:pt idx="8">
                    <c:v>2021</c:v>
                  </c:pt>
                </c:lvl>
              </c:multiLvlStrCache>
            </c:multiLvlStrRef>
          </c:cat>
          <c:val>
            <c:numRef>
              <c:f>Invest_Eurostat!$K$32:$T$32</c:f>
              <c:numCache>
                <c:formatCode>0</c:formatCode>
                <c:ptCount val="10"/>
                <c:pt idx="0">
                  <c:v>52</c:v>
                </c:pt>
                <c:pt idx="1">
                  <c:v>57.300000000000068</c:v>
                </c:pt>
                <c:pt idx="2">
                  <c:v>4.8000000000000682</c:v>
                </c:pt>
                <c:pt idx="3">
                  <c:v>-59.900000000000091</c:v>
                </c:pt>
                <c:pt idx="4">
                  <c:v>-7.5999999999999659</c:v>
                </c:pt>
                <c:pt idx="5">
                  <c:v>-63.700000000000045</c:v>
                </c:pt>
                <c:pt idx="6">
                  <c:v>-17.5</c:v>
                </c:pt>
                <c:pt idx="7">
                  <c:v>33.200000000000045</c:v>
                </c:pt>
                <c:pt idx="8">
                  <c:v>36.599999999999966</c:v>
                </c:pt>
                <c:pt idx="9">
                  <c:v>126.10000000000002</c:v>
                </c:pt>
              </c:numCache>
            </c:numRef>
          </c:val>
          <c:extLst>
            <c:ext xmlns:c16="http://schemas.microsoft.com/office/drawing/2014/chart" uri="{C3380CC4-5D6E-409C-BE32-E72D297353CC}">
              <c16:uniqueId val="{00000001-765D-43CD-B8F6-33F64BA682D8}"/>
            </c:ext>
          </c:extLst>
        </c:ser>
        <c:ser>
          <c:idx val="2"/>
          <c:order val="2"/>
          <c:tx>
            <c:strRef>
              <c:f>Invest_Eurostat!$D$33</c:f>
              <c:strCache>
                <c:ptCount val="1"/>
                <c:pt idx="0">
                  <c:v>Intelektuāla īpašuma produkti</c:v>
                </c:pt>
              </c:strCache>
            </c:strRef>
          </c:tx>
          <c:spPr>
            <a:solidFill>
              <a:srgbClr val="A5A5A5"/>
            </a:solidFill>
            <a:ln w="25400">
              <a:noFill/>
            </a:ln>
          </c:spPr>
          <c:invertIfNegative val="0"/>
          <c:cat>
            <c:multiLvlStrRef>
              <c:f>Invest_Eurostat!$K$9:$T$10</c:f>
              <c:multiLvlStrCache>
                <c:ptCount val="10"/>
                <c:lvl>
                  <c:pt idx="0">
                    <c:v>I</c:v>
                  </c:pt>
                  <c:pt idx="1">
                    <c:v>II</c:v>
                  </c:pt>
                  <c:pt idx="2">
                    <c:v>III</c:v>
                  </c:pt>
                  <c:pt idx="3">
                    <c:v>IV</c:v>
                  </c:pt>
                  <c:pt idx="4">
                    <c:v>I</c:v>
                  </c:pt>
                  <c:pt idx="5">
                    <c:v>II</c:v>
                  </c:pt>
                  <c:pt idx="6">
                    <c:v>III</c:v>
                  </c:pt>
                  <c:pt idx="7">
                    <c:v>IV</c:v>
                  </c:pt>
                  <c:pt idx="8">
                    <c:v>I</c:v>
                  </c:pt>
                  <c:pt idx="9">
                    <c:v>II</c:v>
                  </c:pt>
                </c:lvl>
                <c:lvl>
                  <c:pt idx="0">
                    <c:v>2019</c:v>
                  </c:pt>
                  <c:pt idx="4">
                    <c:v>2020</c:v>
                  </c:pt>
                  <c:pt idx="8">
                    <c:v>2021</c:v>
                  </c:pt>
                </c:lvl>
              </c:multiLvlStrCache>
            </c:multiLvlStrRef>
          </c:cat>
          <c:val>
            <c:numRef>
              <c:f>Invest_Eurostat!$K$33:$T$33</c:f>
              <c:numCache>
                <c:formatCode>0</c:formatCode>
                <c:ptCount val="10"/>
                <c:pt idx="0">
                  <c:v>6.4000000000000057</c:v>
                </c:pt>
                <c:pt idx="1">
                  <c:v>14.400000000000006</c:v>
                </c:pt>
                <c:pt idx="2">
                  <c:v>24.799999999999983</c:v>
                </c:pt>
                <c:pt idx="3">
                  <c:v>4.2999999999999972</c:v>
                </c:pt>
                <c:pt idx="4">
                  <c:v>1</c:v>
                </c:pt>
                <c:pt idx="5">
                  <c:v>2</c:v>
                </c:pt>
                <c:pt idx="6">
                  <c:v>8.2000000000000171</c:v>
                </c:pt>
                <c:pt idx="7">
                  <c:v>1.2999999999999972</c:v>
                </c:pt>
                <c:pt idx="8">
                  <c:v>4.2999999999999972</c:v>
                </c:pt>
                <c:pt idx="9">
                  <c:v>35.799999999999983</c:v>
                </c:pt>
              </c:numCache>
            </c:numRef>
          </c:val>
          <c:extLst>
            <c:ext xmlns:c16="http://schemas.microsoft.com/office/drawing/2014/chart" uri="{C3380CC4-5D6E-409C-BE32-E72D297353CC}">
              <c16:uniqueId val="{00000002-765D-43CD-B8F6-33F64BA682D8}"/>
            </c:ext>
          </c:extLst>
        </c:ser>
        <c:ser>
          <c:idx val="3"/>
          <c:order val="3"/>
          <c:tx>
            <c:strRef>
              <c:f>Invest_Eurostat!$D$34</c:f>
              <c:strCache>
                <c:ptCount val="1"/>
                <c:pt idx="0">
                  <c:v>Pārējie pamatlīdzekļi </c:v>
                </c:pt>
              </c:strCache>
            </c:strRef>
          </c:tx>
          <c:spPr>
            <a:solidFill>
              <a:srgbClr val="FFC000"/>
            </a:solidFill>
            <a:ln w="25400">
              <a:noFill/>
            </a:ln>
          </c:spPr>
          <c:invertIfNegative val="0"/>
          <c:cat>
            <c:multiLvlStrRef>
              <c:f>Invest_Eurostat!$K$9:$T$10</c:f>
              <c:multiLvlStrCache>
                <c:ptCount val="10"/>
                <c:lvl>
                  <c:pt idx="0">
                    <c:v>I</c:v>
                  </c:pt>
                  <c:pt idx="1">
                    <c:v>II</c:v>
                  </c:pt>
                  <c:pt idx="2">
                    <c:v>III</c:v>
                  </c:pt>
                  <c:pt idx="3">
                    <c:v>IV</c:v>
                  </c:pt>
                  <c:pt idx="4">
                    <c:v>I</c:v>
                  </c:pt>
                  <c:pt idx="5">
                    <c:v>II</c:v>
                  </c:pt>
                  <c:pt idx="6">
                    <c:v>III</c:v>
                  </c:pt>
                  <c:pt idx="7">
                    <c:v>IV</c:v>
                  </c:pt>
                  <c:pt idx="8">
                    <c:v>I</c:v>
                  </c:pt>
                  <c:pt idx="9">
                    <c:v>II</c:v>
                  </c:pt>
                </c:lvl>
                <c:lvl>
                  <c:pt idx="0">
                    <c:v>2019</c:v>
                  </c:pt>
                  <c:pt idx="4">
                    <c:v>2020</c:v>
                  </c:pt>
                  <c:pt idx="8">
                    <c:v>2021</c:v>
                  </c:pt>
                </c:lvl>
              </c:multiLvlStrCache>
            </c:multiLvlStrRef>
          </c:cat>
          <c:val>
            <c:numRef>
              <c:f>Invest_Eurostat!$K$34:$T$34</c:f>
              <c:numCache>
                <c:formatCode>0</c:formatCode>
                <c:ptCount val="10"/>
                <c:pt idx="0">
                  <c:v>-0.19999999999999929</c:v>
                </c:pt>
                <c:pt idx="1">
                  <c:v>-0.20000000000000018</c:v>
                </c:pt>
                <c:pt idx="2">
                  <c:v>-0.29999999999999982</c:v>
                </c:pt>
                <c:pt idx="3">
                  <c:v>-0.29999999999999982</c:v>
                </c:pt>
                <c:pt idx="4">
                  <c:v>-0.20000000000000018</c:v>
                </c:pt>
                <c:pt idx="5">
                  <c:v>-0.29999999999999982</c:v>
                </c:pt>
                <c:pt idx="6">
                  <c:v>-0.30000000000000071</c:v>
                </c:pt>
                <c:pt idx="7">
                  <c:v>-0.29999999999999982</c:v>
                </c:pt>
                <c:pt idx="8">
                  <c:v>-0.20000000000000018</c:v>
                </c:pt>
                <c:pt idx="9">
                  <c:v>-0.20000000000000018</c:v>
                </c:pt>
              </c:numCache>
            </c:numRef>
          </c:val>
          <c:extLst>
            <c:ext xmlns:c16="http://schemas.microsoft.com/office/drawing/2014/chart" uri="{C3380CC4-5D6E-409C-BE32-E72D297353CC}">
              <c16:uniqueId val="{00000003-765D-43CD-B8F6-33F64BA682D8}"/>
            </c:ext>
          </c:extLst>
        </c:ser>
        <c:dLbls>
          <c:showLegendKey val="0"/>
          <c:showVal val="0"/>
          <c:showCatName val="0"/>
          <c:showSerName val="0"/>
          <c:showPercent val="0"/>
          <c:showBubbleSize val="0"/>
        </c:dLbls>
        <c:gapWidth val="50"/>
        <c:overlap val="100"/>
        <c:axId val="661113408"/>
        <c:axId val="1"/>
      </c:barChart>
      <c:lineChart>
        <c:grouping val="standard"/>
        <c:varyColors val="0"/>
        <c:ser>
          <c:idx val="4"/>
          <c:order val="4"/>
          <c:tx>
            <c:strRef>
              <c:f>Invest_Eurostat!$D$35</c:f>
              <c:strCache>
                <c:ptCount val="1"/>
                <c:pt idx="0">
                  <c:v>Investīciju izmaiņas, % (labā ass)</c:v>
                </c:pt>
              </c:strCache>
            </c:strRef>
          </c:tx>
          <c:spPr>
            <a:ln w="28575" cap="rnd">
              <a:solidFill>
                <a:schemeClr val="tx1"/>
              </a:solidFill>
              <a:round/>
            </a:ln>
            <a:effectLst/>
          </c:spPr>
          <c:marker>
            <c:symbol val="none"/>
          </c:marker>
          <c:cat>
            <c:multiLvlStrRef>
              <c:f>Invest_Eurostat!$K$9:$T$10</c:f>
              <c:multiLvlStrCache>
                <c:ptCount val="10"/>
                <c:lvl>
                  <c:pt idx="0">
                    <c:v>I</c:v>
                  </c:pt>
                  <c:pt idx="1">
                    <c:v>II</c:v>
                  </c:pt>
                  <c:pt idx="2">
                    <c:v>III</c:v>
                  </c:pt>
                  <c:pt idx="3">
                    <c:v>IV</c:v>
                  </c:pt>
                  <c:pt idx="4">
                    <c:v>I</c:v>
                  </c:pt>
                  <c:pt idx="5">
                    <c:v>II</c:v>
                  </c:pt>
                  <c:pt idx="6">
                    <c:v>III</c:v>
                  </c:pt>
                  <c:pt idx="7">
                    <c:v>IV</c:v>
                  </c:pt>
                  <c:pt idx="8">
                    <c:v>I</c:v>
                  </c:pt>
                  <c:pt idx="9">
                    <c:v>II</c:v>
                  </c:pt>
                </c:lvl>
                <c:lvl>
                  <c:pt idx="0">
                    <c:v>2019</c:v>
                  </c:pt>
                  <c:pt idx="4">
                    <c:v>2020</c:v>
                  </c:pt>
                  <c:pt idx="8">
                    <c:v>2021</c:v>
                  </c:pt>
                </c:lvl>
              </c:multiLvlStrCache>
            </c:multiLvlStrRef>
          </c:cat>
          <c:val>
            <c:numRef>
              <c:f>Invest_Eurostat!$K$35:$T$35</c:f>
              <c:numCache>
                <c:formatCode>0</c:formatCode>
                <c:ptCount val="10"/>
                <c:pt idx="0">
                  <c:v>8.0089194462510509</c:v>
                </c:pt>
                <c:pt idx="1">
                  <c:v>4.0965207631874359</c:v>
                </c:pt>
                <c:pt idx="2">
                  <c:v>3.9189425260583453</c:v>
                </c:pt>
                <c:pt idx="3">
                  <c:v>-4.3713854009274149</c:v>
                </c:pt>
                <c:pt idx="4">
                  <c:v>4.5677419354838635</c:v>
                </c:pt>
                <c:pt idx="5">
                  <c:v>-4.7776280323450191</c:v>
                </c:pt>
                <c:pt idx="6">
                  <c:v>-0.93018043258993111</c:v>
                </c:pt>
                <c:pt idx="7">
                  <c:v>2.6370273509861533</c:v>
                </c:pt>
                <c:pt idx="8">
                  <c:v>-4.4998354721947864</c:v>
                </c:pt>
                <c:pt idx="9">
                  <c:v>11.223551057957692</c:v>
                </c:pt>
              </c:numCache>
            </c:numRef>
          </c:val>
          <c:smooth val="0"/>
          <c:extLst>
            <c:ext xmlns:c16="http://schemas.microsoft.com/office/drawing/2014/chart" uri="{C3380CC4-5D6E-409C-BE32-E72D297353CC}">
              <c16:uniqueId val="{00000004-765D-43CD-B8F6-33F64BA682D8}"/>
            </c:ext>
          </c:extLst>
        </c:ser>
        <c:dLbls>
          <c:showLegendKey val="0"/>
          <c:showVal val="0"/>
          <c:showCatName val="0"/>
          <c:showSerName val="0"/>
          <c:showPercent val="0"/>
          <c:showBubbleSize val="0"/>
        </c:dLbls>
        <c:marker val="1"/>
        <c:smooth val="0"/>
        <c:axId val="3"/>
        <c:axId val="4"/>
      </c:lineChart>
      <c:catAx>
        <c:axId val="661113408"/>
        <c:scaling>
          <c:orientation val="minMax"/>
        </c:scaling>
        <c:delete val="0"/>
        <c:axPos val="b"/>
        <c:numFmt formatCode="General" sourceLinked="1"/>
        <c:majorTickMark val="none"/>
        <c:minorTickMark val="none"/>
        <c:tickLblPos val="low"/>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Verdana" panose="020B0604030504040204" pitchFamily="34" charset="0"/>
                <a:cs typeface="Times New Roman" panose="02020603050405020304" pitchFamily="18" charset="0"/>
              </a:defRPr>
            </a:pPr>
            <a:endParaRPr lang="lv-LV"/>
          </a:p>
        </c:txPr>
        <c:crossAx val="1"/>
        <c:crosses val="autoZero"/>
        <c:auto val="1"/>
        <c:lblAlgn val="ctr"/>
        <c:lblOffset val="100"/>
        <c:noMultiLvlLbl val="0"/>
      </c:catAx>
      <c:valAx>
        <c:axId val="1"/>
        <c:scaling>
          <c:orientation val="minMax"/>
          <c:min val="-100"/>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ln w="6350">
            <a:noFill/>
          </a:ln>
        </c:spPr>
        <c:txPr>
          <a:bodyPr rot="-6000000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Verdana" panose="020B0604030504040204" pitchFamily="34" charset="0"/>
                <a:cs typeface="Times New Roman" panose="02020603050405020304" pitchFamily="18" charset="0"/>
              </a:defRPr>
            </a:pPr>
            <a:endParaRPr lang="lv-LV"/>
          </a:p>
        </c:txPr>
        <c:crossAx val="661113408"/>
        <c:crosses val="autoZero"/>
        <c:crossBetween val="between"/>
      </c:valAx>
      <c:catAx>
        <c:axId val="3"/>
        <c:scaling>
          <c:orientation val="minMax"/>
        </c:scaling>
        <c:delete val="1"/>
        <c:axPos val="b"/>
        <c:numFmt formatCode="General" sourceLinked="1"/>
        <c:majorTickMark val="out"/>
        <c:minorTickMark val="none"/>
        <c:tickLblPos val="nextTo"/>
        <c:crossAx val="4"/>
        <c:crosses val="autoZero"/>
        <c:auto val="1"/>
        <c:lblAlgn val="ctr"/>
        <c:lblOffset val="100"/>
        <c:noMultiLvlLbl val="0"/>
      </c:catAx>
      <c:valAx>
        <c:axId val="4"/>
        <c:scaling>
          <c:orientation val="minMax"/>
          <c:min val="-10"/>
        </c:scaling>
        <c:delete val="0"/>
        <c:axPos val="r"/>
        <c:numFmt formatCode="0" sourceLinked="1"/>
        <c:majorTickMark val="out"/>
        <c:minorTickMark val="none"/>
        <c:tickLblPos val="nextTo"/>
        <c:spPr>
          <a:ln w="6350">
            <a:noFill/>
          </a:ln>
        </c:spPr>
        <c:txPr>
          <a:bodyPr rot="-6000000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Verdana" panose="020B0604030504040204" pitchFamily="34" charset="0"/>
                <a:cs typeface="Times New Roman" panose="02020603050405020304" pitchFamily="18" charset="0"/>
              </a:defRPr>
            </a:pPr>
            <a:endParaRPr lang="lv-LV"/>
          </a:p>
        </c:txPr>
        <c:crossAx val="3"/>
        <c:crosses val="max"/>
        <c:crossBetween val="between"/>
      </c:valAx>
      <c:spPr>
        <a:noFill/>
        <a:ln w="25400">
          <a:noFill/>
        </a:ln>
      </c:spPr>
    </c:plotArea>
    <c:legend>
      <c:legendPos val="b"/>
      <c:layout>
        <c:manualLayout>
          <c:xMode val="edge"/>
          <c:yMode val="edge"/>
          <c:x val="0.11657140917730112"/>
          <c:y val="0.78646631615351092"/>
          <c:w val="0.7668568422481673"/>
          <c:h val="0.21179214469610777"/>
        </c:manualLayout>
      </c:layout>
      <c:overlay val="0"/>
      <c:spPr>
        <a:noFill/>
        <a:ln w="25400">
          <a:noFill/>
        </a:ln>
      </c:spPr>
      <c:txPr>
        <a:bodyPr rot="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Verdana" panose="020B0604030504040204" pitchFamily="34" charset="0"/>
              <a:cs typeface="Times New Roman" panose="02020603050405020304" pitchFamily="18" charset="0"/>
            </a:defRPr>
          </a:pPr>
          <a:endParaRPr lang="lv-LV"/>
        </a:p>
      </c:txPr>
    </c:legend>
    <c:plotVisOnly val="1"/>
    <c:dispBlanksAs val="gap"/>
    <c:showDLblsOverMax val="0"/>
  </c:chart>
  <c:spPr>
    <a:solidFill>
      <a:schemeClr val="bg1"/>
    </a:solidFill>
    <a:ln w="9525" cap="flat" cmpd="sng" algn="ctr">
      <a:noFill/>
      <a:round/>
    </a:ln>
    <a:effectLst/>
  </c:spPr>
  <c:txPr>
    <a:bodyPr/>
    <a:lstStyle/>
    <a:p>
      <a:pPr>
        <a:defRPr/>
      </a:pPr>
      <a:endParaRPr lang="lv-LV"/>
    </a:p>
  </c:txPr>
  <c:externalData r:id="rId1">
    <c:autoUpdate val="0"/>
  </c:externalData>
</c:chartSpace>
</file>

<file path=word/charts/chart4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0737199516727076"/>
          <c:y val="3.660974586960844E-2"/>
          <c:w val="0.8515665169484683"/>
          <c:h val="0.59268132540084306"/>
        </c:manualLayout>
      </c:layout>
      <c:barChart>
        <c:barDir val="col"/>
        <c:grouping val="stacked"/>
        <c:varyColors val="0"/>
        <c:ser>
          <c:idx val="0"/>
          <c:order val="0"/>
          <c:tx>
            <c:strRef>
              <c:f>Invest_Eurostat!$D$31</c:f>
              <c:strCache>
                <c:ptCount val="1"/>
                <c:pt idx="0">
                  <c:v>Ēkas, būves, celtnes</c:v>
                </c:pt>
              </c:strCache>
            </c:strRef>
          </c:tx>
          <c:spPr>
            <a:solidFill>
              <a:srgbClr val="5B9BD5"/>
            </a:solidFill>
            <a:ln w="25400">
              <a:noFill/>
            </a:ln>
          </c:spPr>
          <c:invertIfNegative val="0"/>
          <c:cat>
            <c:multiLvlStrRef>
              <c:f>Invest_Eurostat!$K$9:$T$10</c:f>
              <c:multiLvlStrCache>
                <c:ptCount val="10"/>
                <c:lvl>
                  <c:pt idx="0">
                    <c:v>I</c:v>
                  </c:pt>
                  <c:pt idx="1">
                    <c:v>II</c:v>
                  </c:pt>
                  <c:pt idx="2">
                    <c:v>III</c:v>
                  </c:pt>
                  <c:pt idx="3">
                    <c:v>IV</c:v>
                  </c:pt>
                  <c:pt idx="4">
                    <c:v>I</c:v>
                  </c:pt>
                  <c:pt idx="5">
                    <c:v>II</c:v>
                  </c:pt>
                  <c:pt idx="6">
                    <c:v>III</c:v>
                  </c:pt>
                  <c:pt idx="7">
                    <c:v>IV</c:v>
                  </c:pt>
                  <c:pt idx="8">
                    <c:v>I</c:v>
                  </c:pt>
                  <c:pt idx="9">
                    <c:v>II</c:v>
                  </c:pt>
                </c:lvl>
                <c:lvl>
                  <c:pt idx="0">
                    <c:v>2019</c:v>
                  </c:pt>
                  <c:pt idx="4">
                    <c:v>2020</c:v>
                  </c:pt>
                  <c:pt idx="8">
                    <c:v>2021</c:v>
                  </c:pt>
                </c:lvl>
              </c:multiLvlStrCache>
            </c:multiLvlStrRef>
          </c:cat>
          <c:val>
            <c:numRef>
              <c:f>Invest_Eurostat!$K$25:$T$25</c:f>
              <c:numCache>
                <c:formatCode>0</c:formatCode>
                <c:ptCount val="10"/>
                <c:pt idx="0">
                  <c:v>605.29999999999995</c:v>
                </c:pt>
                <c:pt idx="1">
                  <c:v>718.5</c:v>
                </c:pt>
                <c:pt idx="2">
                  <c:v>907.6</c:v>
                </c:pt>
                <c:pt idx="3">
                  <c:v>982.3</c:v>
                </c:pt>
                <c:pt idx="4">
                  <c:v>660.2</c:v>
                </c:pt>
                <c:pt idx="5">
                  <c:v>705</c:v>
                </c:pt>
                <c:pt idx="6">
                  <c:v>898.8</c:v>
                </c:pt>
                <c:pt idx="7">
                  <c:v>997.9</c:v>
                </c:pt>
                <c:pt idx="8">
                  <c:v>575.29999999999995</c:v>
                </c:pt>
                <c:pt idx="9">
                  <c:v>713</c:v>
                </c:pt>
              </c:numCache>
            </c:numRef>
          </c:val>
          <c:extLst>
            <c:ext xmlns:c16="http://schemas.microsoft.com/office/drawing/2014/chart" uri="{C3380CC4-5D6E-409C-BE32-E72D297353CC}">
              <c16:uniqueId val="{00000000-809E-4D22-8149-2AF22A38FE9A}"/>
            </c:ext>
          </c:extLst>
        </c:ser>
        <c:ser>
          <c:idx val="1"/>
          <c:order val="1"/>
          <c:tx>
            <c:strRef>
              <c:f>Invest_Eurostat!$D$32</c:f>
              <c:strCache>
                <c:ptCount val="1"/>
                <c:pt idx="0">
                  <c:v>Tehnoģiskās iekārtas un mašīnas</c:v>
                </c:pt>
              </c:strCache>
            </c:strRef>
          </c:tx>
          <c:spPr>
            <a:solidFill>
              <a:srgbClr val="ED7D31"/>
            </a:solidFill>
            <a:ln w="25400">
              <a:noFill/>
            </a:ln>
          </c:spPr>
          <c:invertIfNegative val="0"/>
          <c:cat>
            <c:multiLvlStrRef>
              <c:f>Invest_Eurostat!$K$9:$T$10</c:f>
              <c:multiLvlStrCache>
                <c:ptCount val="10"/>
                <c:lvl>
                  <c:pt idx="0">
                    <c:v>I</c:v>
                  </c:pt>
                  <c:pt idx="1">
                    <c:v>II</c:v>
                  </c:pt>
                  <c:pt idx="2">
                    <c:v>III</c:v>
                  </c:pt>
                  <c:pt idx="3">
                    <c:v>IV</c:v>
                  </c:pt>
                  <c:pt idx="4">
                    <c:v>I</c:v>
                  </c:pt>
                  <c:pt idx="5">
                    <c:v>II</c:v>
                  </c:pt>
                  <c:pt idx="6">
                    <c:v>III</c:v>
                  </c:pt>
                  <c:pt idx="7">
                    <c:v>IV</c:v>
                  </c:pt>
                  <c:pt idx="8">
                    <c:v>I</c:v>
                  </c:pt>
                  <c:pt idx="9">
                    <c:v>II</c:v>
                  </c:pt>
                </c:lvl>
                <c:lvl>
                  <c:pt idx="0">
                    <c:v>2019</c:v>
                  </c:pt>
                  <c:pt idx="4">
                    <c:v>2020</c:v>
                  </c:pt>
                  <c:pt idx="8">
                    <c:v>2021</c:v>
                  </c:pt>
                </c:lvl>
              </c:multiLvlStrCache>
            </c:multiLvlStrRef>
          </c:cat>
          <c:val>
            <c:numRef>
              <c:f>Invest_Eurostat!$K$26:$T$26</c:f>
              <c:numCache>
                <c:formatCode>0</c:formatCode>
                <c:ptCount val="10"/>
                <c:pt idx="0">
                  <c:v>471.4</c:v>
                </c:pt>
                <c:pt idx="1">
                  <c:v>592.6</c:v>
                </c:pt>
                <c:pt idx="2">
                  <c:v>693.7</c:v>
                </c:pt>
                <c:pt idx="3">
                  <c:v>777.8</c:v>
                </c:pt>
                <c:pt idx="4">
                  <c:v>463.8</c:v>
                </c:pt>
                <c:pt idx="5">
                  <c:v>528.9</c:v>
                </c:pt>
                <c:pt idx="6">
                  <c:v>676.2</c:v>
                </c:pt>
                <c:pt idx="7">
                  <c:v>811</c:v>
                </c:pt>
                <c:pt idx="8">
                  <c:v>500.4</c:v>
                </c:pt>
                <c:pt idx="9">
                  <c:v>655</c:v>
                </c:pt>
              </c:numCache>
            </c:numRef>
          </c:val>
          <c:extLst>
            <c:ext xmlns:c16="http://schemas.microsoft.com/office/drawing/2014/chart" uri="{C3380CC4-5D6E-409C-BE32-E72D297353CC}">
              <c16:uniqueId val="{00000001-809E-4D22-8149-2AF22A38FE9A}"/>
            </c:ext>
          </c:extLst>
        </c:ser>
        <c:ser>
          <c:idx val="2"/>
          <c:order val="2"/>
          <c:tx>
            <c:strRef>
              <c:f>Invest_Eurostat!$D$33</c:f>
              <c:strCache>
                <c:ptCount val="1"/>
                <c:pt idx="0">
                  <c:v>Intelektuāla īpašuma produkti</c:v>
                </c:pt>
              </c:strCache>
            </c:strRef>
          </c:tx>
          <c:spPr>
            <a:solidFill>
              <a:srgbClr val="A5A5A5"/>
            </a:solidFill>
            <a:ln w="25400">
              <a:noFill/>
            </a:ln>
          </c:spPr>
          <c:invertIfNegative val="0"/>
          <c:cat>
            <c:multiLvlStrRef>
              <c:f>Invest_Eurostat!$K$9:$T$10</c:f>
              <c:multiLvlStrCache>
                <c:ptCount val="10"/>
                <c:lvl>
                  <c:pt idx="0">
                    <c:v>I</c:v>
                  </c:pt>
                  <c:pt idx="1">
                    <c:v>II</c:v>
                  </c:pt>
                  <c:pt idx="2">
                    <c:v>III</c:v>
                  </c:pt>
                  <c:pt idx="3">
                    <c:v>IV</c:v>
                  </c:pt>
                  <c:pt idx="4">
                    <c:v>I</c:v>
                  </c:pt>
                  <c:pt idx="5">
                    <c:v>II</c:v>
                  </c:pt>
                  <c:pt idx="6">
                    <c:v>III</c:v>
                  </c:pt>
                  <c:pt idx="7">
                    <c:v>IV</c:v>
                  </c:pt>
                  <c:pt idx="8">
                    <c:v>I</c:v>
                  </c:pt>
                  <c:pt idx="9">
                    <c:v>II</c:v>
                  </c:pt>
                </c:lvl>
                <c:lvl>
                  <c:pt idx="0">
                    <c:v>2019</c:v>
                  </c:pt>
                  <c:pt idx="4">
                    <c:v>2020</c:v>
                  </c:pt>
                  <c:pt idx="8">
                    <c:v>2021</c:v>
                  </c:pt>
                </c:lvl>
              </c:multiLvlStrCache>
            </c:multiLvlStrRef>
          </c:cat>
          <c:val>
            <c:numRef>
              <c:f>Invest_Eurostat!$K$27:$T$27</c:f>
              <c:numCache>
                <c:formatCode>0</c:formatCode>
                <c:ptCount val="10"/>
                <c:pt idx="0">
                  <c:v>78.400000000000006</c:v>
                </c:pt>
                <c:pt idx="1">
                  <c:v>160.9</c:v>
                </c:pt>
                <c:pt idx="2">
                  <c:v>166.7</c:v>
                </c:pt>
                <c:pt idx="3">
                  <c:v>71.8</c:v>
                </c:pt>
                <c:pt idx="4">
                  <c:v>79.400000000000006</c:v>
                </c:pt>
                <c:pt idx="5">
                  <c:v>162.9</c:v>
                </c:pt>
                <c:pt idx="6">
                  <c:v>174.9</c:v>
                </c:pt>
                <c:pt idx="7">
                  <c:v>73.099999999999994</c:v>
                </c:pt>
                <c:pt idx="8">
                  <c:v>83.7</c:v>
                </c:pt>
                <c:pt idx="9">
                  <c:v>198.7</c:v>
                </c:pt>
              </c:numCache>
            </c:numRef>
          </c:val>
          <c:extLst>
            <c:ext xmlns:c16="http://schemas.microsoft.com/office/drawing/2014/chart" uri="{C3380CC4-5D6E-409C-BE32-E72D297353CC}">
              <c16:uniqueId val="{00000002-809E-4D22-8149-2AF22A38FE9A}"/>
            </c:ext>
          </c:extLst>
        </c:ser>
        <c:ser>
          <c:idx val="3"/>
          <c:order val="3"/>
          <c:tx>
            <c:strRef>
              <c:f>Invest_Eurostat!$D$34</c:f>
              <c:strCache>
                <c:ptCount val="1"/>
                <c:pt idx="0">
                  <c:v>Pārējie pamatlīdzekļi </c:v>
                </c:pt>
              </c:strCache>
            </c:strRef>
          </c:tx>
          <c:spPr>
            <a:solidFill>
              <a:srgbClr val="FFC000"/>
            </a:solidFill>
            <a:ln w="25400">
              <a:noFill/>
            </a:ln>
          </c:spPr>
          <c:invertIfNegative val="0"/>
          <c:cat>
            <c:multiLvlStrRef>
              <c:f>Invest_Eurostat!$K$9:$T$10</c:f>
              <c:multiLvlStrCache>
                <c:ptCount val="10"/>
                <c:lvl>
                  <c:pt idx="0">
                    <c:v>I</c:v>
                  </c:pt>
                  <c:pt idx="1">
                    <c:v>II</c:v>
                  </c:pt>
                  <c:pt idx="2">
                    <c:v>III</c:v>
                  </c:pt>
                  <c:pt idx="3">
                    <c:v>IV</c:v>
                  </c:pt>
                  <c:pt idx="4">
                    <c:v>I</c:v>
                  </c:pt>
                  <c:pt idx="5">
                    <c:v>II</c:v>
                  </c:pt>
                  <c:pt idx="6">
                    <c:v>III</c:v>
                  </c:pt>
                  <c:pt idx="7">
                    <c:v>IV</c:v>
                  </c:pt>
                  <c:pt idx="8">
                    <c:v>I</c:v>
                  </c:pt>
                  <c:pt idx="9">
                    <c:v>II</c:v>
                  </c:pt>
                </c:lvl>
                <c:lvl>
                  <c:pt idx="0">
                    <c:v>2019</c:v>
                  </c:pt>
                  <c:pt idx="4">
                    <c:v>2020</c:v>
                  </c:pt>
                  <c:pt idx="8">
                    <c:v>2021</c:v>
                  </c:pt>
                </c:lvl>
              </c:multiLvlStrCache>
            </c:multiLvlStrRef>
          </c:cat>
          <c:val>
            <c:numRef>
              <c:f>Invest_Eurostat!$K$28:$T$28</c:f>
              <c:numCache>
                <c:formatCode>0</c:formatCode>
                <c:ptCount val="10"/>
                <c:pt idx="0">
                  <c:v>4.9000000000000004</c:v>
                </c:pt>
                <c:pt idx="1">
                  <c:v>5.0999999999999996</c:v>
                </c:pt>
                <c:pt idx="2">
                  <c:v>6.9</c:v>
                </c:pt>
                <c:pt idx="3">
                  <c:v>6</c:v>
                </c:pt>
                <c:pt idx="4">
                  <c:v>4.7</c:v>
                </c:pt>
                <c:pt idx="5">
                  <c:v>4.8</c:v>
                </c:pt>
                <c:pt idx="6">
                  <c:v>6.6</c:v>
                </c:pt>
                <c:pt idx="7">
                  <c:v>5.7</c:v>
                </c:pt>
                <c:pt idx="8">
                  <c:v>4.5</c:v>
                </c:pt>
                <c:pt idx="9">
                  <c:v>4.5999999999999996</c:v>
                </c:pt>
              </c:numCache>
            </c:numRef>
          </c:val>
          <c:extLst>
            <c:ext xmlns:c16="http://schemas.microsoft.com/office/drawing/2014/chart" uri="{C3380CC4-5D6E-409C-BE32-E72D297353CC}">
              <c16:uniqueId val="{00000003-809E-4D22-8149-2AF22A38FE9A}"/>
            </c:ext>
          </c:extLst>
        </c:ser>
        <c:dLbls>
          <c:showLegendKey val="0"/>
          <c:showVal val="0"/>
          <c:showCatName val="0"/>
          <c:showSerName val="0"/>
          <c:showPercent val="0"/>
          <c:showBubbleSize val="0"/>
        </c:dLbls>
        <c:gapWidth val="50"/>
        <c:overlap val="100"/>
        <c:axId val="661115376"/>
        <c:axId val="1"/>
      </c:barChart>
      <c:catAx>
        <c:axId val="661115376"/>
        <c:scaling>
          <c:orientation val="minMax"/>
        </c:scaling>
        <c:delete val="0"/>
        <c:axPos val="b"/>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Verdana" panose="020B0604030504040204" pitchFamily="34" charset="0"/>
                <a:cs typeface="Times New Roman" panose="02020603050405020304" pitchFamily="18" charset="0"/>
              </a:defRPr>
            </a:pPr>
            <a:endParaRPr lang="lv-LV"/>
          </a:p>
        </c:txPr>
        <c:crossAx val="1"/>
        <c:crosses val="autoZero"/>
        <c:auto val="1"/>
        <c:lblAlgn val="ctr"/>
        <c:lblOffset val="100"/>
        <c:noMultiLvlLbl val="0"/>
      </c:catAx>
      <c:valAx>
        <c:axId val="1"/>
        <c:scaling>
          <c:orientation val="minMax"/>
          <c:max val="2000"/>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ln w="6350">
            <a:noFill/>
          </a:ln>
        </c:spPr>
        <c:txPr>
          <a:bodyPr rot="-6000000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Verdana" panose="020B0604030504040204" pitchFamily="34" charset="0"/>
                <a:cs typeface="Times New Roman" panose="02020603050405020304" pitchFamily="18" charset="0"/>
              </a:defRPr>
            </a:pPr>
            <a:endParaRPr lang="lv-LV"/>
          </a:p>
        </c:txPr>
        <c:crossAx val="661115376"/>
        <c:crosses val="autoZero"/>
        <c:crossBetween val="between"/>
        <c:majorUnit val="400"/>
      </c:valAx>
      <c:spPr>
        <a:noFill/>
        <a:ln w="25400">
          <a:noFill/>
        </a:ln>
      </c:spPr>
    </c:plotArea>
    <c:legend>
      <c:legendPos val="b"/>
      <c:layout>
        <c:manualLayout>
          <c:xMode val="edge"/>
          <c:yMode val="edge"/>
          <c:x val="3.7203319768515174E-2"/>
          <c:y val="0.78068301615067048"/>
          <c:w val="0.90612286524087349"/>
          <c:h val="0.17416627822858868"/>
        </c:manualLayout>
      </c:layout>
      <c:overlay val="0"/>
      <c:spPr>
        <a:noFill/>
        <a:ln w="25400">
          <a:noFill/>
        </a:ln>
      </c:spPr>
      <c:txPr>
        <a:bodyPr rot="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Verdana" panose="020B0604030504040204" pitchFamily="34" charset="0"/>
              <a:cs typeface="Times New Roman" panose="02020603050405020304" pitchFamily="18" charset="0"/>
            </a:defRPr>
          </a:pPr>
          <a:endParaRPr lang="lv-LV"/>
        </a:p>
      </c:txPr>
    </c:legend>
    <c:plotVisOnly val="1"/>
    <c:dispBlanksAs val="gap"/>
    <c:showDLblsOverMax val="0"/>
  </c:chart>
  <c:spPr>
    <a:solidFill>
      <a:schemeClr val="bg1"/>
    </a:solidFill>
    <a:ln w="9525" cap="flat" cmpd="sng" algn="ctr">
      <a:noFill/>
      <a:round/>
    </a:ln>
    <a:effectLst/>
  </c:spPr>
  <c:txPr>
    <a:bodyPr/>
    <a:lstStyle/>
    <a:p>
      <a:pPr>
        <a:defRPr/>
      </a:pPr>
      <a:endParaRPr lang="lv-LV"/>
    </a:p>
  </c:txPr>
  <c:externalData r:id="rId1">
    <c:autoUpdate val="0"/>
  </c:externalData>
</c:chartSpace>
</file>

<file path=word/charts/chart4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Sheet1!$E$10</c:f>
              <c:strCache>
                <c:ptCount val="1"/>
                <c:pt idx="0">
                  <c:v>2015</c:v>
                </c:pt>
              </c:strCache>
            </c:strRef>
          </c:tx>
          <c:spPr>
            <a:solidFill>
              <a:schemeClr val="accent1"/>
            </a:solidFill>
            <a:ln>
              <a:noFill/>
            </a:ln>
            <a:effectLst/>
          </c:spPr>
          <c:invertIfNegative val="0"/>
          <c:cat>
            <c:strRef>
              <c:f>Sheet1!$D$11:$D$24</c:f>
              <c:strCache>
                <c:ptCount val="14"/>
                <c:pt idx="0">
                  <c:v>Tekošā konta bilance </c:v>
                </c:pt>
                <c:pt idx="1">
                  <c:v>Neto starptautiskā inv. poz.</c:v>
                </c:pt>
                <c:pt idx="2">
                  <c:v>Reālais efektīvais  maiņas kurss</c:v>
                </c:pt>
                <c:pt idx="3">
                  <c:v>Eksporta tirgus daļa % no pasaules eksporta</c:v>
                </c:pt>
                <c:pt idx="4">
                  <c:v>Nominālās darbaspēka vienības izmaksu indekss</c:v>
                </c:pt>
                <c:pt idx="5">
                  <c:v>Mājokļu cenu indekss</c:v>
                </c:pt>
                <c:pt idx="6">
                  <c:v>Privātā sektora kredītplūsma</c:v>
                </c:pt>
                <c:pt idx="7">
                  <c:v>Privātā sektora konsolidētais parāds</c:v>
                </c:pt>
                <c:pt idx="8">
                  <c:v>Vispārējais valdības parāds</c:v>
                </c:pt>
                <c:pt idx="9">
                  <c:v>Bezdarba līmenis</c:v>
                </c:pt>
                <c:pt idx="10">
                  <c:v>Finanšu sektora saistības kopā</c:v>
                </c:pt>
                <c:pt idx="11">
                  <c:v>Ekonomiski aktīvo iedzīvotāju īpatsvars </c:v>
                </c:pt>
                <c:pt idx="12">
                  <c:v>Ilgtermiņa bezdarba līmenis </c:v>
                </c:pt>
                <c:pt idx="13">
                  <c:v>Jauniešu bezdarba līmenis</c:v>
                </c:pt>
              </c:strCache>
            </c:strRef>
          </c:cat>
          <c:val>
            <c:numRef>
              <c:f>Sheet1!$E$11:$E$24</c:f>
              <c:numCache>
                <c:formatCode>General</c:formatCode>
                <c:ptCount val="14"/>
                <c:pt idx="0">
                  <c:v>5</c:v>
                </c:pt>
                <c:pt idx="1">
                  <c:v>15</c:v>
                </c:pt>
                <c:pt idx="2">
                  <c:v>5</c:v>
                </c:pt>
                <c:pt idx="3">
                  <c:v>11</c:v>
                </c:pt>
                <c:pt idx="4">
                  <c:v>4</c:v>
                </c:pt>
                <c:pt idx="5">
                  <c:v>6</c:v>
                </c:pt>
                <c:pt idx="6">
                  <c:v>1</c:v>
                </c:pt>
                <c:pt idx="7">
                  <c:v>13</c:v>
                </c:pt>
                <c:pt idx="8">
                  <c:v>17</c:v>
                </c:pt>
                <c:pt idx="9">
                  <c:v>12</c:v>
                </c:pt>
                <c:pt idx="10">
                  <c:v>0</c:v>
                </c:pt>
                <c:pt idx="11">
                  <c:v>0</c:v>
                </c:pt>
                <c:pt idx="12">
                  <c:v>8</c:v>
                </c:pt>
                <c:pt idx="13">
                  <c:v>4</c:v>
                </c:pt>
              </c:numCache>
            </c:numRef>
          </c:val>
          <c:extLst>
            <c:ext xmlns:c16="http://schemas.microsoft.com/office/drawing/2014/chart" uri="{C3380CC4-5D6E-409C-BE32-E72D297353CC}">
              <c16:uniqueId val="{00000000-3E9E-46C9-82B8-0925EF1ED673}"/>
            </c:ext>
          </c:extLst>
        </c:ser>
        <c:ser>
          <c:idx val="1"/>
          <c:order val="1"/>
          <c:tx>
            <c:strRef>
              <c:f>Sheet1!$F$10</c:f>
              <c:strCache>
                <c:ptCount val="1"/>
                <c:pt idx="0">
                  <c:v>2016</c:v>
                </c:pt>
              </c:strCache>
            </c:strRef>
          </c:tx>
          <c:spPr>
            <a:solidFill>
              <a:schemeClr val="accent2"/>
            </a:solidFill>
            <a:ln>
              <a:noFill/>
            </a:ln>
            <a:effectLst/>
          </c:spPr>
          <c:invertIfNegative val="0"/>
          <c:cat>
            <c:strRef>
              <c:f>Sheet1!$D$11:$D$24</c:f>
              <c:strCache>
                <c:ptCount val="14"/>
                <c:pt idx="0">
                  <c:v>Tekošā konta bilance </c:v>
                </c:pt>
                <c:pt idx="1">
                  <c:v>Neto starptautiskā inv. poz.</c:v>
                </c:pt>
                <c:pt idx="2">
                  <c:v>Reālais efektīvais  maiņas kurss</c:v>
                </c:pt>
                <c:pt idx="3">
                  <c:v>Eksporta tirgus daļa % no pasaules eksporta</c:v>
                </c:pt>
                <c:pt idx="4">
                  <c:v>Nominālās darbaspēka vienības izmaksu indekss</c:v>
                </c:pt>
                <c:pt idx="5">
                  <c:v>Mājokļu cenu indekss</c:v>
                </c:pt>
                <c:pt idx="6">
                  <c:v>Privātā sektora kredītplūsma</c:v>
                </c:pt>
                <c:pt idx="7">
                  <c:v>Privātā sektora konsolidētais parāds</c:v>
                </c:pt>
                <c:pt idx="8">
                  <c:v>Vispārējais valdības parāds</c:v>
                </c:pt>
                <c:pt idx="9">
                  <c:v>Bezdarba līmenis</c:v>
                </c:pt>
                <c:pt idx="10">
                  <c:v>Finanšu sektora saistības kopā</c:v>
                </c:pt>
                <c:pt idx="11">
                  <c:v>Ekonomiski aktīvo iedzīvotāju īpatsvars </c:v>
                </c:pt>
                <c:pt idx="12">
                  <c:v>Ilgtermiņa bezdarba līmenis </c:v>
                </c:pt>
                <c:pt idx="13">
                  <c:v>Jauniešu bezdarba līmenis</c:v>
                </c:pt>
              </c:strCache>
            </c:strRef>
          </c:cat>
          <c:val>
            <c:numRef>
              <c:f>Sheet1!$F$11:$F$24</c:f>
              <c:numCache>
                <c:formatCode>General</c:formatCode>
                <c:ptCount val="14"/>
                <c:pt idx="0">
                  <c:v>5</c:v>
                </c:pt>
                <c:pt idx="1">
                  <c:v>15</c:v>
                </c:pt>
                <c:pt idx="2">
                  <c:v>3</c:v>
                </c:pt>
                <c:pt idx="3">
                  <c:v>3</c:v>
                </c:pt>
                <c:pt idx="4">
                  <c:v>3</c:v>
                </c:pt>
                <c:pt idx="5">
                  <c:v>10</c:v>
                </c:pt>
                <c:pt idx="6">
                  <c:v>0</c:v>
                </c:pt>
                <c:pt idx="7">
                  <c:v>12</c:v>
                </c:pt>
                <c:pt idx="8">
                  <c:v>16</c:v>
                </c:pt>
                <c:pt idx="9">
                  <c:v>9</c:v>
                </c:pt>
                <c:pt idx="10">
                  <c:v>1</c:v>
                </c:pt>
                <c:pt idx="11">
                  <c:v>1</c:v>
                </c:pt>
                <c:pt idx="12">
                  <c:v>2</c:v>
                </c:pt>
                <c:pt idx="13">
                  <c:v>1</c:v>
                </c:pt>
              </c:numCache>
            </c:numRef>
          </c:val>
          <c:extLst>
            <c:ext xmlns:c16="http://schemas.microsoft.com/office/drawing/2014/chart" uri="{C3380CC4-5D6E-409C-BE32-E72D297353CC}">
              <c16:uniqueId val="{00000001-3E9E-46C9-82B8-0925EF1ED673}"/>
            </c:ext>
          </c:extLst>
        </c:ser>
        <c:ser>
          <c:idx val="2"/>
          <c:order val="2"/>
          <c:tx>
            <c:strRef>
              <c:f>Sheet1!$G$10</c:f>
              <c:strCache>
                <c:ptCount val="1"/>
                <c:pt idx="0">
                  <c:v>2017</c:v>
                </c:pt>
              </c:strCache>
            </c:strRef>
          </c:tx>
          <c:spPr>
            <a:solidFill>
              <a:schemeClr val="accent3"/>
            </a:solidFill>
            <a:ln>
              <a:noFill/>
            </a:ln>
            <a:effectLst/>
          </c:spPr>
          <c:invertIfNegative val="0"/>
          <c:cat>
            <c:strRef>
              <c:f>Sheet1!$D$11:$D$24</c:f>
              <c:strCache>
                <c:ptCount val="14"/>
                <c:pt idx="0">
                  <c:v>Tekošā konta bilance </c:v>
                </c:pt>
                <c:pt idx="1">
                  <c:v>Neto starptautiskā inv. poz.</c:v>
                </c:pt>
                <c:pt idx="2">
                  <c:v>Reālais efektīvais  maiņas kurss</c:v>
                </c:pt>
                <c:pt idx="3">
                  <c:v>Eksporta tirgus daļa % no pasaules eksporta</c:v>
                </c:pt>
                <c:pt idx="4">
                  <c:v>Nominālās darbaspēka vienības izmaksu indekss</c:v>
                </c:pt>
                <c:pt idx="5">
                  <c:v>Mājokļu cenu indekss</c:v>
                </c:pt>
                <c:pt idx="6">
                  <c:v>Privātā sektora kredītplūsma</c:v>
                </c:pt>
                <c:pt idx="7">
                  <c:v>Privātā sektora konsolidētais parāds</c:v>
                </c:pt>
                <c:pt idx="8">
                  <c:v>Vispārējais valdības parāds</c:v>
                </c:pt>
                <c:pt idx="9">
                  <c:v>Bezdarba līmenis</c:v>
                </c:pt>
                <c:pt idx="10">
                  <c:v>Finanšu sektora saistības kopā</c:v>
                </c:pt>
                <c:pt idx="11">
                  <c:v>Ekonomiski aktīvo iedzīvotāju īpatsvars </c:v>
                </c:pt>
                <c:pt idx="12">
                  <c:v>Ilgtermiņa bezdarba līmenis </c:v>
                </c:pt>
                <c:pt idx="13">
                  <c:v>Jauniešu bezdarba līmenis</c:v>
                </c:pt>
              </c:strCache>
            </c:strRef>
          </c:cat>
          <c:val>
            <c:numRef>
              <c:f>Sheet1!$G$11:$G$24</c:f>
              <c:numCache>
                <c:formatCode>General</c:formatCode>
                <c:ptCount val="14"/>
                <c:pt idx="0">
                  <c:v>6</c:v>
                </c:pt>
                <c:pt idx="1">
                  <c:v>13</c:v>
                </c:pt>
                <c:pt idx="2">
                  <c:v>2</c:v>
                </c:pt>
                <c:pt idx="3">
                  <c:v>1</c:v>
                </c:pt>
                <c:pt idx="4">
                  <c:v>4</c:v>
                </c:pt>
                <c:pt idx="5">
                  <c:v>6</c:v>
                </c:pt>
                <c:pt idx="6">
                  <c:v>0</c:v>
                </c:pt>
                <c:pt idx="7">
                  <c:v>12</c:v>
                </c:pt>
                <c:pt idx="8">
                  <c:v>15</c:v>
                </c:pt>
                <c:pt idx="9">
                  <c:v>7</c:v>
                </c:pt>
                <c:pt idx="10">
                  <c:v>2</c:v>
                </c:pt>
                <c:pt idx="11">
                  <c:v>3</c:v>
                </c:pt>
                <c:pt idx="12">
                  <c:v>1</c:v>
                </c:pt>
                <c:pt idx="13">
                  <c:v>0</c:v>
                </c:pt>
              </c:numCache>
            </c:numRef>
          </c:val>
          <c:extLst>
            <c:ext xmlns:c16="http://schemas.microsoft.com/office/drawing/2014/chart" uri="{C3380CC4-5D6E-409C-BE32-E72D297353CC}">
              <c16:uniqueId val="{00000002-3E9E-46C9-82B8-0925EF1ED673}"/>
            </c:ext>
          </c:extLst>
        </c:ser>
        <c:ser>
          <c:idx val="3"/>
          <c:order val="3"/>
          <c:tx>
            <c:strRef>
              <c:f>Sheet1!$H$10</c:f>
              <c:strCache>
                <c:ptCount val="1"/>
                <c:pt idx="0">
                  <c:v>2018</c:v>
                </c:pt>
              </c:strCache>
            </c:strRef>
          </c:tx>
          <c:spPr>
            <a:solidFill>
              <a:schemeClr val="accent4"/>
            </a:solidFill>
            <a:ln>
              <a:noFill/>
            </a:ln>
            <a:effectLst/>
          </c:spPr>
          <c:invertIfNegative val="0"/>
          <c:cat>
            <c:strRef>
              <c:f>Sheet1!$D$11:$D$24</c:f>
              <c:strCache>
                <c:ptCount val="14"/>
                <c:pt idx="0">
                  <c:v>Tekošā konta bilance </c:v>
                </c:pt>
                <c:pt idx="1">
                  <c:v>Neto starptautiskā inv. poz.</c:v>
                </c:pt>
                <c:pt idx="2">
                  <c:v>Reālais efektīvais  maiņas kurss</c:v>
                </c:pt>
                <c:pt idx="3">
                  <c:v>Eksporta tirgus daļa % no pasaules eksporta</c:v>
                </c:pt>
                <c:pt idx="4">
                  <c:v>Nominālās darbaspēka vienības izmaksu indekss</c:v>
                </c:pt>
                <c:pt idx="5">
                  <c:v>Mājokļu cenu indekss</c:v>
                </c:pt>
                <c:pt idx="6">
                  <c:v>Privātā sektora kredītplūsma</c:v>
                </c:pt>
                <c:pt idx="7">
                  <c:v>Privātā sektora konsolidētais parāds</c:v>
                </c:pt>
                <c:pt idx="8">
                  <c:v>Vispārējais valdības parāds</c:v>
                </c:pt>
                <c:pt idx="9">
                  <c:v>Bezdarba līmenis</c:v>
                </c:pt>
                <c:pt idx="10">
                  <c:v>Finanšu sektora saistības kopā</c:v>
                </c:pt>
                <c:pt idx="11">
                  <c:v>Ekonomiski aktīvo iedzīvotāju īpatsvars </c:v>
                </c:pt>
                <c:pt idx="12">
                  <c:v>Ilgtermiņa bezdarba līmenis </c:v>
                </c:pt>
                <c:pt idx="13">
                  <c:v>Jauniešu bezdarba līmenis</c:v>
                </c:pt>
              </c:strCache>
            </c:strRef>
          </c:cat>
          <c:val>
            <c:numRef>
              <c:f>Sheet1!$H$11:$H$24</c:f>
              <c:numCache>
                <c:formatCode>General</c:formatCode>
                <c:ptCount val="14"/>
                <c:pt idx="0">
                  <c:v>6</c:v>
                </c:pt>
                <c:pt idx="1">
                  <c:v>12</c:v>
                </c:pt>
                <c:pt idx="2">
                  <c:v>6</c:v>
                </c:pt>
                <c:pt idx="3">
                  <c:v>1</c:v>
                </c:pt>
                <c:pt idx="4">
                  <c:v>8</c:v>
                </c:pt>
                <c:pt idx="5">
                  <c:v>7</c:v>
                </c:pt>
                <c:pt idx="6">
                  <c:v>0</c:v>
                </c:pt>
                <c:pt idx="7">
                  <c:v>12</c:v>
                </c:pt>
                <c:pt idx="8">
                  <c:v>14</c:v>
                </c:pt>
                <c:pt idx="9">
                  <c:v>5</c:v>
                </c:pt>
                <c:pt idx="10">
                  <c:v>1</c:v>
                </c:pt>
                <c:pt idx="11">
                  <c:v>2</c:v>
                </c:pt>
                <c:pt idx="12">
                  <c:v>0</c:v>
                </c:pt>
                <c:pt idx="13">
                  <c:v>0</c:v>
                </c:pt>
              </c:numCache>
            </c:numRef>
          </c:val>
          <c:extLst>
            <c:ext xmlns:c16="http://schemas.microsoft.com/office/drawing/2014/chart" uri="{C3380CC4-5D6E-409C-BE32-E72D297353CC}">
              <c16:uniqueId val="{00000003-3E9E-46C9-82B8-0925EF1ED673}"/>
            </c:ext>
          </c:extLst>
        </c:ser>
        <c:ser>
          <c:idx val="4"/>
          <c:order val="4"/>
          <c:tx>
            <c:strRef>
              <c:f>Sheet1!$I$10</c:f>
              <c:strCache>
                <c:ptCount val="1"/>
                <c:pt idx="0">
                  <c:v>2019</c:v>
                </c:pt>
              </c:strCache>
            </c:strRef>
          </c:tx>
          <c:spPr>
            <a:solidFill>
              <a:schemeClr val="accent5"/>
            </a:solidFill>
            <a:ln>
              <a:noFill/>
            </a:ln>
            <a:effectLst/>
          </c:spPr>
          <c:invertIfNegative val="0"/>
          <c:cat>
            <c:strRef>
              <c:f>Sheet1!$D$11:$D$24</c:f>
              <c:strCache>
                <c:ptCount val="14"/>
                <c:pt idx="0">
                  <c:v>Tekošā konta bilance </c:v>
                </c:pt>
                <c:pt idx="1">
                  <c:v>Neto starptautiskā inv. poz.</c:v>
                </c:pt>
                <c:pt idx="2">
                  <c:v>Reālais efektīvais  maiņas kurss</c:v>
                </c:pt>
                <c:pt idx="3">
                  <c:v>Eksporta tirgus daļa % no pasaules eksporta</c:v>
                </c:pt>
                <c:pt idx="4">
                  <c:v>Nominālās darbaspēka vienības izmaksu indekss</c:v>
                </c:pt>
                <c:pt idx="5">
                  <c:v>Mājokļu cenu indekss</c:v>
                </c:pt>
                <c:pt idx="6">
                  <c:v>Privātā sektora kredītplūsma</c:v>
                </c:pt>
                <c:pt idx="7">
                  <c:v>Privātā sektora konsolidētais parāds</c:v>
                </c:pt>
                <c:pt idx="8">
                  <c:v>Vispārējais valdības parāds</c:v>
                </c:pt>
                <c:pt idx="9">
                  <c:v>Bezdarba līmenis</c:v>
                </c:pt>
                <c:pt idx="10">
                  <c:v>Finanšu sektora saistības kopā</c:v>
                </c:pt>
                <c:pt idx="11">
                  <c:v>Ekonomiski aktīvo iedzīvotāju īpatsvars </c:v>
                </c:pt>
                <c:pt idx="12">
                  <c:v>Ilgtermiņa bezdarba līmenis </c:v>
                </c:pt>
                <c:pt idx="13">
                  <c:v>Jauniešu bezdarba līmenis</c:v>
                </c:pt>
              </c:strCache>
            </c:strRef>
          </c:cat>
          <c:val>
            <c:numRef>
              <c:f>Sheet1!$I$11:$I$24</c:f>
              <c:numCache>
                <c:formatCode>General</c:formatCode>
                <c:ptCount val="14"/>
                <c:pt idx="0">
                  <c:v>5</c:v>
                </c:pt>
                <c:pt idx="1">
                  <c:v>11</c:v>
                </c:pt>
                <c:pt idx="2">
                  <c:v>1</c:v>
                </c:pt>
                <c:pt idx="3">
                  <c:v>0</c:v>
                </c:pt>
                <c:pt idx="4">
                  <c:v>8</c:v>
                </c:pt>
                <c:pt idx="5">
                  <c:v>8</c:v>
                </c:pt>
                <c:pt idx="6">
                  <c:v>0</c:v>
                </c:pt>
                <c:pt idx="7">
                  <c:v>10</c:v>
                </c:pt>
                <c:pt idx="8">
                  <c:v>11</c:v>
                </c:pt>
                <c:pt idx="9">
                  <c:v>3</c:v>
                </c:pt>
                <c:pt idx="10">
                  <c:v>1</c:v>
                </c:pt>
                <c:pt idx="11">
                  <c:v>1</c:v>
                </c:pt>
                <c:pt idx="12">
                  <c:v>0</c:v>
                </c:pt>
                <c:pt idx="13">
                  <c:v>0</c:v>
                </c:pt>
              </c:numCache>
            </c:numRef>
          </c:val>
          <c:extLst>
            <c:ext xmlns:c16="http://schemas.microsoft.com/office/drawing/2014/chart" uri="{C3380CC4-5D6E-409C-BE32-E72D297353CC}">
              <c16:uniqueId val="{00000004-3E9E-46C9-82B8-0925EF1ED673}"/>
            </c:ext>
          </c:extLst>
        </c:ser>
        <c:dLbls>
          <c:showLegendKey val="0"/>
          <c:showVal val="0"/>
          <c:showCatName val="0"/>
          <c:showSerName val="0"/>
          <c:showPercent val="0"/>
          <c:showBubbleSize val="0"/>
        </c:dLbls>
        <c:gapWidth val="50"/>
        <c:overlap val="-27"/>
        <c:axId val="1245898511"/>
        <c:axId val="1618127343"/>
      </c:barChart>
      <c:catAx>
        <c:axId val="1245898511"/>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6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v-LV"/>
          </a:p>
        </c:txPr>
        <c:crossAx val="1618127343"/>
        <c:crosses val="autoZero"/>
        <c:auto val="1"/>
        <c:lblAlgn val="ctr"/>
        <c:lblOffset val="100"/>
        <c:noMultiLvlLbl val="0"/>
      </c:catAx>
      <c:valAx>
        <c:axId val="1618127343"/>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v-LV"/>
          </a:p>
        </c:txPr>
        <c:crossAx val="1245898511"/>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v-LV"/>
        </a:p>
      </c:txPr>
    </c:legend>
    <c:plotVisOnly val="1"/>
    <c:dispBlanksAs val="gap"/>
    <c:showDLblsOverMax val="0"/>
  </c:chart>
  <c:spPr>
    <a:solidFill>
      <a:schemeClr val="bg1"/>
    </a:solidFill>
    <a:ln w="9525" cap="flat" cmpd="sng" algn="ctr">
      <a:noFill/>
      <a:round/>
    </a:ln>
    <a:effectLst/>
  </c:spPr>
  <c:txPr>
    <a:bodyPr/>
    <a:lstStyle/>
    <a:p>
      <a:pPr>
        <a:defRPr sz="900">
          <a:solidFill>
            <a:sysClr val="windowText" lastClr="000000"/>
          </a:solidFill>
          <a:latin typeface="Times New Roman" panose="02020603050405020304" pitchFamily="18" charset="0"/>
          <a:cs typeface="Times New Roman" panose="02020603050405020304" pitchFamily="18" charset="0"/>
        </a:defRPr>
      </a:pPr>
      <a:endParaRPr lang="lv-LV"/>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5556206636961076"/>
          <c:y val="0.25135713639243368"/>
          <c:w val="0.50708905572849905"/>
          <c:h val="0.56391800162910666"/>
        </c:manualLayout>
      </c:layout>
      <c:pieChart>
        <c:varyColors val="1"/>
        <c:ser>
          <c:idx val="0"/>
          <c:order val="0"/>
          <c:dPt>
            <c:idx val="0"/>
            <c:bubble3D val="0"/>
            <c:spPr>
              <a:solidFill>
                <a:schemeClr val="bg1">
                  <a:lumMod val="65000"/>
                </a:schemeClr>
              </a:solidFill>
              <a:ln w="19050">
                <a:solidFill>
                  <a:schemeClr val="lt1"/>
                </a:solidFill>
              </a:ln>
              <a:effectLst/>
            </c:spPr>
            <c:extLst>
              <c:ext xmlns:c16="http://schemas.microsoft.com/office/drawing/2014/chart" uri="{C3380CC4-5D6E-409C-BE32-E72D297353CC}">
                <c16:uniqueId val="{00000001-1B84-4994-8FEC-E96D684CE9CD}"/>
              </c:ext>
            </c:extLst>
          </c:dPt>
          <c:dPt>
            <c:idx val="1"/>
            <c:bubble3D val="0"/>
            <c:spPr>
              <a:pattFill prst="dkUpDiag">
                <a:fgClr>
                  <a:schemeClr val="tx1">
                    <a:lumMod val="50000"/>
                    <a:lumOff val="50000"/>
                  </a:schemeClr>
                </a:fgClr>
                <a:bgClr>
                  <a:schemeClr val="bg1"/>
                </a:bgClr>
              </a:pattFill>
              <a:ln w="19050">
                <a:solidFill>
                  <a:schemeClr val="lt1"/>
                </a:solidFill>
              </a:ln>
              <a:effectLst/>
            </c:spPr>
            <c:extLst>
              <c:ext xmlns:c16="http://schemas.microsoft.com/office/drawing/2014/chart" uri="{C3380CC4-5D6E-409C-BE32-E72D297353CC}">
                <c16:uniqueId val="{00000003-1B84-4994-8FEC-E96D684CE9CD}"/>
              </c:ext>
            </c:extLst>
          </c:dPt>
          <c:dPt>
            <c:idx val="2"/>
            <c:bubble3D val="0"/>
            <c:spPr>
              <a:solidFill>
                <a:srgbClr val="FFFF99"/>
              </a:solidFill>
              <a:ln w="19050">
                <a:solidFill>
                  <a:schemeClr val="lt1"/>
                </a:solidFill>
              </a:ln>
              <a:effectLst/>
            </c:spPr>
            <c:extLst>
              <c:ext xmlns:c16="http://schemas.microsoft.com/office/drawing/2014/chart" uri="{C3380CC4-5D6E-409C-BE32-E72D297353CC}">
                <c16:uniqueId val="{00000005-1B84-4994-8FEC-E96D684CE9CD}"/>
              </c:ext>
            </c:extLst>
          </c:dPt>
          <c:dPt>
            <c:idx val="3"/>
            <c:bubble3D val="0"/>
            <c:spPr>
              <a:pattFill prst="dkUpDiag">
                <a:fgClr>
                  <a:srgbClr val="00B050"/>
                </a:fgClr>
                <a:bgClr>
                  <a:schemeClr val="bg1"/>
                </a:bgClr>
              </a:pattFill>
              <a:ln w="19050">
                <a:solidFill>
                  <a:schemeClr val="lt1"/>
                </a:solidFill>
              </a:ln>
              <a:effectLst/>
            </c:spPr>
            <c:extLst>
              <c:ext xmlns:c16="http://schemas.microsoft.com/office/drawing/2014/chart" uri="{C3380CC4-5D6E-409C-BE32-E72D297353CC}">
                <c16:uniqueId val="{00000007-1B84-4994-8FEC-E96D684CE9CD}"/>
              </c:ext>
            </c:extLst>
          </c:dPt>
          <c:dPt>
            <c:idx val="4"/>
            <c:bubble3D val="0"/>
            <c:spPr>
              <a:solidFill>
                <a:schemeClr val="accent6">
                  <a:lumMod val="60000"/>
                  <a:lumOff val="40000"/>
                </a:schemeClr>
              </a:solidFill>
              <a:ln w="19050">
                <a:solidFill>
                  <a:schemeClr val="lt1"/>
                </a:solidFill>
              </a:ln>
              <a:effectLst/>
            </c:spPr>
            <c:extLst>
              <c:ext xmlns:c16="http://schemas.microsoft.com/office/drawing/2014/chart" uri="{C3380CC4-5D6E-409C-BE32-E72D297353CC}">
                <c16:uniqueId val="{00000009-1B84-4994-8FEC-E96D684CE9CD}"/>
              </c:ext>
            </c:extLst>
          </c:dPt>
          <c:dPt>
            <c:idx val="5"/>
            <c:bubble3D val="0"/>
            <c:spPr>
              <a:pattFill prst="dkUpDiag">
                <a:fgClr>
                  <a:schemeClr val="accent4">
                    <a:lumMod val="75000"/>
                  </a:schemeClr>
                </a:fgClr>
                <a:bgClr>
                  <a:schemeClr val="bg1"/>
                </a:bgClr>
              </a:pattFill>
              <a:ln w="19050">
                <a:solidFill>
                  <a:schemeClr val="lt1"/>
                </a:solidFill>
              </a:ln>
              <a:effectLst/>
            </c:spPr>
            <c:extLst>
              <c:ext xmlns:c16="http://schemas.microsoft.com/office/drawing/2014/chart" uri="{C3380CC4-5D6E-409C-BE32-E72D297353CC}">
                <c16:uniqueId val="{0000000B-1B84-4994-8FEC-E96D684CE9CD}"/>
              </c:ext>
            </c:extLst>
          </c:dPt>
          <c:dPt>
            <c:idx val="6"/>
            <c:bubble3D val="0"/>
            <c:spPr>
              <a:solidFill>
                <a:schemeClr val="accent1"/>
              </a:solidFill>
              <a:ln w="19050">
                <a:solidFill>
                  <a:schemeClr val="lt1"/>
                </a:solidFill>
              </a:ln>
              <a:effectLst/>
            </c:spPr>
            <c:extLst>
              <c:ext xmlns:c16="http://schemas.microsoft.com/office/drawing/2014/chart" uri="{C3380CC4-5D6E-409C-BE32-E72D297353CC}">
                <c16:uniqueId val="{0000000D-1B84-4994-8FEC-E96D684CE9CD}"/>
              </c:ext>
            </c:extLst>
          </c:dPt>
          <c:dPt>
            <c:idx val="7"/>
            <c:bubble3D val="0"/>
            <c:spPr>
              <a:solidFill>
                <a:schemeClr val="tx1">
                  <a:lumMod val="50000"/>
                  <a:lumOff val="50000"/>
                </a:schemeClr>
              </a:solidFill>
              <a:ln w="19050">
                <a:solidFill>
                  <a:schemeClr val="lt1"/>
                </a:solidFill>
              </a:ln>
              <a:effectLst/>
            </c:spPr>
            <c:extLst>
              <c:ext xmlns:c16="http://schemas.microsoft.com/office/drawing/2014/chart" uri="{C3380CC4-5D6E-409C-BE32-E72D297353CC}">
                <c16:uniqueId val="{0000000F-1B84-4994-8FEC-E96D684CE9CD}"/>
              </c:ext>
            </c:extLst>
          </c:dPt>
          <c:dPt>
            <c:idx val="8"/>
            <c:bubble3D val="0"/>
            <c:spPr>
              <a:pattFill prst="dkUpDiag">
                <a:fgClr>
                  <a:schemeClr val="accent2">
                    <a:lumMod val="60000"/>
                    <a:lumOff val="40000"/>
                  </a:schemeClr>
                </a:fgClr>
                <a:bgClr>
                  <a:schemeClr val="bg1"/>
                </a:bgClr>
              </a:pattFill>
              <a:ln w="19050">
                <a:solidFill>
                  <a:schemeClr val="lt1"/>
                </a:solidFill>
              </a:ln>
              <a:effectLst/>
            </c:spPr>
            <c:extLst>
              <c:ext xmlns:c16="http://schemas.microsoft.com/office/drawing/2014/chart" uri="{C3380CC4-5D6E-409C-BE32-E72D297353CC}">
                <c16:uniqueId val="{00000011-1B84-4994-8FEC-E96D684CE9CD}"/>
              </c:ext>
            </c:extLst>
          </c:dPt>
          <c:dLbls>
            <c:dLbl>
              <c:idx val="0"/>
              <c:layout>
                <c:manualLayout>
                  <c:x val="-8.9250645994832095E-2"/>
                  <c:y val="6.9044709928500186E-3"/>
                </c:manualLayout>
              </c:layout>
              <c:showLegendKey val="0"/>
              <c:showVal val="0"/>
              <c:showCatName val="1"/>
              <c:showSerName val="0"/>
              <c:showPercent val="1"/>
              <c:showBubbleSize val="0"/>
              <c:extLst>
                <c:ext xmlns:c15="http://schemas.microsoft.com/office/drawing/2012/chart" uri="{CE6537A1-D6FC-4f65-9D91-7224C49458BB}">
                  <c15:layout>
                    <c:manualLayout>
                      <c:w val="0.4200871680030821"/>
                      <c:h val="0.15756946329984611"/>
                    </c:manualLayout>
                  </c15:layout>
                </c:ext>
                <c:ext xmlns:c16="http://schemas.microsoft.com/office/drawing/2014/chart" uri="{C3380CC4-5D6E-409C-BE32-E72D297353CC}">
                  <c16:uniqueId val="{00000001-1B84-4994-8FEC-E96D684CE9CD}"/>
                </c:ext>
              </c:extLst>
            </c:dLbl>
            <c:dLbl>
              <c:idx val="1"/>
              <c:layout>
                <c:manualLayout>
                  <c:x val="-4.809863883293658E-2"/>
                  <c:y val="9.3697845958910286E-2"/>
                </c:manualLayout>
              </c:layout>
              <c:showLegendKey val="0"/>
              <c:showVal val="0"/>
              <c:showCatName val="1"/>
              <c:showSerName val="0"/>
              <c:showPercent val="1"/>
              <c:showBubbleSize val="0"/>
              <c:extLst>
                <c:ext xmlns:c15="http://schemas.microsoft.com/office/drawing/2012/chart" uri="{CE6537A1-D6FC-4f65-9D91-7224C49458BB}">
                  <c15:layout>
                    <c:manualLayout>
                      <c:w val="0.31728912326326181"/>
                      <c:h val="0.19560367454068239"/>
                    </c:manualLayout>
                  </c15:layout>
                </c:ext>
                <c:ext xmlns:c16="http://schemas.microsoft.com/office/drawing/2014/chart" uri="{C3380CC4-5D6E-409C-BE32-E72D297353CC}">
                  <c16:uniqueId val="{00000003-1B84-4994-8FEC-E96D684CE9CD}"/>
                </c:ext>
              </c:extLst>
            </c:dLbl>
            <c:dLbl>
              <c:idx val="2"/>
              <c:layout>
                <c:manualLayout>
                  <c:x val="-5.1101751815908628E-3"/>
                  <c:y val="2.0877454973300224E-3"/>
                </c:manualLayout>
              </c:layout>
              <c:numFmt formatCode="0.0%" sourceLinked="0"/>
              <c:spPr>
                <a:noFill/>
                <a:ln>
                  <a:noFill/>
                </a:ln>
                <a:effectLst/>
              </c:spPr>
              <c:txPr>
                <a:bodyPr rot="0" spcFirstLastPara="1" vertOverflow="ellipsis" vert="horz" wrap="square" lIns="38100" tIns="19050" rIns="38100" bIns="19050" anchor="ctr" anchorCtr="1">
                  <a:noAutofit/>
                </a:bodyPr>
                <a:lstStyle/>
                <a:p>
                  <a:pPr>
                    <a:defRPr sz="7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v-LV"/>
                </a:p>
              </c:txPr>
              <c:showLegendKey val="0"/>
              <c:showVal val="0"/>
              <c:showCatName val="1"/>
              <c:showSerName val="0"/>
              <c:showPercent val="1"/>
              <c:showBubbleSize val="0"/>
              <c:extLst>
                <c:ext xmlns:c15="http://schemas.microsoft.com/office/drawing/2012/chart" uri="{CE6537A1-D6FC-4f65-9D91-7224C49458BB}">
                  <c15:layout>
                    <c:manualLayout>
                      <c:w val="0.31940263281043357"/>
                      <c:h val="0.15537378948321112"/>
                    </c:manualLayout>
                  </c15:layout>
                </c:ext>
                <c:ext xmlns:c16="http://schemas.microsoft.com/office/drawing/2014/chart" uri="{C3380CC4-5D6E-409C-BE32-E72D297353CC}">
                  <c16:uniqueId val="{00000005-1B84-4994-8FEC-E96D684CE9CD}"/>
                </c:ext>
              </c:extLst>
            </c:dLbl>
            <c:dLbl>
              <c:idx val="3"/>
              <c:layout>
                <c:manualLayout>
                  <c:x val="0"/>
                  <c:y val="-3.3846954475518144E-2"/>
                </c:manualLayout>
              </c:layout>
              <c:numFmt formatCode="0.0%" sourceLinked="0"/>
              <c:spPr>
                <a:noFill/>
                <a:ln>
                  <a:noFill/>
                </a:ln>
                <a:effectLst/>
              </c:spPr>
              <c:txPr>
                <a:bodyPr rot="0" spcFirstLastPara="1" vertOverflow="ellipsis" vert="horz" wrap="square" lIns="38100" tIns="19050" rIns="38100" bIns="19050" anchor="ctr" anchorCtr="1">
                  <a:noAutofit/>
                </a:bodyPr>
                <a:lstStyle/>
                <a:p>
                  <a:pPr>
                    <a:defRPr sz="7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v-LV"/>
                </a:p>
              </c:txPr>
              <c:showLegendKey val="0"/>
              <c:showVal val="0"/>
              <c:showCatName val="1"/>
              <c:showSerName val="0"/>
              <c:showPercent val="1"/>
              <c:showBubbleSize val="0"/>
              <c:extLst>
                <c:ext xmlns:c15="http://schemas.microsoft.com/office/drawing/2012/chart" uri="{CE6537A1-D6FC-4f65-9D91-7224C49458BB}">
                  <c15:layout>
                    <c:manualLayout>
                      <c:w val="0.34709475269079737"/>
                      <c:h val="0.25287356321839083"/>
                    </c:manualLayout>
                  </c15:layout>
                </c:ext>
                <c:ext xmlns:c16="http://schemas.microsoft.com/office/drawing/2014/chart" uri="{C3380CC4-5D6E-409C-BE32-E72D297353CC}">
                  <c16:uniqueId val="{00000007-1B84-4994-8FEC-E96D684CE9CD}"/>
                </c:ext>
              </c:extLst>
            </c:dLbl>
            <c:dLbl>
              <c:idx val="4"/>
              <c:layout>
                <c:manualLayout>
                  <c:x val="-3.4011068383893922E-2"/>
                  <c:y val="-1.0752104262830269E-3"/>
                </c:manualLayout>
              </c:layout>
              <c:numFmt formatCode="0.0%" sourceLinked="0"/>
              <c:spPr>
                <a:noFill/>
                <a:ln>
                  <a:noFill/>
                </a:ln>
                <a:effectLst/>
              </c:spPr>
              <c:txPr>
                <a:bodyPr rot="0" spcFirstLastPara="1" vertOverflow="ellipsis" vert="horz" wrap="square" lIns="38100" tIns="19050" rIns="38100" bIns="19050" anchor="ctr" anchorCtr="1">
                  <a:noAutofit/>
                </a:bodyPr>
                <a:lstStyle/>
                <a:p>
                  <a:pPr>
                    <a:defRPr sz="7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v-LV"/>
                </a:p>
              </c:txPr>
              <c:showLegendKey val="0"/>
              <c:showVal val="0"/>
              <c:showCatName val="1"/>
              <c:showSerName val="0"/>
              <c:showPercent val="1"/>
              <c:showBubbleSize val="0"/>
              <c:extLst>
                <c:ext xmlns:c15="http://schemas.microsoft.com/office/drawing/2012/chart" uri="{CE6537A1-D6FC-4f65-9D91-7224C49458BB}">
                  <c15:layout>
                    <c:manualLayout>
                      <c:w val="0.38220187592829963"/>
                      <c:h val="0.21106344465562496"/>
                    </c:manualLayout>
                  </c15:layout>
                </c:ext>
                <c:ext xmlns:c16="http://schemas.microsoft.com/office/drawing/2014/chart" uri="{C3380CC4-5D6E-409C-BE32-E72D297353CC}">
                  <c16:uniqueId val="{00000009-1B84-4994-8FEC-E96D684CE9CD}"/>
                </c:ext>
              </c:extLst>
            </c:dLbl>
            <c:dLbl>
              <c:idx val="5"/>
              <c:layout>
                <c:manualLayout>
                  <c:x val="9.7859162953468026E-2"/>
                  <c:y val="3.7842338673183096E-2"/>
                </c:manualLayout>
              </c:layout>
              <c:numFmt formatCode="0.0%" sourceLinked="0"/>
              <c:spPr>
                <a:noFill/>
                <a:ln>
                  <a:noFill/>
                </a:ln>
                <a:effectLst/>
              </c:spPr>
              <c:txPr>
                <a:bodyPr rot="0" spcFirstLastPara="1" vertOverflow="ellipsis" vert="horz" wrap="square" lIns="38100" tIns="19050" rIns="38100" bIns="19050" anchor="ctr" anchorCtr="1">
                  <a:noAutofit/>
                </a:bodyPr>
                <a:lstStyle/>
                <a:p>
                  <a:pPr>
                    <a:defRPr sz="7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v-LV"/>
                </a:p>
              </c:txPr>
              <c:showLegendKey val="0"/>
              <c:showVal val="0"/>
              <c:showCatName val="1"/>
              <c:showSerName val="0"/>
              <c:showPercent val="1"/>
              <c:showBubbleSize val="0"/>
              <c:extLst>
                <c:ext xmlns:c15="http://schemas.microsoft.com/office/drawing/2012/chart" uri="{CE6537A1-D6FC-4f65-9D91-7224C49458BB}">
                  <c15:layout>
                    <c:manualLayout>
                      <c:w val="0.29051984780972145"/>
                      <c:h val="0.17672413793103448"/>
                    </c:manualLayout>
                  </c15:layout>
                </c:ext>
                <c:ext xmlns:c16="http://schemas.microsoft.com/office/drawing/2014/chart" uri="{C3380CC4-5D6E-409C-BE32-E72D297353CC}">
                  <c16:uniqueId val="{0000000B-1B84-4994-8FEC-E96D684CE9CD}"/>
                </c:ext>
              </c:extLst>
            </c:dLbl>
            <c:dLbl>
              <c:idx val="6"/>
              <c:layout>
                <c:manualLayout>
                  <c:x val="4.6959246373273099E-4"/>
                  <c:y val="8.8297583491718703E-3"/>
                </c:manualLayout>
              </c:layout>
              <c:numFmt formatCode="0.0%" sourceLinked="0"/>
              <c:spPr>
                <a:noFill/>
                <a:ln>
                  <a:noFill/>
                </a:ln>
                <a:effectLst/>
              </c:spPr>
              <c:txPr>
                <a:bodyPr rot="0" spcFirstLastPara="1" vertOverflow="ellipsis" vert="horz" wrap="square" lIns="38100" tIns="19050" rIns="38100" bIns="19050" anchor="ctr" anchorCtr="1">
                  <a:noAutofit/>
                </a:bodyPr>
                <a:lstStyle/>
                <a:p>
                  <a:pPr>
                    <a:defRPr sz="7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v-LV"/>
                </a:p>
              </c:txPr>
              <c:showLegendKey val="0"/>
              <c:showVal val="0"/>
              <c:showCatName val="1"/>
              <c:showSerName val="0"/>
              <c:showPercent val="1"/>
              <c:showBubbleSize val="0"/>
              <c:extLst>
                <c:ext xmlns:c15="http://schemas.microsoft.com/office/drawing/2012/chart" uri="{CE6537A1-D6FC-4f65-9D91-7224C49458BB}">
                  <c15:layout>
                    <c:manualLayout>
                      <c:w val="0.44886175925257049"/>
                      <c:h val="0.19145126255769754"/>
                    </c:manualLayout>
                  </c15:layout>
                </c:ext>
                <c:ext xmlns:c16="http://schemas.microsoft.com/office/drawing/2014/chart" uri="{C3380CC4-5D6E-409C-BE32-E72D297353CC}">
                  <c16:uniqueId val="{0000000D-1B84-4994-8FEC-E96D684CE9CD}"/>
                </c:ext>
              </c:extLst>
            </c:dLbl>
            <c:dLbl>
              <c:idx val="7"/>
              <c:layout>
                <c:manualLayout>
                  <c:x val="2.0346293922562005E-7"/>
                  <c:y val="-2.8839261471626392E-2"/>
                </c:manualLayout>
              </c:layout>
              <c:numFmt formatCode="0.0%" sourceLinked="0"/>
              <c:spPr>
                <a:noFill/>
                <a:ln>
                  <a:noFill/>
                </a:ln>
                <a:effectLst/>
              </c:spPr>
              <c:txPr>
                <a:bodyPr rot="0" spcFirstLastPara="1" vertOverflow="ellipsis" vert="horz" wrap="square" lIns="38100" tIns="19050" rIns="38100" bIns="19050" anchor="ctr" anchorCtr="1">
                  <a:noAutofit/>
                </a:bodyPr>
                <a:lstStyle/>
                <a:p>
                  <a:pPr>
                    <a:defRPr sz="7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v-LV"/>
                </a:p>
              </c:txPr>
              <c:showLegendKey val="0"/>
              <c:showVal val="0"/>
              <c:showCatName val="1"/>
              <c:showSerName val="0"/>
              <c:showPercent val="1"/>
              <c:showBubbleSize val="0"/>
              <c:extLst>
                <c:ext xmlns:c15="http://schemas.microsoft.com/office/drawing/2012/chart" uri="{CE6537A1-D6FC-4f65-9D91-7224C49458BB}">
                  <c15:layout>
                    <c:manualLayout>
                      <c:w val="0.33269323892652947"/>
                      <c:h val="0.28577608833378587"/>
                    </c:manualLayout>
                  </c15:layout>
                </c:ext>
                <c:ext xmlns:c16="http://schemas.microsoft.com/office/drawing/2014/chart" uri="{C3380CC4-5D6E-409C-BE32-E72D297353CC}">
                  <c16:uniqueId val="{0000000F-1B84-4994-8FEC-E96D684CE9CD}"/>
                </c:ext>
              </c:extLst>
            </c:dLbl>
            <c:dLbl>
              <c:idx val="8"/>
              <c:layout>
                <c:manualLayout>
                  <c:x val="0"/>
                  <c:y val="5.8446918273146867E-2"/>
                </c:manualLayout>
              </c:layout>
              <c:numFmt formatCode="0.0%" sourceLinked="0"/>
              <c:spPr>
                <a:noFill/>
                <a:ln>
                  <a:noFill/>
                </a:ln>
                <a:effectLst/>
              </c:spPr>
              <c:txPr>
                <a:bodyPr rot="0" spcFirstLastPara="1" vertOverflow="ellipsis" vert="horz" wrap="square" lIns="38100" tIns="19050" rIns="38100" bIns="19050" anchor="ctr" anchorCtr="1">
                  <a:noAutofit/>
                </a:bodyPr>
                <a:lstStyle/>
                <a:p>
                  <a:pPr>
                    <a:defRPr sz="7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v-LV"/>
                </a:p>
              </c:txPr>
              <c:showLegendKey val="0"/>
              <c:showVal val="0"/>
              <c:showCatName val="1"/>
              <c:showSerName val="0"/>
              <c:showPercent val="1"/>
              <c:showBubbleSize val="0"/>
              <c:extLst>
                <c:ext xmlns:c15="http://schemas.microsoft.com/office/drawing/2012/chart" uri="{CE6537A1-D6FC-4f65-9D91-7224C49458BB}">
                  <c15:layout>
                    <c:manualLayout>
                      <c:w val="0.43883781969114327"/>
                      <c:h val="0.15660919540229884"/>
                    </c:manualLayout>
                  </c15:layout>
                </c:ext>
                <c:ext xmlns:c16="http://schemas.microsoft.com/office/drawing/2014/chart" uri="{C3380CC4-5D6E-409C-BE32-E72D297353CC}">
                  <c16:uniqueId val="{00000011-1B84-4994-8FEC-E96D684CE9CD}"/>
                </c:ext>
              </c:extLst>
            </c:dLbl>
            <c:numFmt formatCode="0.0%" sourceLinked="0"/>
            <c:spPr>
              <a:noFill/>
              <a:ln>
                <a:noFill/>
              </a:ln>
              <a:effectLst/>
            </c:spPr>
            <c:txPr>
              <a:bodyPr rot="0" spcFirstLastPara="1" vertOverflow="ellipsis" vert="horz" wrap="square" lIns="38100" tIns="19050" rIns="38100" bIns="19050" anchor="ctr" anchorCtr="1">
                <a:spAutoFit/>
              </a:bodyPr>
              <a:lstStyle/>
              <a:p>
                <a:pPr>
                  <a:defRPr sz="7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v-LV"/>
              </a:p>
            </c:txPr>
            <c:showLegendKey val="0"/>
            <c:showVal val="0"/>
            <c:showCatName val="1"/>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'PV strukt'!$A$52:$A$60</c:f>
              <c:strCache>
                <c:ptCount val="9"/>
                <c:pt idx="0">
                  <c:v>Lauksaimniecība</c:v>
                </c:pt>
                <c:pt idx="1">
                  <c:v>Rūpniecība</c:v>
                </c:pt>
                <c:pt idx="2">
                  <c:v>Būvniecība</c:v>
                </c:pt>
                <c:pt idx="3">
                  <c:v>Transports un uzglabāšana</c:v>
                </c:pt>
                <c:pt idx="4">
                  <c:v>Tirdzniecība, izmitināšana</c:v>
                </c:pt>
                <c:pt idx="5">
                  <c:v>Finanšu pak. </c:v>
                </c:pt>
                <c:pt idx="6">
                  <c:v>Operācijas ar NĪ</c:v>
                </c:pt>
                <c:pt idx="7">
                  <c:v>IT un komunikācijas pak.</c:v>
                </c:pt>
                <c:pt idx="8">
                  <c:v>Citi pakalpojumi</c:v>
                </c:pt>
              </c:strCache>
            </c:strRef>
          </c:cat>
          <c:val>
            <c:numRef>
              <c:f>'PV strukt'!$C$52:$C$60</c:f>
              <c:numCache>
                <c:formatCode>0.0</c:formatCode>
                <c:ptCount val="9"/>
                <c:pt idx="0">
                  <c:v>3.8</c:v>
                </c:pt>
                <c:pt idx="1">
                  <c:v>15.4</c:v>
                </c:pt>
                <c:pt idx="2">
                  <c:v>6.5</c:v>
                </c:pt>
                <c:pt idx="3">
                  <c:v>9.3000000000000007</c:v>
                </c:pt>
                <c:pt idx="4">
                  <c:v>17.5</c:v>
                </c:pt>
                <c:pt idx="5">
                  <c:v>2.9</c:v>
                </c:pt>
                <c:pt idx="6">
                  <c:v>11.644362824378893</c:v>
                </c:pt>
                <c:pt idx="7">
                  <c:v>5.2</c:v>
                </c:pt>
                <c:pt idx="8">
                  <c:v>27.755637175621104</c:v>
                </c:pt>
              </c:numCache>
            </c:numRef>
          </c:val>
          <c:extLst>
            <c:ext xmlns:c16="http://schemas.microsoft.com/office/drawing/2014/chart" uri="{C3380CC4-5D6E-409C-BE32-E72D297353CC}">
              <c16:uniqueId val="{00000012-1B84-4994-8FEC-E96D684CE9CD}"/>
            </c:ext>
          </c:extLst>
        </c:ser>
        <c:dLbls>
          <c:showLegendKey val="0"/>
          <c:showVal val="1"/>
          <c:showCatName val="0"/>
          <c:showSerName val="0"/>
          <c:showPercent val="0"/>
          <c:showBubbleSize val="0"/>
          <c:showLeaderLines val="1"/>
        </c:dLbls>
        <c:firstSliceAng val="0"/>
      </c:pieChart>
      <c:spPr>
        <a:noFill/>
        <a:ln>
          <a:solidFill>
            <a:schemeClr val="bg1"/>
          </a:solidFill>
        </a:ln>
        <a:effectLst/>
      </c:spPr>
    </c:plotArea>
    <c:plotVisOnly val="1"/>
    <c:dispBlanksAs val="gap"/>
    <c:showDLblsOverMax val="0"/>
  </c:chart>
  <c:spPr>
    <a:solidFill>
      <a:schemeClr val="bg1"/>
    </a:solidFill>
    <a:ln w="9525" cap="flat" cmpd="sng" algn="ctr">
      <a:solidFill>
        <a:schemeClr val="bg1"/>
      </a:solidFill>
      <a:round/>
    </a:ln>
    <a:effectLst/>
  </c:spPr>
  <c:txPr>
    <a:bodyPr/>
    <a:lstStyle/>
    <a:p>
      <a:pPr>
        <a:defRPr/>
      </a:pPr>
      <a:endParaRPr lang="lv-LV"/>
    </a:p>
  </c:txPr>
  <c:externalData r:id="rId3">
    <c:autoUpdate val="0"/>
  </c:externalData>
  <c:userShapes r:id="rId4"/>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5556206636961076"/>
          <c:y val="0.25135713639243368"/>
          <c:w val="0.50708905572849905"/>
          <c:h val="0.56391800162910666"/>
        </c:manualLayout>
      </c:layout>
      <c:pieChart>
        <c:varyColors val="1"/>
        <c:ser>
          <c:idx val="0"/>
          <c:order val="0"/>
          <c:dPt>
            <c:idx val="0"/>
            <c:bubble3D val="0"/>
            <c:spPr>
              <a:solidFill>
                <a:schemeClr val="bg1">
                  <a:lumMod val="65000"/>
                </a:schemeClr>
              </a:solidFill>
              <a:ln w="19050">
                <a:solidFill>
                  <a:schemeClr val="lt1"/>
                </a:solidFill>
              </a:ln>
              <a:effectLst/>
            </c:spPr>
            <c:extLst>
              <c:ext xmlns:c16="http://schemas.microsoft.com/office/drawing/2014/chart" uri="{C3380CC4-5D6E-409C-BE32-E72D297353CC}">
                <c16:uniqueId val="{00000001-D6C8-41CF-8C0D-B048025C0D2B}"/>
              </c:ext>
            </c:extLst>
          </c:dPt>
          <c:dPt>
            <c:idx val="1"/>
            <c:bubble3D val="0"/>
            <c:spPr>
              <a:pattFill prst="dkUpDiag">
                <a:fgClr>
                  <a:schemeClr val="tx1">
                    <a:lumMod val="50000"/>
                    <a:lumOff val="50000"/>
                  </a:schemeClr>
                </a:fgClr>
                <a:bgClr>
                  <a:schemeClr val="bg1"/>
                </a:bgClr>
              </a:pattFill>
              <a:ln w="19050">
                <a:solidFill>
                  <a:schemeClr val="lt1"/>
                </a:solidFill>
              </a:ln>
              <a:effectLst/>
            </c:spPr>
            <c:extLst>
              <c:ext xmlns:c16="http://schemas.microsoft.com/office/drawing/2014/chart" uri="{C3380CC4-5D6E-409C-BE32-E72D297353CC}">
                <c16:uniqueId val="{00000003-D6C8-41CF-8C0D-B048025C0D2B}"/>
              </c:ext>
            </c:extLst>
          </c:dPt>
          <c:dPt>
            <c:idx val="2"/>
            <c:bubble3D val="0"/>
            <c:spPr>
              <a:solidFill>
                <a:srgbClr val="FFFF99"/>
              </a:solidFill>
              <a:ln w="19050">
                <a:solidFill>
                  <a:schemeClr val="lt1"/>
                </a:solidFill>
              </a:ln>
              <a:effectLst/>
            </c:spPr>
            <c:extLst>
              <c:ext xmlns:c16="http://schemas.microsoft.com/office/drawing/2014/chart" uri="{C3380CC4-5D6E-409C-BE32-E72D297353CC}">
                <c16:uniqueId val="{00000005-D6C8-41CF-8C0D-B048025C0D2B}"/>
              </c:ext>
            </c:extLst>
          </c:dPt>
          <c:dPt>
            <c:idx val="3"/>
            <c:bubble3D val="0"/>
            <c:spPr>
              <a:pattFill prst="dkUpDiag">
                <a:fgClr>
                  <a:srgbClr val="00B050"/>
                </a:fgClr>
                <a:bgClr>
                  <a:schemeClr val="bg1"/>
                </a:bgClr>
              </a:pattFill>
              <a:ln w="19050">
                <a:solidFill>
                  <a:schemeClr val="lt1"/>
                </a:solidFill>
              </a:ln>
              <a:effectLst/>
            </c:spPr>
            <c:extLst>
              <c:ext xmlns:c16="http://schemas.microsoft.com/office/drawing/2014/chart" uri="{C3380CC4-5D6E-409C-BE32-E72D297353CC}">
                <c16:uniqueId val="{00000007-D6C8-41CF-8C0D-B048025C0D2B}"/>
              </c:ext>
            </c:extLst>
          </c:dPt>
          <c:dPt>
            <c:idx val="4"/>
            <c:bubble3D val="0"/>
            <c:spPr>
              <a:solidFill>
                <a:schemeClr val="accent6">
                  <a:lumMod val="60000"/>
                  <a:lumOff val="40000"/>
                </a:schemeClr>
              </a:solidFill>
              <a:ln w="19050">
                <a:solidFill>
                  <a:schemeClr val="lt1"/>
                </a:solidFill>
              </a:ln>
              <a:effectLst/>
            </c:spPr>
            <c:extLst>
              <c:ext xmlns:c16="http://schemas.microsoft.com/office/drawing/2014/chart" uri="{C3380CC4-5D6E-409C-BE32-E72D297353CC}">
                <c16:uniqueId val="{00000009-D6C8-41CF-8C0D-B048025C0D2B}"/>
              </c:ext>
            </c:extLst>
          </c:dPt>
          <c:dPt>
            <c:idx val="5"/>
            <c:bubble3D val="0"/>
            <c:spPr>
              <a:pattFill prst="dkUpDiag">
                <a:fgClr>
                  <a:schemeClr val="accent4">
                    <a:lumMod val="75000"/>
                  </a:schemeClr>
                </a:fgClr>
                <a:bgClr>
                  <a:schemeClr val="bg1"/>
                </a:bgClr>
              </a:pattFill>
              <a:ln w="19050">
                <a:solidFill>
                  <a:schemeClr val="lt1"/>
                </a:solidFill>
              </a:ln>
              <a:effectLst/>
            </c:spPr>
            <c:extLst>
              <c:ext xmlns:c16="http://schemas.microsoft.com/office/drawing/2014/chart" uri="{C3380CC4-5D6E-409C-BE32-E72D297353CC}">
                <c16:uniqueId val="{0000000B-D6C8-41CF-8C0D-B048025C0D2B}"/>
              </c:ext>
            </c:extLst>
          </c:dPt>
          <c:dPt>
            <c:idx val="6"/>
            <c:bubble3D val="0"/>
            <c:spPr>
              <a:solidFill>
                <a:schemeClr val="accent1"/>
              </a:solidFill>
              <a:ln w="19050">
                <a:solidFill>
                  <a:schemeClr val="lt1"/>
                </a:solidFill>
              </a:ln>
              <a:effectLst/>
            </c:spPr>
            <c:extLst>
              <c:ext xmlns:c16="http://schemas.microsoft.com/office/drawing/2014/chart" uri="{C3380CC4-5D6E-409C-BE32-E72D297353CC}">
                <c16:uniqueId val="{0000000D-D6C8-41CF-8C0D-B048025C0D2B}"/>
              </c:ext>
            </c:extLst>
          </c:dPt>
          <c:dPt>
            <c:idx val="7"/>
            <c:bubble3D val="0"/>
            <c:spPr>
              <a:solidFill>
                <a:schemeClr val="tx1">
                  <a:lumMod val="50000"/>
                  <a:lumOff val="50000"/>
                </a:schemeClr>
              </a:solidFill>
              <a:ln w="19050">
                <a:solidFill>
                  <a:schemeClr val="lt1"/>
                </a:solidFill>
              </a:ln>
              <a:effectLst/>
            </c:spPr>
            <c:extLst>
              <c:ext xmlns:c16="http://schemas.microsoft.com/office/drawing/2014/chart" uri="{C3380CC4-5D6E-409C-BE32-E72D297353CC}">
                <c16:uniqueId val="{0000000F-D6C8-41CF-8C0D-B048025C0D2B}"/>
              </c:ext>
            </c:extLst>
          </c:dPt>
          <c:dPt>
            <c:idx val="8"/>
            <c:bubble3D val="0"/>
            <c:spPr>
              <a:pattFill prst="dkUpDiag">
                <a:fgClr>
                  <a:schemeClr val="accent2">
                    <a:lumMod val="60000"/>
                    <a:lumOff val="40000"/>
                  </a:schemeClr>
                </a:fgClr>
                <a:bgClr>
                  <a:schemeClr val="bg1"/>
                </a:bgClr>
              </a:pattFill>
              <a:ln w="19050">
                <a:solidFill>
                  <a:schemeClr val="lt1"/>
                </a:solidFill>
              </a:ln>
              <a:effectLst/>
            </c:spPr>
            <c:extLst>
              <c:ext xmlns:c16="http://schemas.microsoft.com/office/drawing/2014/chart" uri="{C3380CC4-5D6E-409C-BE32-E72D297353CC}">
                <c16:uniqueId val="{00000011-D6C8-41CF-8C0D-B048025C0D2B}"/>
              </c:ext>
            </c:extLst>
          </c:dPt>
          <c:dLbls>
            <c:dLbl>
              <c:idx val="0"/>
              <c:layout>
                <c:manualLayout>
                  <c:x val="-8.9250645994832095E-2"/>
                  <c:y val="6.9044709928500186E-3"/>
                </c:manualLayout>
              </c:layout>
              <c:showLegendKey val="0"/>
              <c:showVal val="0"/>
              <c:showCatName val="1"/>
              <c:showSerName val="0"/>
              <c:showPercent val="1"/>
              <c:showBubbleSize val="0"/>
              <c:extLst>
                <c:ext xmlns:c15="http://schemas.microsoft.com/office/drawing/2012/chart" uri="{CE6537A1-D6FC-4f65-9D91-7224C49458BB}">
                  <c15:layout>
                    <c:manualLayout>
                      <c:w val="0.4200871680030821"/>
                      <c:h val="0.15756946329984611"/>
                    </c:manualLayout>
                  </c15:layout>
                </c:ext>
                <c:ext xmlns:c16="http://schemas.microsoft.com/office/drawing/2014/chart" uri="{C3380CC4-5D6E-409C-BE32-E72D297353CC}">
                  <c16:uniqueId val="{00000001-D6C8-41CF-8C0D-B048025C0D2B}"/>
                </c:ext>
              </c:extLst>
            </c:dLbl>
            <c:dLbl>
              <c:idx val="1"/>
              <c:layout>
                <c:manualLayout>
                  <c:x val="-4.809863883293658E-2"/>
                  <c:y val="9.3697845958910286E-2"/>
                </c:manualLayout>
              </c:layout>
              <c:showLegendKey val="0"/>
              <c:showVal val="0"/>
              <c:showCatName val="1"/>
              <c:showSerName val="0"/>
              <c:showPercent val="1"/>
              <c:showBubbleSize val="0"/>
              <c:extLst>
                <c:ext xmlns:c15="http://schemas.microsoft.com/office/drawing/2012/chart" uri="{CE6537A1-D6FC-4f65-9D91-7224C49458BB}">
                  <c15:layout>
                    <c:manualLayout>
                      <c:w val="0.31728912326326181"/>
                      <c:h val="0.19560367454068239"/>
                    </c:manualLayout>
                  </c15:layout>
                </c:ext>
                <c:ext xmlns:c16="http://schemas.microsoft.com/office/drawing/2014/chart" uri="{C3380CC4-5D6E-409C-BE32-E72D297353CC}">
                  <c16:uniqueId val="{00000003-D6C8-41CF-8C0D-B048025C0D2B}"/>
                </c:ext>
              </c:extLst>
            </c:dLbl>
            <c:dLbl>
              <c:idx val="2"/>
              <c:layout>
                <c:manualLayout>
                  <c:x val="-5.1101751815908628E-3"/>
                  <c:y val="2.0877454973300224E-3"/>
                </c:manualLayout>
              </c:layout>
              <c:numFmt formatCode="0.0%" sourceLinked="0"/>
              <c:spPr>
                <a:noFill/>
                <a:ln>
                  <a:noFill/>
                </a:ln>
                <a:effectLst/>
              </c:spPr>
              <c:txPr>
                <a:bodyPr rot="0" spcFirstLastPara="1" vertOverflow="ellipsis" vert="horz" wrap="square" lIns="38100" tIns="19050" rIns="38100" bIns="19050" anchor="ctr" anchorCtr="1">
                  <a:noAutofit/>
                </a:bodyPr>
                <a:lstStyle/>
                <a:p>
                  <a:pPr>
                    <a:defRPr sz="7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v-LV"/>
                </a:p>
              </c:txPr>
              <c:showLegendKey val="0"/>
              <c:showVal val="0"/>
              <c:showCatName val="1"/>
              <c:showSerName val="0"/>
              <c:showPercent val="1"/>
              <c:showBubbleSize val="0"/>
              <c:extLst>
                <c:ext xmlns:c15="http://schemas.microsoft.com/office/drawing/2012/chart" uri="{CE6537A1-D6FC-4f65-9D91-7224C49458BB}">
                  <c15:layout>
                    <c:manualLayout>
                      <c:w val="0.31940263281043357"/>
                      <c:h val="0.15537378948321112"/>
                    </c:manualLayout>
                  </c15:layout>
                </c:ext>
                <c:ext xmlns:c16="http://schemas.microsoft.com/office/drawing/2014/chart" uri="{C3380CC4-5D6E-409C-BE32-E72D297353CC}">
                  <c16:uniqueId val="{00000005-D6C8-41CF-8C0D-B048025C0D2B}"/>
                </c:ext>
              </c:extLst>
            </c:dLbl>
            <c:dLbl>
              <c:idx val="3"/>
              <c:layout>
                <c:manualLayout>
                  <c:x val="0"/>
                  <c:y val="-4.5341207349081362E-2"/>
                </c:manualLayout>
              </c:layout>
              <c:numFmt formatCode="0.0%" sourceLinked="0"/>
              <c:spPr>
                <a:noFill/>
                <a:ln>
                  <a:noFill/>
                </a:ln>
                <a:effectLst/>
              </c:spPr>
              <c:txPr>
                <a:bodyPr rot="0" spcFirstLastPara="1" vertOverflow="ellipsis" vert="horz" wrap="square" lIns="38100" tIns="19050" rIns="38100" bIns="19050" anchor="ctr" anchorCtr="1">
                  <a:noAutofit/>
                </a:bodyPr>
                <a:lstStyle/>
                <a:p>
                  <a:pPr>
                    <a:defRPr sz="7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v-LV"/>
                </a:p>
              </c:txPr>
              <c:showLegendKey val="0"/>
              <c:showVal val="0"/>
              <c:showCatName val="1"/>
              <c:showSerName val="0"/>
              <c:showPercent val="1"/>
              <c:showBubbleSize val="0"/>
              <c:extLst>
                <c:ext xmlns:c15="http://schemas.microsoft.com/office/drawing/2012/chart" uri="{CE6537A1-D6FC-4f65-9D91-7224C49458BB}">
                  <c15:layout>
                    <c:manualLayout>
                      <c:w val="0.34709475269079737"/>
                      <c:h val="0.25287356321839083"/>
                    </c:manualLayout>
                  </c15:layout>
                </c:ext>
                <c:ext xmlns:c16="http://schemas.microsoft.com/office/drawing/2014/chart" uri="{C3380CC4-5D6E-409C-BE32-E72D297353CC}">
                  <c16:uniqueId val="{00000007-D6C8-41CF-8C0D-B048025C0D2B}"/>
                </c:ext>
              </c:extLst>
            </c:dLbl>
            <c:dLbl>
              <c:idx val="4"/>
              <c:layout>
                <c:manualLayout>
                  <c:x val="-3.4011068383893922E-2"/>
                  <c:y val="-1.0752104262830269E-3"/>
                </c:manualLayout>
              </c:layout>
              <c:numFmt formatCode="0.0%" sourceLinked="0"/>
              <c:spPr>
                <a:noFill/>
                <a:ln>
                  <a:noFill/>
                </a:ln>
                <a:effectLst/>
              </c:spPr>
              <c:txPr>
                <a:bodyPr rot="0" spcFirstLastPara="1" vertOverflow="ellipsis" vert="horz" wrap="square" lIns="38100" tIns="19050" rIns="38100" bIns="19050" anchor="ctr" anchorCtr="1">
                  <a:noAutofit/>
                </a:bodyPr>
                <a:lstStyle/>
                <a:p>
                  <a:pPr>
                    <a:defRPr sz="7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v-LV"/>
                </a:p>
              </c:txPr>
              <c:showLegendKey val="0"/>
              <c:showVal val="0"/>
              <c:showCatName val="1"/>
              <c:showSerName val="0"/>
              <c:showPercent val="1"/>
              <c:showBubbleSize val="0"/>
              <c:extLst>
                <c:ext xmlns:c15="http://schemas.microsoft.com/office/drawing/2012/chart" uri="{CE6537A1-D6FC-4f65-9D91-7224C49458BB}">
                  <c15:layout>
                    <c:manualLayout>
                      <c:w val="0.38220187592829963"/>
                      <c:h val="0.21106344465562496"/>
                    </c:manualLayout>
                  </c15:layout>
                </c:ext>
                <c:ext xmlns:c16="http://schemas.microsoft.com/office/drawing/2014/chart" uri="{C3380CC4-5D6E-409C-BE32-E72D297353CC}">
                  <c16:uniqueId val="{00000009-D6C8-41CF-8C0D-B048025C0D2B}"/>
                </c:ext>
              </c:extLst>
            </c:dLbl>
            <c:dLbl>
              <c:idx val="5"/>
              <c:layout>
                <c:manualLayout>
                  <c:x val="9.7859162953468026E-2"/>
                  <c:y val="3.7842338673183096E-2"/>
                </c:manualLayout>
              </c:layout>
              <c:numFmt formatCode="0.0%" sourceLinked="0"/>
              <c:spPr>
                <a:noFill/>
                <a:ln>
                  <a:noFill/>
                </a:ln>
                <a:effectLst/>
              </c:spPr>
              <c:txPr>
                <a:bodyPr rot="0" spcFirstLastPara="1" vertOverflow="ellipsis" vert="horz" wrap="square" lIns="38100" tIns="19050" rIns="38100" bIns="19050" anchor="ctr" anchorCtr="1">
                  <a:noAutofit/>
                </a:bodyPr>
                <a:lstStyle/>
                <a:p>
                  <a:pPr>
                    <a:defRPr sz="7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v-LV"/>
                </a:p>
              </c:txPr>
              <c:showLegendKey val="0"/>
              <c:showVal val="0"/>
              <c:showCatName val="1"/>
              <c:showSerName val="0"/>
              <c:showPercent val="1"/>
              <c:showBubbleSize val="0"/>
              <c:extLst>
                <c:ext xmlns:c15="http://schemas.microsoft.com/office/drawing/2012/chart" uri="{CE6537A1-D6FC-4f65-9D91-7224C49458BB}">
                  <c15:layout>
                    <c:manualLayout>
                      <c:w val="0.29051984780972145"/>
                      <c:h val="0.17672413793103448"/>
                    </c:manualLayout>
                  </c15:layout>
                </c:ext>
                <c:ext xmlns:c16="http://schemas.microsoft.com/office/drawing/2014/chart" uri="{C3380CC4-5D6E-409C-BE32-E72D297353CC}">
                  <c16:uniqueId val="{0000000B-D6C8-41CF-8C0D-B048025C0D2B}"/>
                </c:ext>
              </c:extLst>
            </c:dLbl>
            <c:dLbl>
              <c:idx val="6"/>
              <c:layout>
                <c:manualLayout>
                  <c:x val="4.6959246373273099E-4"/>
                  <c:y val="8.8297583491718703E-3"/>
                </c:manualLayout>
              </c:layout>
              <c:numFmt formatCode="0.0%" sourceLinked="0"/>
              <c:spPr>
                <a:noFill/>
                <a:ln>
                  <a:noFill/>
                </a:ln>
                <a:effectLst/>
              </c:spPr>
              <c:txPr>
                <a:bodyPr rot="0" spcFirstLastPara="1" vertOverflow="ellipsis" vert="horz" wrap="square" lIns="38100" tIns="19050" rIns="38100" bIns="19050" anchor="ctr" anchorCtr="1">
                  <a:noAutofit/>
                </a:bodyPr>
                <a:lstStyle/>
                <a:p>
                  <a:pPr>
                    <a:defRPr sz="7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v-LV"/>
                </a:p>
              </c:txPr>
              <c:showLegendKey val="0"/>
              <c:showVal val="0"/>
              <c:showCatName val="1"/>
              <c:showSerName val="0"/>
              <c:showPercent val="1"/>
              <c:showBubbleSize val="0"/>
              <c:extLst>
                <c:ext xmlns:c15="http://schemas.microsoft.com/office/drawing/2012/chart" uri="{CE6537A1-D6FC-4f65-9D91-7224C49458BB}">
                  <c15:layout>
                    <c:manualLayout>
                      <c:w val="0.44886175925257049"/>
                      <c:h val="0.19145126255769754"/>
                    </c:manualLayout>
                  </c15:layout>
                </c:ext>
                <c:ext xmlns:c16="http://schemas.microsoft.com/office/drawing/2014/chart" uri="{C3380CC4-5D6E-409C-BE32-E72D297353CC}">
                  <c16:uniqueId val="{0000000D-D6C8-41CF-8C0D-B048025C0D2B}"/>
                </c:ext>
              </c:extLst>
            </c:dLbl>
            <c:dLbl>
              <c:idx val="7"/>
              <c:layout>
                <c:manualLayout>
                  <c:x val="2.0346293922562005E-7"/>
                  <c:y val="-2.8839261471626392E-2"/>
                </c:manualLayout>
              </c:layout>
              <c:numFmt formatCode="0.0%" sourceLinked="0"/>
              <c:spPr>
                <a:noFill/>
                <a:ln>
                  <a:noFill/>
                </a:ln>
                <a:effectLst/>
              </c:spPr>
              <c:txPr>
                <a:bodyPr rot="0" spcFirstLastPara="1" vertOverflow="ellipsis" vert="horz" wrap="square" lIns="38100" tIns="19050" rIns="38100" bIns="19050" anchor="ctr" anchorCtr="1">
                  <a:noAutofit/>
                </a:bodyPr>
                <a:lstStyle/>
                <a:p>
                  <a:pPr>
                    <a:defRPr sz="7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v-LV"/>
                </a:p>
              </c:txPr>
              <c:showLegendKey val="0"/>
              <c:showVal val="0"/>
              <c:showCatName val="1"/>
              <c:showSerName val="0"/>
              <c:showPercent val="1"/>
              <c:showBubbleSize val="0"/>
              <c:extLst>
                <c:ext xmlns:c15="http://schemas.microsoft.com/office/drawing/2012/chart" uri="{CE6537A1-D6FC-4f65-9D91-7224C49458BB}">
                  <c15:layout>
                    <c:manualLayout>
                      <c:w val="0.33269323892652947"/>
                      <c:h val="0.28577608833378587"/>
                    </c:manualLayout>
                  </c15:layout>
                </c:ext>
                <c:ext xmlns:c16="http://schemas.microsoft.com/office/drawing/2014/chart" uri="{C3380CC4-5D6E-409C-BE32-E72D297353CC}">
                  <c16:uniqueId val="{0000000F-D6C8-41CF-8C0D-B048025C0D2B}"/>
                </c:ext>
              </c:extLst>
            </c:dLbl>
            <c:dLbl>
              <c:idx val="8"/>
              <c:layout>
                <c:manualLayout>
                  <c:x val="0"/>
                  <c:y val="5.8446918273146867E-2"/>
                </c:manualLayout>
              </c:layout>
              <c:numFmt formatCode="0.0%" sourceLinked="0"/>
              <c:spPr>
                <a:noFill/>
                <a:ln>
                  <a:noFill/>
                </a:ln>
                <a:effectLst/>
              </c:spPr>
              <c:txPr>
                <a:bodyPr rot="0" spcFirstLastPara="1" vertOverflow="ellipsis" vert="horz" wrap="square" lIns="38100" tIns="19050" rIns="38100" bIns="19050" anchor="ctr" anchorCtr="1">
                  <a:noAutofit/>
                </a:bodyPr>
                <a:lstStyle/>
                <a:p>
                  <a:pPr>
                    <a:defRPr sz="7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v-LV"/>
                </a:p>
              </c:txPr>
              <c:showLegendKey val="0"/>
              <c:showVal val="0"/>
              <c:showCatName val="1"/>
              <c:showSerName val="0"/>
              <c:showPercent val="1"/>
              <c:showBubbleSize val="0"/>
              <c:extLst>
                <c:ext xmlns:c15="http://schemas.microsoft.com/office/drawing/2012/chart" uri="{CE6537A1-D6FC-4f65-9D91-7224C49458BB}">
                  <c15:layout>
                    <c:manualLayout>
                      <c:w val="0.43883781969114327"/>
                      <c:h val="0.15660919540229884"/>
                    </c:manualLayout>
                  </c15:layout>
                </c:ext>
                <c:ext xmlns:c16="http://schemas.microsoft.com/office/drawing/2014/chart" uri="{C3380CC4-5D6E-409C-BE32-E72D297353CC}">
                  <c16:uniqueId val="{00000011-D6C8-41CF-8C0D-B048025C0D2B}"/>
                </c:ext>
              </c:extLst>
            </c:dLbl>
            <c:numFmt formatCode="0.0%" sourceLinked="0"/>
            <c:spPr>
              <a:noFill/>
              <a:ln>
                <a:noFill/>
              </a:ln>
              <a:effectLst/>
            </c:spPr>
            <c:txPr>
              <a:bodyPr rot="0" spcFirstLastPara="1" vertOverflow="ellipsis" vert="horz" wrap="square" lIns="38100" tIns="19050" rIns="38100" bIns="19050" anchor="ctr" anchorCtr="1">
                <a:spAutoFit/>
              </a:bodyPr>
              <a:lstStyle/>
              <a:p>
                <a:pPr>
                  <a:defRPr sz="7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v-LV"/>
              </a:p>
            </c:txPr>
            <c:showLegendKey val="0"/>
            <c:showVal val="0"/>
            <c:showCatName val="1"/>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'PV strukt'!$A$52:$A$60</c:f>
              <c:strCache>
                <c:ptCount val="9"/>
                <c:pt idx="0">
                  <c:v>Lauksaimniecība</c:v>
                </c:pt>
                <c:pt idx="1">
                  <c:v>Rūpniecība</c:v>
                </c:pt>
                <c:pt idx="2">
                  <c:v>Būvniecība</c:v>
                </c:pt>
                <c:pt idx="3">
                  <c:v>Transports un uzglabāšana</c:v>
                </c:pt>
                <c:pt idx="4">
                  <c:v>Tirdzniecība, izmitināšana</c:v>
                </c:pt>
                <c:pt idx="5">
                  <c:v>Finanšu pak. </c:v>
                </c:pt>
                <c:pt idx="6">
                  <c:v>Operācijas ar NĪ</c:v>
                </c:pt>
                <c:pt idx="7">
                  <c:v>IT un komunikācijas pak.</c:v>
                </c:pt>
                <c:pt idx="8">
                  <c:v>Citi pakalpojumi</c:v>
                </c:pt>
              </c:strCache>
            </c:strRef>
          </c:cat>
          <c:val>
            <c:numRef>
              <c:f>'PV strukt'!$E$52:$E$60</c:f>
              <c:numCache>
                <c:formatCode>General</c:formatCode>
                <c:ptCount val="9"/>
                <c:pt idx="0">
                  <c:v>4</c:v>
                </c:pt>
                <c:pt idx="1">
                  <c:v>15.6</c:v>
                </c:pt>
                <c:pt idx="2">
                  <c:v>6.9</c:v>
                </c:pt>
                <c:pt idx="3">
                  <c:v>8.1999999999999993</c:v>
                </c:pt>
                <c:pt idx="4">
                  <c:v>17</c:v>
                </c:pt>
                <c:pt idx="5">
                  <c:v>2.8</c:v>
                </c:pt>
                <c:pt idx="6">
                  <c:v>12</c:v>
                </c:pt>
                <c:pt idx="7">
                  <c:v>5</c:v>
                </c:pt>
                <c:pt idx="8" formatCode="0.0">
                  <c:v>28.5</c:v>
                </c:pt>
              </c:numCache>
            </c:numRef>
          </c:val>
          <c:extLst>
            <c:ext xmlns:c16="http://schemas.microsoft.com/office/drawing/2014/chart" uri="{C3380CC4-5D6E-409C-BE32-E72D297353CC}">
              <c16:uniqueId val="{00000012-D6C8-41CF-8C0D-B048025C0D2B}"/>
            </c:ext>
          </c:extLst>
        </c:ser>
        <c:dLbls>
          <c:showLegendKey val="0"/>
          <c:showVal val="1"/>
          <c:showCatName val="0"/>
          <c:showSerName val="0"/>
          <c:showPercent val="0"/>
          <c:showBubbleSize val="0"/>
          <c:showLeaderLines val="1"/>
        </c:dLbls>
        <c:firstSliceAng val="0"/>
      </c:pieChart>
      <c:spPr>
        <a:noFill/>
        <a:ln>
          <a:solidFill>
            <a:schemeClr val="bg1"/>
          </a:solidFill>
        </a:ln>
        <a:effectLst/>
      </c:spPr>
    </c:plotArea>
    <c:plotVisOnly val="1"/>
    <c:dispBlanksAs val="gap"/>
    <c:showDLblsOverMax val="0"/>
  </c:chart>
  <c:spPr>
    <a:solidFill>
      <a:schemeClr val="bg1"/>
    </a:solidFill>
    <a:ln w="9525" cap="flat" cmpd="sng" algn="ctr">
      <a:solidFill>
        <a:schemeClr val="bg1"/>
      </a:solidFill>
      <a:round/>
    </a:ln>
    <a:effectLst/>
  </c:spPr>
  <c:txPr>
    <a:bodyPr/>
    <a:lstStyle/>
    <a:p>
      <a:pPr>
        <a:defRPr/>
      </a:pPr>
      <a:endParaRPr lang="lv-LV"/>
    </a:p>
  </c:txPr>
  <c:externalData r:id="rId3">
    <c:autoUpdate val="0"/>
  </c:externalData>
  <c:userShapes r:id="rId4"/>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0"/>
          <c:order val="0"/>
          <c:tx>
            <c:strRef>
              <c:f>Sheet1!$K$442</c:f>
              <c:strCache>
                <c:ptCount val="1"/>
                <c:pt idx="0">
                  <c:v>ES</c:v>
                </c:pt>
              </c:strCache>
            </c:strRef>
          </c:tx>
          <c:spPr>
            <a:ln w="28575" cap="rnd">
              <a:solidFill>
                <a:schemeClr val="accent2"/>
              </a:solidFill>
              <a:prstDash val="sysDash"/>
              <a:round/>
            </a:ln>
            <a:effectLst/>
          </c:spPr>
          <c:marker>
            <c:symbol val="none"/>
          </c:marker>
          <c:cat>
            <c:numRef>
              <c:f>Sheet1!$J$182:$J$441</c:f>
              <c:numCache>
                <c:formatCode>mmm\-yy</c:formatCode>
                <c:ptCount val="260"/>
                <c:pt idx="0">
                  <c:v>36556</c:v>
                </c:pt>
                <c:pt idx="1">
                  <c:v>36585</c:v>
                </c:pt>
                <c:pt idx="2">
                  <c:v>36616</c:v>
                </c:pt>
                <c:pt idx="3">
                  <c:v>36646</c:v>
                </c:pt>
                <c:pt idx="4">
                  <c:v>36677</c:v>
                </c:pt>
                <c:pt idx="5">
                  <c:v>36707</c:v>
                </c:pt>
                <c:pt idx="6">
                  <c:v>36738</c:v>
                </c:pt>
                <c:pt idx="7">
                  <c:v>36769</c:v>
                </c:pt>
                <c:pt idx="8">
                  <c:v>36799</c:v>
                </c:pt>
                <c:pt idx="9">
                  <c:v>36830</c:v>
                </c:pt>
                <c:pt idx="10">
                  <c:v>36860</c:v>
                </c:pt>
                <c:pt idx="11">
                  <c:v>36891</c:v>
                </c:pt>
                <c:pt idx="12">
                  <c:v>36922</c:v>
                </c:pt>
                <c:pt idx="13">
                  <c:v>36950</c:v>
                </c:pt>
                <c:pt idx="14">
                  <c:v>36981</c:v>
                </c:pt>
                <c:pt idx="15">
                  <c:v>37011</c:v>
                </c:pt>
                <c:pt idx="16">
                  <c:v>37042</c:v>
                </c:pt>
                <c:pt idx="17">
                  <c:v>37072</c:v>
                </c:pt>
                <c:pt idx="18">
                  <c:v>37103</c:v>
                </c:pt>
                <c:pt idx="19">
                  <c:v>37134</c:v>
                </c:pt>
                <c:pt idx="20">
                  <c:v>37164</c:v>
                </c:pt>
                <c:pt idx="21">
                  <c:v>37195</c:v>
                </c:pt>
                <c:pt idx="22">
                  <c:v>37225</c:v>
                </c:pt>
                <c:pt idx="23">
                  <c:v>37256</c:v>
                </c:pt>
                <c:pt idx="24">
                  <c:v>37287</c:v>
                </c:pt>
                <c:pt idx="25">
                  <c:v>37315</c:v>
                </c:pt>
                <c:pt idx="26">
                  <c:v>37346</c:v>
                </c:pt>
                <c:pt idx="27">
                  <c:v>37376</c:v>
                </c:pt>
                <c:pt idx="28">
                  <c:v>37407</c:v>
                </c:pt>
                <c:pt idx="29">
                  <c:v>37437</c:v>
                </c:pt>
                <c:pt idx="30">
                  <c:v>37468</c:v>
                </c:pt>
                <c:pt idx="31">
                  <c:v>37499</c:v>
                </c:pt>
                <c:pt idx="32">
                  <c:v>37529</c:v>
                </c:pt>
                <c:pt idx="33">
                  <c:v>37560</c:v>
                </c:pt>
                <c:pt idx="34">
                  <c:v>37590</c:v>
                </c:pt>
                <c:pt idx="35">
                  <c:v>37621</c:v>
                </c:pt>
                <c:pt idx="36">
                  <c:v>37652</c:v>
                </c:pt>
                <c:pt idx="37">
                  <c:v>37680</c:v>
                </c:pt>
                <c:pt idx="38">
                  <c:v>37711</c:v>
                </c:pt>
                <c:pt idx="39">
                  <c:v>37741</c:v>
                </c:pt>
                <c:pt idx="40">
                  <c:v>37772</c:v>
                </c:pt>
                <c:pt idx="41">
                  <c:v>37802</c:v>
                </c:pt>
                <c:pt idx="42">
                  <c:v>37833</c:v>
                </c:pt>
                <c:pt idx="43">
                  <c:v>37864</c:v>
                </c:pt>
                <c:pt idx="44">
                  <c:v>37894</c:v>
                </c:pt>
                <c:pt idx="45">
                  <c:v>37925</c:v>
                </c:pt>
                <c:pt idx="46">
                  <c:v>37955</c:v>
                </c:pt>
                <c:pt idx="47">
                  <c:v>37986</c:v>
                </c:pt>
                <c:pt idx="48">
                  <c:v>38017</c:v>
                </c:pt>
                <c:pt idx="49">
                  <c:v>38046</c:v>
                </c:pt>
                <c:pt idx="50">
                  <c:v>38077</c:v>
                </c:pt>
                <c:pt idx="51">
                  <c:v>38107</c:v>
                </c:pt>
                <c:pt idx="52">
                  <c:v>38138</c:v>
                </c:pt>
                <c:pt idx="53">
                  <c:v>38168</c:v>
                </c:pt>
                <c:pt idx="54">
                  <c:v>38199</c:v>
                </c:pt>
                <c:pt idx="55">
                  <c:v>38230</c:v>
                </c:pt>
                <c:pt idx="56">
                  <c:v>38260</c:v>
                </c:pt>
                <c:pt idx="57">
                  <c:v>38291</c:v>
                </c:pt>
                <c:pt idx="58">
                  <c:v>38321</c:v>
                </c:pt>
                <c:pt idx="59">
                  <c:v>38352</c:v>
                </c:pt>
                <c:pt idx="60">
                  <c:v>38383</c:v>
                </c:pt>
                <c:pt idx="61">
                  <c:v>38411</c:v>
                </c:pt>
                <c:pt idx="62">
                  <c:v>38442</c:v>
                </c:pt>
                <c:pt idx="63">
                  <c:v>38472</c:v>
                </c:pt>
                <c:pt idx="64">
                  <c:v>38503</c:v>
                </c:pt>
                <c:pt idx="65">
                  <c:v>38533</c:v>
                </c:pt>
                <c:pt idx="66">
                  <c:v>38564</c:v>
                </c:pt>
                <c:pt idx="67">
                  <c:v>38595</c:v>
                </c:pt>
                <c:pt idx="68">
                  <c:v>38625</c:v>
                </c:pt>
                <c:pt idx="69">
                  <c:v>38656</c:v>
                </c:pt>
                <c:pt idx="70">
                  <c:v>38686</c:v>
                </c:pt>
                <c:pt idx="71">
                  <c:v>38717</c:v>
                </c:pt>
                <c:pt idx="72">
                  <c:v>38748</c:v>
                </c:pt>
                <c:pt idx="73">
                  <c:v>38776</c:v>
                </c:pt>
                <c:pt idx="74">
                  <c:v>38807</c:v>
                </c:pt>
                <c:pt idx="75">
                  <c:v>38837</c:v>
                </c:pt>
                <c:pt idx="76">
                  <c:v>38868</c:v>
                </c:pt>
                <c:pt idx="77">
                  <c:v>38898</c:v>
                </c:pt>
                <c:pt idx="78">
                  <c:v>38929</c:v>
                </c:pt>
                <c:pt idx="79">
                  <c:v>38960</c:v>
                </c:pt>
                <c:pt idx="80">
                  <c:v>38990</c:v>
                </c:pt>
                <c:pt idx="81">
                  <c:v>39021</c:v>
                </c:pt>
                <c:pt idx="82">
                  <c:v>39051</c:v>
                </c:pt>
                <c:pt idx="83">
                  <c:v>39082</c:v>
                </c:pt>
                <c:pt idx="84">
                  <c:v>39113</c:v>
                </c:pt>
                <c:pt idx="85">
                  <c:v>39141</c:v>
                </c:pt>
                <c:pt idx="86">
                  <c:v>39172</c:v>
                </c:pt>
                <c:pt idx="87">
                  <c:v>39202</c:v>
                </c:pt>
                <c:pt idx="88">
                  <c:v>39233</c:v>
                </c:pt>
                <c:pt idx="89">
                  <c:v>39263</c:v>
                </c:pt>
                <c:pt idx="90">
                  <c:v>39294</c:v>
                </c:pt>
                <c:pt idx="91">
                  <c:v>39325</c:v>
                </c:pt>
                <c:pt idx="92">
                  <c:v>39355</c:v>
                </c:pt>
                <c:pt idx="93">
                  <c:v>39386</c:v>
                </c:pt>
                <c:pt idx="94">
                  <c:v>39416</c:v>
                </c:pt>
                <c:pt idx="95">
                  <c:v>39447</c:v>
                </c:pt>
                <c:pt idx="96">
                  <c:v>39478</c:v>
                </c:pt>
                <c:pt idx="97">
                  <c:v>39507</c:v>
                </c:pt>
                <c:pt idx="98">
                  <c:v>39538</c:v>
                </c:pt>
                <c:pt idx="99">
                  <c:v>39568</c:v>
                </c:pt>
                <c:pt idx="100">
                  <c:v>39599</c:v>
                </c:pt>
                <c:pt idx="101">
                  <c:v>39629</c:v>
                </c:pt>
                <c:pt idx="102">
                  <c:v>39660</c:v>
                </c:pt>
                <c:pt idx="103">
                  <c:v>39691</c:v>
                </c:pt>
                <c:pt idx="104">
                  <c:v>39721</c:v>
                </c:pt>
                <c:pt idx="105">
                  <c:v>39752</c:v>
                </c:pt>
                <c:pt idx="106">
                  <c:v>39782</c:v>
                </c:pt>
                <c:pt idx="107">
                  <c:v>39813</c:v>
                </c:pt>
                <c:pt idx="108">
                  <c:v>39844</c:v>
                </c:pt>
                <c:pt idx="109">
                  <c:v>39872</c:v>
                </c:pt>
                <c:pt idx="110">
                  <c:v>39903</c:v>
                </c:pt>
                <c:pt idx="111">
                  <c:v>39933</c:v>
                </c:pt>
                <c:pt idx="112">
                  <c:v>39964</c:v>
                </c:pt>
                <c:pt idx="113">
                  <c:v>39994</c:v>
                </c:pt>
                <c:pt idx="114">
                  <c:v>40025</c:v>
                </c:pt>
                <c:pt idx="115">
                  <c:v>40056</c:v>
                </c:pt>
                <c:pt idx="116">
                  <c:v>40086</c:v>
                </c:pt>
                <c:pt idx="117">
                  <c:v>40117</c:v>
                </c:pt>
                <c:pt idx="118">
                  <c:v>40147</c:v>
                </c:pt>
                <c:pt idx="119">
                  <c:v>40178</c:v>
                </c:pt>
                <c:pt idx="120">
                  <c:v>40209</c:v>
                </c:pt>
                <c:pt idx="121">
                  <c:v>40237</c:v>
                </c:pt>
                <c:pt idx="122">
                  <c:v>40268</c:v>
                </c:pt>
                <c:pt idx="123">
                  <c:v>40298</c:v>
                </c:pt>
                <c:pt idx="124">
                  <c:v>40329</c:v>
                </c:pt>
                <c:pt idx="125">
                  <c:v>40359</c:v>
                </c:pt>
                <c:pt idx="126">
                  <c:v>40390</c:v>
                </c:pt>
                <c:pt idx="127">
                  <c:v>40421</c:v>
                </c:pt>
                <c:pt idx="128">
                  <c:v>40451</c:v>
                </c:pt>
                <c:pt idx="129">
                  <c:v>40482</c:v>
                </c:pt>
                <c:pt idx="130">
                  <c:v>40512</c:v>
                </c:pt>
                <c:pt idx="131">
                  <c:v>40543</c:v>
                </c:pt>
                <c:pt idx="132">
                  <c:v>40574</c:v>
                </c:pt>
                <c:pt idx="133">
                  <c:v>40602</c:v>
                </c:pt>
                <c:pt idx="134">
                  <c:v>40633</c:v>
                </c:pt>
                <c:pt idx="135">
                  <c:v>40663</c:v>
                </c:pt>
                <c:pt idx="136">
                  <c:v>40694</c:v>
                </c:pt>
                <c:pt idx="137">
                  <c:v>40724</c:v>
                </c:pt>
                <c:pt idx="138">
                  <c:v>40755</c:v>
                </c:pt>
                <c:pt idx="139">
                  <c:v>40786</c:v>
                </c:pt>
                <c:pt idx="140">
                  <c:v>40816</c:v>
                </c:pt>
                <c:pt idx="141">
                  <c:v>40847</c:v>
                </c:pt>
                <c:pt idx="142">
                  <c:v>40877</c:v>
                </c:pt>
                <c:pt idx="143">
                  <c:v>40908</c:v>
                </c:pt>
                <c:pt idx="144">
                  <c:v>40939</c:v>
                </c:pt>
                <c:pt idx="145">
                  <c:v>40968</c:v>
                </c:pt>
                <c:pt idx="146">
                  <c:v>40999</c:v>
                </c:pt>
                <c:pt idx="147">
                  <c:v>41029</c:v>
                </c:pt>
                <c:pt idx="148">
                  <c:v>41060</c:v>
                </c:pt>
                <c:pt idx="149">
                  <c:v>41090</c:v>
                </c:pt>
                <c:pt idx="150">
                  <c:v>41121</c:v>
                </c:pt>
                <c:pt idx="151">
                  <c:v>41152</c:v>
                </c:pt>
                <c:pt idx="152">
                  <c:v>41182</c:v>
                </c:pt>
                <c:pt idx="153">
                  <c:v>41213</c:v>
                </c:pt>
                <c:pt idx="154">
                  <c:v>41243</c:v>
                </c:pt>
                <c:pt idx="155">
                  <c:v>41274</c:v>
                </c:pt>
                <c:pt idx="156">
                  <c:v>41305</c:v>
                </c:pt>
                <c:pt idx="157">
                  <c:v>41333</c:v>
                </c:pt>
                <c:pt idx="158">
                  <c:v>41364</c:v>
                </c:pt>
                <c:pt idx="159">
                  <c:v>41394</c:v>
                </c:pt>
                <c:pt idx="160">
                  <c:v>41425</c:v>
                </c:pt>
                <c:pt idx="161">
                  <c:v>41455</c:v>
                </c:pt>
                <c:pt idx="162">
                  <c:v>41486</c:v>
                </c:pt>
                <c:pt idx="163">
                  <c:v>41517</c:v>
                </c:pt>
                <c:pt idx="164">
                  <c:v>41547</c:v>
                </c:pt>
                <c:pt idx="165">
                  <c:v>41578</c:v>
                </c:pt>
                <c:pt idx="166">
                  <c:v>41608</c:v>
                </c:pt>
                <c:pt idx="167">
                  <c:v>41639</c:v>
                </c:pt>
                <c:pt idx="168">
                  <c:v>41670</c:v>
                </c:pt>
                <c:pt idx="169">
                  <c:v>41698</c:v>
                </c:pt>
                <c:pt idx="170">
                  <c:v>41729</c:v>
                </c:pt>
                <c:pt idx="171">
                  <c:v>41759</c:v>
                </c:pt>
                <c:pt idx="172">
                  <c:v>41790</c:v>
                </c:pt>
                <c:pt idx="173">
                  <c:v>41820</c:v>
                </c:pt>
                <c:pt idx="174">
                  <c:v>41851</c:v>
                </c:pt>
                <c:pt idx="175">
                  <c:v>41882</c:v>
                </c:pt>
                <c:pt idx="176">
                  <c:v>41912</c:v>
                </c:pt>
                <c:pt idx="177">
                  <c:v>41943</c:v>
                </c:pt>
                <c:pt idx="178">
                  <c:v>41973</c:v>
                </c:pt>
                <c:pt idx="179">
                  <c:v>42004</c:v>
                </c:pt>
                <c:pt idx="180">
                  <c:v>42035</c:v>
                </c:pt>
                <c:pt idx="181">
                  <c:v>42063</c:v>
                </c:pt>
                <c:pt idx="182">
                  <c:v>42094</c:v>
                </c:pt>
                <c:pt idx="183">
                  <c:v>42124</c:v>
                </c:pt>
                <c:pt idx="184">
                  <c:v>42155</c:v>
                </c:pt>
                <c:pt idx="185">
                  <c:v>42185</c:v>
                </c:pt>
                <c:pt idx="186">
                  <c:v>42216</c:v>
                </c:pt>
                <c:pt idx="187">
                  <c:v>42247</c:v>
                </c:pt>
                <c:pt idx="188">
                  <c:v>42277</c:v>
                </c:pt>
                <c:pt idx="189">
                  <c:v>42308</c:v>
                </c:pt>
                <c:pt idx="190">
                  <c:v>42338</c:v>
                </c:pt>
                <c:pt idx="191">
                  <c:v>42369</c:v>
                </c:pt>
                <c:pt idx="192">
                  <c:v>42400</c:v>
                </c:pt>
                <c:pt idx="193">
                  <c:v>42429</c:v>
                </c:pt>
                <c:pt idx="194">
                  <c:v>42460</c:v>
                </c:pt>
                <c:pt idx="195">
                  <c:v>42490</c:v>
                </c:pt>
                <c:pt idx="196">
                  <c:v>42521</c:v>
                </c:pt>
                <c:pt idx="197">
                  <c:v>42551</c:v>
                </c:pt>
                <c:pt idx="198">
                  <c:v>42582</c:v>
                </c:pt>
                <c:pt idx="199">
                  <c:v>42613</c:v>
                </c:pt>
                <c:pt idx="200">
                  <c:v>42643</c:v>
                </c:pt>
                <c:pt idx="201">
                  <c:v>42674</c:v>
                </c:pt>
                <c:pt idx="202">
                  <c:v>42704</c:v>
                </c:pt>
                <c:pt idx="203">
                  <c:v>42735</c:v>
                </c:pt>
                <c:pt idx="204">
                  <c:v>42766</c:v>
                </c:pt>
                <c:pt idx="205">
                  <c:v>42794</c:v>
                </c:pt>
                <c:pt idx="206">
                  <c:v>42825</c:v>
                </c:pt>
                <c:pt idx="207">
                  <c:v>42855</c:v>
                </c:pt>
                <c:pt idx="208">
                  <c:v>42886</c:v>
                </c:pt>
                <c:pt idx="209">
                  <c:v>42916</c:v>
                </c:pt>
                <c:pt idx="210">
                  <c:v>42947</c:v>
                </c:pt>
                <c:pt idx="211">
                  <c:v>42978</c:v>
                </c:pt>
                <c:pt idx="212">
                  <c:v>43008</c:v>
                </c:pt>
                <c:pt idx="213">
                  <c:v>43039</c:v>
                </c:pt>
                <c:pt idx="214">
                  <c:v>43069</c:v>
                </c:pt>
                <c:pt idx="215">
                  <c:v>43100</c:v>
                </c:pt>
                <c:pt idx="216">
                  <c:v>43131</c:v>
                </c:pt>
                <c:pt idx="217">
                  <c:v>43159</c:v>
                </c:pt>
                <c:pt idx="218">
                  <c:v>43190</c:v>
                </c:pt>
                <c:pt idx="219">
                  <c:v>43220</c:v>
                </c:pt>
                <c:pt idx="220">
                  <c:v>43251</c:v>
                </c:pt>
                <c:pt idx="221">
                  <c:v>43281</c:v>
                </c:pt>
                <c:pt idx="222">
                  <c:v>43312</c:v>
                </c:pt>
                <c:pt idx="223">
                  <c:v>43343</c:v>
                </c:pt>
                <c:pt idx="224">
                  <c:v>43373</c:v>
                </c:pt>
                <c:pt idx="225">
                  <c:v>43404</c:v>
                </c:pt>
                <c:pt idx="226">
                  <c:v>43434</c:v>
                </c:pt>
                <c:pt idx="227">
                  <c:v>43465</c:v>
                </c:pt>
                <c:pt idx="228">
                  <c:v>43496</c:v>
                </c:pt>
                <c:pt idx="229">
                  <c:v>43524</c:v>
                </c:pt>
                <c:pt idx="230">
                  <c:v>43555</c:v>
                </c:pt>
                <c:pt idx="231">
                  <c:v>43585</c:v>
                </c:pt>
                <c:pt idx="232">
                  <c:v>43616</c:v>
                </c:pt>
                <c:pt idx="233">
                  <c:v>43646</c:v>
                </c:pt>
                <c:pt idx="234">
                  <c:v>43677</c:v>
                </c:pt>
                <c:pt idx="235">
                  <c:v>43708</c:v>
                </c:pt>
                <c:pt idx="236">
                  <c:v>43738</c:v>
                </c:pt>
                <c:pt idx="237">
                  <c:v>43769</c:v>
                </c:pt>
                <c:pt idx="238">
                  <c:v>43799</c:v>
                </c:pt>
                <c:pt idx="239">
                  <c:v>43830</c:v>
                </c:pt>
                <c:pt idx="240">
                  <c:v>43861</c:v>
                </c:pt>
                <c:pt idx="241">
                  <c:v>43890</c:v>
                </c:pt>
                <c:pt idx="242">
                  <c:v>43921</c:v>
                </c:pt>
                <c:pt idx="243">
                  <c:v>43951</c:v>
                </c:pt>
                <c:pt idx="244">
                  <c:v>43982</c:v>
                </c:pt>
                <c:pt idx="245">
                  <c:v>44012</c:v>
                </c:pt>
                <c:pt idx="246">
                  <c:v>44043</c:v>
                </c:pt>
                <c:pt idx="247">
                  <c:v>44074</c:v>
                </c:pt>
                <c:pt idx="248">
                  <c:v>44104</c:v>
                </c:pt>
                <c:pt idx="249">
                  <c:v>44135</c:v>
                </c:pt>
                <c:pt idx="250">
                  <c:v>44165</c:v>
                </c:pt>
                <c:pt idx="251">
                  <c:v>44196</c:v>
                </c:pt>
                <c:pt idx="252">
                  <c:v>44227</c:v>
                </c:pt>
                <c:pt idx="253">
                  <c:v>44255</c:v>
                </c:pt>
                <c:pt idx="254">
                  <c:v>44286</c:v>
                </c:pt>
                <c:pt idx="255">
                  <c:v>44316</c:v>
                </c:pt>
                <c:pt idx="256">
                  <c:v>44347</c:v>
                </c:pt>
                <c:pt idx="257">
                  <c:v>44377</c:v>
                </c:pt>
                <c:pt idx="258">
                  <c:v>44408</c:v>
                </c:pt>
                <c:pt idx="259">
                  <c:v>44439</c:v>
                </c:pt>
              </c:numCache>
            </c:numRef>
          </c:cat>
          <c:val>
            <c:numRef>
              <c:f>Sheet1!$K$182:$K$441</c:f>
              <c:numCache>
                <c:formatCode>0.0</c:formatCode>
                <c:ptCount val="260"/>
                <c:pt idx="0">
                  <c:v>112.8</c:v>
                </c:pt>
                <c:pt idx="1">
                  <c:v>115.1</c:v>
                </c:pt>
                <c:pt idx="2">
                  <c:v>116.4</c:v>
                </c:pt>
                <c:pt idx="3">
                  <c:v>116.9</c:v>
                </c:pt>
                <c:pt idx="4">
                  <c:v>117.7</c:v>
                </c:pt>
                <c:pt idx="5">
                  <c:v>115.8</c:v>
                </c:pt>
                <c:pt idx="6">
                  <c:v>116.2</c:v>
                </c:pt>
                <c:pt idx="7">
                  <c:v>116.5</c:v>
                </c:pt>
                <c:pt idx="8">
                  <c:v>114.2</c:v>
                </c:pt>
                <c:pt idx="9">
                  <c:v>114.7</c:v>
                </c:pt>
                <c:pt idx="10">
                  <c:v>113.2</c:v>
                </c:pt>
                <c:pt idx="11">
                  <c:v>112.5</c:v>
                </c:pt>
                <c:pt idx="12">
                  <c:v>113</c:v>
                </c:pt>
                <c:pt idx="13">
                  <c:v>109.7</c:v>
                </c:pt>
                <c:pt idx="14">
                  <c:v>108.1</c:v>
                </c:pt>
                <c:pt idx="15">
                  <c:v>107.1</c:v>
                </c:pt>
                <c:pt idx="16">
                  <c:v>103.7</c:v>
                </c:pt>
                <c:pt idx="17">
                  <c:v>102.8</c:v>
                </c:pt>
                <c:pt idx="18">
                  <c:v>102</c:v>
                </c:pt>
                <c:pt idx="19">
                  <c:v>99.4</c:v>
                </c:pt>
                <c:pt idx="20">
                  <c:v>95.9</c:v>
                </c:pt>
                <c:pt idx="21">
                  <c:v>91.8</c:v>
                </c:pt>
                <c:pt idx="22">
                  <c:v>88.5</c:v>
                </c:pt>
                <c:pt idx="23">
                  <c:v>90.5</c:v>
                </c:pt>
                <c:pt idx="24">
                  <c:v>93.9</c:v>
                </c:pt>
                <c:pt idx="25">
                  <c:v>93.9</c:v>
                </c:pt>
                <c:pt idx="26">
                  <c:v>95.7</c:v>
                </c:pt>
                <c:pt idx="27">
                  <c:v>97.3</c:v>
                </c:pt>
                <c:pt idx="28">
                  <c:v>97.8</c:v>
                </c:pt>
                <c:pt idx="29">
                  <c:v>96.3</c:v>
                </c:pt>
                <c:pt idx="30">
                  <c:v>95</c:v>
                </c:pt>
                <c:pt idx="31">
                  <c:v>93.2</c:v>
                </c:pt>
                <c:pt idx="32">
                  <c:v>95.3</c:v>
                </c:pt>
                <c:pt idx="33">
                  <c:v>93.5</c:v>
                </c:pt>
                <c:pt idx="34">
                  <c:v>92.9</c:v>
                </c:pt>
                <c:pt idx="35">
                  <c:v>91.2</c:v>
                </c:pt>
                <c:pt idx="36">
                  <c:v>92.1</c:v>
                </c:pt>
                <c:pt idx="37">
                  <c:v>92</c:v>
                </c:pt>
                <c:pt idx="38">
                  <c:v>89.9</c:v>
                </c:pt>
                <c:pt idx="39">
                  <c:v>92.5</c:v>
                </c:pt>
                <c:pt idx="40">
                  <c:v>91.8</c:v>
                </c:pt>
                <c:pt idx="41">
                  <c:v>92.8</c:v>
                </c:pt>
                <c:pt idx="42">
                  <c:v>93.1</c:v>
                </c:pt>
                <c:pt idx="43">
                  <c:v>95</c:v>
                </c:pt>
                <c:pt idx="44">
                  <c:v>96.3</c:v>
                </c:pt>
                <c:pt idx="45">
                  <c:v>97.8</c:v>
                </c:pt>
                <c:pt idx="46">
                  <c:v>99.3</c:v>
                </c:pt>
                <c:pt idx="47">
                  <c:v>98.5</c:v>
                </c:pt>
                <c:pt idx="48">
                  <c:v>98</c:v>
                </c:pt>
                <c:pt idx="49">
                  <c:v>98.8</c:v>
                </c:pt>
                <c:pt idx="50">
                  <c:v>98.2</c:v>
                </c:pt>
                <c:pt idx="51">
                  <c:v>100.3</c:v>
                </c:pt>
                <c:pt idx="52">
                  <c:v>100.8</c:v>
                </c:pt>
                <c:pt idx="53">
                  <c:v>101.6</c:v>
                </c:pt>
                <c:pt idx="54">
                  <c:v>101.8</c:v>
                </c:pt>
                <c:pt idx="55">
                  <c:v>101.1</c:v>
                </c:pt>
                <c:pt idx="56">
                  <c:v>102.5</c:v>
                </c:pt>
                <c:pt idx="57">
                  <c:v>103</c:v>
                </c:pt>
                <c:pt idx="58">
                  <c:v>101.8</c:v>
                </c:pt>
                <c:pt idx="59">
                  <c:v>101.1</c:v>
                </c:pt>
                <c:pt idx="60">
                  <c:v>101.6</c:v>
                </c:pt>
                <c:pt idx="61">
                  <c:v>99.8</c:v>
                </c:pt>
                <c:pt idx="62">
                  <c:v>98.9</c:v>
                </c:pt>
                <c:pt idx="63">
                  <c:v>98.6</c:v>
                </c:pt>
                <c:pt idx="64">
                  <c:v>97.7</c:v>
                </c:pt>
                <c:pt idx="65">
                  <c:v>97.8</c:v>
                </c:pt>
                <c:pt idx="66">
                  <c:v>98.7</c:v>
                </c:pt>
                <c:pt idx="67">
                  <c:v>99.6</c:v>
                </c:pt>
                <c:pt idx="68">
                  <c:v>100</c:v>
                </c:pt>
                <c:pt idx="69">
                  <c:v>101.9</c:v>
                </c:pt>
                <c:pt idx="70">
                  <c:v>101.8</c:v>
                </c:pt>
                <c:pt idx="71">
                  <c:v>102.6</c:v>
                </c:pt>
                <c:pt idx="72">
                  <c:v>104.3</c:v>
                </c:pt>
                <c:pt idx="73">
                  <c:v>104.1</c:v>
                </c:pt>
                <c:pt idx="74">
                  <c:v>105.6</c:v>
                </c:pt>
                <c:pt idx="75">
                  <c:v>107.7</c:v>
                </c:pt>
                <c:pt idx="76">
                  <c:v>108.4</c:v>
                </c:pt>
                <c:pt idx="77">
                  <c:v>109</c:v>
                </c:pt>
                <c:pt idx="78">
                  <c:v>109.4</c:v>
                </c:pt>
                <c:pt idx="79">
                  <c:v>109.7</c:v>
                </c:pt>
                <c:pt idx="80">
                  <c:v>110.2</c:v>
                </c:pt>
                <c:pt idx="81">
                  <c:v>110.9</c:v>
                </c:pt>
                <c:pt idx="82">
                  <c:v>111</c:v>
                </c:pt>
                <c:pt idx="83">
                  <c:v>111.8</c:v>
                </c:pt>
                <c:pt idx="84">
                  <c:v>110.5</c:v>
                </c:pt>
                <c:pt idx="85">
                  <c:v>110.8</c:v>
                </c:pt>
                <c:pt idx="86">
                  <c:v>111.9</c:v>
                </c:pt>
                <c:pt idx="87">
                  <c:v>112.4</c:v>
                </c:pt>
                <c:pt idx="88">
                  <c:v>112.6</c:v>
                </c:pt>
                <c:pt idx="89">
                  <c:v>112.5</c:v>
                </c:pt>
                <c:pt idx="90">
                  <c:v>112</c:v>
                </c:pt>
                <c:pt idx="91">
                  <c:v>110.9</c:v>
                </c:pt>
                <c:pt idx="92">
                  <c:v>108.9</c:v>
                </c:pt>
                <c:pt idx="93">
                  <c:v>107.8</c:v>
                </c:pt>
                <c:pt idx="94">
                  <c:v>106.8</c:v>
                </c:pt>
                <c:pt idx="95">
                  <c:v>105.5</c:v>
                </c:pt>
                <c:pt idx="96">
                  <c:v>104.1</c:v>
                </c:pt>
                <c:pt idx="97">
                  <c:v>102.6</c:v>
                </c:pt>
                <c:pt idx="98">
                  <c:v>102.5</c:v>
                </c:pt>
                <c:pt idx="99">
                  <c:v>100.4</c:v>
                </c:pt>
                <c:pt idx="100">
                  <c:v>100</c:v>
                </c:pt>
                <c:pt idx="101">
                  <c:v>96.6</c:v>
                </c:pt>
                <c:pt idx="102">
                  <c:v>93.8</c:v>
                </c:pt>
                <c:pt idx="103">
                  <c:v>91.8</c:v>
                </c:pt>
                <c:pt idx="104">
                  <c:v>91</c:v>
                </c:pt>
                <c:pt idx="105">
                  <c:v>84.7</c:v>
                </c:pt>
                <c:pt idx="106">
                  <c:v>79.5</c:v>
                </c:pt>
                <c:pt idx="107">
                  <c:v>72.599999999999994</c:v>
                </c:pt>
                <c:pt idx="108">
                  <c:v>71.8</c:v>
                </c:pt>
                <c:pt idx="109">
                  <c:v>69.2</c:v>
                </c:pt>
                <c:pt idx="110">
                  <c:v>67.5</c:v>
                </c:pt>
                <c:pt idx="111">
                  <c:v>69</c:v>
                </c:pt>
                <c:pt idx="112">
                  <c:v>72.3</c:v>
                </c:pt>
                <c:pt idx="113">
                  <c:v>75</c:v>
                </c:pt>
                <c:pt idx="114">
                  <c:v>77.8</c:v>
                </c:pt>
                <c:pt idx="115">
                  <c:v>81.900000000000006</c:v>
                </c:pt>
                <c:pt idx="116">
                  <c:v>84.4</c:v>
                </c:pt>
                <c:pt idx="117">
                  <c:v>87.2</c:v>
                </c:pt>
                <c:pt idx="118">
                  <c:v>89.6</c:v>
                </c:pt>
                <c:pt idx="119">
                  <c:v>92.3</c:v>
                </c:pt>
                <c:pt idx="120">
                  <c:v>94.1</c:v>
                </c:pt>
                <c:pt idx="121">
                  <c:v>95.3</c:v>
                </c:pt>
                <c:pt idx="122">
                  <c:v>97.4</c:v>
                </c:pt>
                <c:pt idx="123">
                  <c:v>99.9</c:v>
                </c:pt>
                <c:pt idx="124">
                  <c:v>98.3</c:v>
                </c:pt>
                <c:pt idx="125">
                  <c:v>98.9</c:v>
                </c:pt>
                <c:pt idx="126">
                  <c:v>100.6</c:v>
                </c:pt>
                <c:pt idx="127">
                  <c:v>101.1</c:v>
                </c:pt>
                <c:pt idx="128">
                  <c:v>102</c:v>
                </c:pt>
                <c:pt idx="129">
                  <c:v>102.9</c:v>
                </c:pt>
                <c:pt idx="130">
                  <c:v>104.7</c:v>
                </c:pt>
                <c:pt idx="131">
                  <c:v>106</c:v>
                </c:pt>
                <c:pt idx="132">
                  <c:v>106.2</c:v>
                </c:pt>
                <c:pt idx="133">
                  <c:v>107.6</c:v>
                </c:pt>
                <c:pt idx="134">
                  <c:v>106.7</c:v>
                </c:pt>
                <c:pt idx="135">
                  <c:v>105.1</c:v>
                </c:pt>
                <c:pt idx="136">
                  <c:v>104</c:v>
                </c:pt>
                <c:pt idx="137">
                  <c:v>103.6</c:v>
                </c:pt>
                <c:pt idx="138">
                  <c:v>101.4</c:v>
                </c:pt>
                <c:pt idx="139">
                  <c:v>97.4</c:v>
                </c:pt>
                <c:pt idx="140">
                  <c:v>94.1</c:v>
                </c:pt>
                <c:pt idx="141">
                  <c:v>93.4</c:v>
                </c:pt>
                <c:pt idx="142">
                  <c:v>93.3</c:v>
                </c:pt>
                <c:pt idx="143">
                  <c:v>92.3</c:v>
                </c:pt>
                <c:pt idx="144">
                  <c:v>92.5</c:v>
                </c:pt>
                <c:pt idx="145">
                  <c:v>93.8</c:v>
                </c:pt>
                <c:pt idx="146">
                  <c:v>94.5</c:v>
                </c:pt>
                <c:pt idx="147">
                  <c:v>92.8</c:v>
                </c:pt>
                <c:pt idx="148">
                  <c:v>90.3</c:v>
                </c:pt>
                <c:pt idx="149">
                  <c:v>89.9</c:v>
                </c:pt>
                <c:pt idx="150">
                  <c:v>88.1</c:v>
                </c:pt>
                <c:pt idx="151">
                  <c:v>86.8</c:v>
                </c:pt>
                <c:pt idx="152">
                  <c:v>85.3</c:v>
                </c:pt>
                <c:pt idx="153">
                  <c:v>84.6</c:v>
                </c:pt>
                <c:pt idx="154">
                  <c:v>85.7</c:v>
                </c:pt>
                <c:pt idx="155">
                  <c:v>86.9</c:v>
                </c:pt>
                <c:pt idx="156">
                  <c:v>88.2</c:v>
                </c:pt>
                <c:pt idx="157">
                  <c:v>89.1</c:v>
                </c:pt>
                <c:pt idx="158">
                  <c:v>89</c:v>
                </c:pt>
                <c:pt idx="159">
                  <c:v>87.2</c:v>
                </c:pt>
                <c:pt idx="160">
                  <c:v>88</c:v>
                </c:pt>
                <c:pt idx="161">
                  <c:v>89.5</c:v>
                </c:pt>
                <c:pt idx="162">
                  <c:v>90.6</c:v>
                </c:pt>
                <c:pt idx="163">
                  <c:v>92.6</c:v>
                </c:pt>
                <c:pt idx="164">
                  <c:v>95.3</c:v>
                </c:pt>
                <c:pt idx="165">
                  <c:v>96.1</c:v>
                </c:pt>
                <c:pt idx="166">
                  <c:v>97.5</c:v>
                </c:pt>
                <c:pt idx="167">
                  <c:v>99</c:v>
                </c:pt>
                <c:pt idx="168">
                  <c:v>99.7</c:v>
                </c:pt>
                <c:pt idx="169">
                  <c:v>99.9</c:v>
                </c:pt>
                <c:pt idx="170">
                  <c:v>100.9</c:v>
                </c:pt>
                <c:pt idx="171">
                  <c:v>100.6</c:v>
                </c:pt>
                <c:pt idx="172">
                  <c:v>101</c:v>
                </c:pt>
                <c:pt idx="173">
                  <c:v>100.7</c:v>
                </c:pt>
                <c:pt idx="174">
                  <c:v>100.7</c:v>
                </c:pt>
                <c:pt idx="175">
                  <c:v>99.9</c:v>
                </c:pt>
                <c:pt idx="176">
                  <c:v>99</c:v>
                </c:pt>
                <c:pt idx="177">
                  <c:v>100</c:v>
                </c:pt>
                <c:pt idx="178">
                  <c:v>99.8</c:v>
                </c:pt>
                <c:pt idx="179">
                  <c:v>100.1</c:v>
                </c:pt>
                <c:pt idx="180">
                  <c:v>100.3</c:v>
                </c:pt>
                <c:pt idx="181">
                  <c:v>101.2</c:v>
                </c:pt>
                <c:pt idx="182">
                  <c:v>102.2</c:v>
                </c:pt>
                <c:pt idx="183">
                  <c:v>102.6</c:v>
                </c:pt>
                <c:pt idx="184">
                  <c:v>102.9</c:v>
                </c:pt>
                <c:pt idx="185">
                  <c:v>102.8</c:v>
                </c:pt>
                <c:pt idx="186">
                  <c:v>103.3</c:v>
                </c:pt>
                <c:pt idx="187">
                  <c:v>103.6</c:v>
                </c:pt>
                <c:pt idx="188">
                  <c:v>104.7</c:v>
                </c:pt>
                <c:pt idx="189">
                  <c:v>105.5</c:v>
                </c:pt>
                <c:pt idx="190">
                  <c:v>105.6</c:v>
                </c:pt>
                <c:pt idx="191">
                  <c:v>106.1</c:v>
                </c:pt>
                <c:pt idx="192">
                  <c:v>105.3</c:v>
                </c:pt>
                <c:pt idx="193">
                  <c:v>103.9</c:v>
                </c:pt>
                <c:pt idx="194">
                  <c:v>102.9</c:v>
                </c:pt>
                <c:pt idx="195">
                  <c:v>103.7</c:v>
                </c:pt>
                <c:pt idx="196">
                  <c:v>104</c:v>
                </c:pt>
                <c:pt idx="197">
                  <c:v>104.1</c:v>
                </c:pt>
                <c:pt idx="198">
                  <c:v>104.3</c:v>
                </c:pt>
                <c:pt idx="199">
                  <c:v>103.6</c:v>
                </c:pt>
                <c:pt idx="200">
                  <c:v>104.3</c:v>
                </c:pt>
                <c:pt idx="201">
                  <c:v>105.8</c:v>
                </c:pt>
                <c:pt idx="202">
                  <c:v>106.1</c:v>
                </c:pt>
                <c:pt idx="203">
                  <c:v>107.5</c:v>
                </c:pt>
                <c:pt idx="204">
                  <c:v>107.6</c:v>
                </c:pt>
                <c:pt idx="205">
                  <c:v>107.5</c:v>
                </c:pt>
                <c:pt idx="206">
                  <c:v>107.3</c:v>
                </c:pt>
                <c:pt idx="207">
                  <c:v>108.7</c:v>
                </c:pt>
                <c:pt idx="208">
                  <c:v>109</c:v>
                </c:pt>
                <c:pt idx="209">
                  <c:v>110.4</c:v>
                </c:pt>
                <c:pt idx="210">
                  <c:v>111.5</c:v>
                </c:pt>
                <c:pt idx="211">
                  <c:v>111.5</c:v>
                </c:pt>
                <c:pt idx="212">
                  <c:v>112.5</c:v>
                </c:pt>
                <c:pt idx="213">
                  <c:v>113.7</c:v>
                </c:pt>
                <c:pt idx="214">
                  <c:v>114</c:v>
                </c:pt>
                <c:pt idx="215">
                  <c:v>114.9</c:v>
                </c:pt>
                <c:pt idx="216">
                  <c:v>114.4</c:v>
                </c:pt>
                <c:pt idx="217">
                  <c:v>114.2</c:v>
                </c:pt>
                <c:pt idx="218">
                  <c:v>112.5</c:v>
                </c:pt>
                <c:pt idx="219">
                  <c:v>112.8</c:v>
                </c:pt>
                <c:pt idx="220">
                  <c:v>112.2</c:v>
                </c:pt>
                <c:pt idx="221">
                  <c:v>112.5</c:v>
                </c:pt>
                <c:pt idx="222">
                  <c:v>111.9</c:v>
                </c:pt>
                <c:pt idx="223">
                  <c:v>111.7</c:v>
                </c:pt>
                <c:pt idx="224">
                  <c:v>111</c:v>
                </c:pt>
                <c:pt idx="225">
                  <c:v>110.2</c:v>
                </c:pt>
                <c:pt idx="226">
                  <c:v>109.9</c:v>
                </c:pt>
                <c:pt idx="227">
                  <c:v>108.3</c:v>
                </c:pt>
                <c:pt idx="228">
                  <c:v>106.8</c:v>
                </c:pt>
                <c:pt idx="229">
                  <c:v>106.8</c:v>
                </c:pt>
                <c:pt idx="230">
                  <c:v>106.3</c:v>
                </c:pt>
                <c:pt idx="231">
                  <c:v>104.6</c:v>
                </c:pt>
                <c:pt idx="232">
                  <c:v>105.6</c:v>
                </c:pt>
                <c:pt idx="233">
                  <c:v>103.8</c:v>
                </c:pt>
                <c:pt idx="234">
                  <c:v>103.1</c:v>
                </c:pt>
                <c:pt idx="235">
                  <c:v>103.4</c:v>
                </c:pt>
                <c:pt idx="236">
                  <c:v>102</c:v>
                </c:pt>
                <c:pt idx="237">
                  <c:v>101.2</c:v>
                </c:pt>
                <c:pt idx="238">
                  <c:v>101.7</c:v>
                </c:pt>
                <c:pt idx="239">
                  <c:v>101.7</c:v>
                </c:pt>
                <c:pt idx="240">
                  <c:v>103.2</c:v>
                </c:pt>
                <c:pt idx="241">
                  <c:v>103.9</c:v>
                </c:pt>
                <c:pt idx="242">
                  <c:v>95.9</c:v>
                </c:pt>
                <c:pt idx="243">
                  <c:v>67.099999999999994</c:v>
                </c:pt>
                <c:pt idx="244">
                  <c:v>69.400000000000006</c:v>
                </c:pt>
                <c:pt idx="245">
                  <c:v>77.2</c:v>
                </c:pt>
                <c:pt idx="246">
                  <c:v>83.7</c:v>
                </c:pt>
                <c:pt idx="247">
                  <c:v>88.4</c:v>
                </c:pt>
                <c:pt idx="248">
                  <c:v>91.5</c:v>
                </c:pt>
                <c:pt idx="249">
                  <c:v>91.7</c:v>
                </c:pt>
                <c:pt idx="250">
                  <c:v>88.6</c:v>
                </c:pt>
                <c:pt idx="251">
                  <c:v>91.6</c:v>
                </c:pt>
                <c:pt idx="252">
                  <c:v>91.1</c:v>
                </c:pt>
                <c:pt idx="253">
                  <c:v>93.1</c:v>
                </c:pt>
                <c:pt idx="254">
                  <c:v>99.9</c:v>
                </c:pt>
                <c:pt idx="255">
                  <c:v>109.9</c:v>
                </c:pt>
                <c:pt idx="256">
                  <c:v>114</c:v>
                </c:pt>
                <c:pt idx="257">
                  <c:v>117.1</c:v>
                </c:pt>
                <c:pt idx="258">
                  <c:v>118</c:v>
                </c:pt>
                <c:pt idx="259">
                  <c:v>116.5</c:v>
                </c:pt>
              </c:numCache>
            </c:numRef>
          </c:val>
          <c:smooth val="0"/>
          <c:extLst>
            <c:ext xmlns:c16="http://schemas.microsoft.com/office/drawing/2014/chart" uri="{C3380CC4-5D6E-409C-BE32-E72D297353CC}">
              <c16:uniqueId val="{00000000-3B81-462F-B53B-045BC77D8C01}"/>
            </c:ext>
          </c:extLst>
        </c:ser>
        <c:ser>
          <c:idx val="1"/>
          <c:order val="1"/>
          <c:tx>
            <c:strRef>
              <c:f>Sheet1!$L$442</c:f>
              <c:strCache>
                <c:ptCount val="1"/>
                <c:pt idx="0">
                  <c:v>Igaunija</c:v>
                </c:pt>
              </c:strCache>
            </c:strRef>
          </c:tx>
          <c:spPr>
            <a:ln w="28575" cap="rnd">
              <a:solidFill>
                <a:srgbClr val="002060"/>
              </a:solidFill>
              <a:round/>
            </a:ln>
            <a:effectLst/>
          </c:spPr>
          <c:marker>
            <c:symbol val="none"/>
          </c:marker>
          <c:cat>
            <c:numRef>
              <c:f>Sheet1!$J$182:$J$441</c:f>
              <c:numCache>
                <c:formatCode>mmm\-yy</c:formatCode>
                <c:ptCount val="260"/>
                <c:pt idx="0">
                  <c:v>36556</c:v>
                </c:pt>
                <c:pt idx="1">
                  <c:v>36585</c:v>
                </c:pt>
                <c:pt idx="2">
                  <c:v>36616</c:v>
                </c:pt>
                <c:pt idx="3">
                  <c:v>36646</c:v>
                </c:pt>
                <c:pt idx="4">
                  <c:v>36677</c:v>
                </c:pt>
                <c:pt idx="5">
                  <c:v>36707</c:v>
                </c:pt>
                <c:pt idx="6">
                  <c:v>36738</c:v>
                </c:pt>
                <c:pt idx="7">
                  <c:v>36769</c:v>
                </c:pt>
                <c:pt idx="8">
                  <c:v>36799</c:v>
                </c:pt>
                <c:pt idx="9">
                  <c:v>36830</c:v>
                </c:pt>
                <c:pt idx="10">
                  <c:v>36860</c:v>
                </c:pt>
                <c:pt idx="11">
                  <c:v>36891</c:v>
                </c:pt>
                <c:pt idx="12">
                  <c:v>36922</c:v>
                </c:pt>
                <c:pt idx="13">
                  <c:v>36950</c:v>
                </c:pt>
                <c:pt idx="14">
                  <c:v>36981</c:v>
                </c:pt>
                <c:pt idx="15">
                  <c:v>37011</c:v>
                </c:pt>
                <c:pt idx="16">
                  <c:v>37042</c:v>
                </c:pt>
                <c:pt idx="17">
                  <c:v>37072</c:v>
                </c:pt>
                <c:pt idx="18">
                  <c:v>37103</c:v>
                </c:pt>
                <c:pt idx="19">
                  <c:v>37134</c:v>
                </c:pt>
                <c:pt idx="20">
                  <c:v>37164</c:v>
                </c:pt>
                <c:pt idx="21">
                  <c:v>37195</c:v>
                </c:pt>
                <c:pt idx="22">
                  <c:v>37225</c:v>
                </c:pt>
                <c:pt idx="23">
                  <c:v>37256</c:v>
                </c:pt>
                <c:pt idx="24">
                  <c:v>37287</c:v>
                </c:pt>
                <c:pt idx="25">
                  <c:v>37315</c:v>
                </c:pt>
                <c:pt idx="26">
                  <c:v>37346</c:v>
                </c:pt>
                <c:pt idx="27">
                  <c:v>37376</c:v>
                </c:pt>
                <c:pt idx="28">
                  <c:v>37407</c:v>
                </c:pt>
                <c:pt idx="29">
                  <c:v>37437</c:v>
                </c:pt>
                <c:pt idx="30">
                  <c:v>37468</c:v>
                </c:pt>
                <c:pt idx="31">
                  <c:v>37499</c:v>
                </c:pt>
                <c:pt idx="32">
                  <c:v>37529</c:v>
                </c:pt>
                <c:pt idx="33">
                  <c:v>37560</c:v>
                </c:pt>
                <c:pt idx="34">
                  <c:v>37590</c:v>
                </c:pt>
                <c:pt idx="35">
                  <c:v>37621</c:v>
                </c:pt>
                <c:pt idx="36">
                  <c:v>37652</c:v>
                </c:pt>
                <c:pt idx="37">
                  <c:v>37680</c:v>
                </c:pt>
                <c:pt idx="38">
                  <c:v>37711</c:v>
                </c:pt>
                <c:pt idx="39">
                  <c:v>37741</c:v>
                </c:pt>
                <c:pt idx="40">
                  <c:v>37772</c:v>
                </c:pt>
                <c:pt idx="41">
                  <c:v>37802</c:v>
                </c:pt>
                <c:pt idx="42">
                  <c:v>37833</c:v>
                </c:pt>
                <c:pt idx="43">
                  <c:v>37864</c:v>
                </c:pt>
                <c:pt idx="44">
                  <c:v>37894</c:v>
                </c:pt>
                <c:pt idx="45">
                  <c:v>37925</c:v>
                </c:pt>
                <c:pt idx="46">
                  <c:v>37955</c:v>
                </c:pt>
                <c:pt idx="47">
                  <c:v>37986</c:v>
                </c:pt>
                <c:pt idx="48">
                  <c:v>38017</c:v>
                </c:pt>
                <c:pt idx="49">
                  <c:v>38046</c:v>
                </c:pt>
                <c:pt idx="50">
                  <c:v>38077</c:v>
                </c:pt>
                <c:pt idx="51">
                  <c:v>38107</c:v>
                </c:pt>
                <c:pt idx="52">
                  <c:v>38138</c:v>
                </c:pt>
                <c:pt idx="53">
                  <c:v>38168</c:v>
                </c:pt>
                <c:pt idx="54">
                  <c:v>38199</c:v>
                </c:pt>
                <c:pt idx="55">
                  <c:v>38230</c:v>
                </c:pt>
                <c:pt idx="56">
                  <c:v>38260</c:v>
                </c:pt>
                <c:pt idx="57">
                  <c:v>38291</c:v>
                </c:pt>
                <c:pt idx="58">
                  <c:v>38321</c:v>
                </c:pt>
                <c:pt idx="59">
                  <c:v>38352</c:v>
                </c:pt>
                <c:pt idx="60">
                  <c:v>38383</c:v>
                </c:pt>
                <c:pt idx="61">
                  <c:v>38411</c:v>
                </c:pt>
                <c:pt idx="62">
                  <c:v>38442</c:v>
                </c:pt>
                <c:pt idx="63">
                  <c:v>38472</c:v>
                </c:pt>
                <c:pt idx="64">
                  <c:v>38503</c:v>
                </c:pt>
                <c:pt idx="65">
                  <c:v>38533</c:v>
                </c:pt>
                <c:pt idx="66">
                  <c:v>38564</c:v>
                </c:pt>
                <c:pt idx="67">
                  <c:v>38595</c:v>
                </c:pt>
                <c:pt idx="68">
                  <c:v>38625</c:v>
                </c:pt>
                <c:pt idx="69">
                  <c:v>38656</c:v>
                </c:pt>
                <c:pt idx="70">
                  <c:v>38686</c:v>
                </c:pt>
                <c:pt idx="71">
                  <c:v>38717</c:v>
                </c:pt>
                <c:pt idx="72">
                  <c:v>38748</c:v>
                </c:pt>
                <c:pt idx="73">
                  <c:v>38776</c:v>
                </c:pt>
                <c:pt idx="74">
                  <c:v>38807</c:v>
                </c:pt>
                <c:pt idx="75">
                  <c:v>38837</c:v>
                </c:pt>
                <c:pt idx="76">
                  <c:v>38868</c:v>
                </c:pt>
                <c:pt idx="77">
                  <c:v>38898</c:v>
                </c:pt>
                <c:pt idx="78">
                  <c:v>38929</c:v>
                </c:pt>
                <c:pt idx="79">
                  <c:v>38960</c:v>
                </c:pt>
                <c:pt idx="80">
                  <c:v>38990</c:v>
                </c:pt>
                <c:pt idx="81">
                  <c:v>39021</c:v>
                </c:pt>
                <c:pt idx="82">
                  <c:v>39051</c:v>
                </c:pt>
                <c:pt idx="83">
                  <c:v>39082</c:v>
                </c:pt>
                <c:pt idx="84">
                  <c:v>39113</c:v>
                </c:pt>
                <c:pt idx="85">
                  <c:v>39141</c:v>
                </c:pt>
                <c:pt idx="86">
                  <c:v>39172</c:v>
                </c:pt>
                <c:pt idx="87">
                  <c:v>39202</c:v>
                </c:pt>
                <c:pt idx="88">
                  <c:v>39233</c:v>
                </c:pt>
                <c:pt idx="89">
                  <c:v>39263</c:v>
                </c:pt>
                <c:pt idx="90">
                  <c:v>39294</c:v>
                </c:pt>
                <c:pt idx="91">
                  <c:v>39325</c:v>
                </c:pt>
                <c:pt idx="92">
                  <c:v>39355</c:v>
                </c:pt>
                <c:pt idx="93">
                  <c:v>39386</c:v>
                </c:pt>
                <c:pt idx="94">
                  <c:v>39416</c:v>
                </c:pt>
                <c:pt idx="95">
                  <c:v>39447</c:v>
                </c:pt>
                <c:pt idx="96">
                  <c:v>39478</c:v>
                </c:pt>
                <c:pt idx="97">
                  <c:v>39507</c:v>
                </c:pt>
                <c:pt idx="98">
                  <c:v>39538</c:v>
                </c:pt>
                <c:pt idx="99">
                  <c:v>39568</c:v>
                </c:pt>
                <c:pt idx="100">
                  <c:v>39599</c:v>
                </c:pt>
                <c:pt idx="101">
                  <c:v>39629</c:v>
                </c:pt>
                <c:pt idx="102">
                  <c:v>39660</c:v>
                </c:pt>
                <c:pt idx="103">
                  <c:v>39691</c:v>
                </c:pt>
                <c:pt idx="104">
                  <c:v>39721</c:v>
                </c:pt>
                <c:pt idx="105">
                  <c:v>39752</c:v>
                </c:pt>
                <c:pt idx="106">
                  <c:v>39782</c:v>
                </c:pt>
                <c:pt idx="107">
                  <c:v>39813</c:v>
                </c:pt>
                <c:pt idx="108">
                  <c:v>39844</c:v>
                </c:pt>
                <c:pt idx="109">
                  <c:v>39872</c:v>
                </c:pt>
                <c:pt idx="110">
                  <c:v>39903</c:v>
                </c:pt>
                <c:pt idx="111">
                  <c:v>39933</c:v>
                </c:pt>
                <c:pt idx="112">
                  <c:v>39964</c:v>
                </c:pt>
                <c:pt idx="113">
                  <c:v>39994</c:v>
                </c:pt>
                <c:pt idx="114">
                  <c:v>40025</c:v>
                </c:pt>
                <c:pt idx="115">
                  <c:v>40056</c:v>
                </c:pt>
                <c:pt idx="116">
                  <c:v>40086</c:v>
                </c:pt>
                <c:pt idx="117">
                  <c:v>40117</c:v>
                </c:pt>
                <c:pt idx="118">
                  <c:v>40147</c:v>
                </c:pt>
                <c:pt idx="119">
                  <c:v>40178</c:v>
                </c:pt>
                <c:pt idx="120">
                  <c:v>40209</c:v>
                </c:pt>
                <c:pt idx="121">
                  <c:v>40237</c:v>
                </c:pt>
                <c:pt idx="122">
                  <c:v>40268</c:v>
                </c:pt>
                <c:pt idx="123">
                  <c:v>40298</c:v>
                </c:pt>
                <c:pt idx="124">
                  <c:v>40329</c:v>
                </c:pt>
                <c:pt idx="125">
                  <c:v>40359</c:v>
                </c:pt>
                <c:pt idx="126">
                  <c:v>40390</c:v>
                </c:pt>
                <c:pt idx="127">
                  <c:v>40421</c:v>
                </c:pt>
                <c:pt idx="128">
                  <c:v>40451</c:v>
                </c:pt>
                <c:pt idx="129">
                  <c:v>40482</c:v>
                </c:pt>
                <c:pt idx="130">
                  <c:v>40512</c:v>
                </c:pt>
                <c:pt idx="131">
                  <c:v>40543</c:v>
                </c:pt>
                <c:pt idx="132">
                  <c:v>40574</c:v>
                </c:pt>
                <c:pt idx="133">
                  <c:v>40602</c:v>
                </c:pt>
                <c:pt idx="134">
                  <c:v>40633</c:v>
                </c:pt>
                <c:pt idx="135">
                  <c:v>40663</c:v>
                </c:pt>
                <c:pt idx="136">
                  <c:v>40694</c:v>
                </c:pt>
                <c:pt idx="137">
                  <c:v>40724</c:v>
                </c:pt>
                <c:pt idx="138">
                  <c:v>40755</c:v>
                </c:pt>
                <c:pt idx="139">
                  <c:v>40786</c:v>
                </c:pt>
                <c:pt idx="140">
                  <c:v>40816</c:v>
                </c:pt>
                <c:pt idx="141">
                  <c:v>40847</c:v>
                </c:pt>
                <c:pt idx="142">
                  <c:v>40877</c:v>
                </c:pt>
                <c:pt idx="143">
                  <c:v>40908</c:v>
                </c:pt>
                <c:pt idx="144">
                  <c:v>40939</c:v>
                </c:pt>
                <c:pt idx="145">
                  <c:v>40968</c:v>
                </c:pt>
                <c:pt idx="146">
                  <c:v>40999</c:v>
                </c:pt>
                <c:pt idx="147">
                  <c:v>41029</c:v>
                </c:pt>
                <c:pt idx="148">
                  <c:v>41060</c:v>
                </c:pt>
                <c:pt idx="149">
                  <c:v>41090</c:v>
                </c:pt>
                <c:pt idx="150">
                  <c:v>41121</c:v>
                </c:pt>
                <c:pt idx="151">
                  <c:v>41152</c:v>
                </c:pt>
                <c:pt idx="152">
                  <c:v>41182</c:v>
                </c:pt>
                <c:pt idx="153">
                  <c:v>41213</c:v>
                </c:pt>
                <c:pt idx="154">
                  <c:v>41243</c:v>
                </c:pt>
                <c:pt idx="155">
                  <c:v>41274</c:v>
                </c:pt>
                <c:pt idx="156">
                  <c:v>41305</c:v>
                </c:pt>
                <c:pt idx="157">
                  <c:v>41333</c:v>
                </c:pt>
                <c:pt idx="158">
                  <c:v>41364</c:v>
                </c:pt>
                <c:pt idx="159">
                  <c:v>41394</c:v>
                </c:pt>
                <c:pt idx="160">
                  <c:v>41425</c:v>
                </c:pt>
                <c:pt idx="161">
                  <c:v>41455</c:v>
                </c:pt>
                <c:pt idx="162">
                  <c:v>41486</c:v>
                </c:pt>
                <c:pt idx="163">
                  <c:v>41517</c:v>
                </c:pt>
                <c:pt idx="164">
                  <c:v>41547</c:v>
                </c:pt>
                <c:pt idx="165">
                  <c:v>41578</c:v>
                </c:pt>
                <c:pt idx="166">
                  <c:v>41608</c:v>
                </c:pt>
                <c:pt idx="167">
                  <c:v>41639</c:v>
                </c:pt>
                <c:pt idx="168">
                  <c:v>41670</c:v>
                </c:pt>
                <c:pt idx="169">
                  <c:v>41698</c:v>
                </c:pt>
                <c:pt idx="170">
                  <c:v>41729</c:v>
                </c:pt>
                <c:pt idx="171">
                  <c:v>41759</c:v>
                </c:pt>
                <c:pt idx="172">
                  <c:v>41790</c:v>
                </c:pt>
                <c:pt idx="173">
                  <c:v>41820</c:v>
                </c:pt>
                <c:pt idx="174">
                  <c:v>41851</c:v>
                </c:pt>
                <c:pt idx="175">
                  <c:v>41882</c:v>
                </c:pt>
                <c:pt idx="176">
                  <c:v>41912</c:v>
                </c:pt>
                <c:pt idx="177">
                  <c:v>41943</c:v>
                </c:pt>
                <c:pt idx="178">
                  <c:v>41973</c:v>
                </c:pt>
                <c:pt idx="179">
                  <c:v>42004</c:v>
                </c:pt>
                <c:pt idx="180">
                  <c:v>42035</c:v>
                </c:pt>
                <c:pt idx="181">
                  <c:v>42063</c:v>
                </c:pt>
                <c:pt idx="182">
                  <c:v>42094</c:v>
                </c:pt>
                <c:pt idx="183">
                  <c:v>42124</c:v>
                </c:pt>
                <c:pt idx="184">
                  <c:v>42155</c:v>
                </c:pt>
                <c:pt idx="185">
                  <c:v>42185</c:v>
                </c:pt>
                <c:pt idx="186">
                  <c:v>42216</c:v>
                </c:pt>
                <c:pt idx="187">
                  <c:v>42247</c:v>
                </c:pt>
                <c:pt idx="188">
                  <c:v>42277</c:v>
                </c:pt>
                <c:pt idx="189">
                  <c:v>42308</c:v>
                </c:pt>
                <c:pt idx="190">
                  <c:v>42338</c:v>
                </c:pt>
                <c:pt idx="191">
                  <c:v>42369</c:v>
                </c:pt>
                <c:pt idx="192">
                  <c:v>42400</c:v>
                </c:pt>
                <c:pt idx="193">
                  <c:v>42429</c:v>
                </c:pt>
                <c:pt idx="194">
                  <c:v>42460</c:v>
                </c:pt>
                <c:pt idx="195">
                  <c:v>42490</c:v>
                </c:pt>
                <c:pt idx="196">
                  <c:v>42521</c:v>
                </c:pt>
                <c:pt idx="197">
                  <c:v>42551</c:v>
                </c:pt>
                <c:pt idx="198">
                  <c:v>42582</c:v>
                </c:pt>
                <c:pt idx="199">
                  <c:v>42613</c:v>
                </c:pt>
                <c:pt idx="200">
                  <c:v>42643</c:v>
                </c:pt>
                <c:pt idx="201">
                  <c:v>42674</c:v>
                </c:pt>
                <c:pt idx="202">
                  <c:v>42704</c:v>
                </c:pt>
                <c:pt idx="203">
                  <c:v>42735</c:v>
                </c:pt>
                <c:pt idx="204">
                  <c:v>42766</c:v>
                </c:pt>
                <c:pt idx="205">
                  <c:v>42794</c:v>
                </c:pt>
                <c:pt idx="206">
                  <c:v>42825</c:v>
                </c:pt>
                <c:pt idx="207">
                  <c:v>42855</c:v>
                </c:pt>
                <c:pt idx="208">
                  <c:v>42886</c:v>
                </c:pt>
                <c:pt idx="209">
                  <c:v>42916</c:v>
                </c:pt>
                <c:pt idx="210">
                  <c:v>42947</c:v>
                </c:pt>
                <c:pt idx="211">
                  <c:v>42978</c:v>
                </c:pt>
                <c:pt idx="212">
                  <c:v>43008</c:v>
                </c:pt>
                <c:pt idx="213">
                  <c:v>43039</c:v>
                </c:pt>
                <c:pt idx="214">
                  <c:v>43069</c:v>
                </c:pt>
                <c:pt idx="215">
                  <c:v>43100</c:v>
                </c:pt>
                <c:pt idx="216">
                  <c:v>43131</c:v>
                </c:pt>
                <c:pt idx="217">
                  <c:v>43159</c:v>
                </c:pt>
                <c:pt idx="218">
                  <c:v>43190</c:v>
                </c:pt>
                <c:pt idx="219">
                  <c:v>43220</c:v>
                </c:pt>
                <c:pt idx="220">
                  <c:v>43251</c:v>
                </c:pt>
                <c:pt idx="221">
                  <c:v>43281</c:v>
                </c:pt>
                <c:pt idx="222">
                  <c:v>43312</c:v>
                </c:pt>
                <c:pt idx="223">
                  <c:v>43343</c:v>
                </c:pt>
                <c:pt idx="224">
                  <c:v>43373</c:v>
                </c:pt>
                <c:pt idx="225">
                  <c:v>43404</c:v>
                </c:pt>
                <c:pt idx="226">
                  <c:v>43434</c:v>
                </c:pt>
                <c:pt idx="227">
                  <c:v>43465</c:v>
                </c:pt>
                <c:pt idx="228">
                  <c:v>43496</c:v>
                </c:pt>
                <c:pt idx="229">
                  <c:v>43524</c:v>
                </c:pt>
                <c:pt idx="230">
                  <c:v>43555</c:v>
                </c:pt>
                <c:pt idx="231">
                  <c:v>43585</c:v>
                </c:pt>
                <c:pt idx="232">
                  <c:v>43616</c:v>
                </c:pt>
                <c:pt idx="233">
                  <c:v>43646</c:v>
                </c:pt>
                <c:pt idx="234">
                  <c:v>43677</c:v>
                </c:pt>
                <c:pt idx="235">
                  <c:v>43708</c:v>
                </c:pt>
                <c:pt idx="236">
                  <c:v>43738</c:v>
                </c:pt>
                <c:pt idx="237">
                  <c:v>43769</c:v>
                </c:pt>
                <c:pt idx="238">
                  <c:v>43799</c:v>
                </c:pt>
                <c:pt idx="239">
                  <c:v>43830</c:v>
                </c:pt>
                <c:pt idx="240">
                  <c:v>43861</c:v>
                </c:pt>
                <c:pt idx="241">
                  <c:v>43890</c:v>
                </c:pt>
                <c:pt idx="242">
                  <c:v>43921</c:v>
                </c:pt>
                <c:pt idx="243">
                  <c:v>43951</c:v>
                </c:pt>
                <c:pt idx="244">
                  <c:v>43982</c:v>
                </c:pt>
                <c:pt idx="245">
                  <c:v>44012</c:v>
                </c:pt>
                <c:pt idx="246">
                  <c:v>44043</c:v>
                </c:pt>
                <c:pt idx="247">
                  <c:v>44074</c:v>
                </c:pt>
                <c:pt idx="248">
                  <c:v>44104</c:v>
                </c:pt>
                <c:pt idx="249">
                  <c:v>44135</c:v>
                </c:pt>
                <c:pt idx="250">
                  <c:v>44165</c:v>
                </c:pt>
                <c:pt idx="251">
                  <c:v>44196</c:v>
                </c:pt>
                <c:pt idx="252">
                  <c:v>44227</c:v>
                </c:pt>
                <c:pt idx="253">
                  <c:v>44255</c:v>
                </c:pt>
                <c:pt idx="254">
                  <c:v>44286</c:v>
                </c:pt>
                <c:pt idx="255">
                  <c:v>44316</c:v>
                </c:pt>
                <c:pt idx="256">
                  <c:v>44347</c:v>
                </c:pt>
                <c:pt idx="257">
                  <c:v>44377</c:v>
                </c:pt>
                <c:pt idx="258">
                  <c:v>44408</c:v>
                </c:pt>
                <c:pt idx="259">
                  <c:v>44439</c:v>
                </c:pt>
              </c:numCache>
            </c:numRef>
          </c:cat>
          <c:val>
            <c:numRef>
              <c:f>Sheet1!$L$182:$L$441</c:f>
              <c:numCache>
                <c:formatCode>General</c:formatCode>
                <c:ptCount val="260"/>
                <c:pt idx="0">
                  <c:v>87.2</c:v>
                </c:pt>
                <c:pt idx="1">
                  <c:v>87</c:v>
                </c:pt>
                <c:pt idx="2">
                  <c:v>86.8</c:v>
                </c:pt>
                <c:pt idx="3">
                  <c:v>88.9</c:v>
                </c:pt>
                <c:pt idx="4">
                  <c:v>88.9</c:v>
                </c:pt>
                <c:pt idx="5">
                  <c:v>88.8</c:v>
                </c:pt>
                <c:pt idx="6">
                  <c:v>94.2</c:v>
                </c:pt>
                <c:pt idx="7">
                  <c:v>95.5</c:v>
                </c:pt>
                <c:pt idx="8">
                  <c:v>96.7</c:v>
                </c:pt>
                <c:pt idx="9">
                  <c:v>96.1</c:v>
                </c:pt>
                <c:pt idx="10">
                  <c:v>96.3</c:v>
                </c:pt>
                <c:pt idx="11">
                  <c:v>96.4</c:v>
                </c:pt>
                <c:pt idx="12">
                  <c:v>102.4</c:v>
                </c:pt>
                <c:pt idx="13">
                  <c:v>102.6</c:v>
                </c:pt>
                <c:pt idx="14">
                  <c:v>102.8</c:v>
                </c:pt>
                <c:pt idx="15">
                  <c:v>95.2</c:v>
                </c:pt>
                <c:pt idx="16">
                  <c:v>100</c:v>
                </c:pt>
                <c:pt idx="17">
                  <c:v>101.4</c:v>
                </c:pt>
                <c:pt idx="18">
                  <c:v>101.3</c:v>
                </c:pt>
                <c:pt idx="19">
                  <c:v>102.6</c:v>
                </c:pt>
                <c:pt idx="20">
                  <c:v>102</c:v>
                </c:pt>
                <c:pt idx="21">
                  <c:v>97.8</c:v>
                </c:pt>
                <c:pt idx="22">
                  <c:v>97.4</c:v>
                </c:pt>
                <c:pt idx="23">
                  <c:v>95.5</c:v>
                </c:pt>
                <c:pt idx="24">
                  <c:v>102.7</c:v>
                </c:pt>
                <c:pt idx="25">
                  <c:v>106.7</c:v>
                </c:pt>
                <c:pt idx="26">
                  <c:v>110.6</c:v>
                </c:pt>
                <c:pt idx="27">
                  <c:v>108.3</c:v>
                </c:pt>
                <c:pt idx="28">
                  <c:v>107.6</c:v>
                </c:pt>
                <c:pt idx="29">
                  <c:v>107.6</c:v>
                </c:pt>
                <c:pt idx="30">
                  <c:v>108.1</c:v>
                </c:pt>
                <c:pt idx="31">
                  <c:v>110.5</c:v>
                </c:pt>
                <c:pt idx="32">
                  <c:v>112.3</c:v>
                </c:pt>
                <c:pt idx="33">
                  <c:v>110.6</c:v>
                </c:pt>
                <c:pt idx="34">
                  <c:v>110.2</c:v>
                </c:pt>
                <c:pt idx="35">
                  <c:v>107.9</c:v>
                </c:pt>
                <c:pt idx="36">
                  <c:v>111.5</c:v>
                </c:pt>
                <c:pt idx="37">
                  <c:v>111.6</c:v>
                </c:pt>
                <c:pt idx="38">
                  <c:v>111.5</c:v>
                </c:pt>
                <c:pt idx="39">
                  <c:v>108.3</c:v>
                </c:pt>
                <c:pt idx="40">
                  <c:v>106.3</c:v>
                </c:pt>
                <c:pt idx="41">
                  <c:v>106.5</c:v>
                </c:pt>
                <c:pt idx="42">
                  <c:v>107.8</c:v>
                </c:pt>
                <c:pt idx="43">
                  <c:v>107.2</c:v>
                </c:pt>
                <c:pt idx="44">
                  <c:v>107.8</c:v>
                </c:pt>
                <c:pt idx="45">
                  <c:v>109</c:v>
                </c:pt>
                <c:pt idx="46">
                  <c:v>107.2</c:v>
                </c:pt>
                <c:pt idx="47">
                  <c:v>102.9</c:v>
                </c:pt>
                <c:pt idx="48">
                  <c:v>105.6</c:v>
                </c:pt>
                <c:pt idx="49">
                  <c:v>106.4</c:v>
                </c:pt>
                <c:pt idx="50">
                  <c:v>107.8</c:v>
                </c:pt>
                <c:pt idx="51">
                  <c:v>108.5</c:v>
                </c:pt>
                <c:pt idx="52">
                  <c:v>109.4</c:v>
                </c:pt>
                <c:pt idx="53">
                  <c:v>108</c:v>
                </c:pt>
                <c:pt idx="54">
                  <c:v>105.9</c:v>
                </c:pt>
                <c:pt idx="55">
                  <c:v>105.5</c:v>
                </c:pt>
                <c:pt idx="56">
                  <c:v>106.4</c:v>
                </c:pt>
                <c:pt idx="57">
                  <c:v>103.6</c:v>
                </c:pt>
                <c:pt idx="58">
                  <c:v>101</c:v>
                </c:pt>
                <c:pt idx="59">
                  <c:v>101.9</c:v>
                </c:pt>
                <c:pt idx="60">
                  <c:v>105.1</c:v>
                </c:pt>
                <c:pt idx="61">
                  <c:v>107.5</c:v>
                </c:pt>
                <c:pt idx="62">
                  <c:v>110.2</c:v>
                </c:pt>
                <c:pt idx="63">
                  <c:v>109.5</c:v>
                </c:pt>
                <c:pt idx="64">
                  <c:v>110</c:v>
                </c:pt>
                <c:pt idx="65">
                  <c:v>109.4</c:v>
                </c:pt>
                <c:pt idx="66">
                  <c:v>111.8</c:v>
                </c:pt>
                <c:pt idx="67">
                  <c:v>110.2</c:v>
                </c:pt>
                <c:pt idx="68">
                  <c:v>108.2</c:v>
                </c:pt>
                <c:pt idx="69">
                  <c:v>113</c:v>
                </c:pt>
                <c:pt idx="70">
                  <c:v>114.3</c:v>
                </c:pt>
                <c:pt idx="71">
                  <c:v>117.2</c:v>
                </c:pt>
                <c:pt idx="72">
                  <c:v>115.9</c:v>
                </c:pt>
                <c:pt idx="73">
                  <c:v>112.9</c:v>
                </c:pt>
                <c:pt idx="74">
                  <c:v>112.8</c:v>
                </c:pt>
                <c:pt idx="75">
                  <c:v>113.4</c:v>
                </c:pt>
                <c:pt idx="76">
                  <c:v>113.9</c:v>
                </c:pt>
                <c:pt idx="77">
                  <c:v>115.9</c:v>
                </c:pt>
                <c:pt idx="78">
                  <c:v>117.6</c:v>
                </c:pt>
                <c:pt idx="79">
                  <c:v>118.5</c:v>
                </c:pt>
                <c:pt idx="80">
                  <c:v>118.4</c:v>
                </c:pt>
                <c:pt idx="81">
                  <c:v>116.8</c:v>
                </c:pt>
                <c:pt idx="82">
                  <c:v>117.8</c:v>
                </c:pt>
                <c:pt idx="83">
                  <c:v>118.9</c:v>
                </c:pt>
                <c:pt idx="84">
                  <c:v>116.6</c:v>
                </c:pt>
                <c:pt idx="85">
                  <c:v>116.8</c:v>
                </c:pt>
                <c:pt idx="86">
                  <c:v>116.8</c:v>
                </c:pt>
                <c:pt idx="87">
                  <c:v>114.9</c:v>
                </c:pt>
                <c:pt idx="88">
                  <c:v>110.9</c:v>
                </c:pt>
                <c:pt idx="89">
                  <c:v>112</c:v>
                </c:pt>
                <c:pt idx="90">
                  <c:v>108.5</c:v>
                </c:pt>
                <c:pt idx="91">
                  <c:v>103.6</c:v>
                </c:pt>
                <c:pt idx="92">
                  <c:v>103.1</c:v>
                </c:pt>
                <c:pt idx="93">
                  <c:v>100.1</c:v>
                </c:pt>
                <c:pt idx="94">
                  <c:v>98.7</c:v>
                </c:pt>
                <c:pt idx="95">
                  <c:v>98.6</c:v>
                </c:pt>
                <c:pt idx="96">
                  <c:v>97.3</c:v>
                </c:pt>
                <c:pt idx="97">
                  <c:v>97.6</c:v>
                </c:pt>
                <c:pt idx="98">
                  <c:v>96.6</c:v>
                </c:pt>
                <c:pt idx="99">
                  <c:v>93.3</c:v>
                </c:pt>
                <c:pt idx="100">
                  <c:v>92.8</c:v>
                </c:pt>
                <c:pt idx="101">
                  <c:v>92.2</c:v>
                </c:pt>
                <c:pt idx="102">
                  <c:v>89.5</c:v>
                </c:pt>
                <c:pt idx="103">
                  <c:v>89.8</c:v>
                </c:pt>
                <c:pt idx="104">
                  <c:v>84.3</c:v>
                </c:pt>
                <c:pt idx="105">
                  <c:v>80.099999999999994</c:v>
                </c:pt>
                <c:pt idx="106">
                  <c:v>75.5</c:v>
                </c:pt>
                <c:pt idx="107">
                  <c:v>70.3</c:v>
                </c:pt>
                <c:pt idx="108">
                  <c:v>70.599999999999994</c:v>
                </c:pt>
                <c:pt idx="109">
                  <c:v>65.900000000000006</c:v>
                </c:pt>
                <c:pt idx="110">
                  <c:v>64.7</c:v>
                </c:pt>
                <c:pt idx="111">
                  <c:v>66.5</c:v>
                </c:pt>
                <c:pt idx="112">
                  <c:v>71.7</c:v>
                </c:pt>
                <c:pt idx="113">
                  <c:v>71.2</c:v>
                </c:pt>
                <c:pt idx="114">
                  <c:v>72.900000000000006</c:v>
                </c:pt>
                <c:pt idx="115">
                  <c:v>76.7</c:v>
                </c:pt>
                <c:pt idx="116">
                  <c:v>81</c:v>
                </c:pt>
                <c:pt idx="117">
                  <c:v>83.2</c:v>
                </c:pt>
                <c:pt idx="118">
                  <c:v>86.5</c:v>
                </c:pt>
                <c:pt idx="119">
                  <c:v>88.4</c:v>
                </c:pt>
                <c:pt idx="120">
                  <c:v>89.7</c:v>
                </c:pt>
                <c:pt idx="121">
                  <c:v>91.9</c:v>
                </c:pt>
                <c:pt idx="122">
                  <c:v>92.2</c:v>
                </c:pt>
                <c:pt idx="123">
                  <c:v>95.9</c:v>
                </c:pt>
                <c:pt idx="124">
                  <c:v>98.8</c:v>
                </c:pt>
                <c:pt idx="125">
                  <c:v>98.6</c:v>
                </c:pt>
                <c:pt idx="126">
                  <c:v>99.6</c:v>
                </c:pt>
                <c:pt idx="127">
                  <c:v>102.7</c:v>
                </c:pt>
                <c:pt idx="128">
                  <c:v>101.2</c:v>
                </c:pt>
                <c:pt idx="129">
                  <c:v>105.5</c:v>
                </c:pt>
                <c:pt idx="130">
                  <c:v>105.6</c:v>
                </c:pt>
                <c:pt idx="131">
                  <c:v>107.2</c:v>
                </c:pt>
                <c:pt idx="132">
                  <c:v>107.8</c:v>
                </c:pt>
                <c:pt idx="133">
                  <c:v>108.3</c:v>
                </c:pt>
                <c:pt idx="134">
                  <c:v>108.5</c:v>
                </c:pt>
                <c:pt idx="135">
                  <c:v>106.7</c:v>
                </c:pt>
                <c:pt idx="136">
                  <c:v>105.9</c:v>
                </c:pt>
                <c:pt idx="137">
                  <c:v>105.2</c:v>
                </c:pt>
                <c:pt idx="138">
                  <c:v>104.2</c:v>
                </c:pt>
                <c:pt idx="139">
                  <c:v>102.6</c:v>
                </c:pt>
                <c:pt idx="140">
                  <c:v>100.2</c:v>
                </c:pt>
                <c:pt idx="141">
                  <c:v>97.2</c:v>
                </c:pt>
                <c:pt idx="142">
                  <c:v>98.2</c:v>
                </c:pt>
                <c:pt idx="143">
                  <c:v>98.1</c:v>
                </c:pt>
                <c:pt idx="144">
                  <c:v>98.1</c:v>
                </c:pt>
                <c:pt idx="145">
                  <c:v>99.4</c:v>
                </c:pt>
                <c:pt idx="146">
                  <c:v>100.7</c:v>
                </c:pt>
                <c:pt idx="147">
                  <c:v>99.5</c:v>
                </c:pt>
                <c:pt idx="148">
                  <c:v>98.1</c:v>
                </c:pt>
                <c:pt idx="149">
                  <c:v>99.6</c:v>
                </c:pt>
                <c:pt idx="150">
                  <c:v>98.2</c:v>
                </c:pt>
                <c:pt idx="151">
                  <c:v>99</c:v>
                </c:pt>
                <c:pt idx="152">
                  <c:v>96.5</c:v>
                </c:pt>
                <c:pt idx="153">
                  <c:v>95.8</c:v>
                </c:pt>
                <c:pt idx="154">
                  <c:v>95.2</c:v>
                </c:pt>
                <c:pt idx="155">
                  <c:v>98.1</c:v>
                </c:pt>
                <c:pt idx="156">
                  <c:v>98.6</c:v>
                </c:pt>
                <c:pt idx="157">
                  <c:v>99.6</c:v>
                </c:pt>
                <c:pt idx="158">
                  <c:v>98.8</c:v>
                </c:pt>
                <c:pt idx="159">
                  <c:v>97.9</c:v>
                </c:pt>
                <c:pt idx="160">
                  <c:v>98.8</c:v>
                </c:pt>
                <c:pt idx="161">
                  <c:v>97</c:v>
                </c:pt>
                <c:pt idx="162">
                  <c:v>97.4</c:v>
                </c:pt>
                <c:pt idx="163">
                  <c:v>98.4</c:v>
                </c:pt>
                <c:pt idx="164">
                  <c:v>99.3</c:v>
                </c:pt>
                <c:pt idx="165">
                  <c:v>100.8</c:v>
                </c:pt>
                <c:pt idx="166">
                  <c:v>100.8</c:v>
                </c:pt>
                <c:pt idx="167">
                  <c:v>100</c:v>
                </c:pt>
                <c:pt idx="168">
                  <c:v>102.5</c:v>
                </c:pt>
                <c:pt idx="169">
                  <c:v>100.6</c:v>
                </c:pt>
                <c:pt idx="170">
                  <c:v>100.1</c:v>
                </c:pt>
                <c:pt idx="171">
                  <c:v>100.5</c:v>
                </c:pt>
                <c:pt idx="172">
                  <c:v>97.5</c:v>
                </c:pt>
                <c:pt idx="173">
                  <c:v>96.3</c:v>
                </c:pt>
                <c:pt idx="174">
                  <c:v>95.5</c:v>
                </c:pt>
                <c:pt idx="175">
                  <c:v>97.8</c:v>
                </c:pt>
                <c:pt idx="176">
                  <c:v>97.7</c:v>
                </c:pt>
                <c:pt idx="177">
                  <c:v>99.3</c:v>
                </c:pt>
                <c:pt idx="178">
                  <c:v>101.2</c:v>
                </c:pt>
                <c:pt idx="179">
                  <c:v>99.9</c:v>
                </c:pt>
                <c:pt idx="180">
                  <c:v>98.5</c:v>
                </c:pt>
                <c:pt idx="181">
                  <c:v>95.6</c:v>
                </c:pt>
                <c:pt idx="182">
                  <c:v>94</c:v>
                </c:pt>
                <c:pt idx="183">
                  <c:v>94.4</c:v>
                </c:pt>
                <c:pt idx="184">
                  <c:v>93.9</c:v>
                </c:pt>
                <c:pt idx="185">
                  <c:v>92.5</c:v>
                </c:pt>
                <c:pt idx="186">
                  <c:v>93.9</c:v>
                </c:pt>
                <c:pt idx="187">
                  <c:v>94.4</c:v>
                </c:pt>
                <c:pt idx="188">
                  <c:v>95.4</c:v>
                </c:pt>
                <c:pt idx="189">
                  <c:v>97.9</c:v>
                </c:pt>
                <c:pt idx="190">
                  <c:v>97.2</c:v>
                </c:pt>
                <c:pt idx="191">
                  <c:v>97.4</c:v>
                </c:pt>
                <c:pt idx="192">
                  <c:v>98.8</c:v>
                </c:pt>
                <c:pt idx="193">
                  <c:v>96.5</c:v>
                </c:pt>
                <c:pt idx="194">
                  <c:v>97.5</c:v>
                </c:pt>
                <c:pt idx="195">
                  <c:v>97.6</c:v>
                </c:pt>
                <c:pt idx="196">
                  <c:v>97.6</c:v>
                </c:pt>
                <c:pt idx="197">
                  <c:v>98.1</c:v>
                </c:pt>
                <c:pt idx="198">
                  <c:v>100</c:v>
                </c:pt>
                <c:pt idx="199">
                  <c:v>98.8</c:v>
                </c:pt>
                <c:pt idx="200">
                  <c:v>100.8</c:v>
                </c:pt>
                <c:pt idx="201">
                  <c:v>101.7</c:v>
                </c:pt>
                <c:pt idx="202">
                  <c:v>100.1</c:v>
                </c:pt>
                <c:pt idx="203">
                  <c:v>102.3</c:v>
                </c:pt>
                <c:pt idx="204">
                  <c:v>101.7</c:v>
                </c:pt>
                <c:pt idx="205">
                  <c:v>105</c:v>
                </c:pt>
                <c:pt idx="206">
                  <c:v>103.5</c:v>
                </c:pt>
                <c:pt idx="207">
                  <c:v>105.7</c:v>
                </c:pt>
                <c:pt idx="208">
                  <c:v>103.6</c:v>
                </c:pt>
                <c:pt idx="209">
                  <c:v>107.6</c:v>
                </c:pt>
                <c:pt idx="210">
                  <c:v>107.4</c:v>
                </c:pt>
                <c:pt idx="211">
                  <c:v>104.5</c:v>
                </c:pt>
                <c:pt idx="212">
                  <c:v>106.2</c:v>
                </c:pt>
                <c:pt idx="213">
                  <c:v>104.5</c:v>
                </c:pt>
                <c:pt idx="214">
                  <c:v>106.2</c:v>
                </c:pt>
                <c:pt idx="215">
                  <c:v>106.5</c:v>
                </c:pt>
                <c:pt idx="216">
                  <c:v>105.2</c:v>
                </c:pt>
                <c:pt idx="217">
                  <c:v>105.1</c:v>
                </c:pt>
                <c:pt idx="218">
                  <c:v>105</c:v>
                </c:pt>
                <c:pt idx="219">
                  <c:v>103.2</c:v>
                </c:pt>
                <c:pt idx="220">
                  <c:v>102</c:v>
                </c:pt>
                <c:pt idx="221">
                  <c:v>103.1</c:v>
                </c:pt>
                <c:pt idx="222">
                  <c:v>104.6</c:v>
                </c:pt>
                <c:pt idx="223">
                  <c:v>102.7</c:v>
                </c:pt>
                <c:pt idx="224">
                  <c:v>103.7</c:v>
                </c:pt>
                <c:pt idx="225">
                  <c:v>102.6</c:v>
                </c:pt>
                <c:pt idx="226">
                  <c:v>103.7</c:v>
                </c:pt>
                <c:pt idx="227">
                  <c:v>102.5</c:v>
                </c:pt>
                <c:pt idx="228">
                  <c:v>100.8</c:v>
                </c:pt>
                <c:pt idx="229">
                  <c:v>100.1</c:v>
                </c:pt>
                <c:pt idx="230">
                  <c:v>100.7</c:v>
                </c:pt>
                <c:pt idx="231">
                  <c:v>99.4</c:v>
                </c:pt>
                <c:pt idx="232">
                  <c:v>100.5</c:v>
                </c:pt>
                <c:pt idx="233">
                  <c:v>98.4</c:v>
                </c:pt>
                <c:pt idx="234">
                  <c:v>97</c:v>
                </c:pt>
                <c:pt idx="235">
                  <c:v>97.8</c:v>
                </c:pt>
                <c:pt idx="236">
                  <c:v>95.9</c:v>
                </c:pt>
                <c:pt idx="237">
                  <c:v>95.1</c:v>
                </c:pt>
                <c:pt idx="238">
                  <c:v>93.6</c:v>
                </c:pt>
                <c:pt idx="239">
                  <c:v>95.5</c:v>
                </c:pt>
                <c:pt idx="240">
                  <c:v>95.4</c:v>
                </c:pt>
                <c:pt idx="241">
                  <c:v>98.1</c:v>
                </c:pt>
                <c:pt idx="242">
                  <c:v>97.6</c:v>
                </c:pt>
                <c:pt idx="243">
                  <c:v>71.900000000000006</c:v>
                </c:pt>
                <c:pt idx="244">
                  <c:v>71.7</c:v>
                </c:pt>
                <c:pt idx="245">
                  <c:v>74.3</c:v>
                </c:pt>
                <c:pt idx="246">
                  <c:v>83.2</c:v>
                </c:pt>
                <c:pt idx="247">
                  <c:v>86.3</c:v>
                </c:pt>
                <c:pt idx="248">
                  <c:v>89.2</c:v>
                </c:pt>
                <c:pt idx="249">
                  <c:v>92.3</c:v>
                </c:pt>
                <c:pt idx="250">
                  <c:v>91.1</c:v>
                </c:pt>
                <c:pt idx="251">
                  <c:v>94.1</c:v>
                </c:pt>
                <c:pt idx="252">
                  <c:v>96</c:v>
                </c:pt>
                <c:pt idx="253">
                  <c:v>96.8</c:v>
                </c:pt>
                <c:pt idx="254">
                  <c:v>94</c:v>
                </c:pt>
                <c:pt idx="255">
                  <c:v>102.9</c:v>
                </c:pt>
                <c:pt idx="256">
                  <c:v>107.5</c:v>
                </c:pt>
                <c:pt idx="257">
                  <c:v>108</c:v>
                </c:pt>
                <c:pt idx="258">
                  <c:v>110.1</c:v>
                </c:pt>
                <c:pt idx="259">
                  <c:v>107</c:v>
                </c:pt>
              </c:numCache>
            </c:numRef>
          </c:val>
          <c:smooth val="0"/>
          <c:extLst>
            <c:ext xmlns:c16="http://schemas.microsoft.com/office/drawing/2014/chart" uri="{C3380CC4-5D6E-409C-BE32-E72D297353CC}">
              <c16:uniqueId val="{00000001-3B81-462F-B53B-045BC77D8C01}"/>
            </c:ext>
          </c:extLst>
        </c:ser>
        <c:ser>
          <c:idx val="2"/>
          <c:order val="2"/>
          <c:tx>
            <c:strRef>
              <c:f>Sheet1!$M$442</c:f>
              <c:strCache>
                <c:ptCount val="1"/>
                <c:pt idx="0">
                  <c:v>Latvija</c:v>
                </c:pt>
              </c:strCache>
            </c:strRef>
          </c:tx>
          <c:spPr>
            <a:ln w="28575" cap="rnd">
              <a:solidFill>
                <a:srgbClr val="C00000"/>
              </a:solidFill>
              <a:round/>
            </a:ln>
            <a:effectLst/>
          </c:spPr>
          <c:marker>
            <c:symbol val="none"/>
          </c:marker>
          <c:cat>
            <c:numRef>
              <c:f>Sheet1!$J$182:$J$441</c:f>
              <c:numCache>
                <c:formatCode>mmm\-yy</c:formatCode>
                <c:ptCount val="260"/>
                <c:pt idx="0">
                  <c:v>36556</c:v>
                </c:pt>
                <c:pt idx="1">
                  <c:v>36585</c:v>
                </c:pt>
                <c:pt idx="2">
                  <c:v>36616</c:v>
                </c:pt>
                <c:pt idx="3">
                  <c:v>36646</c:v>
                </c:pt>
                <c:pt idx="4">
                  <c:v>36677</c:v>
                </c:pt>
                <c:pt idx="5">
                  <c:v>36707</c:v>
                </c:pt>
                <c:pt idx="6">
                  <c:v>36738</c:v>
                </c:pt>
                <c:pt idx="7">
                  <c:v>36769</c:v>
                </c:pt>
                <c:pt idx="8">
                  <c:v>36799</c:v>
                </c:pt>
                <c:pt idx="9">
                  <c:v>36830</c:v>
                </c:pt>
                <c:pt idx="10">
                  <c:v>36860</c:v>
                </c:pt>
                <c:pt idx="11">
                  <c:v>36891</c:v>
                </c:pt>
                <c:pt idx="12">
                  <c:v>36922</c:v>
                </c:pt>
                <c:pt idx="13">
                  <c:v>36950</c:v>
                </c:pt>
                <c:pt idx="14">
                  <c:v>36981</c:v>
                </c:pt>
                <c:pt idx="15">
                  <c:v>37011</c:v>
                </c:pt>
                <c:pt idx="16">
                  <c:v>37042</c:v>
                </c:pt>
                <c:pt idx="17">
                  <c:v>37072</c:v>
                </c:pt>
                <c:pt idx="18">
                  <c:v>37103</c:v>
                </c:pt>
                <c:pt idx="19">
                  <c:v>37134</c:v>
                </c:pt>
                <c:pt idx="20">
                  <c:v>37164</c:v>
                </c:pt>
                <c:pt idx="21">
                  <c:v>37195</c:v>
                </c:pt>
                <c:pt idx="22">
                  <c:v>37225</c:v>
                </c:pt>
                <c:pt idx="23">
                  <c:v>37256</c:v>
                </c:pt>
                <c:pt idx="24">
                  <c:v>37287</c:v>
                </c:pt>
                <c:pt idx="25">
                  <c:v>37315</c:v>
                </c:pt>
                <c:pt idx="26">
                  <c:v>37346</c:v>
                </c:pt>
                <c:pt idx="27">
                  <c:v>37376</c:v>
                </c:pt>
                <c:pt idx="28">
                  <c:v>37407</c:v>
                </c:pt>
                <c:pt idx="29">
                  <c:v>37437</c:v>
                </c:pt>
                <c:pt idx="30">
                  <c:v>37468</c:v>
                </c:pt>
                <c:pt idx="31">
                  <c:v>37499</c:v>
                </c:pt>
                <c:pt idx="32">
                  <c:v>37529</c:v>
                </c:pt>
                <c:pt idx="33">
                  <c:v>37560</c:v>
                </c:pt>
                <c:pt idx="34">
                  <c:v>37590</c:v>
                </c:pt>
                <c:pt idx="35">
                  <c:v>37621</c:v>
                </c:pt>
                <c:pt idx="36">
                  <c:v>37652</c:v>
                </c:pt>
                <c:pt idx="37">
                  <c:v>37680</c:v>
                </c:pt>
                <c:pt idx="38">
                  <c:v>37711</c:v>
                </c:pt>
                <c:pt idx="39">
                  <c:v>37741</c:v>
                </c:pt>
                <c:pt idx="40">
                  <c:v>37772</c:v>
                </c:pt>
                <c:pt idx="41">
                  <c:v>37802</c:v>
                </c:pt>
                <c:pt idx="42">
                  <c:v>37833</c:v>
                </c:pt>
                <c:pt idx="43">
                  <c:v>37864</c:v>
                </c:pt>
                <c:pt idx="44">
                  <c:v>37894</c:v>
                </c:pt>
                <c:pt idx="45">
                  <c:v>37925</c:v>
                </c:pt>
                <c:pt idx="46">
                  <c:v>37955</c:v>
                </c:pt>
                <c:pt idx="47">
                  <c:v>37986</c:v>
                </c:pt>
                <c:pt idx="48">
                  <c:v>38017</c:v>
                </c:pt>
                <c:pt idx="49">
                  <c:v>38046</c:v>
                </c:pt>
                <c:pt idx="50">
                  <c:v>38077</c:v>
                </c:pt>
                <c:pt idx="51">
                  <c:v>38107</c:v>
                </c:pt>
                <c:pt idx="52">
                  <c:v>38138</c:v>
                </c:pt>
                <c:pt idx="53">
                  <c:v>38168</c:v>
                </c:pt>
                <c:pt idx="54">
                  <c:v>38199</c:v>
                </c:pt>
                <c:pt idx="55">
                  <c:v>38230</c:v>
                </c:pt>
                <c:pt idx="56">
                  <c:v>38260</c:v>
                </c:pt>
                <c:pt idx="57">
                  <c:v>38291</c:v>
                </c:pt>
                <c:pt idx="58">
                  <c:v>38321</c:v>
                </c:pt>
                <c:pt idx="59">
                  <c:v>38352</c:v>
                </c:pt>
                <c:pt idx="60">
                  <c:v>38383</c:v>
                </c:pt>
                <c:pt idx="61">
                  <c:v>38411</c:v>
                </c:pt>
                <c:pt idx="62">
                  <c:v>38442</c:v>
                </c:pt>
                <c:pt idx="63">
                  <c:v>38472</c:v>
                </c:pt>
                <c:pt idx="64">
                  <c:v>38503</c:v>
                </c:pt>
                <c:pt idx="65">
                  <c:v>38533</c:v>
                </c:pt>
                <c:pt idx="66">
                  <c:v>38564</c:v>
                </c:pt>
                <c:pt idx="67">
                  <c:v>38595</c:v>
                </c:pt>
                <c:pt idx="68">
                  <c:v>38625</c:v>
                </c:pt>
                <c:pt idx="69">
                  <c:v>38656</c:v>
                </c:pt>
                <c:pt idx="70">
                  <c:v>38686</c:v>
                </c:pt>
                <c:pt idx="71">
                  <c:v>38717</c:v>
                </c:pt>
                <c:pt idx="72">
                  <c:v>38748</c:v>
                </c:pt>
                <c:pt idx="73">
                  <c:v>38776</c:v>
                </c:pt>
                <c:pt idx="74">
                  <c:v>38807</c:v>
                </c:pt>
                <c:pt idx="75">
                  <c:v>38837</c:v>
                </c:pt>
                <c:pt idx="76">
                  <c:v>38868</c:v>
                </c:pt>
                <c:pt idx="77">
                  <c:v>38898</c:v>
                </c:pt>
                <c:pt idx="78">
                  <c:v>38929</c:v>
                </c:pt>
                <c:pt idx="79">
                  <c:v>38960</c:v>
                </c:pt>
                <c:pt idx="80">
                  <c:v>38990</c:v>
                </c:pt>
                <c:pt idx="81">
                  <c:v>39021</c:v>
                </c:pt>
                <c:pt idx="82">
                  <c:v>39051</c:v>
                </c:pt>
                <c:pt idx="83">
                  <c:v>39082</c:v>
                </c:pt>
                <c:pt idx="84">
                  <c:v>39113</c:v>
                </c:pt>
                <c:pt idx="85">
                  <c:v>39141</c:v>
                </c:pt>
                <c:pt idx="86">
                  <c:v>39172</c:v>
                </c:pt>
                <c:pt idx="87">
                  <c:v>39202</c:v>
                </c:pt>
                <c:pt idx="88">
                  <c:v>39233</c:v>
                </c:pt>
                <c:pt idx="89">
                  <c:v>39263</c:v>
                </c:pt>
                <c:pt idx="90">
                  <c:v>39294</c:v>
                </c:pt>
                <c:pt idx="91">
                  <c:v>39325</c:v>
                </c:pt>
                <c:pt idx="92">
                  <c:v>39355</c:v>
                </c:pt>
                <c:pt idx="93">
                  <c:v>39386</c:v>
                </c:pt>
                <c:pt idx="94">
                  <c:v>39416</c:v>
                </c:pt>
                <c:pt idx="95">
                  <c:v>39447</c:v>
                </c:pt>
                <c:pt idx="96">
                  <c:v>39478</c:v>
                </c:pt>
                <c:pt idx="97">
                  <c:v>39507</c:v>
                </c:pt>
                <c:pt idx="98">
                  <c:v>39538</c:v>
                </c:pt>
                <c:pt idx="99">
                  <c:v>39568</c:v>
                </c:pt>
                <c:pt idx="100">
                  <c:v>39599</c:v>
                </c:pt>
                <c:pt idx="101">
                  <c:v>39629</c:v>
                </c:pt>
                <c:pt idx="102">
                  <c:v>39660</c:v>
                </c:pt>
                <c:pt idx="103">
                  <c:v>39691</c:v>
                </c:pt>
                <c:pt idx="104">
                  <c:v>39721</c:v>
                </c:pt>
                <c:pt idx="105">
                  <c:v>39752</c:v>
                </c:pt>
                <c:pt idx="106">
                  <c:v>39782</c:v>
                </c:pt>
                <c:pt idx="107">
                  <c:v>39813</c:v>
                </c:pt>
                <c:pt idx="108">
                  <c:v>39844</c:v>
                </c:pt>
                <c:pt idx="109">
                  <c:v>39872</c:v>
                </c:pt>
                <c:pt idx="110">
                  <c:v>39903</c:v>
                </c:pt>
                <c:pt idx="111">
                  <c:v>39933</c:v>
                </c:pt>
                <c:pt idx="112">
                  <c:v>39964</c:v>
                </c:pt>
                <c:pt idx="113">
                  <c:v>39994</c:v>
                </c:pt>
                <c:pt idx="114">
                  <c:v>40025</c:v>
                </c:pt>
                <c:pt idx="115">
                  <c:v>40056</c:v>
                </c:pt>
                <c:pt idx="116">
                  <c:v>40086</c:v>
                </c:pt>
                <c:pt idx="117">
                  <c:v>40117</c:v>
                </c:pt>
                <c:pt idx="118">
                  <c:v>40147</c:v>
                </c:pt>
                <c:pt idx="119">
                  <c:v>40178</c:v>
                </c:pt>
                <c:pt idx="120">
                  <c:v>40209</c:v>
                </c:pt>
                <c:pt idx="121">
                  <c:v>40237</c:v>
                </c:pt>
                <c:pt idx="122">
                  <c:v>40268</c:v>
                </c:pt>
                <c:pt idx="123">
                  <c:v>40298</c:v>
                </c:pt>
                <c:pt idx="124">
                  <c:v>40329</c:v>
                </c:pt>
                <c:pt idx="125">
                  <c:v>40359</c:v>
                </c:pt>
                <c:pt idx="126">
                  <c:v>40390</c:v>
                </c:pt>
                <c:pt idx="127">
                  <c:v>40421</c:v>
                </c:pt>
                <c:pt idx="128">
                  <c:v>40451</c:v>
                </c:pt>
                <c:pt idx="129">
                  <c:v>40482</c:v>
                </c:pt>
                <c:pt idx="130">
                  <c:v>40512</c:v>
                </c:pt>
                <c:pt idx="131">
                  <c:v>40543</c:v>
                </c:pt>
                <c:pt idx="132">
                  <c:v>40574</c:v>
                </c:pt>
                <c:pt idx="133">
                  <c:v>40602</c:v>
                </c:pt>
                <c:pt idx="134">
                  <c:v>40633</c:v>
                </c:pt>
                <c:pt idx="135">
                  <c:v>40663</c:v>
                </c:pt>
                <c:pt idx="136">
                  <c:v>40694</c:v>
                </c:pt>
                <c:pt idx="137">
                  <c:v>40724</c:v>
                </c:pt>
                <c:pt idx="138">
                  <c:v>40755</c:v>
                </c:pt>
                <c:pt idx="139">
                  <c:v>40786</c:v>
                </c:pt>
                <c:pt idx="140">
                  <c:v>40816</c:v>
                </c:pt>
                <c:pt idx="141">
                  <c:v>40847</c:v>
                </c:pt>
                <c:pt idx="142">
                  <c:v>40877</c:v>
                </c:pt>
                <c:pt idx="143">
                  <c:v>40908</c:v>
                </c:pt>
                <c:pt idx="144">
                  <c:v>40939</c:v>
                </c:pt>
                <c:pt idx="145">
                  <c:v>40968</c:v>
                </c:pt>
                <c:pt idx="146">
                  <c:v>40999</c:v>
                </c:pt>
                <c:pt idx="147">
                  <c:v>41029</c:v>
                </c:pt>
                <c:pt idx="148">
                  <c:v>41060</c:v>
                </c:pt>
                <c:pt idx="149">
                  <c:v>41090</c:v>
                </c:pt>
                <c:pt idx="150">
                  <c:v>41121</c:v>
                </c:pt>
                <c:pt idx="151">
                  <c:v>41152</c:v>
                </c:pt>
                <c:pt idx="152">
                  <c:v>41182</c:v>
                </c:pt>
                <c:pt idx="153">
                  <c:v>41213</c:v>
                </c:pt>
                <c:pt idx="154">
                  <c:v>41243</c:v>
                </c:pt>
                <c:pt idx="155">
                  <c:v>41274</c:v>
                </c:pt>
                <c:pt idx="156">
                  <c:v>41305</c:v>
                </c:pt>
                <c:pt idx="157">
                  <c:v>41333</c:v>
                </c:pt>
                <c:pt idx="158">
                  <c:v>41364</c:v>
                </c:pt>
                <c:pt idx="159">
                  <c:v>41394</c:v>
                </c:pt>
                <c:pt idx="160">
                  <c:v>41425</c:v>
                </c:pt>
                <c:pt idx="161">
                  <c:v>41455</c:v>
                </c:pt>
                <c:pt idx="162">
                  <c:v>41486</c:v>
                </c:pt>
                <c:pt idx="163">
                  <c:v>41517</c:v>
                </c:pt>
                <c:pt idx="164">
                  <c:v>41547</c:v>
                </c:pt>
                <c:pt idx="165">
                  <c:v>41578</c:v>
                </c:pt>
                <c:pt idx="166">
                  <c:v>41608</c:v>
                </c:pt>
                <c:pt idx="167">
                  <c:v>41639</c:v>
                </c:pt>
                <c:pt idx="168">
                  <c:v>41670</c:v>
                </c:pt>
                <c:pt idx="169">
                  <c:v>41698</c:v>
                </c:pt>
                <c:pt idx="170">
                  <c:v>41729</c:v>
                </c:pt>
                <c:pt idx="171">
                  <c:v>41759</c:v>
                </c:pt>
                <c:pt idx="172">
                  <c:v>41790</c:v>
                </c:pt>
                <c:pt idx="173">
                  <c:v>41820</c:v>
                </c:pt>
                <c:pt idx="174">
                  <c:v>41851</c:v>
                </c:pt>
                <c:pt idx="175">
                  <c:v>41882</c:v>
                </c:pt>
                <c:pt idx="176">
                  <c:v>41912</c:v>
                </c:pt>
                <c:pt idx="177">
                  <c:v>41943</c:v>
                </c:pt>
                <c:pt idx="178">
                  <c:v>41973</c:v>
                </c:pt>
                <c:pt idx="179">
                  <c:v>42004</c:v>
                </c:pt>
                <c:pt idx="180">
                  <c:v>42035</c:v>
                </c:pt>
                <c:pt idx="181">
                  <c:v>42063</c:v>
                </c:pt>
                <c:pt idx="182">
                  <c:v>42094</c:v>
                </c:pt>
                <c:pt idx="183">
                  <c:v>42124</c:v>
                </c:pt>
                <c:pt idx="184">
                  <c:v>42155</c:v>
                </c:pt>
                <c:pt idx="185">
                  <c:v>42185</c:v>
                </c:pt>
                <c:pt idx="186">
                  <c:v>42216</c:v>
                </c:pt>
                <c:pt idx="187">
                  <c:v>42247</c:v>
                </c:pt>
                <c:pt idx="188">
                  <c:v>42277</c:v>
                </c:pt>
                <c:pt idx="189">
                  <c:v>42308</c:v>
                </c:pt>
                <c:pt idx="190">
                  <c:v>42338</c:v>
                </c:pt>
                <c:pt idx="191">
                  <c:v>42369</c:v>
                </c:pt>
                <c:pt idx="192">
                  <c:v>42400</c:v>
                </c:pt>
                <c:pt idx="193">
                  <c:v>42429</c:v>
                </c:pt>
                <c:pt idx="194">
                  <c:v>42460</c:v>
                </c:pt>
                <c:pt idx="195">
                  <c:v>42490</c:v>
                </c:pt>
                <c:pt idx="196">
                  <c:v>42521</c:v>
                </c:pt>
                <c:pt idx="197">
                  <c:v>42551</c:v>
                </c:pt>
                <c:pt idx="198">
                  <c:v>42582</c:v>
                </c:pt>
                <c:pt idx="199">
                  <c:v>42613</c:v>
                </c:pt>
                <c:pt idx="200">
                  <c:v>42643</c:v>
                </c:pt>
                <c:pt idx="201">
                  <c:v>42674</c:v>
                </c:pt>
                <c:pt idx="202">
                  <c:v>42704</c:v>
                </c:pt>
                <c:pt idx="203">
                  <c:v>42735</c:v>
                </c:pt>
                <c:pt idx="204">
                  <c:v>42766</c:v>
                </c:pt>
                <c:pt idx="205">
                  <c:v>42794</c:v>
                </c:pt>
                <c:pt idx="206">
                  <c:v>42825</c:v>
                </c:pt>
                <c:pt idx="207">
                  <c:v>42855</c:v>
                </c:pt>
                <c:pt idx="208">
                  <c:v>42886</c:v>
                </c:pt>
                <c:pt idx="209">
                  <c:v>42916</c:v>
                </c:pt>
                <c:pt idx="210">
                  <c:v>42947</c:v>
                </c:pt>
                <c:pt idx="211">
                  <c:v>42978</c:v>
                </c:pt>
                <c:pt idx="212">
                  <c:v>43008</c:v>
                </c:pt>
                <c:pt idx="213">
                  <c:v>43039</c:v>
                </c:pt>
                <c:pt idx="214">
                  <c:v>43069</c:v>
                </c:pt>
                <c:pt idx="215">
                  <c:v>43100</c:v>
                </c:pt>
                <c:pt idx="216">
                  <c:v>43131</c:v>
                </c:pt>
                <c:pt idx="217">
                  <c:v>43159</c:v>
                </c:pt>
                <c:pt idx="218">
                  <c:v>43190</c:v>
                </c:pt>
                <c:pt idx="219">
                  <c:v>43220</c:v>
                </c:pt>
                <c:pt idx="220">
                  <c:v>43251</c:v>
                </c:pt>
                <c:pt idx="221">
                  <c:v>43281</c:v>
                </c:pt>
                <c:pt idx="222">
                  <c:v>43312</c:v>
                </c:pt>
                <c:pt idx="223">
                  <c:v>43343</c:v>
                </c:pt>
                <c:pt idx="224">
                  <c:v>43373</c:v>
                </c:pt>
                <c:pt idx="225">
                  <c:v>43404</c:v>
                </c:pt>
                <c:pt idx="226">
                  <c:v>43434</c:v>
                </c:pt>
                <c:pt idx="227">
                  <c:v>43465</c:v>
                </c:pt>
                <c:pt idx="228">
                  <c:v>43496</c:v>
                </c:pt>
                <c:pt idx="229">
                  <c:v>43524</c:v>
                </c:pt>
                <c:pt idx="230">
                  <c:v>43555</c:v>
                </c:pt>
                <c:pt idx="231">
                  <c:v>43585</c:v>
                </c:pt>
                <c:pt idx="232">
                  <c:v>43616</c:v>
                </c:pt>
                <c:pt idx="233">
                  <c:v>43646</c:v>
                </c:pt>
                <c:pt idx="234">
                  <c:v>43677</c:v>
                </c:pt>
                <c:pt idx="235">
                  <c:v>43708</c:v>
                </c:pt>
                <c:pt idx="236">
                  <c:v>43738</c:v>
                </c:pt>
                <c:pt idx="237">
                  <c:v>43769</c:v>
                </c:pt>
                <c:pt idx="238">
                  <c:v>43799</c:v>
                </c:pt>
                <c:pt idx="239">
                  <c:v>43830</c:v>
                </c:pt>
                <c:pt idx="240">
                  <c:v>43861</c:v>
                </c:pt>
                <c:pt idx="241">
                  <c:v>43890</c:v>
                </c:pt>
                <c:pt idx="242">
                  <c:v>43921</c:v>
                </c:pt>
                <c:pt idx="243">
                  <c:v>43951</c:v>
                </c:pt>
                <c:pt idx="244">
                  <c:v>43982</c:v>
                </c:pt>
                <c:pt idx="245">
                  <c:v>44012</c:v>
                </c:pt>
                <c:pt idx="246">
                  <c:v>44043</c:v>
                </c:pt>
                <c:pt idx="247">
                  <c:v>44074</c:v>
                </c:pt>
                <c:pt idx="248">
                  <c:v>44104</c:v>
                </c:pt>
                <c:pt idx="249">
                  <c:v>44135</c:v>
                </c:pt>
                <c:pt idx="250">
                  <c:v>44165</c:v>
                </c:pt>
                <c:pt idx="251">
                  <c:v>44196</c:v>
                </c:pt>
                <c:pt idx="252">
                  <c:v>44227</c:v>
                </c:pt>
                <c:pt idx="253">
                  <c:v>44255</c:v>
                </c:pt>
                <c:pt idx="254">
                  <c:v>44286</c:v>
                </c:pt>
                <c:pt idx="255">
                  <c:v>44316</c:v>
                </c:pt>
                <c:pt idx="256">
                  <c:v>44347</c:v>
                </c:pt>
                <c:pt idx="257">
                  <c:v>44377</c:v>
                </c:pt>
                <c:pt idx="258">
                  <c:v>44408</c:v>
                </c:pt>
                <c:pt idx="259">
                  <c:v>44439</c:v>
                </c:pt>
              </c:numCache>
            </c:numRef>
          </c:cat>
          <c:val>
            <c:numRef>
              <c:f>Sheet1!$M$182:$M$441</c:f>
              <c:numCache>
                <c:formatCode>General</c:formatCode>
                <c:ptCount val="260"/>
                <c:pt idx="0">
                  <c:v>81.3</c:v>
                </c:pt>
                <c:pt idx="1">
                  <c:v>81.5</c:v>
                </c:pt>
                <c:pt idx="2">
                  <c:v>81.599999999999994</c:v>
                </c:pt>
                <c:pt idx="3">
                  <c:v>89.3</c:v>
                </c:pt>
                <c:pt idx="4">
                  <c:v>89.7</c:v>
                </c:pt>
                <c:pt idx="5">
                  <c:v>90.2</c:v>
                </c:pt>
                <c:pt idx="6">
                  <c:v>90.6</c:v>
                </c:pt>
                <c:pt idx="7">
                  <c:v>91.1</c:v>
                </c:pt>
                <c:pt idx="8">
                  <c:v>91.4</c:v>
                </c:pt>
                <c:pt idx="9">
                  <c:v>100.9</c:v>
                </c:pt>
                <c:pt idx="10">
                  <c:v>101.3</c:v>
                </c:pt>
                <c:pt idx="11">
                  <c:v>101.7</c:v>
                </c:pt>
                <c:pt idx="12">
                  <c:v>99.9</c:v>
                </c:pt>
                <c:pt idx="13">
                  <c:v>100.2</c:v>
                </c:pt>
                <c:pt idx="14">
                  <c:v>99.9</c:v>
                </c:pt>
                <c:pt idx="15">
                  <c:v>95.5</c:v>
                </c:pt>
                <c:pt idx="16">
                  <c:v>95.9</c:v>
                </c:pt>
                <c:pt idx="17">
                  <c:v>97.9</c:v>
                </c:pt>
                <c:pt idx="18">
                  <c:v>103.6</c:v>
                </c:pt>
                <c:pt idx="19">
                  <c:v>104.8</c:v>
                </c:pt>
                <c:pt idx="20">
                  <c:v>101.4</c:v>
                </c:pt>
                <c:pt idx="21">
                  <c:v>100.7</c:v>
                </c:pt>
                <c:pt idx="22">
                  <c:v>101.5</c:v>
                </c:pt>
                <c:pt idx="23">
                  <c:v>98.8</c:v>
                </c:pt>
                <c:pt idx="24">
                  <c:v>106.5</c:v>
                </c:pt>
                <c:pt idx="25">
                  <c:v>106.3</c:v>
                </c:pt>
                <c:pt idx="26">
                  <c:v>106.5</c:v>
                </c:pt>
                <c:pt idx="27">
                  <c:v>101.4</c:v>
                </c:pt>
                <c:pt idx="28">
                  <c:v>102.1</c:v>
                </c:pt>
                <c:pt idx="29">
                  <c:v>102.5</c:v>
                </c:pt>
                <c:pt idx="30">
                  <c:v>102.8</c:v>
                </c:pt>
                <c:pt idx="31">
                  <c:v>103.6</c:v>
                </c:pt>
                <c:pt idx="32">
                  <c:v>104.2</c:v>
                </c:pt>
                <c:pt idx="33">
                  <c:v>105.7</c:v>
                </c:pt>
                <c:pt idx="34">
                  <c:v>104.6</c:v>
                </c:pt>
                <c:pt idx="35">
                  <c:v>104.3</c:v>
                </c:pt>
                <c:pt idx="36">
                  <c:v>106</c:v>
                </c:pt>
                <c:pt idx="37">
                  <c:v>108.1</c:v>
                </c:pt>
                <c:pt idx="38">
                  <c:v>110.8</c:v>
                </c:pt>
                <c:pt idx="39">
                  <c:v>109.1</c:v>
                </c:pt>
                <c:pt idx="40">
                  <c:v>108.3</c:v>
                </c:pt>
                <c:pt idx="41">
                  <c:v>108</c:v>
                </c:pt>
                <c:pt idx="42">
                  <c:v>108.1</c:v>
                </c:pt>
                <c:pt idx="43">
                  <c:v>107.4</c:v>
                </c:pt>
                <c:pt idx="44">
                  <c:v>108</c:v>
                </c:pt>
                <c:pt idx="45">
                  <c:v>108.2</c:v>
                </c:pt>
                <c:pt idx="46">
                  <c:v>108</c:v>
                </c:pt>
                <c:pt idx="47">
                  <c:v>107.4</c:v>
                </c:pt>
                <c:pt idx="48">
                  <c:v>107.6</c:v>
                </c:pt>
                <c:pt idx="49">
                  <c:v>108.1</c:v>
                </c:pt>
                <c:pt idx="50">
                  <c:v>109.1</c:v>
                </c:pt>
                <c:pt idx="51">
                  <c:v>109</c:v>
                </c:pt>
                <c:pt idx="52">
                  <c:v>110.1</c:v>
                </c:pt>
                <c:pt idx="53">
                  <c:v>108.5</c:v>
                </c:pt>
                <c:pt idx="54">
                  <c:v>108.4</c:v>
                </c:pt>
                <c:pt idx="55">
                  <c:v>108.1</c:v>
                </c:pt>
                <c:pt idx="56">
                  <c:v>109.2</c:v>
                </c:pt>
                <c:pt idx="57">
                  <c:v>107</c:v>
                </c:pt>
                <c:pt idx="58">
                  <c:v>106.6</c:v>
                </c:pt>
                <c:pt idx="59">
                  <c:v>107.9</c:v>
                </c:pt>
                <c:pt idx="60">
                  <c:v>107</c:v>
                </c:pt>
                <c:pt idx="61">
                  <c:v>108.3</c:v>
                </c:pt>
                <c:pt idx="62">
                  <c:v>108.5</c:v>
                </c:pt>
                <c:pt idx="63">
                  <c:v>108.7</c:v>
                </c:pt>
                <c:pt idx="64">
                  <c:v>109.8</c:v>
                </c:pt>
                <c:pt idx="65">
                  <c:v>109</c:v>
                </c:pt>
                <c:pt idx="66">
                  <c:v>109.6</c:v>
                </c:pt>
                <c:pt idx="67">
                  <c:v>111</c:v>
                </c:pt>
                <c:pt idx="68">
                  <c:v>110.2</c:v>
                </c:pt>
                <c:pt idx="69">
                  <c:v>111.2</c:v>
                </c:pt>
                <c:pt idx="70">
                  <c:v>111.3</c:v>
                </c:pt>
                <c:pt idx="71">
                  <c:v>111.8</c:v>
                </c:pt>
                <c:pt idx="72">
                  <c:v>110.2</c:v>
                </c:pt>
                <c:pt idx="73">
                  <c:v>110.6</c:v>
                </c:pt>
                <c:pt idx="74">
                  <c:v>112</c:v>
                </c:pt>
                <c:pt idx="75">
                  <c:v>111.2</c:v>
                </c:pt>
                <c:pt idx="76">
                  <c:v>111.7</c:v>
                </c:pt>
                <c:pt idx="77">
                  <c:v>111.6</c:v>
                </c:pt>
                <c:pt idx="78">
                  <c:v>114.4</c:v>
                </c:pt>
                <c:pt idx="79">
                  <c:v>113.5</c:v>
                </c:pt>
                <c:pt idx="80">
                  <c:v>115.7</c:v>
                </c:pt>
                <c:pt idx="81">
                  <c:v>115.1</c:v>
                </c:pt>
                <c:pt idx="82">
                  <c:v>114.3</c:v>
                </c:pt>
                <c:pt idx="83">
                  <c:v>114.9</c:v>
                </c:pt>
                <c:pt idx="84">
                  <c:v>116.3</c:v>
                </c:pt>
                <c:pt idx="85">
                  <c:v>117</c:v>
                </c:pt>
                <c:pt idx="86">
                  <c:v>115.8</c:v>
                </c:pt>
                <c:pt idx="87">
                  <c:v>114.1</c:v>
                </c:pt>
                <c:pt idx="88">
                  <c:v>112.8</c:v>
                </c:pt>
                <c:pt idx="89">
                  <c:v>112.3</c:v>
                </c:pt>
                <c:pt idx="90">
                  <c:v>111.6</c:v>
                </c:pt>
                <c:pt idx="91">
                  <c:v>111.3</c:v>
                </c:pt>
                <c:pt idx="92">
                  <c:v>109.5</c:v>
                </c:pt>
                <c:pt idx="93">
                  <c:v>106.4</c:v>
                </c:pt>
                <c:pt idx="94">
                  <c:v>106.4</c:v>
                </c:pt>
                <c:pt idx="95">
                  <c:v>105.4</c:v>
                </c:pt>
                <c:pt idx="96">
                  <c:v>102.5</c:v>
                </c:pt>
                <c:pt idx="97">
                  <c:v>102.6</c:v>
                </c:pt>
                <c:pt idx="98">
                  <c:v>99.8</c:v>
                </c:pt>
                <c:pt idx="99">
                  <c:v>95.9</c:v>
                </c:pt>
                <c:pt idx="100">
                  <c:v>93</c:v>
                </c:pt>
                <c:pt idx="101">
                  <c:v>91.4</c:v>
                </c:pt>
                <c:pt idx="102">
                  <c:v>90.4</c:v>
                </c:pt>
                <c:pt idx="103">
                  <c:v>90.4</c:v>
                </c:pt>
                <c:pt idx="104">
                  <c:v>88.3</c:v>
                </c:pt>
                <c:pt idx="105">
                  <c:v>83.6</c:v>
                </c:pt>
                <c:pt idx="106">
                  <c:v>81.900000000000006</c:v>
                </c:pt>
                <c:pt idx="107">
                  <c:v>74.8</c:v>
                </c:pt>
                <c:pt idx="108">
                  <c:v>68.5</c:v>
                </c:pt>
                <c:pt idx="109">
                  <c:v>64.2</c:v>
                </c:pt>
                <c:pt idx="110">
                  <c:v>62.9</c:v>
                </c:pt>
                <c:pt idx="111">
                  <c:v>67.900000000000006</c:v>
                </c:pt>
                <c:pt idx="112">
                  <c:v>69.5</c:v>
                </c:pt>
                <c:pt idx="113">
                  <c:v>68.400000000000006</c:v>
                </c:pt>
                <c:pt idx="114">
                  <c:v>67.7</c:v>
                </c:pt>
                <c:pt idx="115">
                  <c:v>68.400000000000006</c:v>
                </c:pt>
                <c:pt idx="116">
                  <c:v>70.599999999999994</c:v>
                </c:pt>
                <c:pt idx="117">
                  <c:v>72.7</c:v>
                </c:pt>
                <c:pt idx="118">
                  <c:v>72.900000000000006</c:v>
                </c:pt>
                <c:pt idx="119">
                  <c:v>76.3</c:v>
                </c:pt>
                <c:pt idx="120">
                  <c:v>78.3</c:v>
                </c:pt>
                <c:pt idx="121">
                  <c:v>82</c:v>
                </c:pt>
                <c:pt idx="122">
                  <c:v>86.9</c:v>
                </c:pt>
                <c:pt idx="123">
                  <c:v>90</c:v>
                </c:pt>
                <c:pt idx="124">
                  <c:v>92.2</c:v>
                </c:pt>
                <c:pt idx="125">
                  <c:v>94.6</c:v>
                </c:pt>
                <c:pt idx="126">
                  <c:v>95.4</c:v>
                </c:pt>
                <c:pt idx="127">
                  <c:v>95.6</c:v>
                </c:pt>
                <c:pt idx="128">
                  <c:v>96.8</c:v>
                </c:pt>
                <c:pt idx="129">
                  <c:v>99.2</c:v>
                </c:pt>
                <c:pt idx="130">
                  <c:v>98.7</c:v>
                </c:pt>
                <c:pt idx="131">
                  <c:v>99.7</c:v>
                </c:pt>
                <c:pt idx="132">
                  <c:v>98.4</c:v>
                </c:pt>
                <c:pt idx="133">
                  <c:v>100.3</c:v>
                </c:pt>
                <c:pt idx="134">
                  <c:v>99.9</c:v>
                </c:pt>
                <c:pt idx="135">
                  <c:v>98.8</c:v>
                </c:pt>
                <c:pt idx="136">
                  <c:v>100.2</c:v>
                </c:pt>
                <c:pt idx="137">
                  <c:v>100.2</c:v>
                </c:pt>
                <c:pt idx="138">
                  <c:v>100.3</c:v>
                </c:pt>
                <c:pt idx="139">
                  <c:v>99.4</c:v>
                </c:pt>
                <c:pt idx="140">
                  <c:v>100.7</c:v>
                </c:pt>
                <c:pt idx="141">
                  <c:v>100.1</c:v>
                </c:pt>
                <c:pt idx="142">
                  <c:v>100</c:v>
                </c:pt>
                <c:pt idx="143">
                  <c:v>99.4</c:v>
                </c:pt>
                <c:pt idx="144">
                  <c:v>103.2</c:v>
                </c:pt>
                <c:pt idx="145">
                  <c:v>101.8</c:v>
                </c:pt>
                <c:pt idx="146">
                  <c:v>100.4</c:v>
                </c:pt>
                <c:pt idx="147">
                  <c:v>100.1</c:v>
                </c:pt>
                <c:pt idx="148">
                  <c:v>98.6</c:v>
                </c:pt>
                <c:pt idx="149">
                  <c:v>101.8</c:v>
                </c:pt>
                <c:pt idx="150">
                  <c:v>98.7</c:v>
                </c:pt>
                <c:pt idx="151">
                  <c:v>100.1</c:v>
                </c:pt>
                <c:pt idx="152">
                  <c:v>100</c:v>
                </c:pt>
                <c:pt idx="153">
                  <c:v>100</c:v>
                </c:pt>
                <c:pt idx="154">
                  <c:v>101</c:v>
                </c:pt>
                <c:pt idx="155">
                  <c:v>101.8</c:v>
                </c:pt>
                <c:pt idx="156">
                  <c:v>103.7</c:v>
                </c:pt>
                <c:pt idx="157">
                  <c:v>103.2</c:v>
                </c:pt>
                <c:pt idx="158">
                  <c:v>102</c:v>
                </c:pt>
                <c:pt idx="159">
                  <c:v>100.3</c:v>
                </c:pt>
                <c:pt idx="160">
                  <c:v>101</c:v>
                </c:pt>
                <c:pt idx="161">
                  <c:v>100.7</c:v>
                </c:pt>
                <c:pt idx="162">
                  <c:v>100.5</c:v>
                </c:pt>
                <c:pt idx="163">
                  <c:v>98.8</c:v>
                </c:pt>
                <c:pt idx="164">
                  <c:v>99.7</c:v>
                </c:pt>
                <c:pt idx="165">
                  <c:v>99.7</c:v>
                </c:pt>
                <c:pt idx="166">
                  <c:v>101.4</c:v>
                </c:pt>
                <c:pt idx="167">
                  <c:v>101.4</c:v>
                </c:pt>
                <c:pt idx="168">
                  <c:v>103.1</c:v>
                </c:pt>
                <c:pt idx="169">
                  <c:v>105.8</c:v>
                </c:pt>
                <c:pt idx="170">
                  <c:v>101.2</c:v>
                </c:pt>
                <c:pt idx="171">
                  <c:v>102.9</c:v>
                </c:pt>
                <c:pt idx="172">
                  <c:v>100.5</c:v>
                </c:pt>
                <c:pt idx="173">
                  <c:v>100.5</c:v>
                </c:pt>
                <c:pt idx="174">
                  <c:v>101.3</c:v>
                </c:pt>
                <c:pt idx="175">
                  <c:v>99.9</c:v>
                </c:pt>
                <c:pt idx="176">
                  <c:v>98.3</c:v>
                </c:pt>
                <c:pt idx="177">
                  <c:v>98.9</c:v>
                </c:pt>
                <c:pt idx="178">
                  <c:v>101.2</c:v>
                </c:pt>
                <c:pt idx="179">
                  <c:v>99.3</c:v>
                </c:pt>
                <c:pt idx="180">
                  <c:v>98.3</c:v>
                </c:pt>
                <c:pt idx="181">
                  <c:v>97</c:v>
                </c:pt>
                <c:pt idx="182">
                  <c:v>99.6</c:v>
                </c:pt>
                <c:pt idx="183">
                  <c:v>100</c:v>
                </c:pt>
                <c:pt idx="184">
                  <c:v>99.4</c:v>
                </c:pt>
                <c:pt idx="185">
                  <c:v>97.6</c:v>
                </c:pt>
                <c:pt idx="186">
                  <c:v>99.2</c:v>
                </c:pt>
                <c:pt idx="187">
                  <c:v>100.1</c:v>
                </c:pt>
                <c:pt idx="188">
                  <c:v>98.3</c:v>
                </c:pt>
                <c:pt idx="189">
                  <c:v>99.6</c:v>
                </c:pt>
                <c:pt idx="190">
                  <c:v>98.1</c:v>
                </c:pt>
                <c:pt idx="191">
                  <c:v>98.9</c:v>
                </c:pt>
                <c:pt idx="192">
                  <c:v>99.9</c:v>
                </c:pt>
                <c:pt idx="193">
                  <c:v>99.1</c:v>
                </c:pt>
                <c:pt idx="194">
                  <c:v>100.8</c:v>
                </c:pt>
                <c:pt idx="195">
                  <c:v>101</c:v>
                </c:pt>
                <c:pt idx="196">
                  <c:v>100.9</c:v>
                </c:pt>
                <c:pt idx="197">
                  <c:v>101.6</c:v>
                </c:pt>
                <c:pt idx="198">
                  <c:v>101.9</c:v>
                </c:pt>
                <c:pt idx="199">
                  <c:v>100.2</c:v>
                </c:pt>
                <c:pt idx="200">
                  <c:v>101.2</c:v>
                </c:pt>
                <c:pt idx="201">
                  <c:v>100.5</c:v>
                </c:pt>
                <c:pt idx="202">
                  <c:v>100.7</c:v>
                </c:pt>
                <c:pt idx="203">
                  <c:v>101.2</c:v>
                </c:pt>
                <c:pt idx="204">
                  <c:v>100.3</c:v>
                </c:pt>
                <c:pt idx="205">
                  <c:v>101.4</c:v>
                </c:pt>
                <c:pt idx="206">
                  <c:v>102.7</c:v>
                </c:pt>
                <c:pt idx="207">
                  <c:v>102.3</c:v>
                </c:pt>
                <c:pt idx="208">
                  <c:v>103.1</c:v>
                </c:pt>
                <c:pt idx="209">
                  <c:v>103.1</c:v>
                </c:pt>
                <c:pt idx="210">
                  <c:v>102</c:v>
                </c:pt>
                <c:pt idx="211">
                  <c:v>103.6</c:v>
                </c:pt>
                <c:pt idx="212">
                  <c:v>104.1</c:v>
                </c:pt>
                <c:pt idx="213">
                  <c:v>104.7</c:v>
                </c:pt>
                <c:pt idx="214">
                  <c:v>104.3</c:v>
                </c:pt>
                <c:pt idx="215">
                  <c:v>105.2</c:v>
                </c:pt>
                <c:pt idx="216">
                  <c:v>105.8</c:v>
                </c:pt>
                <c:pt idx="217">
                  <c:v>104.6</c:v>
                </c:pt>
                <c:pt idx="218">
                  <c:v>103.4</c:v>
                </c:pt>
                <c:pt idx="219">
                  <c:v>102</c:v>
                </c:pt>
                <c:pt idx="220">
                  <c:v>102.3</c:v>
                </c:pt>
                <c:pt idx="221">
                  <c:v>102.6</c:v>
                </c:pt>
                <c:pt idx="222">
                  <c:v>102.7</c:v>
                </c:pt>
                <c:pt idx="223">
                  <c:v>104.1</c:v>
                </c:pt>
                <c:pt idx="224">
                  <c:v>103.8</c:v>
                </c:pt>
                <c:pt idx="225">
                  <c:v>103.7</c:v>
                </c:pt>
                <c:pt idx="226">
                  <c:v>103.6</c:v>
                </c:pt>
                <c:pt idx="227">
                  <c:v>104.7</c:v>
                </c:pt>
                <c:pt idx="228">
                  <c:v>104.1</c:v>
                </c:pt>
                <c:pt idx="229">
                  <c:v>102.2</c:v>
                </c:pt>
                <c:pt idx="230">
                  <c:v>103.1</c:v>
                </c:pt>
                <c:pt idx="231">
                  <c:v>101.4</c:v>
                </c:pt>
                <c:pt idx="232">
                  <c:v>101.1</c:v>
                </c:pt>
                <c:pt idx="233">
                  <c:v>101.4</c:v>
                </c:pt>
                <c:pt idx="234">
                  <c:v>101.1</c:v>
                </c:pt>
                <c:pt idx="235">
                  <c:v>101</c:v>
                </c:pt>
                <c:pt idx="236">
                  <c:v>101.1</c:v>
                </c:pt>
                <c:pt idx="237">
                  <c:v>99.8</c:v>
                </c:pt>
                <c:pt idx="238">
                  <c:v>100.6</c:v>
                </c:pt>
                <c:pt idx="239">
                  <c:v>101.2</c:v>
                </c:pt>
                <c:pt idx="240">
                  <c:v>102</c:v>
                </c:pt>
                <c:pt idx="241">
                  <c:v>102.4</c:v>
                </c:pt>
                <c:pt idx="242">
                  <c:v>96.9</c:v>
                </c:pt>
                <c:pt idx="243">
                  <c:v>79</c:v>
                </c:pt>
                <c:pt idx="244">
                  <c:v>80.099999999999994</c:v>
                </c:pt>
                <c:pt idx="245">
                  <c:v>84.7</c:v>
                </c:pt>
                <c:pt idx="246">
                  <c:v>88.5</c:v>
                </c:pt>
                <c:pt idx="247">
                  <c:v>91.8</c:v>
                </c:pt>
                <c:pt idx="248">
                  <c:v>95.1</c:v>
                </c:pt>
                <c:pt idx="249">
                  <c:v>93.1</c:v>
                </c:pt>
                <c:pt idx="250">
                  <c:v>91.3</c:v>
                </c:pt>
                <c:pt idx="251">
                  <c:v>89</c:v>
                </c:pt>
                <c:pt idx="252">
                  <c:v>87.2</c:v>
                </c:pt>
                <c:pt idx="253">
                  <c:v>88.5</c:v>
                </c:pt>
                <c:pt idx="254">
                  <c:v>90.7</c:v>
                </c:pt>
                <c:pt idx="255">
                  <c:v>101.7</c:v>
                </c:pt>
                <c:pt idx="256">
                  <c:v>104.2</c:v>
                </c:pt>
                <c:pt idx="257">
                  <c:v>105.6</c:v>
                </c:pt>
                <c:pt idx="258">
                  <c:v>102.9</c:v>
                </c:pt>
                <c:pt idx="259">
                  <c:v>101.9</c:v>
                </c:pt>
              </c:numCache>
            </c:numRef>
          </c:val>
          <c:smooth val="0"/>
          <c:extLst>
            <c:ext xmlns:c16="http://schemas.microsoft.com/office/drawing/2014/chart" uri="{C3380CC4-5D6E-409C-BE32-E72D297353CC}">
              <c16:uniqueId val="{00000002-3B81-462F-B53B-045BC77D8C01}"/>
            </c:ext>
          </c:extLst>
        </c:ser>
        <c:ser>
          <c:idx val="3"/>
          <c:order val="3"/>
          <c:tx>
            <c:strRef>
              <c:f>Sheet1!$N$442</c:f>
              <c:strCache>
                <c:ptCount val="1"/>
                <c:pt idx="0">
                  <c:v>Lietuva</c:v>
                </c:pt>
              </c:strCache>
            </c:strRef>
          </c:tx>
          <c:spPr>
            <a:ln w="28575" cap="rnd">
              <a:solidFill>
                <a:srgbClr val="00B050"/>
              </a:solidFill>
              <a:round/>
            </a:ln>
            <a:effectLst/>
          </c:spPr>
          <c:marker>
            <c:symbol val="none"/>
          </c:marker>
          <c:cat>
            <c:numRef>
              <c:f>Sheet1!$J$182:$J$441</c:f>
              <c:numCache>
                <c:formatCode>mmm\-yy</c:formatCode>
                <c:ptCount val="260"/>
                <c:pt idx="0">
                  <c:v>36556</c:v>
                </c:pt>
                <c:pt idx="1">
                  <c:v>36585</c:v>
                </c:pt>
                <c:pt idx="2">
                  <c:v>36616</c:v>
                </c:pt>
                <c:pt idx="3">
                  <c:v>36646</c:v>
                </c:pt>
                <c:pt idx="4">
                  <c:v>36677</c:v>
                </c:pt>
                <c:pt idx="5">
                  <c:v>36707</c:v>
                </c:pt>
                <c:pt idx="6">
                  <c:v>36738</c:v>
                </c:pt>
                <c:pt idx="7">
                  <c:v>36769</c:v>
                </c:pt>
                <c:pt idx="8">
                  <c:v>36799</c:v>
                </c:pt>
                <c:pt idx="9">
                  <c:v>36830</c:v>
                </c:pt>
                <c:pt idx="10">
                  <c:v>36860</c:v>
                </c:pt>
                <c:pt idx="11">
                  <c:v>36891</c:v>
                </c:pt>
                <c:pt idx="12">
                  <c:v>36922</c:v>
                </c:pt>
                <c:pt idx="13">
                  <c:v>36950</c:v>
                </c:pt>
                <c:pt idx="14">
                  <c:v>36981</c:v>
                </c:pt>
                <c:pt idx="15">
                  <c:v>37011</c:v>
                </c:pt>
                <c:pt idx="16">
                  <c:v>37042</c:v>
                </c:pt>
                <c:pt idx="17">
                  <c:v>37072</c:v>
                </c:pt>
                <c:pt idx="18">
                  <c:v>37103</c:v>
                </c:pt>
                <c:pt idx="19">
                  <c:v>37134</c:v>
                </c:pt>
                <c:pt idx="20">
                  <c:v>37164</c:v>
                </c:pt>
                <c:pt idx="21">
                  <c:v>37195</c:v>
                </c:pt>
                <c:pt idx="22">
                  <c:v>37225</c:v>
                </c:pt>
                <c:pt idx="23">
                  <c:v>37256</c:v>
                </c:pt>
                <c:pt idx="24">
                  <c:v>37287</c:v>
                </c:pt>
                <c:pt idx="25">
                  <c:v>37315</c:v>
                </c:pt>
                <c:pt idx="26">
                  <c:v>37346</c:v>
                </c:pt>
                <c:pt idx="27">
                  <c:v>37376</c:v>
                </c:pt>
                <c:pt idx="28">
                  <c:v>37407</c:v>
                </c:pt>
                <c:pt idx="29">
                  <c:v>37437</c:v>
                </c:pt>
                <c:pt idx="30">
                  <c:v>37468</c:v>
                </c:pt>
                <c:pt idx="31">
                  <c:v>37499</c:v>
                </c:pt>
                <c:pt idx="32">
                  <c:v>37529</c:v>
                </c:pt>
                <c:pt idx="33">
                  <c:v>37560</c:v>
                </c:pt>
                <c:pt idx="34">
                  <c:v>37590</c:v>
                </c:pt>
                <c:pt idx="35">
                  <c:v>37621</c:v>
                </c:pt>
                <c:pt idx="36">
                  <c:v>37652</c:v>
                </c:pt>
                <c:pt idx="37">
                  <c:v>37680</c:v>
                </c:pt>
                <c:pt idx="38">
                  <c:v>37711</c:v>
                </c:pt>
                <c:pt idx="39">
                  <c:v>37741</c:v>
                </c:pt>
                <c:pt idx="40">
                  <c:v>37772</c:v>
                </c:pt>
                <c:pt idx="41">
                  <c:v>37802</c:v>
                </c:pt>
                <c:pt idx="42">
                  <c:v>37833</c:v>
                </c:pt>
                <c:pt idx="43">
                  <c:v>37864</c:v>
                </c:pt>
                <c:pt idx="44">
                  <c:v>37894</c:v>
                </c:pt>
                <c:pt idx="45">
                  <c:v>37925</c:v>
                </c:pt>
                <c:pt idx="46">
                  <c:v>37955</c:v>
                </c:pt>
                <c:pt idx="47">
                  <c:v>37986</c:v>
                </c:pt>
                <c:pt idx="48">
                  <c:v>38017</c:v>
                </c:pt>
                <c:pt idx="49">
                  <c:v>38046</c:v>
                </c:pt>
                <c:pt idx="50">
                  <c:v>38077</c:v>
                </c:pt>
                <c:pt idx="51">
                  <c:v>38107</c:v>
                </c:pt>
                <c:pt idx="52">
                  <c:v>38138</c:v>
                </c:pt>
                <c:pt idx="53">
                  <c:v>38168</c:v>
                </c:pt>
                <c:pt idx="54">
                  <c:v>38199</c:v>
                </c:pt>
                <c:pt idx="55">
                  <c:v>38230</c:v>
                </c:pt>
                <c:pt idx="56">
                  <c:v>38260</c:v>
                </c:pt>
                <c:pt idx="57">
                  <c:v>38291</c:v>
                </c:pt>
                <c:pt idx="58">
                  <c:v>38321</c:v>
                </c:pt>
                <c:pt idx="59">
                  <c:v>38352</c:v>
                </c:pt>
                <c:pt idx="60">
                  <c:v>38383</c:v>
                </c:pt>
                <c:pt idx="61">
                  <c:v>38411</c:v>
                </c:pt>
                <c:pt idx="62">
                  <c:v>38442</c:v>
                </c:pt>
                <c:pt idx="63">
                  <c:v>38472</c:v>
                </c:pt>
                <c:pt idx="64">
                  <c:v>38503</c:v>
                </c:pt>
                <c:pt idx="65">
                  <c:v>38533</c:v>
                </c:pt>
                <c:pt idx="66">
                  <c:v>38564</c:v>
                </c:pt>
                <c:pt idx="67">
                  <c:v>38595</c:v>
                </c:pt>
                <c:pt idx="68">
                  <c:v>38625</c:v>
                </c:pt>
                <c:pt idx="69">
                  <c:v>38656</c:v>
                </c:pt>
                <c:pt idx="70">
                  <c:v>38686</c:v>
                </c:pt>
                <c:pt idx="71">
                  <c:v>38717</c:v>
                </c:pt>
                <c:pt idx="72">
                  <c:v>38748</c:v>
                </c:pt>
                <c:pt idx="73">
                  <c:v>38776</c:v>
                </c:pt>
                <c:pt idx="74">
                  <c:v>38807</c:v>
                </c:pt>
                <c:pt idx="75">
                  <c:v>38837</c:v>
                </c:pt>
                <c:pt idx="76">
                  <c:v>38868</c:v>
                </c:pt>
                <c:pt idx="77">
                  <c:v>38898</c:v>
                </c:pt>
                <c:pt idx="78">
                  <c:v>38929</c:v>
                </c:pt>
                <c:pt idx="79">
                  <c:v>38960</c:v>
                </c:pt>
                <c:pt idx="80">
                  <c:v>38990</c:v>
                </c:pt>
                <c:pt idx="81">
                  <c:v>39021</c:v>
                </c:pt>
                <c:pt idx="82">
                  <c:v>39051</c:v>
                </c:pt>
                <c:pt idx="83">
                  <c:v>39082</c:v>
                </c:pt>
                <c:pt idx="84">
                  <c:v>39113</c:v>
                </c:pt>
                <c:pt idx="85">
                  <c:v>39141</c:v>
                </c:pt>
                <c:pt idx="86">
                  <c:v>39172</c:v>
                </c:pt>
                <c:pt idx="87">
                  <c:v>39202</c:v>
                </c:pt>
                <c:pt idx="88">
                  <c:v>39233</c:v>
                </c:pt>
                <c:pt idx="89">
                  <c:v>39263</c:v>
                </c:pt>
                <c:pt idx="90">
                  <c:v>39294</c:v>
                </c:pt>
                <c:pt idx="91">
                  <c:v>39325</c:v>
                </c:pt>
                <c:pt idx="92">
                  <c:v>39355</c:v>
                </c:pt>
                <c:pt idx="93">
                  <c:v>39386</c:v>
                </c:pt>
                <c:pt idx="94">
                  <c:v>39416</c:v>
                </c:pt>
                <c:pt idx="95">
                  <c:v>39447</c:v>
                </c:pt>
                <c:pt idx="96">
                  <c:v>39478</c:v>
                </c:pt>
                <c:pt idx="97">
                  <c:v>39507</c:v>
                </c:pt>
                <c:pt idx="98">
                  <c:v>39538</c:v>
                </c:pt>
                <c:pt idx="99">
                  <c:v>39568</c:v>
                </c:pt>
                <c:pt idx="100">
                  <c:v>39599</c:v>
                </c:pt>
                <c:pt idx="101">
                  <c:v>39629</c:v>
                </c:pt>
                <c:pt idx="102">
                  <c:v>39660</c:v>
                </c:pt>
                <c:pt idx="103">
                  <c:v>39691</c:v>
                </c:pt>
                <c:pt idx="104">
                  <c:v>39721</c:v>
                </c:pt>
                <c:pt idx="105">
                  <c:v>39752</c:v>
                </c:pt>
                <c:pt idx="106">
                  <c:v>39782</c:v>
                </c:pt>
                <c:pt idx="107">
                  <c:v>39813</c:v>
                </c:pt>
                <c:pt idx="108">
                  <c:v>39844</c:v>
                </c:pt>
                <c:pt idx="109">
                  <c:v>39872</c:v>
                </c:pt>
                <c:pt idx="110">
                  <c:v>39903</c:v>
                </c:pt>
                <c:pt idx="111">
                  <c:v>39933</c:v>
                </c:pt>
                <c:pt idx="112">
                  <c:v>39964</c:v>
                </c:pt>
                <c:pt idx="113">
                  <c:v>39994</c:v>
                </c:pt>
                <c:pt idx="114">
                  <c:v>40025</c:v>
                </c:pt>
                <c:pt idx="115">
                  <c:v>40056</c:v>
                </c:pt>
                <c:pt idx="116">
                  <c:v>40086</c:v>
                </c:pt>
                <c:pt idx="117">
                  <c:v>40117</c:v>
                </c:pt>
                <c:pt idx="118">
                  <c:v>40147</c:v>
                </c:pt>
                <c:pt idx="119">
                  <c:v>40178</c:v>
                </c:pt>
                <c:pt idx="120">
                  <c:v>40209</c:v>
                </c:pt>
                <c:pt idx="121">
                  <c:v>40237</c:v>
                </c:pt>
                <c:pt idx="122">
                  <c:v>40268</c:v>
                </c:pt>
                <c:pt idx="123">
                  <c:v>40298</c:v>
                </c:pt>
                <c:pt idx="124">
                  <c:v>40329</c:v>
                </c:pt>
                <c:pt idx="125">
                  <c:v>40359</c:v>
                </c:pt>
                <c:pt idx="126">
                  <c:v>40390</c:v>
                </c:pt>
                <c:pt idx="127">
                  <c:v>40421</c:v>
                </c:pt>
                <c:pt idx="128">
                  <c:v>40451</c:v>
                </c:pt>
                <c:pt idx="129">
                  <c:v>40482</c:v>
                </c:pt>
                <c:pt idx="130">
                  <c:v>40512</c:v>
                </c:pt>
                <c:pt idx="131">
                  <c:v>40543</c:v>
                </c:pt>
                <c:pt idx="132">
                  <c:v>40574</c:v>
                </c:pt>
                <c:pt idx="133">
                  <c:v>40602</c:v>
                </c:pt>
                <c:pt idx="134">
                  <c:v>40633</c:v>
                </c:pt>
                <c:pt idx="135">
                  <c:v>40663</c:v>
                </c:pt>
                <c:pt idx="136">
                  <c:v>40694</c:v>
                </c:pt>
                <c:pt idx="137">
                  <c:v>40724</c:v>
                </c:pt>
                <c:pt idx="138">
                  <c:v>40755</c:v>
                </c:pt>
                <c:pt idx="139">
                  <c:v>40786</c:v>
                </c:pt>
                <c:pt idx="140">
                  <c:v>40816</c:v>
                </c:pt>
                <c:pt idx="141">
                  <c:v>40847</c:v>
                </c:pt>
                <c:pt idx="142">
                  <c:v>40877</c:v>
                </c:pt>
                <c:pt idx="143">
                  <c:v>40908</c:v>
                </c:pt>
                <c:pt idx="144">
                  <c:v>40939</c:v>
                </c:pt>
                <c:pt idx="145">
                  <c:v>40968</c:v>
                </c:pt>
                <c:pt idx="146">
                  <c:v>40999</c:v>
                </c:pt>
                <c:pt idx="147">
                  <c:v>41029</c:v>
                </c:pt>
                <c:pt idx="148">
                  <c:v>41060</c:v>
                </c:pt>
                <c:pt idx="149">
                  <c:v>41090</c:v>
                </c:pt>
                <c:pt idx="150">
                  <c:v>41121</c:v>
                </c:pt>
                <c:pt idx="151">
                  <c:v>41152</c:v>
                </c:pt>
                <c:pt idx="152">
                  <c:v>41182</c:v>
                </c:pt>
                <c:pt idx="153">
                  <c:v>41213</c:v>
                </c:pt>
                <c:pt idx="154">
                  <c:v>41243</c:v>
                </c:pt>
                <c:pt idx="155">
                  <c:v>41274</c:v>
                </c:pt>
                <c:pt idx="156">
                  <c:v>41305</c:v>
                </c:pt>
                <c:pt idx="157">
                  <c:v>41333</c:v>
                </c:pt>
                <c:pt idx="158">
                  <c:v>41364</c:v>
                </c:pt>
                <c:pt idx="159">
                  <c:v>41394</c:v>
                </c:pt>
                <c:pt idx="160">
                  <c:v>41425</c:v>
                </c:pt>
                <c:pt idx="161">
                  <c:v>41455</c:v>
                </c:pt>
                <c:pt idx="162">
                  <c:v>41486</c:v>
                </c:pt>
                <c:pt idx="163">
                  <c:v>41517</c:v>
                </c:pt>
                <c:pt idx="164">
                  <c:v>41547</c:v>
                </c:pt>
                <c:pt idx="165">
                  <c:v>41578</c:v>
                </c:pt>
                <c:pt idx="166">
                  <c:v>41608</c:v>
                </c:pt>
                <c:pt idx="167">
                  <c:v>41639</c:v>
                </c:pt>
                <c:pt idx="168">
                  <c:v>41670</c:v>
                </c:pt>
                <c:pt idx="169">
                  <c:v>41698</c:v>
                </c:pt>
                <c:pt idx="170">
                  <c:v>41729</c:v>
                </c:pt>
                <c:pt idx="171">
                  <c:v>41759</c:v>
                </c:pt>
                <c:pt idx="172">
                  <c:v>41790</c:v>
                </c:pt>
                <c:pt idx="173">
                  <c:v>41820</c:v>
                </c:pt>
                <c:pt idx="174">
                  <c:v>41851</c:v>
                </c:pt>
                <c:pt idx="175">
                  <c:v>41882</c:v>
                </c:pt>
                <c:pt idx="176">
                  <c:v>41912</c:v>
                </c:pt>
                <c:pt idx="177">
                  <c:v>41943</c:v>
                </c:pt>
                <c:pt idx="178">
                  <c:v>41973</c:v>
                </c:pt>
                <c:pt idx="179">
                  <c:v>42004</c:v>
                </c:pt>
                <c:pt idx="180">
                  <c:v>42035</c:v>
                </c:pt>
                <c:pt idx="181">
                  <c:v>42063</c:v>
                </c:pt>
                <c:pt idx="182">
                  <c:v>42094</c:v>
                </c:pt>
                <c:pt idx="183">
                  <c:v>42124</c:v>
                </c:pt>
                <c:pt idx="184">
                  <c:v>42155</c:v>
                </c:pt>
                <c:pt idx="185">
                  <c:v>42185</c:v>
                </c:pt>
                <c:pt idx="186">
                  <c:v>42216</c:v>
                </c:pt>
                <c:pt idx="187">
                  <c:v>42247</c:v>
                </c:pt>
                <c:pt idx="188">
                  <c:v>42277</c:v>
                </c:pt>
                <c:pt idx="189">
                  <c:v>42308</c:v>
                </c:pt>
                <c:pt idx="190">
                  <c:v>42338</c:v>
                </c:pt>
                <c:pt idx="191">
                  <c:v>42369</c:v>
                </c:pt>
                <c:pt idx="192">
                  <c:v>42400</c:v>
                </c:pt>
                <c:pt idx="193">
                  <c:v>42429</c:v>
                </c:pt>
                <c:pt idx="194">
                  <c:v>42460</c:v>
                </c:pt>
                <c:pt idx="195">
                  <c:v>42490</c:v>
                </c:pt>
                <c:pt idx="196">
                  <c:v>42521</c:v>
                </c:pt>
                <c:pt idx="197">
                  <c:v>42551</c:v>
                </c:pt>
                <c:pt idx="198">
                  <c:v>42582</c:v>
                </c:pt>
                <c:pt idx="199">
                  <c:v>42613</c:v>
                </c:pt>
                <c:pt idx="200">
                  <c:v>42643</c:v>
                </c:pt>
                <c:pt idx="201">
                  <c:v>42674</c:v>
                </c:pt>
                <c:pt idx="202">
                  <c:v>42704</c:v>
                </c:pt>
                <c:pt idx="203">
                  <c:v>42735</c:v>
                </c:pt>
                <c:pt idx="204">
                  <c:v>42766</c:v>
                </c:pt>
                <c:pt idx="205">
                  <c:v>42794</c:v>
                </c:pt>
                <c:pt idx="206">
                  <c:v>42825</c:v>
                </c:pt>
                <c:pt idx="207">
                  <c:v>42855</c:v>
                </c:pt>
                <c:pt idx="208">
                  <c:v>42886</c:v>
                </c:pt>
                <c:pt idx="209">
                  <c:v>42916</c:v>
                </c:pt>
                <c:pt idx="210">
                  <c:v>42947</c:v>
                </c:pt>
                <c:pt idx="211">
                  <c:v>42978</c:v>
                </c:pt>
                <c:pt idx="212">
                  <c:v>43008</c:v>
                </c:pt>
                <c:pt idx="213">
                  <c:v>43039</c:v>
                </c:pt>
                <c:pt idx="214">
                  <c:v>43069</c:v>
                </c:pt>
                <c:pt idx="215">
                  <c:v>43100</c:v>
                </c:pt>
                <c:pt idx="216">
                  <c:v>43131</c:v>
                </c:pt>
                <c:pt idx="217">
                  <c:v>43159</c:v>
                </c:pt>
                <c:pt idx="218">
                  <c:v>43190</c:v>
                </c:pt>
                <c:pt idx="219">
                  <c:v>43220</c:v>
                </c:pt>
                <c:pt idx="220">
                  <c:v>43251</c:v>
                </c:pt>
                <c:pt idx="221">
                  <c:v>43281</c:v>
                </c:pt>
                <c:pt idx="222">
                  <c:v>43312</c:v>
                </c:pt>
                <c:pt idx="223">
                  <c:v>43343</c:v>
                </c:pt>
                <c:pt idx="224">
                  <c:v>43373</c:v>
                </c:pt>
                <c:pt idx="225">
                  <c:v>43404</c:v>
                </c:pt>
                <c:pt idx="226">
                  <c:v>43434</c:v>
                </c:pt>
                <c:pt idx="227">
                  <c:v>43465</c:v>
                </c:pt>
                <c:pt idx="228">
                  <c:v>43496</c:v>
                </c:pt>
                <c:pt idx="229">
                  <c:v>43524</c:v>
                </c:pt>
                <c:pt idx="230">
                  <c:v>43555</c:v>
                </c:pt>
                <c:pt idx="231">
                  <c:v>43585</c:v>
                </c:pt>
                <c:pt idx="232">
                  <c:v>43616</c:v>
                </c:pt>
                <c:pt idx="233">
                  <c:v>43646</c:v>
                </c:pt>
                <c:pt idx="234">
                  <c:v>43677</c:v>
                </c:pt>
                <c:pt idx="235">
                  <c:v>43708</c:v>
                </c:pt>
                <c:pt idx="236">
                  <c:v>43738</c:v>
                </c:pt>
                <c:pt idx="237">
                  <c:v>43769</c:v>
                </c:pt>
                <c:pt idx="238">
                  <c:v>43799</c:v>
                </c:pt>
                <c:pt idx="239">
                  <c:v>43830</c:v>
                </c:pt>
                <c:pt idx="240">
                  <c:v>43861</c:v>
                </c:pt>
                <c:pt idx="241">
                  <c:v>43890</c:v>
                </c:pt>
                <c:pt idx="242">
                  <c:v>43921</c:v>
                </c:pt>
                <c:pt idx="243">
                  <c:v>43951</c:v>
                </c:pt>
                <c:pt idx="244">
                  <c:v>43982</c:v>
                </c:pt>
                <c:pt idx="245">
                  <c:v>44012</c:v>
                </c:pt>
                <c:pt idx="246">
                  <c:v>44043</c:v>
                </c:pt>
                <c:pt idx="247">
                  <c:v>44074</c:v>
                </c:pt>
                <c:pt idx="248">
                  <c:v>44104</c:v>
                </c:pt>
                <c:pt idx="249">
                  <c:v>44135</c:v>
                </c:pt>
                <c:pt idx="250">
                  <c:v>44165</c:v>
                </c:pt>
                <c:pt idx="251">
                  <c:v>44196</c:v>
                </c:pt>
                <c:pt idx="252">
                  <c:v>44227</c:v>
                </c:pt>
                <c:pt idx="253">
                  <c:v>44255</c:v>
                </c:pt>
                <c:pt idx="254">
                  <c:v>44286</c:v>
                </c:pt>
                <c:pt idx="255">
                  <c:v>44316</c:v>
                </c:pt>
                <c:pt idx="256">
                  <c:v>44347</c:v>
                </c:pt>
                <c:pt idx="257">
                  <c:v>44377</c:v>
                </c:pt>
                <c:pt idx="258">
                  <c:v>44408</c:v>
                </c:pt>
                <c:pt idx="259">
                  <c:v>44439</c:v>
                </c:pt>
              </c:numCache>
            </c:numRef>
          </c:cat>
          <c:val>
            <c:numRef>
              <c:f>Sheet1!$N$182:$N$441</c:f>
              <c:numCache>
                <c:formatCode>0.0</c:formatCode>
                <c:ptCount val="260"/>
                <c:pt idx="0">
                  <c:v>89.7</c:v>
                </c:pt>
                <c:pt idx="1">
                  <c:v>91.3</c:v>
                </c:pt>
                <c:pt idx="2">
                  <c:v>89.3</c:v>
                </c:pt>
                <c:pt idx="3">
                  <c:v>88.4</c:v>
                </c:pt>
                <c:pt idx="4">
                  <c:v>92.5</c:v>
                </c:pt>
                <c:pt idx="5">
                  <c:v>88.7</c:v>
                </c:pt>
                <c:pt idx="6">
                  <c:v>84.8</c:v>
                </c:pt>
                <c:pt idx="7">
                  <c:v>88.6</c:v>
                </c:pt>
                <c:pt idx="8">
                  <c:v>94.5</c:v>
                </c:pt>
                <c:pt idx="9">
                  <c:v>92.9</c:v>
                </c:pt>
                <c:pt idx="10">
                  <c:v>94.9</c:v>
                </c:pt>
                <c:pt idx="11">
                  <c:v>94.3</c:v>
                </c:pt>
                <c:pt idx="12">
                  <c:v>95</c:v>
                </c:pt>
                <c:pt idx="13">
                  <c:v>95.6</c:v>
                </c:pt>
                <c:pt idx="14">
                  <c:v>97.7</c:v>
                </c:pt>
                <c:pt idx="15">
                  <c:v>102.8</c:v>
                </c:pt>
                <c:pt idx="16">
                  <c:v>97.7</c:v>
                </c:pt>
                <c:pt idx="17">
                  <c:v>92.4</c:v>
                </c:pt>
                <c:pt idx="18">
                  <c:v>94.7</c:v>
                </c:pt>
                <c:pt idx="19">
                  <c:v>96.1</c:v>
                </c:pt>
                <c:pt idx="20">
                  <c:v>94</c:v>
                </c:pt>
                <c:pt idx="21">
                  <c:v>95.9</c:v>
                </c:pt>
                <c:pt idx="22">
                  <c:v>96.3</c:v>
                </c:pt>
                <c:pt idx="23">
                  <c:v>97.2</c:v>
                </c:pt>
                <c:pt idx="24">
                  <c:v>97.1</c:v>
                </c:pt>
                <c:pt idx="25">
                  <c:v>97.1</c:v>
                </c:pt>
                <c:pt idx="26">
                  <c:v>96.8</c:v>
                </c:pt>
                <c:pt idx="27">
                  <c:v>97.2</c:v>
                </c:pt>
                <c:pt idx="28">
                  <c:v>100.1</c:v>
                </c:pt>
                <c:pt idx="29">
                  <c:v>96.5</c:v>
                </c:pt>
                <c:pt idx="30">
                  <c:v>97.4</c:v>
                </c:pt>
                <c:pt idx="31">
                  <c:v>100</c:v>
                </c:pt>
                <c:pt idx="32">
                  <c:v>100.1</c:v>
                </c:pt>
                <c:pt idx="33">
                  <c:v>101.6</c:v>
                </c:pt>
                <c:pt idx="34">
                  <c:v>102.7</c:v>
                </c:pt>
                <c:pt idx="35">
                  <c:v>102</c:v>
                </c:pt>
                <c:pt idx="36">
                  <c:v>101.5</c:v>
                </c:pt>
                <c:pt idx="37">
                  <c:v>103.7</c:v>
                </c:pt>
                <c:pt idx="38">
                  <c:v>101.7</c:v>
                </c:pt>
                <c:pt idx="39">
                  <c:v>100.7</c:v>
                </c:pt>
                <c:pt idx="40">
                  <c:v>100.4</c:v>
                </c:pt>
                <c:pt idx="41">
                  <c:v>98.9</c:v>
                </c:pt>
                <c:pt idx="42">
                  <c:v>97.6</c:v>
                </c:pt>
                <c:pt idx="43">
                  <c:v>99.1</c:v>
                </c:pt>
                <c:pt idx="44">
                  <c:v>99.3</c:v>
                </c:pt>
                <c:pt idx="45">
                  <c:v>103.5</c:v>
                </c:pt>
                <c:pt idx="46">
                  <c:v>104.5</c:v>
                </c:pt>
                <c:pt idx="47">
                  <c:v>104.2</c:v>
                </c:pt>
                <c:pt idx="48">
                  <c:v>102.5</c:v>
                </c:pt>
                <c:pt idx="49">
                  <c:v>101.8</c:v>
                </c:pt>
                <c:pt idx="50">
                  <c:v>103.6</c:v>
                </c:pt>
                <c:pt idx="51">
                  <c:v>105.4</c:v>
                </c:pt>
                <c:pt idx="52">
                  <c:v>106</c:v>
                </c:pt>
                <c:pt idx="53">
                  <c:v>104.8</c:v>
                </c:pt>
                <c:pt idx="54">
                  <c:v>108.1</c:v>
                </c:pt>
                <c:pt idx="55">
                  <c:v>105.8</c:v>
                </c:pt>
                <c:pt idx="56">
                  <c:v>107.4</c:v>
                </c:pt>
                <c:pt idx="57">
                  <c:v>108.1</c:v>
                </c:pt>
                <c:pt idx="58">
                  <c:v>104.9</c:v>
                </c:pt>
                <c:pt idx="59">
                  <c:v>103</c:v>
                </c:pt>
                <c:pt idx="60">
                  <c:v>102.7</c:v>
                </c:pt>
                <c:pt idx="61">
                  <c:v>102.7</c:v>
                </c:pt>
                <c:pt idx="62">
                  <c:v>104.9</c:v>
                </c:pt>
                <c:pt idx="63">
                  <c:v>103.9</c:v>
                </c:pt>
                <c:pt idx="64">
                  <c:v>104</c:v>
                </c:pt>
                <c:pt idx="65">
                  <c:v>107.3</c:v>
                </c:pt>
                <c:pt idx="66">
                  <c:v>111.5</c:v>
                </c:pt>
                <c:pt idx="67">
                  <c:v>106.9</c:v>
                </c:pt>
                <c:pt idx="68">
                  <c:v>110.8</c:v>
                </c:pt>
                <c:pt idx="69">
                  <c:v>112.4</c:v>
                </c:pt>
                <c:pt idx="70">
                  <c:v>112.5</c:v>
                </c:pt>
                <c:pt idx="71">
                  <c:v>112.3</c:v>
                </c:pt>
                <c:pt idx="72">
                  <c:v>113.6</c:v>
                </c:pt>
                <c:pt idx="73">
                  <c:v>112.5</c:v>
                </c:pt>
                <c:pt idx="74">
                  <c:v>111.8</c:v>
                </c:pt>
                <c:pt idx="75">
                  <c:v>110.6</c:v>
                </c:pt>
                <c:pt idx="76">
                  <c:v>113.2</c:v>
                </c:pt>
                <c:pt idx="77">
                  <c:v>114.7</c:v>
                </c:pt>
                <c:pt idx="78">
                  <c:v>116.6</c:v>
                </c:pt>
                <c:pt idx="79">
                  <c:v>114.1</c:v>
                </c:pt>
                <c:pt idx="80">
                  <c:v>113.4</c:v>
                </c:pt>
                <c:pt idx="81">
                  <c:v>114</c:v>
                </c:pt>
                <c:pt idx="82">
                  <c:v>112</c:v>
                </c:pt>
                <c:pt idx="83">
                  <c:v>111.2</c:v>
                </c:pt>
                <c:pt idx="84">
                  <c:v>111.3</c:v>
                </c:pt>
                <c:pt idx="85">
                  <c:v>114.8</c:v>
                </c:pt>
                <c:pt idx="86">
                  <c:v>114.2</c:v>
                </c:pt>
                <c:pt idx="87">
                  <c:v>115.6</c:v>
                </c:pt>
                <c:pt idx="88">
                  <c:v>114.5</c:v>
                </c:pt>
                <c:pt idx="89">
                  <c:v>115.9</c:v>
                </c:pt>
                <c:pt idx="90">
                  <c:v>116.2</c:v>
                </c:pt>
                <c:pt idx="91">
                  <c:v>117</c:v>
                </c:pt>
                <c:pt idx="92">
                  <c:v>114.4</c:v>
                </c:pt>
                <c:pt idx="93">
                  <c:v>108.7</c:v>
                </c:pt>
                <c:pt idx="94">
                  <c:v>113.6</c:v>
                </c:pt>
                <c:pt idx="95">
                  <c:v>109.4</c:v>
                </c:pt>
                <c:pt idx="96">
                  <c:v>110.3</c:v>
                </c:pt>
                <c:pt idx="97">
                  <c:v>108.2</c:v>
                </c:pt>
                <c:pt idx="98">
                  <c:v>104.8</c:v>
                </c:pt>
                <c:pt idx="99">
                  <c:v>101.8</c:v>
                </c:pt>
                <c:pt idx="100">
                  <c:v>103.6</c:v>
                </c:pt>
                <c:pt idx="101">
                  <c:v>100.7</c:v>
                </c:pt>
                <c:pt idx="102">
                  <c:v>96.7</c:v>
                </c:pt>
                <c:pt idx="103">
                  <c:v>97.7</c:v>
                </c:pt>
                <c:pt idx="104">
                  <c:v>94.2</c:v>
                </c:pt>
                <c:pt idx="105">
                  <c:v>90.7</c:v>
                </c:pt>
                <c:pt idx="106">
                  <c:v>83.6</c:v>
                </c:pt>
                <c:pt idx="107">
                  <c:v>75.3</c:v>
                </c:pt>
                <c:pt idx="108">
                  <c:v>71.5</c:v>
                </c:pt>
                <c:pt idx="109">
                  <c:v>68.400000000000006</c:v>
                </c:pt>
                <c:pt idx="110">
                  <c:v>64.099999999999994</c:v>
                </c:pt>
                <c:pt idx="111">
                  <c:v>62.2</c:v>
                </c:pt>
                <c:pt idx="112">
                  <c:v>66.2</c:v>
                </c:pt>
                <c:pt idx="113">
                  <c:v>68.5</c:v>
                </c:pt>
                <c:pt idx="114">
                  <c:v>67.7</c:v>
                </c:pt>
                <c:pt idx="115">
                  <c:v>70.2</c:v>
                </c:pt>
                <c:pt idx="116">
                  <c:v>69.8</c:v>
                </c:pt>
                <c:pt idx="117">
                  <c:v>72.099999999999994</c:v>
                </c:pt>
                <c:pt idx="118">
                  <c:v>73.7</c:v>
                </c:pt>
                <c:pt idx="119">
                  <c:v>77.8</c:v>
                </c:pt>
                <c:pt idx="120">
                  <c:v>84.8</c:v>
                </c:pt>
                <c:pt idx="121">
                  <c:v>83.7</c:v>
                </c:pt>
                <c:pt idx="122">
                  <c:v>85.7</c:v>
                </c:pt>
                <c:pt idx="123">
                  <c:v>89.5</c:v>
                </c:pt>
                <c:pt idx="124">
                  <c:v>90.9</c:v>
                </c:pt>
                <c:pt idx="125">
                  <c:v>90</c:v>
                </c:pt>
                <c:pt idx="126">
                  <c:v>90.2</c:v>
                </c:pt>
                <c:pt idx="127">
                  <c:v>93.5</c:v>
                </c:pt>
                <c:pt idx="128">
                  <c:v>94.7</c:v>
                </c:pt>
                <c:pt idx="129">
                  <c:v>97.7</c:v>
                </c:pt>
                <c:pt idx="130">
                  <c:v>100.3</c:v>
                </c:pt>
                <c:pt idx="131">
                  <c:v>104</c:v>
                </c:pt>
                <c:pt idx="132">
                  <c:v>102</c:v>
                </c:pt>
                <c:pt idx="133">
                  <c:v>101.5</c:v>
                </c:pt>
                <c:pt idx="134">
                  <c:v>103.5</c:v>
                </c:pt>
                <c:pt idx="135">
                  <c:v>104.9</c:v>
                </c:pt>
                <c:pt idx="136">
                  <c:v>105.5</c:v>
                </c:pt>
                <c:pt idx="137">
                  <c:v>107.8</c:v>
                </c:pt>
                <c:pt idx="138">
                  <c:v>108</c:v>
                </c:pt>
                <c:pt idx="139">
                  <c:v>103.6</c:v>
                </c:pt>
                <c:pt idx="140">
                  <c:v>97</c:v>
                </c:pt>
                <c:pt idx="141">
                  <c:v>94.4</c:v>
                </c:pt>
                <c:pt idx="142">
                  <c:v>94.9</c:v>
                </c:pt>
                <c:pt idx="143">
                  <c:v>97.4</c:v>
                </c:pt>
                <c:pt idx="144">
                  <c:v>95.4</c:v>
                </c:pt>
                <c:pt idx="145">
                  <c:v>96.3</c:v>
                </c:pt>
                <c:pt idx="146">
                  <c:v>95.2</c:v>
                </c:pt>
                <c:pt idx="147">
                  <c:v>95.2</c:v>
                </c:pt>
                <c:pt idx="148">
                  <c:v>95.3</c:v>
                </c:pt>
                <c:pt idx="149">
                  <c:v>94.9</c:v>
                </c:pt>
                <c:pt idx="150">
                  <c:v>95.4</c:v>
                </c:pt>
                <c:pt idx="151">
                  <c:v>92.2</c:v>
                </c:pt>
                <c:pt idx="152">
                  <c:v>94.3</c:v>
                </c:pt>
                <c:pt idx="153">
                  <c:v>94.3</c:v>
                </c:pt>
                <c:pt idx="154">
                  <c:v>94.2</c:v>
                </c:pt>
                <c:pt idx="155">
                  <c:v>96.9</c:v>
                </c:pt>
                <c:pt idx="156">
                  <c:v>98.3</c:v>
                </c:pt>
                <c:pt idx="157">
                  <c:v>99.2</c:v>
                </c:pt>
                <c:pt idx="158">
                  <c:v>100.2</c:v>
                </c:pt>
                <c:pt idx="159">
                  <c:v>100.1</c:v>
                </c:pt>
                <c:pt idx="160">
                  <c:v>98.3</c:v>
                </c:pt>
                <c:pt idx="161">
                  <c:v>101.4</c:v>
                </c:pt>
                <c:pt idx="162">
                  <c:v>98.7</c:v>
                </c:pt>
                <c:pt idx="163">
                  <c:v>103.4</c:v>
                </c:pt>
                <c:pt idx="164">
                  <c:v>101.3</c:v>
                </c:pt>
                <c:pt idx="165">
                  <c:v>98.1</c:v>
                </c:pt>
                <c:pt idx="166">
                  <c:v>97.4</c:v>
                </c:pt>
                <c:pt idx="167">
                  <c:v>98.8</c:v>
                </c:pt>
                <c:pt idx="168">
                  <c:v>101</c:v>
                </c:pt>
                <c:pt idx="169">
                  <c:v>101.1</c:v>
                </c:pt>
                <c:pt idx="170">
                  <c:v>101.7</c:v>
                </c:pt>
                <c:pt idx="171">
                  <c:v>100.7</c:v>
                </c:pt>
                <c:pt idx="172">
                  <c:v>99.1</c:v>
                </c:pt>
                <c:pt idx="173">
                  <c:v>97.8</c:v>
                </c:pt>
                <c:pt idx="174">
                  <c:v>95.5</c:v>
                </c:pt>
                <c:pt idx="175">
                  <c:v>96.6</c:v>
                </c:pt>
                <c:pt idx="176">
                  <c:v>94.8</c:v>
                </c:pt>
                <c:pt idx="177">
                  <c:v>100.5</c:v>
                </c:pt>
                <c:pt idx="178">
                  <c:v>101.2</c:v>
                </c:pt>
                <c:pt idx="179">
                  <c:v>97.5</c:v>
                </c:pt>
                <c:pt idx="180">
                  <c:v>95.9</c:v>
                </c:pt>
                <c:pt idx="181">
                  <c:v>97.4</c:v>
                </c:pt>
                <c:pt idx="182">
                  <c:v>100.1</c:v>
                </c:pt>
                <c:pt idx="183">
                  <c:v>100.6</c:v>
                </c:pt>
                <c:pt idx="184">
                  <c:v>97.2</c:v>
                </c:pt>
                <c:pt idx="185">
                  <c:v>96.6</c:v>
                </c:pt>
                <c:pt idx="186">
                  <c:v>97.6</c:v>
                </c:pt>
                <c:pt idx="187">
                  <c:v>97.2</c:v>
                </c:pt>
                <c:pt idx="188">
                  <c:v>99.8</c:v>
                </c:pt>
                <c:pt idx="189">
                  <c:v>101</c:v>
                </c:pt>
                <c:pt idx="190">
                  <c:v>101.9</c:v>
                </c:pt>
                <c:pt idx="191">
                  <c:v>100.3</c:v>
                </c:pt>
                <c:pt idx="192">
                  <c:v>101</c:v>
                </c:pt>
                <c:pt idx="193">
                  <c:v>100</c:v>
                </c:pt>
                <c:pt idx="194">
                  <c:v>100.5</c:v>
                </c:pt>
                <c:pt idx="195">
                  <c:v>98.8</c:v>
                </c:pt>
                <c:pt idx="196">
                  <c:v>99</c:v>
                </c:pt>
                <c:pt idx="197">
                  <c:v>98.2</c:v>
                </c:pt>
                <c:pt idx="198">
                  <c:v>98.6</c:v>
                </c:pt>
                <c:pt idx="199">
                  <c:v>101</c:v>
                </c:pt>
                <c:pt idx="200">
                  <c:v>102.6</c:v>
                </c:pt>
                <c:pt idx="201">
                  <c:v>102</c:v>
                </c:pt>
                <c:pt idx="202">
                  <c:v>105.1</c:v>
                </c:pt>
                <c:pt idx="203">
                  <c:v>107.5</c:v>
                </c:pt>
                <c:pt idx="204">
                  <c:v>104.9</c:v>
                </c:pt>
                <c:pt idx="205">
                  <c:v>103.5</c:v>
                </c:pt>
                <c:pt idx="206">
                  <c:v>102.3</c:v>
                </c:pt>
                <c:pt idx="207">
                  <c:v>102.3</c:v>
                </c:pt>
                <c:pt idx="208">
                  <c:v>101.9</c:v>
                </c:pt>
                <c:pt idx="209">
                  <c:v>103.4</c:v>
                </c:pt>
                <c:pt idx="210">
                  <c:v>106.5</c:v>
                </c:pt>
                <c:pt idx="211">
                  <c:v>106.6</c:v>
                </c:pt>
                <c:pt idx="212">
                  <c:v>107.1</c:v>
                </c:pt>
                <c:pt idx="213">
                  <c:v>106.2</c:v>
                </c:pt>
                <c:pt idx="214">
                  <c:v>105.7</c:v>
                </c:pt>
                <c:pt idx="215">
                  <c:v>107.4</c:v>
                </c:pt>
                <c:pt idx="216">
                  <c:v>106.5</c:v>
                </c:pt>
                <c:pt idx="217">
                  <c:v>107.3</c:v>
                </c:pt>
                <c:pt idx="218">
                  <c:v>106.4</c:v>
                </c:pt>
                <c:pt idx="219">
                  <c:v>109.1</c:v>
                </c:pt>
                <c:pt idx="220">
                  <c:v>109.2</c:v>
                </c:pt>
                <c:pt idx="221">
                  <c:v>110.5</c:v>
                </c:pt>
                <c:pt idx="222">
                  <c:v>111.4</c:v>
                </c:pt>
                <c:pt idx="223">
                  <c:v>110.2</c:v>
                </c:pt>
                <c:pt idx="224">
                  <c:v>110</c:v>
                </c:pt>
                <c:pt idx="225">
                  <c:v>110</c:v>
                </c:pt>
                <c:pt idx="226">
                  <c:v>109.4</c:v>
                </c:pt>
                <c:pt idx="227">
                  <c:v>110.6</c:v>
                </c:pt>
                <c:pt idx="228">
                  <c:v>109.6</c:v>
                </c:pt>
                <c:pt idx="229">
                  <c:v>108.6</c:v>
                </c:pt>
                <c:pt idx="230">
                  <c:v>107.9</c:v>
                </c:pt>
                <c:pt idx="231">
                  <c:v>108.7</c:v>
                </c:pt>
                <c:pt idx="232">
                  <c:v>108.8</c:v>
                </c:pt>
                <c:pt idx="233">
                  <c:v>107.4</c:v>
                </c:pt>
                <c:pt idx="234">
                  <c:v>107</c:v>
                </c:pt>
                <c:pt idx="235">
                  <c:v>109.2</c:v>
                </c:pt>
                <c:pt idx="236">
                  <c:v>108.9</c:v>
                </c:pt>
                <c:pt idx="237">
                  <c:v>108.5</c:v>
                </c:pt>
                <c:pt idx="238">
                  <c:v>108.2</c:v>
                </c:pt>
                <c:pt idx="239">
                  <c:v>107.7</c:v>
                </c:pt>
                <c:pt idx="240">
                  <c:v>108.9</c:v>
                </c:pt>
                <c:pt idx="241">
                  <c:v>110.4</c:v>
                </c:pt>
                <c:pt idx="242">
                  <c:v>103.3</c:v>
                </c:pt>
                <c:pt idx="243">
                  <c:v>82.3</c:v>
                </c:pt>
                <c:pt idx="244">
                  <c:v>86.3</c:v>
                </c:pt>
                <c:pt idx="245">
                  <c:v>90.2</c:v>
                </c:pt>
                <c:pt idx="246">
                  <c:v>92.8</c:v>
                </c:pt>
                <c:pt idx="247">
                  <c:v>94.8</c:v>
                </c:pt>
                <c:pt idx="248">
                  <c:v>97.5</c:v>
                </c:pt>
                <c:pt idx="249">
                  <c:v>99.8</c:v>
                </c:pt>
                <c:pt idx="250">
                  <c:v>96</c:v>
                </c:pt>
                <c:pt idx="251">
                  <c:v>96.2</c:v>
                </c:pt>
                <c:pt idx="252">
                  <c:v>99.1</c:v>
                </c:pt>
                <c:pt idx="253">
                  <c:v>101.9</c:v>
                </c:pt>
                <c:pt idx="254">
                  <c:v>103.4</c:v>
                </c:pt>
                <c:pt idx="255">
                  <c:v>108.2</c:v>
                </c:pt>
                <c:pt idx="256">
                  <c:v>111.6</c:v>
                </c:pt>
                <c:pt idx="257">
                  <c:v>110.1</c:v>
                </c:pt>
                <c:pt idx="258">
                  <c:v>108.1</c:v>
                </c:pt>
                <c:pt idx="259">
                  <c:v>108.1</c:v>
                </c:pt>
              </c:numCache>
            </c:numRef>
          </c:val>
          <c:smooth val="0"/>
          <c:extLst>
            <c:ext xmlns:c16="http://schemas.microsoft.com/office/drawing/2014/chart" uri="{C3380CC4-5D6E-409C-BE32-E72D297353CC}">
              <c16:uniqueId val="{00000003-3B81-462F-B53B-045BC77D8C01}"/>
            </c:ext>
          </c:extLst>
        </c:ser>
        <c:dLbls>
          <c:showLegendKey val="0"/>
          <c:showVal val="0"/>
          <c:showCatName val="0"/>
          <c:showSerName val="0"/>
          <c:showPercent val="0"/>
          <c:showBubbleSize val="0"/>
        </c:dLbls>
        <c:smooth val="0"/>
        <c:axId val="531194568"/>
        <c:axId val="531194896"/>
      </c:lineChart>
      <c:catAx>
        <c:axId val="531194568"/>
        <c:scaling>
          <c:orientation val="minMax"/>
        </c:scaling>
        <c:delete val="0"/>
        <c:axPos val="b"/>
        <c:majorGridlines>
          <c:spPr>
            <a:ln w="9525" cap="flat" cmpd="sng" algn="ctr">
              <a:solidFill>
                <a:schemeClr val="tx1">
                  <a:lumMod val="15000"/>
                  <a:lumOff val="85000"/>
                </a:schemeClr>
              </a:solidFill>
              <a:round/>
            </a:ln>
            <a:effectLst/>
          </c:spPr>
        </c:majorGridlines>
        <c:numFmt formatCode="mmm\-yy" sourceLinked="1"/>
        <c:majorTickMark val="none"/>
        <c:minorTickMark val="none"/>
        <c:tickLblPos val="low"/>
        <c:spPr>
          <a:noFill/>
          <a:ln w="9525" cap="flat" cmpd="sng" algn="ctr">
            <a:solidFill>
              <a:sysClr val="windowText" lastClr="000000"/>
            </a:solidFill>
            <a:round/>
          </a:ln>
          <a:effectLst/>
        </c:spPr>
        <c:txPr>
          <a:bodyPr rot="-5400000" spcFirstLastPara="1" vertOverflow="ellipsis" wrap="square" anchor="ctr" anchorCtr="1"/>
          <a:lstStyle/>
          <a:p>
            <a:pPr>
              <a:defRPr sz="900" b="0" i="0" u="none" strike="noStrike" kern="1200" baseline="0">
                <a:solidFill>
                  <a:sysClr val="windowText" lastClr="000000"/>
                </a:solidFill>
                <a:latin typeface="Times New Roman" panose="02020603050405020304" pitchFamily="18" charset="0"/>
                <a:ea typeface="Verdana" panose="020B0604030504040204" pitchFamily="34" charset="0"/>
                <a:cs typeface="Times New Roman" panose="02020603050405020304" pitchFamily="18" charset="0"/>
              </a:defRPr>
            </a:pPr>
            <a:endParaRPr lang="lv-LV"/>
          </a:p>
        </c:txPr>
        <c:crossAx val="531194896"/>
        <c:crossesAt val="100"/>
        <c:auto val="0"/>
        <c:lblAlgn val="ctr"/>
        <c:lblOffset val="100"/>
        <c:tickLblSkip val="12"/>
        <c:tickMarkSkip val="12"/>
        <c:noMultiLvlLbl val="1"/>
      </c:catAx>
      <c:valAx>
        <c:axId val="531194896"/>
        <c:scaling>
          <c:orientation val="minMax"/>
          <c:max val="120"/>
          <c:min val="60"/>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Verdana" panose="020B0604030504040204" pitchFamily="34" charset="0"/>
                <a:cs typeface="Times New Roman" panose="02020603050405020304" pitchFamily="18" charset="0"/>
              </a:defRPr>
            </a:pPr>
            <a:endParaRPr lang="lv-LV"/>
          </a:p>
        </c:txPr>
        <c:crossAx val="531194568"/>
        <c:crossesAt val="1"/>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Verdana" panose="020B0604030504040204" pitchFamily="34" charset="0"/>
              <a:cs typeface="Times New Roman" panose="02020603050405020304" pitchFamily="18" charset="0"/>
            </a:defRPr>
          </a:pPr>
          <a:endParaRPr lang="lv-LV"/>
        </a:p>
      </c:txPr>
    </c:legend>
    <c:plotVisOnly val="1"/>
    <c:dispBlanksAs val="gap"/>
    <c:showDLblsOverMax val="0"/>
  </c:chart>
  <c:spPr>
    <a:solidFill>
      <a:schemeClr val="bg1"/>
    </a:solidFill>
    <a:ln w="9525" cap="flat" cmpd="sng" algn="ctr">
      <a:noFill/>
      <a:round/>
    </a:ln>
    <a:effectLst/>
  </c:spPr>
  <c:txPr>
    <a:bodyPr/>
    <a:lstStyle/>
    <a:p>
      <a:pPr>
        <a:defRPr sz="900" b="1">
          <a:solidFill>
            <a:sysClr val="windowText" lastClr="000000"/>
          </a:solidFill>
          <a:latin typeface="Times New Roman" panose="02020603050405020304" pitchFamily="18" charset="0"/>
          <a:ea typeface="Verdana" panose="020B0604030504040204" pitchFamily="34" charset="0"/>
          <a:cs typeface="Times New Roman" panose="02020603050405020304" pitchFamily="18" charset="0"/>
        </a:defRPr>
      </a:pPr>
      <a:endParaRPr lang="lv-LV"/>
    </a:p>
  </c:txPr>
  <c:externalData r:id="rId4">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6.2641934954684342E-2"/>
          <c:y val="2.0943756557542541E-2"/>
          <c:w val="0.88152115819150556"/>
          <c:h val="0.84402763021583205"/>
        </c:manualLayout>
      </c:layout>
      <c:barChart>
        <c:barDir val="col"/>
        <c:grouping val="clustered"/>
        <c:varyColors val="0"/>
        <c:ser>
          <c:idx val="0"/>
          <c:order val="0"/>
          <c:tx>
            <c:strRef>
              <c:f>Rūpniecība!$J$1</c:f>
              <c:strCache>
                <c:ptCount val="1"/>
                <c:pt idx="0">
                  <c:v>Rūpniecības produkcijas apjoma indekss, sez. izl. (2015=100)</c:v>
                </c:pt>
              </c:strCache>
            </c:strRef>
          </c:tx>
          <c:spPr>
            <a:pattFill prst="dkUpDiag">
              <a:fgClr>
                <a:srgbClr val="00B050"/>
              </a:fgClr>
              <a:bgClr>
                <a:sysClr val="window" lastClr="FFFFFF"/>
              </a:bgClr>
            </a:pattFill>
            <a:ln>
              <a:solidFill>
                <a:srgbClr val="00B050"/>
              </a:solidFill>
            </a:ln>
            <a:effectLst/>
          </c:spPr>
          <c:invertIfNegative val="0"/>
          <c:cat>
            <c:multiLvlStrRef>
              <c:f>Rūpniecība!$A$134:$B$176</c:f>
              <c:multiLvlStrCache>
                <c:ptCount val="43"/>
                <c:lvl>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pt idx="19">
                    <c:v>VIII</c:v>
                  </c:pt>
                  <c:pt idx="20">
                    <c:v>IX</c:v>
                  </c:pt>
                  <c:pt idx="21">
                    <c:v>X</c:v>
                  </c:pt>
                  <c:pt idx="22">
                    <c:v>XI</c:v>
                  </c:pt>
                  <c:pt idx="23">
                    <c:v>XII</c:v>
                  </c:pt>
                  <c:pt idx="24">
                    <c:v>I</c:v>
                  </c:pt>
                  <c:pt idx="25">
                    <c:v>II</c:v>
                  </c:pt>
                  <c:pt idx="26">
                    <c:v>III</c:v>
                  </c:pt>
                  <c:pt idx="27">
                    <c:v>IV</c:v>
                  </c:pt>
                  <c:pt idx="28">
                    <c:v>V</c:v>
                  </c:pt>
                  <c:pt idx="29">
                    <c:v>VI</c:v>
                  </c:pt>
                  <c:pt idx="30">
                    <c:v>VII</c:v>
                  </c:pt>
                  <c:pt idx="31">
                    <c:v>VIII</c:v>
                  </c:pt>
                  <c:pt idx="32">
                    <c:v>IX</c:v>
                  </c:pt>
                  <c:pt idx="33">
                    <c:v>X</c:v>
                  </c:pt>
                  <c:pt idx="34">
                    <c:v>XI</c:v>
                  </c:pt>
                  <c:pt idx="35">
                    <c:v>XII</c:v>
                  </c:pt>
                  <c:pt idx="36">
                    <c:v>I</c:v>
                  </c:pt>
                  <c:pt idx="37">
                    <c:v>II</c:v>
                  </c:pt>
                  <c:pt idx="38">
                    <c:v>III</c:v>
                  </c:pt>
                  <c:pt idx="39">
                    <c:v>IV</c:v>
                  </c:pt>
                  <c:pt idx="40">
                    <c:v>V</c:v>
                  </c:pt>
                  <c:pt idx="41">
                    <c:v>VI</c:v>
                  </c:pt>
                  <c:pt idx="42">
                    <c:v>VII</c:v>
                  </c:pt>
                </c:lvl>
                <c:lvl>
                  <c:pt idx="0">
                    <c:v>2018</c:v>
                  </c:pt>
                  <c:pt idx="12">
                    <c:v>2019</c:v>
                  </c:pt>
                  <c:pt idx="24">
                    <c:v>2020</c:v>
                  </c:pt>
                  <c:pt idx="36">
                    <c:v>2021</c:v>
                  </c:pt>
                </c:lvl>
              </c:multiLvlStrCache>
            </c:multiLvlStrRef>
          </c:cat>
          <c:val>
            <c:numRef>
              <c:f>Rūpniecība!$J$134:$J$176</c:f>
              <c:numCache>
                <c:formatCode>General</c:formatCode>
                <c:ptCount val="43"/>
                <c:pt idx="0">
                  <c:v>116.48</c:v>
                </c:pt>
                <c:pt idx="1">
                  <c:v>119.9</c:v>
                </c:pt>
                <c:pt idx="2">
                  <c:v>115.17</c:v>
                </c:pt>
                <c:pt idx="3">
                  <c:v>115.91</c:v>
                </c:pt>
                <c:pt idx="4">
                  <c:v>114.49</c:v>
                </c:pt>
                <c:pt idx="5">
                  <c:v>113.41</c:v>
                </c:pt>
                <c:pt idx="6">
                  <c:v>117.1</c:v>
                </c:pt>
                <c:pt idx="7">
                  <c:v>118.31</c:v>
                </c:pt>
                <c:pt idx="8">
                  <c:v>113.6</c:v>
                </c:pt>
                <c:pt idx="9">
                  <c:v>114.34</c:v>
                </c:pt>
                <c:pt idx="10">
                  <c:v>115.66</c:v>
                </c:pt>
                <c:pt idx="11">
                  <c:v>119.25</c:v>
                </c:pt>
                <c:pt idx="12">
                  <c:v>117.06</c:v>
                </c:pt>
                <c:pt idx="13">
                  <c:v>116.37</c:v>
                </c:pt>
                <c:pt idx="14">
                  <c:v>118.03</c:v>
                </c:pt>
                <c:pt idx="15">
                  <c:v>114.07</c:v>
                </c:pt>
                <c:pt idx="16">
                  <c:v>116.89</c:v>
                </c:pt>
                <c:pt idx="17">
                  <c:v>116.77</c:v>
                </c:pt>
                <c:pt idx="18">
                  <c:v>114.98</c:v>
                </c:pt>
                <c:pt idx="19">
                  <c:v>119.19</c:v>
                </c:pt>
                <c:pt idx="20">
                  <c:v>120.38</c:v>
                </c:pt>
                <c:pt idx="21">
                  <c:v>117.95</c:v>
                </c:pt>
                <c:pt idx="22">
                  <c:v>115.87</c:v>
                </c:pt>
                <c:pt idx="23">
                  <c:v>115.39</c:v>
                </c:pt>
                <c:pt idx="24">
                  <c:v>114.24</c:v>
                </c:pt>
                <c:pt idx="25">
                  <c:v>116.93</c:v>
                </c:pt>
                <c:pt idx="26">
                  <c:v>115.09</c:v>
                </c:pt>
                <c:pt idx="27">
                  <c:v>103.58</c:v>
                </c:pt>
                <c:pt idx="28">
                  <c:v>109.74</c:v>
                </c:pt>
                <c:pt idx="29">
                  <c:v>114.91</c:v>
                </c:pt>
                <c:pt idx="30">
                  <c:v>114.91</c:v>
                </c:pt>
                <c:pt idx="31">
                  <c:v>115.39</c:v>
                </c:pt>
                <c:pt idx="32">
                  <c:v>116.69</c:v>
                </c:pt>
                <c:pt idx="33">
                  <c:v>117.17</c:v>
                </c:pt>
                <c:pt idx="34">
                  <c:v>119.34</c:v>
                </c:pt>
                <c:pt idx="35">
                  <c:v>120.57</c:v>
                </c:pt>
                <c:pt idx="36">
                  <c:v>118.88</c:v>
                </c:pt>
                <c:pt idx="37">
                  <c:v>120.42</c:v>
                </c:pt>
                <c:pt idx="38">
                  <c:v>121.04</c:v>
                </c:pt>
                <c:pt idx="39">
                  <c:v>124.33</c:v>
                </c:pt>
                <c:pt idx="40">
                  <c:v>121.69</c:v>
                </c:pt>
                <c:pt idx="41">
                  <c:v>123.28</c:v>
                </c:pt>
                <c:pt idx="42">
                  <c:v>124.28</c:v>
                </c:pt>
              </c:numCache>
            </c:numRef>
          </c:val>
          <c:extLst>
            <c:ext xmlns:c16="http://schemas.microsoft.com/office/drawing/2014/chart" uri="{C3380CC4-5D6E-409C-BE32-E72D297353CC}">
              <c16:uniqueId val="{00000000-5C2E-4C07-A1CF-5B7A1CB0FF2B}"/>
            </c:ext>
          </c:extLst>
        </c:ser>
        <c:dLbls>
          <c:showLegendKey val="0"/>
          <c:showVal val="0"/>
          <c:showCatName val="0"/>
          <c:showSerName val="0"/>
          <c:showPercent val="0"/>
          <c:showBubbleSize val="0"/>
        </c:dLbls>
        <c:gapWidth val="50"/>
        <c:axId val="343594496"/>
        <c:axId val="343594888"/>
      </c:barChart>
      <c:catAx>
        <c:axId val="343594496"/>
        <c:scaling>
          <c:orientation val="minMax"/>
        </c:scaling>
        <c:delete val="0"/>
        <c:axPos val="b"/>
        <c:numFmt formatCode="General" sourceLinked="0"/>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v-LV"/>
          </a:p>
        </c:txPr>
        <c:crossAx val="343594888"/>
        <c:crosses val="autoZero"/>
        <c:auto val="1"/>
        <c:lblAlgn val="ctr"/>
        <c:lblOffset val="100"/>
        <c:noMultiLvlLbl val="0"/>
      </c:catAx>
      <c:valAx>
        <c:axId val="343594888"/>
        <c:scaling>
          <c:orientation val="minMax"/>
          <c:max val="128"/>
          <c:min val="100"/>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v-LV"/>
          </a:p>
        </c:txPr>
        <c:crossAx val="343594496"/>
        <c:crosses val="autoZero"/>
        <c:crossBetween val="between"/>
        <c:majorUnit val="5"/>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1000">
          <a:latin typeface="Times New Roman" panose="02020603050405020304" pitchFamily="18" charset="0"/>
          <a:cs typeface="Times New Roman" panose="02020603050405020304" pitchFamily="18" charset="0"/>
        </a:defRPr>
      </a:pPr>
      <a:endParaRPr lang="lv-LV"/>
    </a:p>
  </c:txPr>
  <c:externalData r:id="rId4">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pieChart>
        <c:varyColors val="1"/>
        <c:ser>
          <c:idx val="0"/>
          <c:order val="0"/>
          <c:dPt>
            <c:idx val="0"/>
            <c:bubble3D val="0"/>
            <c:spPr>
              <a:pattFill prst="pct30">
                <a:fgClr>
                  <a:schemeClr val="accent1">
                    <a:lumMod val="75000"/>
                  </a:schemeClr>
                </a:fgClr>
                <a:bgClr>
                  <a:schemeClr val="bg1"/>
                </a:bgClr>
              </a:pattFill>
              <a:ln w="19050">
                <a:solidFill>
                  <a:schemeClr val="lt1"/>
                </a:solidFill>
              </a:ln>
              <a:effectLst/>
            </c:spPr>
            <c:extLst>
              <c:ext xmlns:c16="http://schemas.microsoft.com/office/drawing/2014/chart" uri="{C3380CC4-5D6E-409C-BE32-E72D297353CC}">
                <c16:uniqueId val="{00000001-2E1A-4003-9ED1-600C03F44F7E}"/>
              </c:ext>
            </c:extLst>
          </c:dPt>
          <c:dPt>
            <c:idx val="1"/>
            <c:bubble3D val="0"/>
            <c:spPr>
              <a:solidFill>
                <a:schemeClr val="accent2">
                  <a:lumMod val="60000"/>
                  <a:lumOff val="40000"/>
                </a:schemeClr>
              </a:solidFill>
              <a:ln w="19050">
                <a:solidFill>
                  <a:schemeClr val="lt1"/>
                </a:solidFill>
              </a:ln>
              <a:effectLst/>
            </c:spPr>
            <c:extLst>
              <c:ext xmlns:c16="http://schemas.microsoft.com/office/drawing/2014/chart" uri="{C3380CC4-5D6E-409C-BE32-E72D297353CC}">
                <c16:uniqueId val="{00000003-2E1A-4003-9ED1-600C03F44F7E}"/>
              </c:ext>
            </c:extLst>
          </c:dPt>
          <c:dPt>
            <c:idx val="2"/>
            <c:bubble3D val="0"/>
            <c:spPr>
              <a:pattFill prst="pct25">
                <a:fgClr>
                  <a:srgbClr val="00B050"/>
                </a:fgClr>
                <a:bgClr>
                  <a:schemeClr val="bg1"/>
                </a:bgClr>
              </a:pattFill>
              <a:ln w="19050">
                <a:solidFill>
                  <a:schemeClr val="lt1"/>
                </a:solidFill>
              </a:ln>
              <a:effectLst/>
            </c:spPr>
            <c:extLst>
              <c:ext xmlns:c16="http://schemas.microsoft.com/office/drawing/2014/chart" uri="{C3380CC4-5D6E-409C-BE32-E72D297353CC}">
                <c16:uniqueId val="{00000005-2E1A-4003-9ED1-600C03F44F7E}"/>
              </c:ext>
            </c:extLst>
          </c:dPt>
          <c:dPt>
            <c:idx val="3"/>
            <c:bubble3D val="0"/>
            <c:spPr>
              <a:solidFill>
                <a:schemeClr val="tx1">
                  <a:lumMod val="50000"/>
                  <a:lumOff val="50000"/>
                </a:schemeClr>
              </a:solidFill>
              <a:ln w="19050">
                <a:solidFill>
                  <a:schemeClr val="lt1"/>
                </a:solidFill>
              </a:ln>
              <a:effectLst/>
            </c:spPr>
            <c:extLst>
              <c:ext xmlns:c16="http://schemas.microsoft.com/office/drawing/2014/chart" uri="{C3380CC4-5D6E-409C-BE32-E72D297353CC}">
                <c16:uniqueId val="{00000007-2E1A-4003-9ED1-600C03F44F7E}"/>
              </c:ext>
            </c:extLst>
          </c:dPt>
          <c:dPt>
            <c:idx val="4"/>
            <c:bubble3D val="0"/>
            <c:spPr>
              <a:solidFill>
                <a:srgbClr val="92D050"/>
              </a:solidFill>
              <a:ln w="19050">
                <a:solidFill>
                  <a:schemeClr val="lt1"/>
                </a:solidFill>
              </a:ln>
              <a:effectLst/>
            </c:spPr>
            <c:extLst>
              <c:ext xmlns:c16="http://schemas.microsoft.com/office/drawing/2014/chart" uri="{C3380CC4-5D6E-409C-BE32-E72D297353CC}">
                <c16:uniqueId val="{00000009-2E1A-4003-9ED1-600C03F44F7E}"/>
              </c:ext>
            </c:extLst>
          </c:dPt>
          <c:dPt>
            <c:idx val="5"/>
            <c:bubble3D val="0"/>
            <c:spPr>
              <a:pattFill prst="pct25">
                <a:fgClr>
                  <a:schemeClr val="accent1">
                    <a:lumMod val="75000"/>
                  </a:schemeClr>
                </a:fgClr>
                <a:bgClr>
                  <a:schemeClr val="bg1"/>
                </a:bgClr>
              </a:pattFill>
              <a:ln w="19050">
                <a:solidFill>
                  <a:schemeClr val="lt1"/>
                </a:solidFill>
              </a:ln>
              <a:effectLst/>
            </c:spPr>
            <c:extLst>
              <c:ext xmlns:c16="http://schemas.microsoft.com/office/drawing/2014/chart" uri="{C3380CC4-5D6E-409C-BE32-E72D297353CC}">
                <c16:uniqueId val="{0000000B-2E1A-4003-9ED1-600C03F44F7E}"/>
              </c:ext>
            </c:extLst>
          </c:dPt>
          <c:dPt>
            <c:idx val="6"/>
            <c:bubble3D val="0"/>
            <c:spPr>
              <a:solidFill>
                <a:schemeClr val="accent1">
                  <a:lumMod val="60000"/>
                </a:schemeClr>
              </a:solidFill>
              <a:ln w="19050">
                <a:solidFill>
                  <a:schemeClr val="lt1"/>
                </a:solidFill>
              </a:ln>
              <a:effectLst/>
            </c:spPr>
            <c:extLst>
              <c:ext xmlns:c16="http://schemas.microsoft.com/office/drawing/2014/chart" uri="{C3380CC4-5D6E-409C-BE32-E72D297353CC}">
                <c16:uniqueId val="{0000000D-2E1A-4003-9ED1-600C03F44F7E}"/>
              </c:ext>
            </c:extLst>
          </c:dPt>
          <c:dPt>
            <c:idx val="7"/>
            <c:bubble3D val="0"/>
            <c:spPr>
              <a:solidFill>
                <a:schemeClr val="accent2">
                  <a:lumMod val="60000"/>
                </a:schemeClr>
              </a:solidFill>
              <a:ln w="19050">
                <a:solidFill>
                  <a:schemeClr val="lt1"/>
                </a:solidFill>
              </a:ln>
              <a:effectLst/>
            </c:spPr>
            <c:extLst>
              <c:ext xmlns:c16="http://schemas.microsoft.com/office/drawing/2014/chart" uri="{C3380CC4-5D6E-409C-BE32-E72D297353CC}">
                <c16:uniqueId val="{0000000F-2E1A-4003-9ED1-600C03F44F7E}"/>
              </c:ext>
            </c:extLst>
          </c:dPt>
          <c:dPt>
            <c:idx val="8"/>
            <c:bubble3D val="0"/>
            <c:spPr>
              <a:solidFill>
                <a:schemeClr val="accent3">
                  <a:lumMod val="60000"/>
                </a:schemeClr>
              </a:solidFill>
              <a:ln w="19050">
                <a:solidFill>
                  <a:schemeClr val="lt1"/>
                </a:solidFill>
              </a:ln>
              <a:effectLst/>
            </c:spPr>
            <c:extLst>
              <c:ext xmlns:c16="http://schemas.microsoft.com/office/drawing/2014/chart" uri="{C3380CC4-5D6E-409C-BE32-E72D297353CC}">
                <c16:uniqueId val="{00000011-2E1A-4003-9ED1-600C03F44F7E}"/>
              </c:ext>
            </c:extLst>
          </c:dPt>
          <c:dPt>
            <c:idx val="9"/>
            <c:bubble3D val="0"/>
            <c:spPr>
              <a:pattFill prst="pct30">
                <a:fgClr>
                  <a:schemeClr val="accent4">
                    <a:lumMod val="75000"/>
                  </a:schemeClr>
                </a:fgClr>
                <a:bgClr>
                  <a:schemeClr val="bg1"/>
                </a:bgClr>
              </a:pattFill>
              <a:ln w="19050">
                <a:solidFill>
                  <a:schemeClr val="lt1"/>
                </a:solidFill>
              </a:ln>
              <a:effectLst/>
            </c:spPr>
            <c:extLst>
              <c:ext xmlns:c16="http://schemas.microsoft.com/office/drawing/2014/chart" uri="{C3380CC4-5D6E-409C-BE32-E72D297353CC}">
                <c16:uniqueId val="{00000013-2E1A-4003-9ED1-600C03F44F7E}"/>
              </c:ext>
            </c:extLst>
          </c:dPt>
          <c:dPt>
            <c:idx val="10"/>
            <c:bubble3D val="0"/>
            <c:spPr>
              <a:solidFill>
                <a:schemeClr val="accent5">
                  <a:lumMod val="60000"/>
                </a:schemeClr>
              </a:solidFill>
              <a:ln w="19050">
                <a:solidFill>
                  <a:schemeClr val="lt1"/>
                </a:solidFill>
              </a:ln>
              <a:effectLst/>
            </c:spPr>
            <c:extLst>
              <c:ext xmlns:c16="http://schemas.microsoft.com/office/drawing/2014/chart" uri="{C3380CC4-5D6E-409C-BE32-E72D297353CC}">
                <c16:uniqueId val="{00000015-2E1A-4003-9ED1-600C03F44F7E}"/>
              </c:ext>
            </c:extLst>
          </c:dPt>
          <c:dLbls>
            <c:dLbl>
              <c:idx val="0"/>
              <c:layout>
                <c:manualLayout>
                  <c:x val="-6.0517489859222118E-2"/>
                  <c:y val="8.251421697287839E-2"/>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1-2E1A-4003-9ED1-600C03F44F7E}"/>
                </c:ext>
              </c:extLst>
            </c:dLbl>
            <c:dLbl>
              <c:idx val="2"/>
              <c:layout>
                <c:manualLayout>
                  <c:x val="3.9172512526844125E-3"/>
                  <c:y val="-1.3844779819189268E-2"/>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5-2E1A-4003-9ED1-600C03F44F7E}"/>
                </c:ext>
              </c:extLst>
            </c:dLbl>
            <c:dLbl>
              <c:idx val="3"/>
              <c:layout>
                <c:manualLayout>
                  <c:x val="4.7246385110951951E-2"/>
                  <c:y val="-0.11284193642461358"/>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7-2E1A-4003-9ED1-600C03F44F7E}"/>
                </c:ext>
              </c:extLst>
            </c:dLbl>
            <c:dLbl>
              <c:idx val="4"/>
              <c:layout>
                <c:manualLayout>
                  <c:x val="0.11339823431162013"/>
                  <c:y val="-4.7969889180519101E-2"/>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9-2E1A-4003-9ED1-600C03F44F7E}"/>
                </c:ext>
              </c:extLst>
            </c:dLbl>
            <c:dLbl>
              <c:idx val="5"/>
              <c:layout>
                <c:manualLayout>
                  <c:x val="7.2727272727272727E-3"/>
                  <c:y val="-3.2981554389034705E-3"/>
                </c:manualLayout>
              </c:layout>
              <c:dLblPos val="bestFit"/>
              <c:showLegendKey val="0"/>
              <c:showVal val="0"/>
              <c:showCatName val="1"/>
              <c:showSerName val="0"/>
              <c:showPercent val="1"/>
              <c:showBubbleSize val="0"/>
              <c:extLst>
                <c:ext xmlns:c15="http://schemas.microsoft.com/office/drawing/2012/chart" uri="{CE6537A1-D6FC-4f65-9D91-7224C49458BB}">
                  <c15:layout>
                    <c:manualLayout>
                      <c:w val="0.17454545454545456"/>
                      <c:h val="0.18171296296296294"/>
                    </c:manualLayout>
                  </c15:layout>
                </c:ext>
                <c:ext xmlns:c16="http://schemas.microsoft.com/office/drawing/2014/chart" uri="{C3380CC4-5D6E-409C-BE32-E72D297353CC}">
                  <c16:uniqueId val="{0000000B-2E1A-4003-9ED1-600C03F44F7E}"/>
                </c:ext>
              </c:extLst>
            </c:dLbl>
            <c:dLbl>
              <c:idx val="6"/>
              <c:layout>
                <c:manualLayout>
                  <c:x val="-8.3151574803149608E-2"/>
                  <c:y val="1.6141732283464567E-2"/>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D-2E1A-4003-9ED1-600C03F44F7E}"/>
                </c:ext>
              </c:extLst>
            </c:dLbl>
            <c:dLbl>
              <c:idx val="8"/>
              <c:layout>
                <c:manualLayout>
                  <c:x val="-2.3180816034359342E-2"/>
                  <c:y val="-1.4750291630212889E-2"/>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11-2E1A-4003-9ED1-600C03F44F7E}"/>
                </c:ext>
              </c:extLst>
            </c:dLbl>
            <c:dLbl>
              <c:idx val="10"/>
              <c:layout>
                <c:manualLayout>
                  <c:x val="-6.2557862085421143E-3"/>
                  <c:y val="-3.5360163312919218E-2"/>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15-2E1A-4003-9ED1-600C03F44F7E}"/>
                </c:ext>
              </c:extLst>
            </c:dLbl>
            <c:numFmt formatCode="0.0%" sourceLinked="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v-LV"/>
              </a:p>
            </c:txPr>
            <c:dLblPos val="bestFit"/>
            <c:showLegendKey val="0"/>
            <c:showVal val="0"/>
            <c:showCatName val="1"/>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'izlaide &amp; apgr. fakt. cenas'!$AI$60:$AI$70</c:f>
              <c:strCache>
                <c:ptCount val="11"/>
                <c:pt idx="0">
                  <c:v>Pārtika un dzērieni</c:v>
                </c:pt>
                <c:pt idx="1">
                  <c:v>Vieglā rūpniecība</c:v>
                </c:pt>
                <c:pt idx="2">
                  <c:v>Kokapstrāde</c:v>
                </c:pt>
                <c:pt idx="3">
                  <c:v>Papīra izstrādājumi un poligrāfija</c:v>
                </c:pt>
                <c:pt idx="4">
                  <c:v>Ķīmiskās vielas un produkti</c:v>
                </c:pt>
                <c:pt idx="5">
                  <c:v>Nemetālisko minerālu ražošana</c:v>
                </c:pt>
                <c:pt idx="6">
                  <c:v>Datoru, elektron. un opt.iek. ražošana</c:v>
                </c:pt>
                <c:pt idx="7">
                  <c:v>Metālapstrāde</c:v>
                </c:pt>
                <c:pt idx="8">
                  <c:v>Mašīnbūve</c:v>
                </c:pt>
                <c:pt idx="9">
                  <c:v>Mēbeļu ražošana</c:v>
                </c:pt>
                <c:pt idx="10">
                  <c:v>Pārējās apakšnozares</c:v>
                </c:pt>
              </c:strCache>
            </c:strRef>
          </c:cat>
          <c:val>
            <c:numRef>
              <c:f>'izlaide &amp; apgr. fakt. cenas'!$AP$60:$AP$70</c:f>
              <c:numCache>
                <c:formatCode>0.0</c:formatCode>
                <c:ptCount val="11"/>
                <c:pt idx="0">
                  <c:v>21.474744938784124</c:v>
                </c:pt>
                <c:pt idx="1">
                  <c:v>3.1323516205079196</c:v>
                </c:pt>
                <c:pt idx="2">
                  <c:v>26.521172725521449</c:v>
                </c:pt>
                <c:pt idx="3">
                  <c:v>3.8966788490574666</c:v>
                </c:pt>
                <c:pt idx="4">
                  <c:v>3.8239472076392822</c:v>
                </c:pt>
                <c:pt idx="5">
                  <c:v>5.7822856577274448</c:v>
                </c:pt>
                <c:pt idx="7">
                  <c:v>9.5867388576306212</c:v>
                </c:pt>
                <c:pt idx="8">
                  <c:v>9.3584552712356821</c:v>
                </c:pt>
                <c:pt idx="9">
                  <c:v>2.5871988231990022</c:v>
                </c:pt>
                <c:pt idx="10">
                  <c:v>13.836426048697009</c:v>
                </c:pt>
              </c:numCache>
            </c:numRef>
          </c:val>
          <c:extLst>
            <c:ext xmlns:c16="http://schemas.microsoft.com/office/drawing/2014/chart" uri="{C3380CC4-5D6E-409C-BE32-E72D297353CC}">
              <c16:uniqueId val="{00000016-2E1A-4003-9ED1-600C03F44F7E}"/>
            </c:ext>
          </c:extLst>
        </c:ser>
        <c:dLbls>
          <c:dLblPos val="bestFit"/>
          <c:showLegendKey val="0"/>
          <c:showVal val="1"/>
          <c:showCatName val="0"/>
          <c:showSerName val="0"/>
          <c:showPercent val="0"/>
          <c:showBubbleSize val="0"/>
          <c:showLeaderLines val="1"/>
        </c:dLbls>
        <c:firstSliceAng val="300"/>
      </c:pieChart>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900">
          <a:latin typeface="Times New Roman" panose="02020603050405020304" pitchFamily="18" charset="0"/>
          <a:cs typeface="Times New Roman" panose="02020603050405020304" pitchFamily="18" charset="0"/>
        </a:defRPr>
      </a:pPr>
      <a:endParaRPr lang="lv-LV"/>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32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4.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5.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6.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7.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8.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0.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1.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2.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3.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4.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6.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7.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9.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1.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2.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32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6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rawings/drawing1.xml><?xml version="1.0" encoding="utf-8"?>
<c:userShapes xmlns:c="http://schemas.openxmlformats.org/drawingml/2006/chart">
  <cdr:relSizeAnchor xmlns:cdr="http://schemas.openxmlformats.org/drawingml/2006/chartDrawing">
    <cdr:from>
      <cdr:x>0.02868</cdr:x>
      <cdr:y>0.06466</cdr:y>
    </cdr:from>
    <cdr:to>
      <cdr:x>0.27907</cdr:x>
      <cdr:y>0.18103</cdr:y>
    </cdr:to>
    <cdr:sp macro="" textlink="">
      <cdr:nvSpPr>
        <cdr:cNvPr id="2" name="Text Box 7"/>
        <cdr:cNvSpPr txBox="1"/>
      </cdr:nvSpPr>
      <cdr:spPr>
        <a:xfrm xmlns:a="http://schemas.openxmlformats.org/drawingml/2006/main">
          <a:off x="70487" y="142877"/>
          <a:ext cx="615319" cy="257163"/>
        </a:xfrm>
        <a:prstGeom xmlns:a="http://schemas.openxmlformats.org/drawingml/2006/main" prst="rect">
          <a:avLst/>
        </a:prstGeom>
        <a:solidFill xmlns:a="http://schemas.openxmlformats.org/drawingml/2006/main">
          <a:schemeClr val="lt1"/>
        </a:solidFill>
        <a:ln xmlns:a="http://schemas.openxmlformats.org/drawingml/2006/main" w="6350">
          <a:noFill/>
        </a:ln>
      </cdr:spPr>
      <cdr:txBody>
        <a:bodyPr xmlns:a="http://schemas.openxmlformats.org/drawingml/2006/main" rot="0" spcFirstLastPara="0" vert="horz" wrap="square" lIns="91440" tIns="45720" rIns="91440" bIns="45720" numCol="1" spcCol="0" rtlCol="0" fromWordArt="0" anchor="t" anchorCtr="0" forceAA="0" compatLnSpc="1">
          <a:prstTxWarp prst="textNoShape">
            <a:avLst/>
          </a:prstTxWarp>
          <a:noAutofit/>
        </a:bodyPr>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nSpc>
              <a:spcPct val="107000"/>
            </a:lnSpc>
            <a:spcAft>
              <a:spcPts val="800"/>
            </a:spcAft>
          </a:pPr>
          <a:r>
            <a:rPr lang="lv-LV" sz="1100" b="1">
              <a:effectLst/>
              <a:latin typeface="Times New Roman" panose="02020603050405020304" pitchFamily="18" charset="0"/>
              <a:ea typeface="Calibri" panose="020F0502020204030204" pitchFamily="34" charset="0"/>
            </a:rPr>
            <a:t>2019.g.</a:t>
          </a:r>
          <a:endParaRPr lang="lv-LV" sz="1200">
            <a:effectLst/>
            <a:latin typeface="Times New Roman" panose="02020603050405020304" pitchFamily="18" charset="0"/>
            <a:ea typeface="Calibri" panose="020F0502020204030204" pitchFamily="34" charset="0"/>
          </a:endParaRPr>
        </a:p>
      </cdr:txBody>
    </cdr:sp>
  </cdr:relSizeAnchor>
</c:userShapes>
</file>

<file path=word/drawings/drawing2.xml><?xml version="1.0" encoding="utf-8"?>
<c:userShapes xmlns:c="http://schemas.openxmlformats.org/drawingml/2006/chart">
  <cdr:relSizeAnchor xmlns:cdr="http://schemas.openxmlformats.org/drawingml/2006/chartDrawing">
    <cdr:from>
      <cdr:x>0.02868</cdr:x>
      <cdr:y>0.06466</cdr:y>
    </cdr:from>
    <cdr:to>
      <cdr:x>0.27907</cdr:x>
      <cdr:y>0.18103</cdr:y>
    </cdr:to>
    <cdr:sp macro="" textlink="">
      <cdr:nvSpPr>
        <cdr:cNvPr id="2" name="Text Box 7"/>
        <cdr:cNvSpPr txBox="1"/>
      </cdr:nvSpPr>
      <cdr:spPr>
        <a:xfrm xmlns:a="http://schemas.openxmlformats.org/drawingml/2006/main">
          <a:off x="70487" y="142877"/>
          <a:ext cx="615319" cy="257163"/>
        </a:xfrm>
        <a:prstGeom xmlns:a="http://schemas.openxmlformats.org/drawingml/2006/main" prst="rect">
          <a:avLst/>
        </a:prstGeom>
        <a:solidFill xmlns:a="http://schemas.openxmlformats.org/drawingml/2006/main">
          <a:schemeClr val="lt1"/>
        </a:solidFill>
        <a:ln xmlns:a="http://schemas.openxmlformats.org/drawingml/2006/main" w="6350">
          <a:noFill/>
        </a:ln>
      </cdr:spPr>
      <cdr:txBody>
        <a:bodyPr xmlns:a="http://schemas.openxmlformats.org/drawingml/2006/main" rot="0" spcFirstLastPara="0" vert="horz" wrap="square" lIns="91440" tIns="45720" rIns="91440" bIns="45720" numCol="1" spcCol="0" rtlCol="0" fromWordArt="0" anchor="t" anchorCtr="0" forceAA="0" compatLnSpc="1">
          <a:prstTxWarp prst="textNoShape">
            <a:avLst/>
          </a:prstTxWarp>
          <a:noAutofit/>
        </a:bodyPr>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nSpc>
              <a:spcPct val="107000"/>
            </a:lnSpc>
            <a:spcAft>
              <a:spcPts val="800"/>
            </a:spcAft>
          </a:pPr>
          <a:r>
            <a:rPr lang="lv-LV" sz="1100" b="1">
              <a:effectLst/>
              <a:latin typeface="Times New Roman" panose="02020603050405020304" pitchFamily="18" charset="0"/>
              <a:ea typeface="Calibri" panose="020F0502020204030204" pitchFamily="34" charset="0"/>
            </a:rPr>
            <a:t>2020.g.</a:t>
          </a:r>
          <a:endParaRPr lang="lv-LV" sz="1200">
            <a:effectLst/>
            <a:latin typeface="Times New Roman" panose="02020603050405020304" pitchFamily="18" charset="0"/>
            <a:ea typeface="Calibri" panose="020F0502020204030204" pitchFamily="34" charset="0"/>
          </a:endParaRPr>
        </a:p>
      </cdr:txBody>
    </cdr:sp>
  </cdr:relSizeAnchor>
</c:userShapes>
</file>

<file path=word/drawings/drawing3.xml><?xml version="1.0" encoding="utf-8"?>
<c:userShapes xmlns:c="http://schemas.openxmlformats.org/drawingml/2006/chart">
  <cdr:relSizeAnchor xmlns:cdr="http://schemas.openxmlformats.org/drawingml/2006/chartDrawing">
    <cdr:from>
      <cdr:x>0.54339</cdr:x>
      <cdr:y>0.2267</cdr:y>
    </cdr:from>
    <cdr:to>
      <cdr:x>1</cdr:x>
      <cdr:y>0.30515</cdr:y>
    </cdr:to>
    <cdr:sp macro="" textlink="">
      <cdr:nvSpPr>
        <cdr:cNvPr id="2" name="TextBox 1"/>
        <cdr:cNvSpPr txBox="1"/>
      </cdr:nvSpPr>
      <cdr:spPr>
        <a:xfrm xmlns:a="http://schemas.openxmlformats.org/drawingml/2006/main">
          <a:off x="2866008" y="675292"/>
          <a:ext cx="2408302" cy="233686"/>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lv-LV" sz="900" b="1">
              <a:latin typeface="Times New Roman" panose="02020603050405020304" pitchFamily="18" charset="0"/>
              <a:cs typeface="Times New Roman" panose="02020603050405020304" pitchFamily="18" charset="0"/>
            </a:rPr>
            <a:t>Vidēji ES28</a:t>
          </a:r>
          <a:r>
            <a:rPr lang="lv-LV" sz="900" b="1" baseline="0">
              <a:latin typeface="Times New Roman" panose="02020603050405020304" pitchFamily="18" charset="0"/>
              <a:cs typeface="Times New Roman" panose="02020603050405020304" pitchFamily="18" charset="0"/>
            </a:rPr>
            <a:t> </a:t>
          </a:r>
          <a:r>
            <a:rPr lang="lv-LV" sz="900" b="1">
              <a:latin typeface="Times New Roman" panose="02020603050405020304" pitchFamily="18" charset="0"/>
              <a:cs typeface="Times New Roman" panose="02020603050405020304" pitchFamily="18" charset="0"/>
            </a:rPr>
            <a:t>- 100</a:t>
          </a:r>
        </a:p>
      </cdr:txBody>
    </cdr:sp>
  </cdr:relSizeAnchor>
</c:userShape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0.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8.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9.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Angles">
    <a:majorFont>
      <a:latin typeface="Franklin Gothic Medium"/>
      <a:ea typeface=""/>
      <a:cs typeface=""/>
      <a:font script="Jpan" typeface="HG創英角ｺﾞｼｯｸUB"/>
      <a:font script="Hang" typeface="돋움"/>
      <a:font script="Hans" typeface="微软雅黑"/>
      <a:font script="Hant" typeface="微軟正黑體"/>
      <a:font script="Arab" typeface="Tahoma"/>
      <a:font script="Hebr" typeface="Aharoni"/>
      <a:font script="Thai" typeface="Lily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Franklin Gothic Book"/>
      <a:ea typeface=""/>
      <a:cs typeface=""/>
      <a:font script="Jpan" typeface="ＭＳ Ｐゴシック"/>
      <a:font script="Hang" typeface="맑은 고딕"/>
      <a:font script="Hans" typeface="隶书"/>
      <a:font script="Hant" typeface="新細明體"/>
      <a:font script="Arab" typeface="Arial"/>
      <a:font script="Hebr" typeface="Arial"/>
      <a:font script="Thai" typeface="Cordi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0.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Titullapa_kontaktinformacija">
    <a:majorFont>
      <a:latin typeface="Times New Roman"/>
      <a:ea typeface=""/>
      <a:cs typeface=""/>
    </a:majorFont>
    <a:minorFont>
      <a:latin typeface="Times New Roman"/>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8.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9.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AB4C06B-332C-4FD0-B2C6-EB53E0C3842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dokuments_Ministru_kabinetam.dot</Template>
  <TotalTime>619</TotalTime>
  <Pages>50</Pages>
  <Words>17136</Words>
  <Characters>112568</Characters>
  <Application>Microsoft Office Word</Application>
  <DocSecurity>0</DocSecurity>
  <Lines>938</Lines>
  <Paragraphs>258</Paragraphs>
  <ScaleCrop>false</ScaleCrop>
  <HeadingPairs>
    <vt:vector size="2" baseType="variant">
      <vt:variant>
        <vt:lpstr>Title</vt:lpstr>
      </vt:variant>
      <vt:variant>
        <vt:i4>1</vt:i4>
      </vt:variant>
    </vt:vector>
  </HeadingPairs>
  <TitlesOfParts>
    <vt:vector size="1" baseType="lpstr">
      <vt:lpstr>Likumprojekta "Par valsts budžetu 2022. gadam" paskaidrojumi, 1.nodaļa Makroekonomiskās attīstības apraksts</vt:lpstr>
    </vt:vector>
  </TitlesOfParts>
  <Company>Finanšu ministrija</Company>
  <LinksUpToDate>false</LinksUpToDate>
  <CharactersWithSpaces>129446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Likumprojekta "Par valsts budžetu 2022. gadam" paskaidrojumi, 1.nodaļa Makroekonomiskās attīstības apraksts</dc:title>
  <dc:subject>paskaidrojuma raksts</dc:subject>
  <dc:creator>klinta.stafecka@fm.gov.lv</dc:creator>
  <dc:description>67095438,
klinta.stafecka@fm.gov.lv</dc:description>
  <cp:lastModifiedBy>Dace Godiņa</cp:lastModifiedBy>
  <cp:revision>72</cp:revision>
  <cp:lastPrinted>2020-10-12T11:05:00Z</cp:lastPrinted>
  <dcterms:created xsi:type="dcterms:W3CDTF">2019-05-07T11:40:00Z</dcterms:created>
  <dcterms:modified xsi:type="dcterms:W3CDTF">2021-10-11T07:32:00Z</dcterms:modified>
</cp:coreProperties>
</file>