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5BA28" w14:textId="01459BEF" w:rsidR="00902B54" w:rsidRDefault="004A0CB3" w:rsidP="00917021">
      <w:pPr>
        <w:pStyle w:val="Heading1"/>
        <w:spacing w:before="0"/>
        <w:ind w:firstLine="0"/>
        <w:jc w:val="center"/>
        <w:rPr>
          <w:rFonts w:ascii="Times New Roman" w:hAnsi="Times New Roman" w:cs="Times New Roman"/>
          <w:b/>
          <w:color w:val="auto"/>
          <w:sz w:val="44"/>
          <w:szCs w:val="44"/>
        </w:rPr>
      </w:pPr>
      <w:r w:rsidRPr="006E6D01">
        <w:rPr>
          <w:rFonts w:ascii="Times New Roman" w:hAnsi="Times New Roman" w:cs="Times New Roman"/>
          <w:b/>
          <w:color w:val="auto"/>
          <w:sz w:val="44"/>
          <w:szCs w:val="44"/>
        </w:rPr>
        <w:t xml:space="preserve">6. </w:t>
      </w:r>
      <w:r w:rsidR="00902B54" w:rsidRPr="006E6D01">
        <w:rPr>
          <w:rFonts w:ascii="Times New Roman" w:hAnsi="Times New Roman" w:cs="Times New Roman"/>
          <w:b/>
          <w:color w:val="auto"/>
          <w:sz w:val="44"/>
          <w:szCs w:val="44"/>
        </w:rPr>
        <w:t>Valsts finansiālo saistību kopsavilkums</w:t>
      </w:r>
    </w:p>
    <w:p w14:paraId="354F9724" w14:textId="5349ADD0" w:rsidR="007C6302" w:rsidRPr="007C6302" w:rsidRDefault="004A0CB3" w:rsidP="00917021">
      <w:pPr>
        <w:pStyle w:val="Heading2"/>
        <w:spacing w:before="240" w:after="240"/>
        <w:ind w:firstLine="0"/>
        <w:jc w:val="center"/>
        <w:rPr>
          <w:rFonts w:ascii="Times New Roman" w:hAnsi="Times New Roman" w:cs="Times New Roman"/>
          <w:b/>
          <w:color w:val="auto"/>
          <w:sz w:val="36"/>
          <w:szCs w:val="36"/>
        </w:rPr>
      </w:pPr>
      <w:r w:rsidRPr="006E6D01">
        <w:rPr>
          <w:rFonts w:ascii="Times New Roman" w:hAnsi="Times New Roman" w:cs="Times New Roman"/>
          <w:b/>
          <w:color w:val="auto"/>
          <w:sz w:val="36"/>
          <w:szCs w:val="36"/>
        </w:rPr>
        <w:t xml:space="preserve">6.1. </w:t>
      </w:r>
      <w:r w:rsidR="00902B54" w:rsidRPr="006E6D01">
        <w:rPr>
          <w:rFonts w:ascii="Times New Roman" w:hAnsi="Times New Roman" w:cs="Times New Roman"/>
          <w:b/>
          <w:color w:val="auto"/>
          <w:sz w:val="36"/>
          <w:szCs w:val="36"/>
        </w:rPr>
        <w:t>Valsts parāda vadības pamatprincipi un mērķi</w:t>
      </w:r>
    </w:p>
    <w:p w14:paraId="2233EB6B" w14:textId="7149F01C" w:rsidR="007C6302" w:rsidRPr="001439E0" w:rsidRDefault="007C6302" w:rsidP="00F7483B">
      <w:pPr>
        <w:pStyle w:val="CommentText"/>
        <w:rPr>
          <w:sz w:val="24"/>
          <w:szCs w:val="24"/>
        </w:rPr>
      </w:pPr>
      <w:r w:rsidRPr="001439E0">
        <w:rPr>
          <w:sz w:val="24"/>
          <w:szCs w:val="24"/>
        </w:rPr>
        <w:t>Valst</w:t>
      </w:r>
      <w:r>
        <w:rPr>
          <w:sz w:val="24"/>
          <w:szCs w:val="24"/>
        </w:rPr>
        <w:t>s parādu pēc nacionālās metodoloģijas veido valsts struktūru</w:t>
      </w:r>
      <w:r>
        <w:rPr>
          <w:rStyle w:val="FootnoteReference"/>
          <w:sz w:val="24"/>
          <w:szCs w:val="24"/>
        </w:rPr>
        <w:footnoteReference w:id="1"/>
      </w:r>
      <w:r w:rsidRPr="001439E0">
        <w:rPr>
          <w:sz w:val="24"/>
          <w:szCs w:val="24"/>
        </w:rPr>
        <w:t xml:space="preserve"> saņemtais un neatmaksātais bruto parāds šādās finanšu instrumentu kategorijās: parāda vērtspapīri un aizņēmumi (izņemot atvasinātos finanšu instrumentus), noguldījumi, </w:t>
      </w:r>
      <w:r>
        <w:rPr>
          <w:sz w:val="24"/>
          <w:szCs w:val="24"/>
        </w:rPr>
        <w:t xml:space="preserve">t. sk. </w:t>
      </w:r>
      <w:proofErr w:type="spellStart"/>
      <w:r w:rsidRPr="001439E0">
        <w:rPr>
          <w:sz w:val="24"/>
          <w:szCs w:val="24"/>
        </w:rPr>
        <w:t>krājobligācijas</w:t>
      </w:r>
      <w:proofErr w:type="spellEnd"/>
      <w:r w:rsidRPr="001439E0">
        <w:rPr>
          <w:sz w:val="24"/>
          <w:szCs w:val="24"/>
        </w:rPr>
        <w:t>, kā arī klientu</w:t>
      </w:r>
      <w:r>
        <w:rPr>
          <w:rStyle w:val="FootnoteReference"/>
          <w:sz w:val="24"/>
          <w:szCs w:val="24"/>
        </w:rPr>
        <w:footnoteReference w:id="2"/>
      </w:r>
      <w:r w:rsidRPr="001439E0">
        <w:rPr>
          <w:sz w:val="24"/>
          <w:szCs w:val="24"/>
        </w:rPr>
        <w:t xml:space="preserve">  Valsts kasē izvietotie depozīti un kontu atlikumi.</w:t>
      </w:r>
    </w:p>
    <w:p w14:paraId="3CDB29CF" w14:textId="6EA3E8E8" w:rsidR="007C6302" w:rsidRPr="009231EC" w:rsidRDefault="007C6302" w:rsidP="007C6302">
      <w:pPr>
        <w:pStyle w:val="BodyTextIndent"/>
        <w:ind w:left="0"/>
        <w:rPr>
          <w:color w:val="000000"/>
          <w:szCs w:val="28"/>
        </w:rPr>
      </w:pPr>
      <w:r w:rsidRPr="001439E0">
        <w:rPr>
          <w:color w:val="000000"/>
          <w:szCs w:val="28"/>
        </w:rPr>
        <w:t xml:space="preserve">Likums </w:t>
      </w:r>
      <w:r>
        <w:rPr>
          <w:color w:val="000000"/>
          <w:szCs w:val="28"/>
        </w:rPr>
        <w:t>“</w:t>
      </w:r>
      <w:r w:rsidRPr="001439E0">
        <w:rPr>
          <w:color w:val="000000"/>
          <w:szCs w:val="28"/>
        </w:rPr>
        <w:t xml:space="preserve">Par budžetu un finanšu vadību” pilnvaro finanšu ministru valsts vārdā ņemt aizņēmumus gadskārtējā valsts budžeta likumā atļautajos apmēros tikai valsts budžeta finansiālā deficīta finansēšanai, valsts parāda pārfinansēšanai un mērķiem, kas noteikti gadskārtējā valsts budžeta likumā. </w:t>
      </w:r>
      <w:r>
        <w:t xml:space="preserve">Saskaņā ar “Covid-19 infekcijas izplatības seku pārvarēšanas likumu”, lai nodrošinātu finansējumu pasākumiem saistībā ar Covid-19 izplatību noteiktās ārkārtējās situācijas ietekmes mazināšanai un novēršanai un ar tiem saistītajiem izdevumiem, finanšu ministrs ir tiesīgs valsts vārdā ņemt aizņēmumus nepieciešamajā apmērā, izraudzīties aizņēmumu instrumentus un nosacījumus, kā arī ir tiesīgs palielināt gadskārtējā valsts budžeta likumā noteikto valsts parāda maksimāli pieļaujamo apjomu saimnieciskā gada beigās un valsts parāda vadības izdevumu un saistību izpildei noteikto apropriāciju. </w:t>
      </w:r>
      <w:r w:rsidRPr="009231EC">
        <w:rPr>
          <w:color w:val="000000"/>
          <w:szCs w:val="28"/>
        </w:rPr>
        <w:t>Procentu izdevumi par veiktajiem aizņēmumiem un citi ar valsts parāda apkalpošanu un vadību saistītie maksājumi tiek paredzēti valsts budžeta apakšprogrammā 31.02.00 “Valsts parāda vadība”, kuru administrē Valsts kase.</w:t>
      </w:r>
    </w:p>
    <w:p w14:paraId="3EDFBE0B" w14:textId="0E33CA6B" w:rsidR="007C6302" w:rsidRDefault="007C6302" w:rsidP="00F7483B">
      <w:pPr>
        <w:pStyle w:val="BodyTextIndent"/>
        <w:ind w:left="0"/>
        <w:rPr>
          <w:color w:val="000000"/>
          <w:szCs w:val="28"/>
        </w:rPr>
      </w:pPr>
      <w:r w:rsidRPr="009231EC">
        <w:rPr>
          <w:color w:val="000000"/>
          <w:szCs w:val="28"/>
        </w:rPr>
        <w:t xml:space="preserve">Valsts parāda un naudas līdzekļu vadības pamatprincipus un uzdevumus vidējam termiņam nosaka finanšu ministra apstiprinātā stratēģija, kuras mērķis un sastāvdaļas atspoguļotas </w:t>
      </w:r>
      <w:r w:rsidR="0038659C">
        <w:rPr>
          <w:color w:val="000000"/>
          <w:szCs w:val="28"/>
        </w:rPr>
        <w:t>6.</w:t>
      </w:r>
      <w:r w:rsidRPr="009231EC">
        <w:rPr>
          <w:color w:val="000000"/>
          <w:szCs w:val="28"/>
        </w:rPr>
        <w:t>1. attēlā.</w:t>
      </w:r>
    </w:p>
    <w:p w14:paraId="288A8FA7" w14:textId="5B965D85" w:rsidR="007C6302" w:rsidRPr="007657C4" w:rsidRDefault="007C6302" w:rsidP="007C6302">
      <w:pPr>
        <w:pStyle w:val="BodyTextIndent"/>
        <w:spacing w:before="120"/>
        <w:ind w:left="0" w:firstLine="0"/>
        <w:jc w:val="center"/>
        <w:rPr>
          <w:b/>
          <w:i/>
          <w:color w:val="000000"/>
          <w:szCs w:val="28"/>
        </w:rPr>
      </w:pPr>
      <w:r>
        <w:rPr>
          <w:noProof/>
          <w:lang w:eastAsia="lv-LV"/>
        </w:rPr>
        <w:drawing>
          <wp:anchor distT="0" distB="0" distL="114300" distR="114300" simplePos="0" relativeHeight="251658240" behindDoc="0" locked="0" layoutInCell="1" allowOverlap="1" wp14:anchorId="60E01357" wp14:editId="1BF14A7B">
            <wp:simplePos x="0" y="0"/>
            <wp:positionH relativeFrom="column">
              <wp:posOffset>96658</wp:posOffset>
            </wp:positionH>
            <wp:positionV relativeFrom="paragraph">
              <wp:posOffset>253365</wp:posOffset>
            </wp:positionV>
            <wp:extent cx="5462353" cy="3333000"/>
            <wp:effectExtent l="0" t="0" r="5080" b="1270"/>
            <wp:wrapNone/>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rotWithShape="1">
                    <a:blip r:embed="rId8">
                      <a:extLst>
                        <a:ext uri="{28A0092B-C50C-407E-A947-70E740481C1C}">
                          <a14:useLocalDpi xmlns:a14="http://schemas.microsoft.com/office/drawing/2010/main" val="0"/>
                        </a:ext>
                      </a:extLst>
                    </a:blip>
                    <a:srcRect t="2595" b="1774"/>
                    <a:stretch/>
                  </pic:blipFill>
                  <pic:spPr bwMode="auto">
                    <a:xfrm>
                      <a:off x="0" y="0"/>
                      <a:ext cx="5474956" cy="3340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8659C">
        <w:rPr>
          <w:b/>
          <w:i/>
          <w:color w:val="000000"/>
          <w:szCs w:val="28"/>
        </w:rPr>
        <w:t>6.</w:t>
      </w:r>
      <w:r>
        <w:rPr>
          <w:b/>
          <w:i/>
          <w:color w:val="000000"/>
          <w:szCs w:val="28"/>
        </w:rPr>
        <w:t>1. attēls</w:t>
      </w:r>
      <w:r w:rsidRPr="007657C4">
        <w:rPr>
          <w:b/>
          <w:i/>
          <w:color w:val="000000"/>
          <w:szCs w:val="28"/>
        </w:rPr>
        <w:t xml:space="preserve"> </w:t>
      </w:r>
      <w:r w:rsidRPr="007F6162">
        <w:rPr>
          <w:b/>
          <w:color w:val="000000"/>
          <w:szCs w:val="28"/>
        </w:rPr>
        <w:t>Valsts parāda un naudas līdzekļu vadības stratēģija</w:t>
      </w:r>
    </w:p>
    <w:p w14:paraId="66B5C378" w14:textId="47E6B7B6" w:rsidR="007C6302" w:rsidRDefault="007C6302" w:rsidP="007C6302">
      <w:pPr>
        <w:pStyle w:val="BodyTextIndent"/>
        <w:ind w:left="0" w:firstLine="0"/>
        <w:jc w:val="center"/>
        <w:rPr>
          <w:color w:val="000000"/>
          <w:szCs w:val="28"/>
        </w:rPr>
      </w:pPr>
    </w:p>
    <w:p w14:paraId="43119FE8" w14:textId="6618CF92" w:rsidR="00342B03" w:rsidRDefault="00342B03" w:rsidP="006D27AC">
      <w:pPr>
        <w:pStyle w:val="BodyTextIndent"/>
        <w:ind w:left="0"/>
        <w:rPr>
          <w:color w:val="000000"/>
          <w:szCs w:val="28"/>
        </w:rPr>
      </w:pPr>
    </w:p>
    <w:p w14:paraId="376D2103" w14:textId="17088236" w:rsidR="000051A1" w:rsidRDefault="000051A1" w:rsidP="006D27AC">
      <w:pPr>
        <w:pStyle w:val="BodyTextIndent"/>
        <w:ind w:left="0"/>
      </w:pPr>
    </w:p>
    <w:p w14:paraId="3C781EDE" w14:textId="67450EE7" w:rsidR="007C6302" w:rsidRDefault="007C6302" w:rsidP="006D27AC">
      <w:pPr>
        <w:pStyle w:val="BodyTextIndent"/>
        <w:ind w:left="0"/>
      </w:pPr>
    </w:p>
    <w:p w14:paraId="5F598F1B" w14:textId="09D3DAD3" w:rsidR="007C6302" w:rsidRDefault="007C6302" w:rsidP="006D27AC">
      <w:pPr>
        <w:pStyle w:val="BodyTextIndent"/>
        <w:ind w:left="0"/>
      </w:pPr>
    </w:p>
    <w:p w14:paraId="1F7E863A" w14:textId="53F0340A" w:rsidR="007C6302" w:rsidRDefault="007C6302" w:rsidP="006D27AC">
      <w:pPr>
        <w:pStyle w:val="BodyTextIndent"/>
        <w:ind w:left="0"/>
      </w:pPr>
    </w:p>
    <w:p w14:paraId="41093CB9" w14:textId="1A6B5DED" w:rsidR="007C6302" w:rsidRDefault="007C6302" w:rsidP="006D27AC">
      <w:pPr>
        <w:pStyle w:val="BodyTextIndent"/>
        <w:ind w:left="0"/>
      </w:pPr>
    </w:p>
    <w:p w14:paraId="23FF02F9" w14:textId="0921D4F0" w:rsidR="007C6302" w:rsidRDefault="007C6302" w:rsidP="006D27AC">
      <w:pPr>
        <w:pStyle w:val="BodyTextIndent"/>
        <w:ind w:left="0"/>
      </w:pPr>
    </w:p>
    <w:p w14:paraId="71F2C3CA" w14:textId="094E1CF7" w:rsidR="007C6302" w:rsidRDefault="007C6302" w:rsidP="006D27AC">
      <w:pPr>
        <w:pStyle w:val="BodyTextIndent"/>
        <w:ind w:left="0"/>
      </w:pPr>
    </w:p>
    <w:p w14:paraId="14B9D785" w14:textId="388DCE1A" w:rsidR="007C6302" w:rsidRDefault="007C6302" w:rsidP="006D27AC">
      <w:pPr>
        <w:pStyle w:val="BodyTextIndent"/>
        <w:ind w:left="0"/>
      </w:pPr>
    </w:p>
    <w:p w14:paraId="33288B8B" w14:textId="1AFA8194" w:rsidR="007C6302" w:rsidRDefault="007C6302" w:rsidP="006D27AC">
      <w:pPr>
        <w:pStyle w:val="BodyTextIndent"/>
        <w:ind w:left="0"/>
      </w:pPr>
    </w:p>
    <w:p w14:paraId="1749D1CD" w14:textId="792627BB" w:rsidR="007C6302" w:rsidRDefault="007C6302" w:rsidP="006D27AC">
      <w:pPr>
        <w:pStyle w:val="BodyTextIndent"/>
        <w:ind w:left="0"/>
      </w:pPr>
    </w:p>
    <w:p w14:paraId="16F6E49E" w14:textId="77777777" w:rsidR="007C6302" w:rsidRPr="006E6D01" w:rsidRDefault="007C6302" w:rsidP="00B00951">
      <w:pPr>
        <w:pStyle w:val="BodyTextIndent"/>
        <w:ind w:left="0" w:firstLine="0"/>
      </w:pPr>
    </w:p>
    <w:p w14:paraId="3501100D" w14:textId="6E2AB3F5" w:rsidR="00902B54" w:rsidRDefault="004A0CB3" w:rsidP="00461D67">
      <w:pPr>
        <w:pStyle w:val="Heading2"/>
        <w:spacing w:before="240" w:after="120"/>
        <w:ind w:firstLine="0"/>
        <w:jc w:val="center"/>
        <w:rPr>
          <w:rFonts w:ascii="Times New Roman" w:hAnsi="Times New Roman" w:cs="Times New Roman"/>
          <w:b/>
          <w:color w:val="auto"/>
          <w:sz w:val="36"/>
          <w:szCs w:val="36"/>
        </w:rPr>
      </w:pPr>
      <w:r w:rsidRPr="006E6D01">
        <w:rPr>
          <w:rFonts w:ascii="Times New Roman" w:hAnsi="Times New Roman" w:cs="Times New Roman"/>
          <w:b/>
          <w:color w:val="auto"/>
          <w:sz w:val="36"/>
          <w:szCs w:val="36"/>
        </w:rPr>
        <w:lastRenderedPageBreak/>
        <w:t xml:space="preserve">6.2. </w:t>
      </w:r>
      <w:r w:rsidR="00902B54" w:rsidRPr="006E6D01">
        <w:rPr>
          <w:rFonts w:ascii="Times New Roman" w:hAnsi="Times New Roman" w:cs="Times New Roman"/>
          <w:b/>
          <w:color w:val="auto"/>
          <w:sz w:val="36"/>
          <w:szCs w:val="36"/>
        </w:rPr>
        <w:t>Valsts</w:t>
      </w:r>
      <w:r w:rsidR="006E6D01">
        <w:rPr>
          <w:rFonts w:ascii="Times New Roman" w:hAnsi="Times New Roman" w:cs="Times New Roman"/>
          <w:b/>
          <w:color w:val="auto"/>
          <w:sz w:val="36"/>
          <w:szCs w:val="36"/>
        </w:rPr>
        <w:t xml:space="preserve"> parāda attīstības tendences 202</w:t>
      </w:r>
      <w:r w:rsidR="00846F63">
        <w:rPr>
          <w:rFonts w:ascii="Times New Roman" w:hAnsi="Times New Roman" w:cs="Times New Roman"/>
          <w:b/>
          <w:color w:val="auto"/>
          <w:sz w:val="36"/>
          <w:szCs w:val="36"/>
        </w:rPr>
        <w:t>1</w:t>
      </w:r>
      <w:r w:rsidR="00902B54" w:rsidRPr="006E6D01">
        <w:rPr>
          <w:rFonts w:ascii="Times New Roman" w:hAnsi="Times New Roman" w:cs="Times New Roman"/>
          <w:b/>
          <w:color w:val="auto"/>
          <w:sz w:val="36"/>
          <w:szCs w:val="36"/>
        </w:rPr>
        <w:t>.</w:t>
      </w:r>
      <w:r w:rsidR="0038659C" w:rsidRPr="0038659C">
        <w:rPr>
          <w:rFonts w:ascii="Times New Roman" w:hAnsi="Times New Roman" w:cs="Times New Roman"/>
          <w:b/>
          <w:color w:val="auto"/>
          <w:sz w:val="36"/>
          <w:szCs w:val="36"/>
        </w:rPr>
        <w:t xml:space="preserve"> </w:t>
      </w:r>
      <w:r w:rsidR="0038659C">
        <w:rPr>
          <w:rFonts w:ascii="Times New Roman" w:hAnsi="Times New Roman" w:cs="Times New Roman"/>
          <w:b/>
          <w:color w:val="auto"/>
          <w:sz w:val="36"/>
          <w:szCs w:val="36"/>
        </w:rPr>
        <w:t>–</w:t>
      </w:r>
      <w:r w:rsidR="0038659C">
        <w:rPr>
          <w:rFonts w:ascii="Times New Roman" w:hAnsi="Times New Roman" w:cs="Times New Roman"/>
          <w:b/>
          <w:color w:val="auto"/>
          <w:sz w:val="36"/>
          <w:szCs w:val="36"/>
        </w:rPr>
        <w:t xml:space="preserve"> </w:t>
      </w:r>
      <w:r w:rsidR="00902B54" w:rsidRPr="006E6D01">
        <w:rPr>
          <w:rFonts w:ascii="Times New Roman" w:hAnsi="Times New Roman" w:cs="Times New Roman"/>
          <w:b/>
          <w:color w:val="auto"/>
          <w:sz w:val="36"/>
          <w:szCs w:val="36"/>
        </w:rPr>
        <w:t>202</w:t>
      </w:r>
      <w:r w:rsidR="00846F63">
        <w:rPr>
          <w:rFonts w:ascii="Times New Roman" w:hAnsi="Times New Roman" w:cs="Times New Roman"/>
          <w:b/>
          <w:color w:val="auto"/>
          <w:sz w:val="36"/>
          <w:szCs w:val="36"/>
        </w:rPr>
        <w:t>4</w:t>
      </w:r>
      <w:r w:rsidR="00902B54" w:rsidRPr="006E6D01">
        <w:rPr>
          <w:rFonts w:ascii="Times New Roman" w:hAnsi="Times New Roman" w:cs="Times New Roman"/>
          <w:b/>
          <w:color w:val="auto"/>
          <w:sz w:val="36"/>
          <w:szCs w:val="36"/>
        </w:rPr>
        <w:t>.</w:t>
      </w:r>
      <w:r w:rsidR="007A5A24" w:rsidRPr="006E6D01">
        <w:rPr>
          <w:rFonts w:ascii="Times New Roman" w:hAnsi="Times New Roman" w:cs="Times New Roman"/>
          <w:b/>
          <w:color w:val="auto"/>
          <w:sz w:val="36"/>
          <w:szCs w:val="36"/>
        </w:rPr>
        <w:t xml:space="preserve"> </w:t>
      </w:r>
      <w:r w:rsidR="00902B54" w:rsidRPr="006E6D01">
        <w:rPr>
          <w:rFonts w:ascii="Times New Roman" w:hAnsi="Times New Roman" w:cs="Times New Roman"/>
          <w:b/>
          <w:color w:val="auto"/>
          <w:sz w:val="36"/>
          <w:szCs w:val="36"/>
        </w:rPr>
        <w:t>gadā</w:t>
      </w:r>
      <w:r w:rsidR="0038659C">
        <w:rPr>
          <w:rFonts w:ascii="Times New Roman" w:hAnsi="Times New Roman" w:cs="Times New Roman"/>
          <w:b/>
          <w:color w:val="auto"/>
          <w:sz w:val="36"/>
          <w:szCs w:val="36"/>
        </w:rPr>
        <w:t xml:space="preserve"> </w:t>
      </w:r>
    </w:p>
    <w:p w14:paraId="7CD813C8" w14:textId="77777777" w:rsidR="00B00951" w:rsidRPr="006E6D01" w:rsidRDefault="00B00951" w:rsidP="00B00951">
      <w:pPr>
        <w:pStyle w:val="BodyTextIndent"/>
        <w:spacing w:before="120"/>
        <w:ind w:left="0"/>
      </w:pPr>
      <w:r w:rsidRPr="009231EC">
        <w:rPr>
          <w:color w:val="000000"/>
          <w:szCs w:val="28"/>
        </w:rPr>
        <w:t>Aizņemšanās apjomu un valsts parāda līmeni vidējā termiņā ietekmē kopējā finansēšanas nepieciešamība, kuru galvenokārt v</w:t>
      </w:r>
      <w:r w:rsidRPr="001439E0">
        <w:rPr>
          <w:color w:val="000000"/>
          <w:szCs w:val="28"/>
        </w:rPr>
        <w:t>eido valsts parāda atmaksai</w:t>
      </w:r>
      <w:r>
        <w:rPr>
          <w:color w:val="000000"/>
          <w:szCs w:val="28"/>
        </w:rPr>
        <w:t>,</w:t>
      </w:r>
      <w:r w:rsidRPr="001439E0">
        <w:rPr>
          <w:color w:val="000000"/>
          <w:szCs w:val="28"/>
        </w:rPr>
        <w:t xml:space="preserve"> valsts budžeta </w:t>
      </w:r>
      <w:r>
        <w:rPr>
          <w:color w:val="000000"/>
          <w:szCs w:val="28"/>
        </w:rPr>
        <w:t>deficīta finansēšanai</w:t>
      </w:r>
      <w:r w:rsidRPr="001439E0">
        <w:rPr>
          <w:color w:val="000000"/>
          <w:szCs w:val="28"/>
        </w:rPr>
        <w:t xml:space="preserve"> </w:t>
      </w:r>
      <w:r>
        <w:rPr>
          <w:color w:val="000000"/>
          <w:szCs w:val="28"/>
        </w:rPr>
        <w:t xml:space="preserve">un valsts </w:t>
      </w:r>
      <w:r w:rsidRPr="00647BCB">
        <w:rPr>
          <w:color w:val="000000"/>
          <w:szCs w:val="28"/>
        </w:rPr>
        <w:t>aizdevumu nodrošināšanai vidējā termiņā nepieciešamais resursu apjoms. Valsts aizņēmumu</w:t>
      </w:r>
      <w:r>
        <w:rPr>
          <w:color w:val="000000"/>
          <w:szCs w:val="28"/>
        </w:rPr>
        <w:t xml:space="preserve"> un likviditātes</w:t>
      </w:r>
      <w:r w:rsidRPr="00647BCB">
        <w:rPr>
          <w:color w:val="000000"/>
          <w:szCs w:val="28"/>
        </w:rPr>
        <w:t xml:space="preserve"> vadībā tiek izmantota stratēģiska pieeja, saglabājot pēc iespējas lielāku elastību aizņēmumu nosacījumu (aizņemšanās laiks, valūta, apjoms, termiņš) izvēlē. Tas ļauj ierobežot finanšu riskus ilgtermiņā, kā arī kopējās finansēšanas nepieciešamības segšanai nodrošināt resursus ar pēc iespējas labvēlīgākiem un izdevīgākiem nosacījumiem.</w:t>
      </w:r>
      <w:r>
        <w:rPr>
          <w:color w:val="000000"/>
          <w:szCs w:val="28"/>
        </w:rPr>
        <w:t xml:space="preserve"> </w:t>
      </w:r>
      <w:r w:rsidRPr="00C9586F">
        <w:rPr>
          <w:color w:val="000000"/>
          <w:szCs w:val="28"/>
        </w:rPr>
        <w:t xml:space="preserve">Nepieciešamība saglabāt elastīgu pieeju aizņemšanās </w:t>
      </w:r>
      <w:r>
        <w:rPr>
          <w:color w:val="000000"/>
          <w:szCs w:val="28"/>
        </w:rPr>
        <w:t>pasākumu</w:t>
      </w:r>
      <w:r w:rsidRPr="00C9586F">
        <w:rPr>
          <w:color w:val="000000"/>
          <w:szCs w:val="28"/>
        </w:rPr>
        <w:t xml:space="preserve"> īstenošanā tiek ņemta vērā, plānojot izdevumus apakšprogrammā 31.02.00 “Valsts parāda vadība” vidējam termiņam. Plānojot un veicot aizņemšanās pasākumus, tiek ievēroti gadskārtējā valsts budžeta likumā noteiktie ierobežojumi valsts parāda maksimālajam apmēram uz attiecīgā gada beigām</w:t>
      </w:r>
      <w:r w:rsidRPr="00FB6F7D">
        <w:rPr>
          <w:color w:val="000000"/>
          <w:szCs w:val="28"/>
        </w:rPr>
        <w:t>.</w:t>
      </w:r>
      <w:r>
        <w:rPr>
          <w:color w:val="000000"/>
          <w:szCs w:val="28"/>
        </w:rPr>
        <w:t xml:space="preserve"> </w:t>
      </w:r>
    </w:p>
    <w:p w14:paraId="087BE123" w14:textId="25DCADFD" w:rsidR="00B00951" w:rsidRDefault="00B00951" w:rsidP="00F7483B">
      <w:pPr>
        <w:ind w:firstLine="720"/>
      </w:pPr>
      <w:r w:rsidRPr="00670787">
        <w:t>Covid-19 uzliesmojums izraisīja nepieciešamību kopš 2020.</w:t>
      </w:r>
      <w:r>
        <w:t xml:space="preserve"> </w:t>
      </w:r>
      <w:r w:rsidRPr="00670787">
        <w:t xml:space="preserve">gada marta ievērojamā apjomā nodrošināt finansējumu pasākumiem, kas vērsti uz Covid-19 uzliesmojuma ietekmes mazināšanu un atbalsta sniegšanu uzņēmumiem un iedzīvotājiem ārkārtas situācijā. </w:t>
      </w:r>
      <w:r w:rsidRPr="00154E4F">
        <w:t xml:space="preserve">2020. gadā kopējais šiem mērķiem piešķirtais atbalsta apjoms veidoja 1,3 mljrd. </w:t>
      </w:r>
      <w:proofErr w:type="spellStart"/>
      <w:r w:rsidRPr="00154E4F">
        <w:rPr>
          <w:i/>
        </w:rPr>
        <w:t>euro</w:t>
      </w:r>
      <w:proofErr w:type="spellEnd"/>
      <w:r w:rsidRPr="00154E4F">
        <w:t xml:space="preserve"> jeb 4,4% no IKP. Atbilstoši aktuālām prognozēm 2021. gadā šī atbalsta apjoms varētu sasniegt 10,</w:t>
      </w:r>
      <w:r>
        <w:t>4</w:t>
      </w:r>
      <w:r w:rsidRPr="00154E4F">
        <w:t>% no IKP.</w:t>
      </w:r>
      <w:r w:rsidRPr="00670787">
        <w:t xml:space="preserve"> Attiecīgi nepieciešamais finansējums </w:t>
      </w:r>
      <w:r>
        <w:t xml:space="preserve">kopējās finansēšanas nepieciešamības segšanai, t.sk. Covid-19 uzliesmojuma ietekmes mazināšanai, </w:t>
      </w:r>
      <w:r w:rsidRPr="00670787">
        <w:t>tik</w:t>
      </w:r>
      <w:r>
        <w:t>a</w:t>
      </w:r>
      <w:r w:rsidRPr="00670787">
        <w:t xml:space="preserve"> nodrošināts, </w:t>
      </w:r>
      <w:r>
        <w:t>emitējot valsts parāda vērtspapīrus finanšu tirgos un</w:t>
      </w:r>
      <w:r w:rsidRPr="00670787">
        <w:t xml:space="preserve"> </w:t>
      </w:r>
      <w:r>
        <w:t>aizņemoties resursus no</w:t>
      </w:r>
      <w:r w:rsidRPr="00670787">
        <w:t xml:space="preserve"> starptautiskajām institūcijām</w:t>
      </w:r>
      <w:r>
        <w:t xml:space="preserve"> (skat. </w:t>
      </w:r>
      <w:r w:rsidR="0038659C">
        <w:t>6.</w:t>
      </w:r>
      <w:r>
        <w:t>2.</w:t>
      </w:r>
      <w:r w:rsidR="00B40624">
        <w:t> </w:t>
      </w:r>
      <w:r>
        <w:t>attēlu)</w:t>
      </w:r>
      <w:r w:rsidRPr="00670787">
        <w:t>.</w:t>
      </w:r>
      <w:r>
        <w:t xml:space="preserve"> </w:t>
      </w:r>
    </w:p>
    <w:p w14:paraId="1378AA66" w14:textId="47344FBB" w:rsidR="00B00951" w:rsidRPr="00FB55D4" w:rsidRDefault="0038659C" w:rsidP="00FB55D4">
      <w:pPr>
        <w:pStyle w:val="BodyTextIndent"/>
        <w:spacing w:before="240" w:after="0"/>
        <w:ind w:left="0" w:firstLine="0"/>
        <w:jc w:val="center"/>
        <w:rPr>
          <w:b/>
          <w:i/>
          <w:color w:val="000000"/>
          <w:szCs w:val="28"/>
        </w:rPr>
      </w:pPr>
      <w:r>
        <w:rPr>
          <w:b/>
          <w:i/>
          <w:color w:val="000000"/>
          <w:szCs w:val="28"/>
        </w:rPr>
        <w:t>6.</w:t>
      </w:r>
      <w:r w:rsidR="00B00951">
        <w:rPr>
          <w:b/>
          <w:i/>
          <w:color w:val="000000"/>
          <w:szCs w:val="28"/>
        </w:rPr>
        <w:t>2. attēls</w:t>
      </w:r>
      <w:r w:rsidR="00B00951" w:rsidRPr="007657C4">
        <w:rPr>
          <w:b/>
          <w:i/>
          <w:color w:val="000000"/>
          <w:szCs w:val="28"/>
        </w:rPr>
        <w:t xml:space="preserve"> </w:t>
      </w:r>
      <w:r w:rsidR="00B00951" w:rsidRPr="000C3650">
        <w:rPr>
          <w:b/>
          <w:color w:val="000000"/>
          <w:szCs w:val="28"/>
        </w:rPr>
        <w:t xml:space="preserve">Aizņemšanās </w:t>
      </w:r>
      <w:r w:rsidR="00B00951">
        <w:rPr>
          <w:b/>
          <w:color w:val="000000"/>
          <w:szCs w:val="28"/>
        </w:rPr>
        <w:t xml:space="preserve">pasākumi </w:t>
      </w:r>
      <w:r w:rsidR="00B00951" w:rsidRPr="000C3650">
        <w:rPr>
          <w:b/>
          <w:color w:val="000000"/>
          <w:szCs w:val="28"/>
        </w:rPr>
        <w:t>2020. un 2021.</w:t>
      </w:r>
      <w:r w:rsidR="00B00951">
        <w:rPr>
          <w:b/>
          <w:color w:val="000000"/>
          <w:szCs w:val="28"/>
        </w:rPr>
        <w:t xml:space="preserve"> </w:t>
      </w:r>
      <w:r w:rsidR="00B00951" w:rsidRPr="000C3650">
        <w:rPr>
          <w:b/>
          <w:color w:val="000000"/>
          <w:szCs w:val="28"/>
        </w:rPr>
        <w:t>gadā</w:t>
      </w:r>
      <w:r w:rsidR="00FB55D4">
        <w:rPr>
          <w:b/>
          <w:color w:val="000000"/>
          <w:szCs w:val="28"/>
        </w:rPr>
        <w:t>,</w:t>
      </w:r>
      <w:r w:rsidR="00FB55D4" w:rsidRPr="00FB55D4">
        <w:rPr>
          <w:b/>
          <w:color w:val="000000"/>
          <w:szCs w:val="28"/>
        </w:rPr>
        <w:t xml:space="preserve"> </w:t>
      </w:r>
      <w:r w:rsidR="00FB55D4" w:rsidRPr="001156CD">
        <w:rPr>
          <w:b/>
          <w:color w:val="000000"/>
          <w:szCs w:val="28"/>
        </w:rPr>
        <w:t>milj.</w:t>
      </w:r>
      <w:r w:rsidR="00FB55D4">
        <w:rPr>
          <w:b/>
          <w:i/>
          <w:color w:val="000000"/>
          <w:szCs w:val="28"/>
        </w:rPr>
        <w:t xml:space="preserve"> </w:t>
      </w:r>
      <w:proofErr w:type="spellStart"/>
      <w:r w:rsidR="00FB55D4" w:rsidRPr="009E378E">
        <w:rPr>
          <w:b/>
          <w:i/>
          <w:color w:val="000000"/>
          <w:szCs w:val="28"/>
        </w:rPr>
        <w:t>euro</w:t>
      </w:r>
      <w:proofErr w:type="spellEnd"/>
      <w:r w:rsidR="00FB55D4" w:rsidRPr="00DB3075">
        <w:rPr>
          <w:b/>
          <w:i/>
          <w:color w:val="000000"/>
          <w:szCs w:val="28"/>
        </w:rPr>
        <w:t xml:space="preserve"> </w:t>
      </w:r>
    </w:p>
    <w:p w14:paraId="172DC4C1" w14:textId="77777777" w:rsidR="00B00951" w:rsidRPr="00154E4F" w:rsidRDefault="00B00951" w:rsidP="00B00951">
      <w:pPr>
        <w:pStyle w:val="BodyTextIndent"/>
        <w:ind w:left="0" w:firstLine="0"/>
        <w:jc w:val="center"/>
        <w:rPr>
          <w:sz w:val="18"/>
          <w:szCs w:val="18"/>
        </w:rPr>
      </w:pPr>
      <w:r>
        <w:rPr>
          <w:noProof/>
          <w:lang w:eastAsia="lv-LV"/>
        </w:rPr>
        <w:drawing>
          <wp:inline distT="0" distB="0" distL="0" distR="0" wp14:anchorId="4ED5FAB0" wp14:editId="01FF05DC">
            <wp:extent cx="4438357" cy="2478258"/>
            <wp:effectExtent l="0" t="0" r="635" b="0"/>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9"/>
                    <a:stretch>
                      <a:fillRect/>
                    </a:stretch>
                  </pic:blipFill>
                  <pic:spPr>
                    <a:xfrm>
                      <a:off x="0" y="0"/>
                      <a:ext cx="4446393" cy="2482745"/>
                    </a:xfrm>
                    <a:prstGeom prst="rect">
                      <a:avLst/>
                    </a:prstGeom>
                  </pic:spPr>
                </pic:pic>
              </a:graphicData>
            </a:graphic>
          </wp:inline>
        </w:drawing>
      </w:r>
    </w:p>
    <w:p w14:paraId="51E1CE58" w14:textId="77777777" w:rsidR="00B00951" w:rsidRDefault="00B00951" w:rsidP="00DF5BB6">
      <w:pPr>
        <w:pStyle w:val="BodyTextIndent"/>
        <w:spacing w:after="0"/>
        <w:ind w:left="0" w:firstLine="0"/>
        <w:rPr>
          <w:i/>
          <w:sz w:val="18"/>
          <w:szCs w:val="18"/>
        </w:rPr>
      </w:pPr>
      <w:r w:rsidRPr="00E42522">
        <w:rPr>
          <w:i/>
          <w:sz w:val="18"/>
          <w:szCs w:val="18"/>
        </w:rPr>
        <w:t>*sākotnējā emisijā (30.09.2016.) fiksēts kupons</w:t>
      </w:r>
    </w:p>
    <w:p w14:paraId="7D0CF462" w14:textId="24103457" w:rsidR="00DF5BB6" w:rsidRPr="00887D91" w:rsidRDefault="00B00951" w:rsidP="00B70EF0">
      <w:pPr>
        <w:pStyle w:val="BodyTextIndent"/>
        <w:spacing w:after="240"/>
        <w:ind w:left="0" w:firstLine="0"/>
        <w:rPr>
          <w:i/>
          <w:sz w:val="18"/>
          <w:szCs w:val="18"/>
        </w:rPr>
      </w:pPr>
      <w:r>
        <w:rPr>
          <w:i/>
          <w:sz w:val="18"/>
          <w:szCs w:val="18"/>
        </w:rPr>
        <w:t>**</w:t>
      </w:r>
      <w:r w:rsidRPr="006B5797">
        <w:t xml:space="preserve"> </w:t>
      </w:r>
      <w:r w:rsidRPr="006B5797">
        <w:rPr>
          <w:i/>
          <w:sz w:val="18"/>
          <w:szCs w:val="18"/>
        </w:rPr>
        <w:t xml:space="preserve">SURE - </w:t>
      </w:r>
      <w:proofErr w:type="spellStart"/>
      <w:r w:rsidRPr="006B5797">
        <w:rPr>
          <w:i/>
          <w:sz w:val="18"/>
          <w:szCs w:val="18"/>
        </w:rPr>
        <w:t>The</w:t>
      </w:r>
      <w:proofErr w:type="spellEnd"/>
      <w:r w:rsidRPr="006B5797">
        <w:rPr>
          <w:i/>
          <w:sz w:val="18"/>
          <w:szCs w:val="18"/>
        </w:rPr>
        <w:t xml:space="preserve"> </w:t>
      </w:r>
      <w:proofErr w:type="spellStart"/>
      <w:r w:rsidRPr="006B5797">
        <w:rPr>
          <w:i/>
          <w:sz w:val="18"/>
          <w:szCs w:val="18"/>
        </w:rPr>
        <w:t>temporary</w:t>
      </w:r>
      <w:proofErr w:type="spellEnd"/>
      <w:r w:rsidRPr="006B5797">
        <w:rPr>
          <w:i/>
          <w:sz w:val="18"/>
          <w:szCs w:val="18"/>
        </w:rPr>
        <w:t xml:space="preserve"> </w:t>
      </w:r>
      <w:proofErr w:type="spellStart"/>
      <w:r w:rsidRPr="006B5797">
        <w:rPr>
          <w:i/>
          <w:sz w:val="18"/>
          <w:szCs w:val="18"/>
        </w:rPr>
        <w:t>Support</w:t>
      </w:r>
      <w:proofErr w:type="spellEnd"/>
      <w:r w:rsidRPr="006B5797">
        <w:rPr>
          <w:i/>
          <w:sz w:val="18"/>
          <w:szCs w:val="18"/>
        </w:rPr>
        <w:t xml:space="preserve"> to </w:t>
      </w:r>
      <w:proofErr w:type="spellStart"/>
      <w:r w:rsidRPr="006B5797">
        <w:rPr>
          <w:i/>
          <w:sz w:val="18"/>
          <w:szCs w:val="18"/>
        </w:rPr>
        <w:t>mitigate</w:t>
      </w:r>
      <w:proofErr w:type="spellEnd"/>
      <w:r w:rsidRPr="006B5797">
        <w:rPr>
          <w:i/>
          <w:sz w:val="18"/>
          <w:szCs w:val="18"/>
        </w:rPr>
        <w:t xml:space="preserve"> </w:t>
      </w:r>
      <w:proofErr w:type="spellStart"/>
      <w:r w:rsidRPr="006B5797">
        <w:rPr>
          <w:i/>
          <w:sz w:val="18"/>
          <w:szCs w:val="18"/>
        </w:rPr>
        <w:t>Unemployment</w:t>
      </w:r>
      <w:proofErr w:type="spellEnd"/>
      <w:r w:rsidRPr="006B5797">
        <w:rPr>
          <w:i/>
          <w:sz w:val="18"/>
          <w:szCs w:val="18"/>
        </w:rPr>
        <w:t xml:space="preserve"> Risks </w:t>
      </w:r>
      <w:proofErr w:type="spellStart"/>
      <w:r w:rsidRPr="006B5797">
        <w:rPr>
          <w:i/>
          <w:sz w:val="18"/>
          <w:szCs w:val="18"/>
        </w:rPr>
        <w:t>in</w:t>
      </w:r>
      <w:proofErr w:type="spellEnd"/>
      <w:r w:rsidRPr="006B5797">
        <w:rPr>
          <w:i/>
          <w:sz w:val="18"/>
          <w:szCs w:val="18"/>
        </w:rPr>
        <w:t xml:space="preserve"> </w:t>
      </w:r>
      <w:proofErr w:type="spellStart"/>
      <w:r w:rsidRPr="006B5797">
        <w:rPr>
          <w:i/>
          <w:sz w:val="18"/>
          <w:szCs w:val="18"/>
        </w:rPr>
        <w:t>an</w:t>
      </w:r>
      <w:proofErr w:type="spellEnd"/>
      <w:r w:rsidRPr="006B5797">
        <w:rPr>
          <w:i/>
          <w:sz w:val="18"/>
          <w:szCs w:val="18"/>
        </w:rPr>
        <w:t xml:space="preserve"> </w:t>
      </w:r>
      <w:proofErr w:type="spellStart"/>
      <w:r w:rsidRPr="006B5797">
        <w:rPr>
          <w:i/>
          <w:sz w:val="18"/>
          <w:szCs w:val="18"/>
        </w:rPr>
        <w:t>Emergency</w:t>
      </w:r>
      <w:proofErr w:type="spellEnd"/>
      <w:r w:rsidRPr="006B5797">
        <w:rPr>
          <w:i/>
          <w:sz w:val="18"/>
          <w:szCs w:val="18"/>
        </w:rPr>
        <w:t xml:space="preserve"> / pagaidu atbalsta instruments bezdarba risku mazināšanai ārkārtas situācijā</w:t>
      </w:r>
    </w:p>
    <w:p w14:paraId="4A0A69F8" w14:textId="77777777" w:rsidR="00887D91" w:rsidRDefault="00B00951" w:rsidP="00F7483B">
      <w:pPr>
        <w:spacing w:before="120"/>
        <w:ind w:firstLine="720"/>
      </w:pPr>
      <w:r>
        <w:t xml:space="preserve">Aizņemšanās, lai sniegtu atbalstu ekonomikai Covid-19 pandēmijas laikā, izraisīja strauju Latvijas parāda pieaugumu. Ja 2019. gada beigās, pirms </w:t>
      </w:r>
      <w:r w:rsidRPr="0059283A">
        <w:t xml:space="preserve">Covid-19 uzliesmojuma, valsts parāds veidoja 35,5% no IKP (jeb 10,8 mljrd. </w:t>
      </w:r>
      <w:proofErr w:type="spellStart"/>
      <w:r w:rsidRPr="0059283A">
        <w:rPr>
          <w:i/>
        </w:rPr>
        <w:t>euro</w:t>
      </w:r>
      <w:proofErr w:type="spellEnd"/>
      <w:r w:rsidRPr="0059283A">
        <w:t xml:space="preserve">), tad </w:t>
      </w:r>
      <w:r>
        <w:t>2020. gada beigās tā līmenis bija 42,5% no IKP (jeb 12,5</w:t>
      </w:r>
      <w:r w:rsidRPr="00BC31BE">
        <w:t xml:space="preserve"> mljrd. </w:t>
      </w:r>
      <w:proofErr w:type="spellStart"/>
      <w:r w:rsidRPr="00BC31BE">
        <w:rPr>
          <w:i/>
        </w:rPr>
        <w:t>euro</w:t>
      </w:r>
      <w:proofErr w:type="spellEnd"/>
      <w:r w:rsidRPr="00BC31BE">
        <w:t>)</w:t>
      </w:r>
      <w:r>
        <w:t xml:space="preserve"> un </w:t>
      </w:r>
      <w:r w:rsidRPr="0059283A">
        <w:t xml:space="preserve">2021. gada augusta beigās saskaņā ar Valsts kases operatīvajiem datiem valsts parāds nominālvērtībā  sasniedza jau 44,9% no prognozētā IKP (jeb 14,1 mljrd. </w:t>
      </w:r>
      <w:proofErr w:type="spellStart"/>
      <w:r w:rsidRPr="0059283A">
        <w:rPr>
          <w:i/>
        </w:rPr>
        <w:t>euro</w:t>
      </w:r>
      <w:proofErr w:type="spellEnd"/>
      <w:r w:rsidRPr="0059283A">
        <w:t>).</w:t>
      </w:r>
    </w:p>
    <w:p w14:paraId="5E7B8759" w14:textId="0655A1BF" w:rsidR="00B00951" w:rsidRPr="00B00951" w:rsidRDefault="00B00951" w:rsidP="00887D91">
      <w:pPr>
        <w:ind w:firstLine="720"/>
      </w:pPr>
      <w:r>
        <w:t>V</w:t>
      </w:r>
      <w:r w:rsidRPr="00EE3633">
        <w:t xml:space="preserve">alsts parāda struktūrā </w:t>
      </w:r>
      <w:r>
        <w:t xml:space="preserve">joprojām </w:t>
      </w:r>
      <w:r w:rsidRPr="00EE3633">
        <w:t xml:space="preserve">lielāko īpatsvaru veido ārējais </w:t>
      </w:r>
      <w:r w:rsidRPr="00EA5F02">
        <w:t xml:space="preserve">parāds, sasniedzot 81% no kopējā valsts parāda (skat. </w:t>
      </w:r>
      <w:r w:rsidR="0038659C">
        <w:t>6.</w:t>
      </w:r>
      <w:r>
        <w:t>3.</w:t>
      </w:r>
      <w:r w:rsidR="00B40624">
        <w:t> </w:t>
      </w:r>
      <w:r>
        <w:t>attēlu</w:t>
      </w:r>
      <w:r w:rsidRPr="00EA5F02">
        <w:t>). Lielāko ārējā parāda daļu (80% no valsts ārējā parāda kopējā apjoma) veido starptautiskajos finanšu tirgos emitētās obligācijas.</w:t>
      </w:r>
    </w:p>
    <w:p w14:paraId="44044F8D" w14:textId="01ADA5AA" w:rsidR="00B00951" w:rsidRPr="00DB3075" w:rsidRDefault="0038659C" w:rsidP="00B00951">
      <w:pPr>
        <w:pStyle w:val="BodyTextIndent"/>
        <w:spacing w:before="240" w:after="0"/>
        <w:ind w:left="0" w:firstLine="0"/>
        <w:jc w:val="center"/>
        <w:rPr>
          <w:b/>
          <w:i/>
          <w:color w:val="000000"/>
          <w:szCs w:val="28"/>
        </w:rPr>
      </w:pPr>
      <w:r>
        <w:rPr>
          <w:b/>
          <w:i/>
          <w:color w:val="000000"/>
          <w:szCs w:val="28"/>
        </w:rPr>
        <w:lastRenderedPageBreak/>
        <w:t>6.</w:t>
      </w:r>
      <w:r w:rsidR="00B00951">
        <w:rPr>
          <w:b/>
          <w:i/>
          <w:color w:val="000000"/>
          <w:szCs w:val="28"/>
        </w:rPr>
        <w:t>3</w:t>
      </w:r>
      <w:r w:rsidR="00B00951" w:rsidRPr="00192652">
        <w:rPr>
          <w:b/>
          <w:i/>
          <w:color w:val="000000"/>
          <w:szCs w:val="28"/>
        </w:rPr>
        <w:t>.</w:t>
      </w:r>
      <w:r w:rsidR="00B00951">
        <w:rPr>
          <w:b/>
          <w:i/>
          <w:color w:val="000000"/>
          <w:szCs w:val="28"/>
        </w:rPr>
        <w:t xml:space="preserve"> attēls</w:t>
      </w:r>
      <w:r w:rsidR="00B00951" w:rsidRPr="00DB3075">
        <w:rPr>
          <w:b/>
          <w:i/>
          <w:color w:val="000000"/>
          <w:szCs w:val="28"/>
        </w:rPr>
        <w:t xml:space="preserve"> </w:t>
      </w:r>
      <w:r w:rsidR="00B00951" w:rsidRPr="001156CD">
        <w:rPr>
          <w:b/>
          <w:color w:val="000000"/>
          <w:szCs w:val="28"/>
        </w:rPr>
        <w:t>Valsts parāda struktūra nominālvērtībā, milj.</w:t>
      </w:r>
      <w:r w:rsidR="00B00951">
        <w:rPr>
          <w:b/>
          <w:i/>
          <w:color w:val="000000"/>
          <w:szCs w:val="28"/>
        </w:rPr>
        <w:t xml:space="preserve"> </w:t>
      </w:r>
      <w:proofErr w:type="spellStart"/>
      <w:r w:rsidR="00B00951" w:rsidRPr="009E378E">
        <w:rPr>
          <w:b/>
          <w:i/>
          <w:color w:val="000000"/>
          <w:szCs w:val="28"/>
        </w:rPr>
        <w:t>euro</w:t>
      </w:r>
      <w:proofErr w:type="spellEnd"/>
      <w:r w:rsidR="00B00951" w:rsidRPr="00DB3075">
        <w:rPr>
          <w:b/>
          <w:i/>
          <w:color w:val="000000"/>
          <w:szCs w:val="28"/>
        </w:rPr>
        <w:t xml:space="preserve"> </w:t>
      </w:r>
    </w:p>
    <w:p w14:paraId="746CB57A" w14:textId="77777777" w:rsidR="00B00951" w:rsidRPr="00413BC8" w:rsidRDefault="00B00951" w:rsidP="00B00951">
      <w:pPr>
        <w:pStyle w:val="BodyTextIndent"/>
        <w:spacing w:after="240"/>
        <w:ind w:left="0" w:firstLine="0"/>
        <w:jc w:val="center"/>
        <w:rPr>
          <w:i/>
          <w:color w:val="000000"/>
          <w:szCs w:val="24"/>
        </w:rPr>
      </w:pPr>
      <w:r w:rsidRPr="00CF50DC">
        <w:rPr>
          <w:i/>
          <w:color w:val="000000"/>
          <w:szCs w:val="24"/>
        </w:rPr>
        <w:t>(uz 20</w:t>
      </w:r>
      <w:r>
        <w:rPr>
          <w:i/>
          <w:color w:val="000000"/>
          <w:szCs w:val="24"/>
        </w:rPr>
        <w:t>21</w:t>
      </w:r>
      <w:r w:rsidRPr="00CF50DC">
        <w:rPr>
          <w:i/>
          <w:color w:val="000000"/>
          <w:szCs w:val="24"/>
        </w:rPr>
        <w:t>.</w:t>
      </w:r>
      <w:r>
        <w:rPr>
          <w:i/>
          <w:color w:val="000000"/>
          <w:szCs w:val="24"/>
        </w:rPr>
        <w:t> </w:t>
      </w:r>
      <w:r w:rsidRPr="00CF50DC">
        <w:rPr>
          <w:i/>
          <w:color w:val="000000"/>
          <w:szCs w:val="24"/>
        </w:rPr>
        <w:t>gada 3</w:t>
      </w:r>
      <w:r>
        <w:rPr>
          <w:i/>
          <w:color w:val="000000"/>
          <w:szCs w:val="24"/>
        </w:rPr>
        <w:t>1</w:t>
      </w:r>
      <w:r w:rsidRPr="00CF50DC">
        <w:rPr>
          <w:i/>
          <w:color w:val="000000"/>
          <w:szCs w:val="24"/>
        </w:rPr>
        <w:t>.</w:t>
      </w:r>
      <w:r>
        <w:rPr>
          <w:i/>
          <w:color w:val="000000"/>
          <w:szCs w:val="24"/>
        </w:rPr>
        <w:t> augustu</w:t>
      </w:r>
      <w:r w:rsidRPr="00CF50DC">
        <w:rPr>
          <w:i/>
          <w:color w:val="000000"/>
          <w:szCs w:val="24"/>
        </w:rPr>
        <w:t>)</w:t>
      </w:r>
    </w:p>
    <w:p w14:paraId="097B00AF" w14:textId="77777777" w:rsidR="00B00951" w:rsidRPr="00180B4A" w:rsidRDefault="00B00951" w:rsidP="00B00951">
      <w:pPr>
        <w:pStyle w:val="BodyTextIndent"/>
        <w:spacing w:after="0"/>
        <w:ind w:left="0" w:firstLine="0"/>
        <w:jc w:val="center"/>
        <w:rPr>
          <w:color w:val="000000"/>
          <w:szCs w:val="28"/>
        </w:rPr>
      </w:pPr>
      <w:r>
        <w:rPr>
          <w:noProof/>
          <w:color w:val="000000"/>
          <w:szCs w:val="28"/>
          <w:lang w:eastAsia="lv-LV"/>
        </w:rPr>
        <w:drawing>
          <wp:inline distT="0" distB="0" distL="0" distR="0" wp14:anchorId="2F908D2F" wp14:editId="578509C2">
            <wp:extent cx="3416300" cy="2741898"/>
            <wp:effectExtent l="0" t="0" r="0" b="1905"/>
            <wp:docPr id="11" name="Picture 11" descr="A picture containing text, compact dis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compact disk&#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43856" cy="2764014"/>
                    </a:xfrm>
                    <a:prstGeom prst="rect">
                      <a:avLst/>
                    </a:prstGeom>
                    <a:noFill/>
                  </pic:spPr>
                </pic:pic>
              </a:graphicData>
            </a:graphic>
          </wp:inline>
        </w:drawing>
      </w:r>
    </w:p>
    <w:p w14:paraId="41AC1F6C" w14:textId="033E5837" w:rsidR="000051A1" w:rsidRDefault="000051A1" w:rsidP="000051A1"/>
    <w:p w14:paraId="60B83422" w14:textId="35313B49" w:rsidR="00C43984" w:rsidRPr="001A3890" w:rsidRDefault="00C43984" w:rsidP="00C43984">
      <w:pPr>
        <w:pStyle w:val="BodyTextIndent"/>
        <w:ind w:left="0"/>
      </w:pPr>
      <w:r w:rsidRPr="00D32E8D">
        <w:t>Ņemot vērā līdz 20</w:t>
      </w:r>
      <w:r>
        <w:t>21</w:t>
      </w:r>
      <w:r w:rsidRPr="00D32E8D">
        <w:t>.</w:t>
      </w:r>
      <w:r>
        <w:t xml:space="preserve"> </w:t>
      </w:r>
      <w:r w:rsidRPr="00D32E8D">
        <w:t xml:space="preserve">gada </w:t>
      </w:r>
      <w:r>
        <w:t>31. augustam</w:t>
      </w:r>
      <w:r w:rsidRPr="00D32E8D">
        <w:t xml:space="preserve"> uzņemtās valsts parāda saistības</w:t>
      </w:r>
      <w:r w:rsidR="00886478">
        <w:t>,</w:t>
      </w:r>
      <w:r w:rsidRPr="00D32E8D">
        <w:t xml:space="preserve"> saskaņā ar valsts parāda atmaksas grafiku </w:t>
      </w:r>
      <w:r>
        <w:t>2021</w:t>
      </w:r>
      <w:r w:rsidRPr="00D32E8D">
        <w:t>.</w:t>
      </w:r>
      <w:r>
        <w:t xml:space="preserve"> gada septembrī </w:t>
      </w:r>
      <w:r w:rsidR="00886478">
        <w:t>–</w:t>
      </w:r>
      <w:r w:rsidRPr="00D32E8D">
        <w:t xml:space="preserve"> 20</w:t>
      </w:r>
      <w:r>
        <w:t>24</w:t>
      </w:r>
      <w:r w:rsidRPr="00D32E8D">
        <w:t>.</w:t>
      </w:r>
      <w:r>
        <w:t xml:space="preserve"> </w:t>
      </w:r>
      <w:r w:rsidRPr="00D32E8D">
        <w:t>gad</w:t>
      </w:r>
      <w:r>
        <w:t>a decembrī</w:t>
      </w:r>
      <w:r w:rsidRPr="00D32E8D">
        <w:t xml:space="preserve"> jāpārfinansē valsts parāda saistības ~</w:t>
      </w:r>
      <w:r w:rsidRPr="009D3D79">
        <w:t>3,5</w:t>
      </w:r>
      <w:r>
        <w:t> </w:t>
      </w:r>
      <w:r w:rsidRPr="00D32E8D">
        <w:t>mljrd.</w:t>
      </w:r>
      <w:r>
        <w:t xml:space="preserve"> </w:t>
      </w:r>
      <w:proofErr w:type="spellStart"/>
      <w:r w:rsidRPr="00D32E8D">
        <w:rPr>
          <w:i/>
        </w:rPr>
        <w:t>euro</w:t>
      </w:r>
      <w:proofErr w:type="spellEnd"/>
      <w:r>
        <w:t xml:space="preserve"> apmērā (skat.</w:t>
      </w:r>
      <w:r w:rsidRPr="00D32E8D">
        <w:t xml:space="preserve"> </w:t>
      </w:r>
      <w:r w:rsidR="0038659C">
        <w:t>6.</w:t>
      </w:r>
      <w:r>
        <w:t>4. attēlu</w:t>
      </w:r>
      <w:r w:rsidRPr="00D32E8D">
        <w:t xml:space="preserve">). </w:t>
      </w:r>
      <w:r>
        <w:t>Lielāko</w:t>
      </w:r>
      <w:r w:rsidRPr="00D32E8D">
        <w:t xml:space="preserve"> daļu no </w:t>
      </w:r>
      <w:r>
        <w:t xml:space="preserve">minētajā periodā </w:t>
      </w:r>
      <w:r w:rsidRPr="00D32E8D">
        <w:t xml:space="preserve">pārfinansējamā parāda apjoma veido </w:t>
      </w:r>
      <w:r>
        <w:t xml:space="preserve">starptautiskajos finanšu tirgos emitētās </w:t>
      </w:r>
      <w:r w:rsidRPr="00D32E8D">
        <w:t>eiroobligācijas</w:t>
      </w:r>
      <w:r>
        <w:t>, kurām iestāsies dzēšanas termiņš.</w:t>
      </w:r>
      <w:r w:rsidR="00886478">
        <w:t xml:space="preserve"> </w:t>
      </w:r>
    </w:p>
    <w:p w14:paraId="15B4DF43" w14:textId="43F47C83" w:rsidR="00C43984" w:rsidRPr="00DB3075" w:rsidRDefault="0038659C" w:rsidP="00C43984">
      <w:pPr>
        <w:spacing w:before="240" w:after="0"/>
        <w:ind w:firstLine="720"/>
        <w:jc w:val="center"/>
        <w:rPr>
          <w:b/>
          <w:i/>
          <w:szCs w:val="24"/>
        </w:rPr>
      </w:pPr>
      <w:r>
        <w:rPr>
          <w:b/>
          <w:i/>
          <w:szCs w:val="24"/>
        </w:rPr>
        <w:t>6.</w:t>
      </w:r>
      <w:r w:rsidR="00C43984">
        <w:rPr>
          <w:b/>
          <w:i/>
          <w:szCs w:val="24"/>
        </w:rPr>
        <w:t>4</w:t>
      </w:r>
      <w:r w:rsidR="00C43984" w:rsidRPr="00BF7F69">
        <w:rPr>
          <w:b/>
          <w:i/>
          <w:szCs w:val="24"/>
        </w:rPr>
        <w:t>. attēls</w:t>
      </w:r>
      <w:r w:rsidR="00C43984" w:rsidRPr="00DB3075">
        <w:rPr>
          <w:b/>
          <w:i/>
          <w:szCs w:val="24"/>
        </w:rPr>
        <w:t xml:space="preserve"> </w:t>
      </w:r>
      <w:r w:rsidR="00C43984" w:rsidRPr="00C56992">
        <w:rPr>
          <w:b/>
          <w:szCs w:val="24"/>
        </w:rPr>
        <w:t>Centrālās valdības aizņēmumu atmaksas grafiks</w:t>
      </w:r>
      <w:r w:rsidR="00C43984" w:rsidRPr="00DB3075">
        <w:rPr>
          <w:b/>
          <w:i/>
          <w:szCs w:val="24"/>
        </w:rPr>
        <w:t xml:space="preserve"> </w:t>
      </w:r>
    </w:p>
    <w:p w14:paraId="56E5B7D3" w14:textId="48A08AAC" w:rsidR="00C43984" w:rsidRPr="001A3890" w:rsidRDefault="00C43984" w:rsidP="00C43984">
      <w:pPr>
        <w:ind w:firstLine="720"/>
        <w:jc w:val="center"/>
        <w:rPr>
          <w:i/>
          <w:szCs w:val="24"/>
        </w:rPr>
      </w:pPr>
      <w:r w:rsidRPr="007963EB">
        <w:rPr>
          <w:i/>
          <w:szCs w:val="24"/>
        </w:rPr>
        <w:t>(līdz 20</w:t>
      </w:r>
      <w:r>
        <w:rPr>
          <w:i/>
          <w:szCs w:val="24"/>
        </w:rPr>
        <w:t>21</w:t>
      </w:r>
      <w:r w:rsidRPr="007963EB">
        <w:rPr>
          <w:i/>
          <w:szCs w:val="24"/>
        </w:rPr>
        <w:t>.</w:t>
      </w:r>
      <w:r>
        <w:rPr>
          <w:i/>
          <w:szCs w:val="24"/>
        </w:rPr>
        <w:t> </w:t>
      </w:r>
      <w:r w:rsidRPr="007963EB">
        <w:rPr>
          <w:i/>
          <w:szCs w:val="24"/>
        </w:rPr>
        <w:t xml:space="preserve">gada </w:t>
      </w:r>
      <w:r>
        <w:rPr>
          <w:i/>
          <w:szCs w:val="24"/>
        </w:rPr>
        <w:t>31. augustam</w:t>
      </w:r>
      <w:r w:rsidRPr="007963EB">
        <w:rPr>
          <w:i/>
          <w:szCs w:val="24"/>
        </w:rPr>
        <w:t xml:space="preserve"> uzņemtās saistī</w:t>
      </w:r>
      <w:r>
        <w:rPr>
          <w:i/>
          <w:szCs w:val="24"/>
        </w:rPr>
        <w:t xml:space="preserve">bas, nominālvērtībā, milj. </w:t>
      </w:r>
      <w:proofErr w:type="spellStart"/>
      <w:r>
        <w:rPr>
          <w:i/>
          <w:szCs w:val="24"/>
        </w:rPr>
        <w:t>euro</w:t>
      </w:r>
      <w:proofErr w:type="spellEnd"/>
      <w:r>
        <w:rPr>
          <w:i/>
          <w:szCs w:val="24"/>
        </w:rPr>
        <w:t>)</w:t>
      </w:r>
    </w:p>
    <w:p w14:paraId="45C9F31E" w14:textId="77777777" w:rsidR="00C43984" w:rsidRDefault="00C43984" w:rsidP="00C43984">
      <w:pPr>
        <w:spacing w:after="0"/>
        <w:ind w:firstLine="0"/>
        <w:jc w:val="center"/>
        <w:rPr>
          <w:noProof/>
          <w:lang w:eastAsia="lv-LV"/>
        </w:rPr>
      </w:pPr>
      <w:r>
        <w:rPr>
          <w:noProof/>
          <w:lang w:eastAsia="lv-LV"/>
        </w:rPr>
        <w:drawing>
          <wp:inline distT="0" distB="0" distL="0" distR="0" wp14:anchorId="48F70051" wp14:editId="46D40E46">
            <wp:extent cx="5767118" cy="2082800"/>
            <wp:effectExtent l="0" t="0" r="5080" b="0"/>
            <wp:docPr id="14" name="Picture 14"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 bar chart&#10;&#10;Description automatically generated"/>
                    <pic:cNvPicPr/>
                  </pic:nvPicPr>
                  <pic:blipFill>
                    <a:blip r:embed="rId11"/>
                    <a:stretch>
                      <a:fillRect/>
                    </a:stretch>
                  </pic:blipFill>
                  <pic:spPr>
                    <a:xfrm>
                      <a:off x="0" y="0"/>
                      <a:ext cx="5776488" cy="2086184"/>
                    </a:xfrm>
                    <a:prstGeom prst="rect">
                      <a:avLst/>
                    </a:prstGeom>
                  </pic:spPr>
                </pic:pic>
              </a:graphicData>
            </a:graphic>
          </wp:inline>
        </w:drawing>
      </w:r>
    </w:p>
    <w:p w14:paraId="02CBC2C3" w14:textId="77777777" w:rsidR="00DF5BB6" w:rsidRDefault="00DF5BB6" w:rsidP="00DF5BB6">
      <w:pPr>
        <w:spacing w:after="0"/>
        <w:ind w:firstLine="0"/>
        <w:jc w:val="left"/>
        <w:rPr>
          <w:i/>
          <w:sz w:val="18"/>
          <w:szCs w:val="18"/>
        </w:rPr>
      </w:pPr>
    </w:p>
    <w:p w14:paraId="6F809B17" w14:textId="7238A982" w:rsidR="00C43984" w:rsidRPr="00DF5BB6" w:rsidRDefault="00C43984" w:rsidP="00DF5BB6">
      <w:pPr>
        <w:spacing w:after="0"/>
        <w:ind w:firstLine="0"/>
        <w:jc w:val="left"/>
        <w:rPr>
          <w:i/>
          <w:sz w:val="18"/>
          <w:szCs w:val="18"/>
        </w:rPr>
      </w:pPr>
      <w:r w:rsidRPr="00DF5BB6">
        <w:rPr>
          <w:i/>
          <w:sz w:val="18"/>
          <w:szCs w:val="18"/>
        </w:rPr>
        <w:t>* aprēķinā izmantoti 30.08.2021. Eiropas Centrālās bankas noteiktie valūtu kursi</w:t>
      </w:r>
    </w:p>
    <w:p w14:paraId="01B5DC0D" w14:textId="1FD28DB9" w:rsidR="00C43984" w:rsidRPr="00996C0B" w:rsidRDefault="00C43984" w:rsidP="00996C0B">
      <w:pPr>
        <w:spacing w:after="240"/>
        <w:ind w:firstLine="0"/>
        <w:jc w:val="left"/>
        <w:rPr>
          <w:i/>
          <w:sz w:val="18"/>
          <w:szCs w:val="18"/>
        </w:rPr>
      </w:pPr>
      <w:r w:rsidRPr="00DF5BB6">
        <w:rPr>
          <w:i/>
          <w:sz w:val="18"/>
          <w:szCs w:val="18"/>
        </w:rPr>
        <w:t>** 2009.-2011.gada starptautiskā aizņēmuma programmas ietvaros piešķirtais finansējums</w:t>
      </w:r>
    </w:p>
    <w:p w14:paraId="6EB9E989" w14:textId="5932EF2C" w:rsidR="00001849" w:rsidRDefault="00C43984" w:rsidP="00F84106">
      <w:pPr>
        <w:pStyle w:val="BodyTextIndent"/>
        <w:ind w:left="0"/>
      </w:pPr>
      <w:r w:rsidRPr="00A942FC">
        <w:t>Finansēšanas nepieciešamības apjoms 20</w:t>
      </w:r>
      <w:r>
        <w:t>21.</w:t>
      </w:r>
      <w:r w:rsidR="00886478" w:rsidRPr="00886478">
        <w:t xml:space="preserve"> </w:t>
      </w:r>
      <w:r w:rsidR="00886478">
        <w:t>–</w:t>
      </w:r>
      <w:r w:rsidR="00886478">
        <w:t xml:space="preserve"> </w:t>
      </w:r>
      <w:r w:rsidRPr="00A942FC">
        <w:t>20</w:t>
      </w:r>
      <w:r>
        <w:t>23</w:t>
      </w:r>
      <w:r w:rsidRPr="00A942FC">
        <w:t>.</w:t>
      </w:r>
      <w:r>
        <w:t xml:space="preserve"> </w:t>
      </w:r>
      <w:r w:rsidRPr="00A942FC">
        <w:t xml:space="preserve">gadam prognozēts, </w:t>
      </w:r>
      <w:r>
        <w:t xml:space="preserve">ņemot vērā </w:t>
      </w:r>
      <w:r w:rsidRPr="00A942FC">
        <w:t>valsts budžeta finansiālās bilances</w:t>
      </w:r>
      <w:r>
        <w:t>,</w:t>
      </w:r>
      <w:r w:rsidRPr="00A942FC">
        <w:t xml:space="preserve"> finansējamo tīro aizdevumu</w:t>
      </w:r>
      <w:r>
        <w:t xml:space="preserve">, norēķinu kontu un citu līdzekļu plūsmu </w:t>
      </w:r>
      <w:r w:rsidRPr="00A942FC">
        <w:t xml:space="preserve">Valsts kases kontos </w:t>
      </w:r>
      <w:r>
        <w:t>prognozes, kā arī šajā periodā</w:t>
      </w:r>
      <w:r w:rsidRPr="00A942FC">
        <w:t xml:space="preserve"> </w:t>
      </w:r>
      <w:r>
        <w:t>atmaksājamo</w:t>
      </w:r>
      <w:r w:rsidRPr="00A942FC">
        <w:t xml:space="preserve"> valsts parāda saistību apjomu</w:t>
      </w:r>
      <w:r>
        <w:t xml:space="preserve"> (skat.</w:t>
      </w:r>
      <w:r w:rsidRPr="00A942FC">
        <w:t xml:space="preserve"> </w:t>
      </w:r>
      <w:r w:rsidR="0038659C">
        <w:t>6.</w:t>
      </w:r>
      <w:r>
        <w:t>1</w:t>
      </w:r>
      <w:r w:rsidRPr="00A942FC">
        <w:t>.</w:t>
      </w:r>
      <w:r>
        <w:t xml:space="preserve"> tabulu</w:t>
      </w:r>
      <w:r w:rsidRPr="00A942FC">
        <w:t>)</w:t>
      </w:r>
      <w:r>
        <w:t>. Atšķirībā no līdz 2020.</w:t>
      </w:r>
      <w:r w:rsidR="006F2457">
        <w:t xml:space="preserve"> </w:t>
      </w:r>
      <w:r>
        <w:t>gadam novērotās situācijas, kad finansēšanas nepieciešamības būtiskāko daļu veidoja uzņemto valsts parāda saistību atmaksa,</w:t>
      </w:r>
      <w:r w:rsidRPr="00A7499E">
        <w:t xml:space="preserve"> </w:t>
      </w:r>
      <w:r w:rsidR="006226E9">
        <w:br/>
      </w:r>
      <w:r w:rsidRPr="00A7499E">
        <w:t>202</w:t>
      </w:r>
      <w:r>
        <w:t>1.</w:t>
      </w:r>
      <w:r w:rsidR="00886478" w:rsidRPr="00886478">
        <w:t xml:space="preserve"> </w:t>
      </w:r>
      <w:r w:rsidR="00886478">
        <w:t>–</w:t>
      </w:r>
      <w:r w:rsidR="00886478">
        <w:t xml:space="preserve"> </w:t>
      </w:r>
      <w:r w:rsidRPr="00FF6EEB">
        <w:t>202</w:t>
      </w:r>
      <w:r>
        <w:t>2</w:t>
      </w:r>
      <w:r w:rsidRPr="00FF6EEB">
        <w:t>.</w:t>
      </w:r>
      <w:r>
        <w:t> </w:t>
      </w:r>
      <w:r w:rsidRPr="00FF6EEB">
        <w:t>gadā</w:t>
      </w:r>
      <w:r w:rsidRPr="00FA2B1C">
        <w:t xml:space="preserve"> būtiskāko daļu no šajā periodā prognozētā finansēšanas nepieciešamības apjoma veidos </w:t>
      </w:r>
      <w:r>
        <w:t>gan valsts budžeta deficīts, ņemot vērā Covid-19 uzliesmojuma fiskālo ietekmi vidējā termiņā, gan</w:t>
      </w:r>
      <w:r w:rsidRPr="00FA2B1C">
        <w:t xml:space="preserve"> plānotā valsts parāda atmaksa.</w:t>
      </w:r>
    </w:p>
    <w:p w14:paraId="5BC79A1F" w14:textId="4FD3DE4C" w:rsidR="00C43984" w:rsidRPr="00C56992" w:rsidRDefault="0038659C" w:rsidP="00C43984">
      <w:pPr>
        <w:pStyle w:val="BodyTextIndent"/>
        <w:spacing w:after="0"/>
        <w:ind w:left="0" w:firstLine="0"/>
        <w:jc w:val="center"/>
        <w:rPr>
          <w:b/>
          <w:szCs w:val="24"/>
        </w:rPr>
      </w:pPr>
      <w:r>
        <w:rPr>
          <w:b/>
          <w:i/>
          <w:szCs w:val="24"/>
        </w:rPr>
        <w:lastRenderedPageBreak/>
        <w:t>6.</w:t>
      </w:r>
      <w:r w:rsidR="00C43984" w:rsidRPr="00906837">
        <w:rPr>
          <w:b/>
          <w:i/>
          <w:szCs w:val="24"/>
        </w:rPr>
        <w:t xml:space="preserve">1. tabula </w:t>
      </w:r>
      <w:r w:rsidR="00C43984" w:rsidRPr="00906837">
        <w:rPr>
          <w:b/>
          <w:szCs w:val="24"/>
        </w:rPr>
        <w:t>Finansēšanas nepieciešamības indikatīvs aprēķins</w:t>
      </w:r>
      <w:r w:rsidR="00C43984" w:rsidRPr="00C56992">
        <w:rPr>
          <w:b/>
          <w:szCs w:val="24"/>
        </w:rPr>
        <w:t xml:space="preserve"> </w:t>
      </w:r>
    </w:p>
    <w:p w14:paraId="137085C9" w14:textId="3742F80B" w:rsidR="00C43984" w:rsidRDefault="00C43984" w:rsidP="00C43984">
      <w:pPr>
        <w:pStyle w:val="BodyTextIndent"/>
        <w:ind w:left="0" w:firstLine="0"/>
        <w:jc w:val="center"/>
        <w:rPr>
          <w:b/>
          <w:i/>
          <w:szCs w:val="24"/>
        </w:rPr>
      </w:pPr>
      <w:r w:rsidRPr="00A7499E">
        <w:rPr>
          <w:b/>
          <w:szCs w:val="24"/>
        </w:rPr>
        <w:t>202</w:t>
      </w:r>
      <w:r>
        <w:rPr>
          <w:b/>
          <w:szCs w:val="24"/>
        </w:rPr>
        <w:t>1</w:t>
      </w:r>
      <w:r w:rsidRPr="00C56992">
        <w:rPr>
          <w:b/>
          <w:szCs w:val="24"/>
        </w:rPr>
        <w:t>.</w:t>
      </w:r>
      <w:r w:rsidR="00996C0B">
        <w:rPr>
          <w:b/>
          <w:szCs w:val="24"/>
        </w:rPr>
        <w:t>-2</w:t>
      </w:r>
      <w:r w:rsidRPr="00C56992">
        <w:rPr>
          <w:b/>
          <w:szCs w:val="24"/>
        </w:rPr>
        <w:t>02</w:t>
      </w:r>
      <w:r>
        <w:rPr>
          <w:b/>
          <w:szCs w:val="24"/>
        </w:rPr>
        <w:t>4</w:t>
      </w:r>
      <w:r w:rsidRPr="00C56992">
        <w:rPr>
          <w:b/>
          <w:szCs w:val="24"/>
        </w:rPr>
        <w:t>. gadam, milj.</w:t>
      </w:r>
      <w:r w:rsidRPr="00FF6EEB">
        <w:rPr>
          <w:b/>
          <w:i/>
          <w:szCs w:val="24"/>
        </w:rPr>
        <w:t xml:space="preserve"> </w:t>
      </w:r>
      <w:proofErr w:type="spellStart"/>
      <w:r w:rsidRPr="00FF6EEB">
        <w:rPr>
          <w:b/>
          <w:i/>
          <w:szCs w:val="24"/>
        </w:rPr>
        <w:t>euro</w:t>
      </w:r>
      <w:proofErr w:type="spellEnd"/>
      <w:r>
        <w:rPr>
          <w:b/>
          <w:i/>
          <w:szCs w:val="24"/>
        </w:rPr>
        <w:t xml:space="preserve"> </w:t>
      </w:r>
    </w:p>
    <w:p w14:paraId="5EC9206C" w14:textId="77777777" w:rsidR="00C43984" w:rsidRDefault="00C43984" w:rsidP="00B70EF0">
      <w:pPr>
        <w:spacing w:before="240" w:after="240"/>
        <w:ind w:firstLine="0"/>
        <w:jc w:val="center"/>
      </w:pPr>
      <w:r>
        <w:rPr>
          <w:noProof/>
          <w:lang w:eastAsia="lv-LV"/>
        </w:rPr>
        <w:drawing>
          <wp:inline distT="0" distB="0" distL="0" distR="0" wp14:anchorId="50346E04" wp14:editId="066D8073">
            <wp:extent cx="5760085" cy="1269365"/>
            <wp:effectExtent l="0" t="0" r="0" b="6985"/>
            <wp:docPr id="6" name="Picture 6"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with low confidence"/>
                    <pic:cNvPicPr/>
                  </pic:nvPicPr>
                  <pic:blipFill>
                    <a:blip r:embed="rId12"/>
                    <a:stretch>
                      <a:fillRect/>
                    </a:stretch>
                  </pic:blipFill>
                  <pic:spPr>
                    <a:xfrm>
                      <a:off x="0" y="0"/>
                      <a:ext cx="5760085" cy="1269365"/>
                    </a:xfrm>
                    <a:prstGeom prst="rect">
                      <a:avLst/>
                    </a:prstGeom>
                  </pic:spPr>
                </pic:pic>
              </a:graphicData>
            </a:graphic>
          </wp:inline>
        </w:drawing>
      </w:r>
    </w:p>
    <w:p w14:paraId="64EDB61C" w14:textId="120E5E3A" w:rsidR="00C43984" w:rsidRDefault="00C43984" w:rsidP="00B70EF0">
      <w:pPr>
        <w:spacing w:after="240"/>
      </w:pPr>
      <w:r w:rsidRPr="009D3D79">
        <w:t>202</w:t>
      </w:r>
      <w:r>
        <w:t>1</w:t>
      </w:r>
      <w:r w:rsidRPr="009D3D79">
        <w:t>.</w:t>
      </w:r>
      <w:r w:rsidR="009F5A5C">
        <w:t xml:space="preserve"> </w:t>
      </w:r>
      <w:r w:rsidRPr="009D3D79">
        <w:t>gada atlikušajā periodā kopējai finansēšanas nepieciešamības segšanai, t.sk. līdz 202</w:t>
      </w:r>
      <w:r>
        <w:t>1</w:t>
      </w:r>
      <w:r w:rsidRPr="009D3D79">
        <w:t>. gada beigām un 202</w:t>
      </w:r>
      <w:r>
        <w:t>2</w:t>
      </w:r>
      <w:r w:rsidRPr="009D3D79">
        <w:t xml:space="preserve">. gada sākumā plānoto valsts parāda saistību izpildei, tiks izmantoti Valsts kases kontos pieejamie resursi, kā arī aizņemšanās </w:t>
      </w:r>
      <w:r>
        <w:t>finanšu tirgos</w:t>
      </w:r>
      <w:r w:rsidRPr="009D3D79">
        <w:t xml:space="preserve">. Savukārt vidējā termiņā, </w:t>
      </w:r>
      <w:r w:rsidRPr="00B04197">
        <w:rPr>
          <w:szCs w:val="26"/>
        </w:rPr>
        <w:t>līdzīgi kā iepriekšējos gados, aizņemšanos plānots nodrošināt galvenokārt ar publiskām ilgtermiņa etalona eiroobligāciju emisijām, prioritāri izvēloties garākus atmaksas termiņus, lai fiksētu zemas valsts parāda apkalpošanas izmaksas ilgtermiņā</w:t>
      </w:r>
      <w:r>
        <w:rPr>
          <w:szCs w:val="26"/>
        </w:rPr>
        <w:t>, kā arī</w:t>
      </w:r>
      <w:r w:rsidRPr="00B04197">
        <w:rPr>
          <w:szCs w:val="26"/>
        </w:rPr>
        <w:t xml:space="preserve"> uzturot pēc iespējas plašākas un elastīgākas finansiāli izdevīgākā aizņemšanās instrumenta izvēles iespējas, lai arī nākamajos gados veiktu valsts budžeta izpildei un parāda pārfinansēšanai nepieciešamo resursu piesaisti ar labvēlīgiem nosacījumiem.</w:t>
      </w:r>
      <w:r w:rsidRPr="00B04197">
        <w:t xml:space="preserve"> </w:t>
      </w:r>
      <w:r w:rsidRPr="004D5089">
        <w:t xml:space="preserve">Iekšējā finanšu tirgū arī turpmāk plānots uzturēt pieprasījumam atbilstošu vērtspapīru piedāvājumu primāro dīleru sistēmas ietvaros, </w:t>
      </w:r>
      <w:r>
        <w:t xml:space="preserve">t.sk. turpinot apgrozībā esošo eiroobligāciju papildu laidienus, </w:t>
      </w:r>
      <w:r w:rsidRPr="004D5089">
        <w:t>sekmējot valsts vērtspapīru tirgus aktivitāti un likviditāti</w:t>
      </w:r>
      <w:r>
        <w:t>.</w:t>
      </w:r>
      <w:r w:rsidRPr="00293F5E">
        <w:t xml:space="preserve"> </w:t>
      </w:r>
    </w:p>
    <w:p w14:paraId="0E703913" w14:textId="2890C7F4" w:rsidR="00C43984" w:rsidRDefault="00917021" w:rsidP="009F5A5C">
      <w:pPr>
        <w:pStyle w:val="tabvirsr"/>
        <w:spacing w:before="240"/>
        <w:rPr>
          <w:rFonts w:ascii="Times New Roman" w:hAnsi="Times New Roman"/>
          <w:sz w:val="24"/>
          <w:szCs w:val="24"/>
          <w:lang w:val="lv-LV"/>
        </w:rPr>
      </w:pPr>
      <w:r>
        <w:rPr>
          <w:rFonts w:ascii="Times New Roman" w:hAnsi="Times New Roman"/>
          <w:i/>
          <w:sz w:val="24"/>
          <w:szCs w:val="24"/>
          <w:lang w:val="lv-LV"/>
        </w:rPr>
        <w:t>6.</w:t>
      </w:r>
      <w:r w:rsidR="00C43984" w:rsidRPr="00906837">
        <w:rPr>
          <w:rFonts w:ascii="Times New Roman" w:hAnsi="Times New Roman"/>
          <w:i/>
          <w:sz w:val="24"/>
          <w:szCs w:val="24"/>
          <w:lang w:val="lv-LV"/>
        </w:rPr>
        <w:t xml:space="preserve">5. attēls </w:t>
      </w:r>
      <w:r w:rsidR="00C43984" w:rsidRPr="00906837">
        <w:rPr>
          <w:rFonts w:ascii="Times New Roman" w:hAnsi="Times New Roman"/>
          <w:sz w:val="24"/>
          <w:szCs w:val="24"/>
          <w:lang w:val="lv-LV"/>
        </w:rPr>
        <w:t>Valsts parāda prognoze</w:t>
      </w:r>
    </w:p>
    <w:p w14:paraId="024A4CC5" w14:textId="77777777" w:rsidR="00C43984" w:rsidRPr="000C3D39" w:rsidRDefault="00C43984" w:rsidP="00C43984">
      <w:pPr>
        <w:pStyle w:val="tabvirsr"/>
        <w:spacing w:after="240"/>
        <w:rPr>
          <w:rFonts w:ascii="Times New Roman" w:hAnsi="Times New Roman"/>
          <w:b w:val="0"/>
          <w:sz w:val="24"/>
          <w:szCs w:val="24"/>
          <w:lang w:val="lv-LV"/>
        </w:rPr>
      </w:pPr>
      <w:r>
        <w:rPr>
          <w:rFonts w:ascii="Times New Roman" w:hAnsi="Times New Roman"/>
          <w:b w:val="0"/>
          <w:szCs w:val="24"/>
          <w:lang w:val="lv-LV"/>
        </w:rPr>
        <w:t>(pēc nacionālās metodoloģijas, bez</w:t>
      </w:r>
      <w:r w:rsidRPr="006B3E31">
        <w:rPr>
          <w:rFonts w:ascii="Times New Roman" w:hAnsi="Times New Roman"/>
          <w:b w:val="0"/>
          <w:szCs w:val="24"/>
          <w:lang w:val="lv-LV"/>
        </w:rPr>
        <w:t xml:space="preserve"> atvasināt</w:t>
      </w:r>
      <w:r>
        <w:rPr>
          <w:rFonts w:ascii="Times New Roman" w:hAnsi="Times New Roman"/>
          <w:b w:val="0"/>
          <w:szCs w:val="24"/>
          <w:lang w:val="lv-LV"/>
        </w:rPr>
        <w:t>ajiem</w:t>
      </w:r>
      <w:r w:rsidRPr="006B3E31">
        <w:rPr>
          <w:rFonts w:ascii="Times New Roman" w:hAnsi="Times New Roman"/>
          <w:b w:val="0"/>
          <w:szCs w:val="24"/>
          <w:lang w:val="lv-LV"/>
        </w:rPr>
        <w:t xml:space="preserve"> finanšu instrument</w:t>
      </w:r>
      <w:r>
        <w:rPr>
          <w:rFonts w:ascii="Times New Roman" w:hAnsi="Times New Roman"/>
          <w:b w:val="0"/>
          <w:szCs w:val="24"/>
          <w:lang w:val="lv-LV"/>
        </w:rPr>
        <w:t>iem)</w:t>
      </w:r>
    </w:p>
    <w:p w14:paraId="776FE440" w14:textId="77777777" w:rsidR="00C43984" w:rsidRDefault="00C43984" w:rsidP="00C43984">
      <w:pPr>
        <w:pStyle w:val="BodyTextIndent"/>
        <w:ind w:left="0" w:firstLine="0"/>
        <w:jc w:val="center"/>
      </w:pPr>
      <w:r>
        <w:rPr>
          <w:noProof/>
          <w:lang w:eastAsia="lv-LV"/>
        </w:rPr>
        <w:drawing>
          <wp:inline distT="0" distB="0" distL="0" distR="0" wp14:anchorId="31E56BF5" wp14:editId="2B2B11EC">
            <wp:extent cx="4082591" cy="2250440"/>
            <wp:effectExtent l="0" t="0" r="0" b="0"/>
            <wp:docPr id="9" name="Picture 9"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screenshot of a computer&#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98410" cy="2259160"/>
                    </a:xfrm>
                    <a:prstGeom prst="rect">
                      <a:avLst/>
                    </a:prstGeom>
                    <a:noFill/>
                  </pic:spPr>
                </pic:pic>
              </a:graphicData>
            </a:graphic>
          </wp:inline>
        </w:drawing>
      </w:r>
    </w:p>
    <w:p w14:paraId="1A945E6B" w14:textId="693CA536" w:rsidR="00C43984" w:rsidRPr="001A3890" w:rsidRDefault="00C43984" w:rsidP="00996C0B">
      <w:pPr>
        <w:spacing w:before="240"/>
        <w:rPr>
          <w:szCs w:val="26"/>
          <w:highlight w:val="yellow"/>
        </w:rPr>
      </w:pPr>
      <w:r>
        <w:rPr>
          <w:szCs w:val="26"/>
        </w:rPr>
        <w:t>S</w:t>
      </w:r>
      <w:r w:rsidRPr="00DF0523">
        <w:rPr>
          <w:szCs w:val="26"/>
        </w:rPr>
        <w:t xml:space="preserve">agaidāms, ka </w:t>
      </w:r>
      <w:r>
        <w:rPr>
          <w:szCs w:val="26"/>
        </w:rPr>
        <w:t xml:space="preserve">joprojām aktuālā </w:t>
      </w:r>
      <w:r w:rsidRPr="00DF0523">
        <w:rPr>
          <w:szCs w:val="26"/>
        </w:rPr>
        <w:t xml:space="preserve">nepieciešamība nodrošināt </w:t>
      </w:r>
      <w:r>
        <w:rPr>
          <w:szCs w:val="26"/>
        </w:rPr>
        <w:t>finansējumu</w:t>
      </w:r>
      <w:r w:rsidRPr="00DF0523">
        <w:rPr>
          <w:szCs w:val="26"/>
        </w:rPr>
        <w:t xml:space="preserve"> pasākumiem Covid-19 </w:t>
      </w:r>
      <w:r>
        <w:rPr>
          <w:szCs w:val="26"/>
        </w:rPr>
        <w:t>pandēmijas ietekmes</w:t>
      </w:r>
      <w:r w:rsidRPr="00DF0523">
        <w:rPr>
          <w:szCs w:val="26"/>
        </w:rPr>
        <w:t xml:space="preserve"> </w:t>
      </w:r>
      <w:r>
        <w:rPr>
          <w:szCs w:val="26"/>
        </w:rPr>
        <w:t>mazināšanai noteiks</w:t>
      </w:r>
      <w:r w:rsidRPr="00DF0523">
        <w:rPr>
          <w:szCs w:val="26"/>
        </w:rPr>
        <w:t xml:space="preserve"> </w:t>
      </w:r>
      <w:r>
        <w:rPr>
          <w:szCs w:val="26"/>
        </w:rPr>
        <w:t>valsts</w:t>
      </w:r>
      <w:r w:rsidRPr="00DF0523">
        <w:rPr>
          <w:szCs w:val="26"/>
        </w:rPr>
        <w:t xml:space="preserve"> parāda</w:t>
      </w:r>
      <w:r>
        <w:rPr>
          <w:szCs w:val="26"/>
        </w:rPr>
        <w:t xml:space="preserve"> pieaugumu uz 2021. gada beigām līdz 48% no IKP un 2022.</w:t>
      </w:r>
      <w:r w:rsidR="009F5A5C">
        <w:rPr>
          <w:szCs w:val="26"/>
        </w:rPr>
        <w:t xml:space="preserve"> </w:t>
      </w:r>
      <w:r>
        <w:rPr>
          <w:szCs w:val="26"/>
        </w:rPr>
        <w:t>gada beigās</w:t>
      </w:r>
      <w:r w:rsidRPr="00DF0523">
        <w:rPr>
          <w:szCs w:val="26"/>
        </w:rPr>
        <w:t xml:space="preserve"> līdz </w:t>
      </w:r>
      <w:r>
        <w:rPr>
          <w:szCs w:val="26"/>
        </w:rPr>
        <w:t>50</w:t>
      </w:r>
      <w:r w:rsidRPr="00DF0523">
        <w:rPr>
          <w:szCs w:val="26"/>
        </w:rPr>
        <w:t>% no IKP (sk</w:t>
      </w:r>
      <w:r>
        <w:rPr>
          <w:szCs w:val="26"/>
        </w:rPr>
        <w:t>at</w:t>
      </w:r>
      <w:r w:rsidRPr="00DF0523">
        <w:rPr>
          <w:szCs w:val="26"/>
        </w:rPr>
        <w:t xml:space="preserve">. </w:t>
      </w:r>
      <w:r w:rsidR="00917021">
        <w:rPr>
          <w:szCs w:val="26"/>
        </w:rPr>
        <w:t>6.</w:t>
      </w:r>
      <w:r>
        <w:rPr>
          <w:szCs w:val="26"/>
        </w:rPr>
        <w:t>5</w:t>
      </w:r>
      <w:r w:rsidRPr="00DF0523">
        <w:rPr>
          <w:szCs w:val="26"/>
        </w:rPr>
        <w:t>.</w:t>
      </w:r>
      <w:r w:rsidR="00B40624">
        <w:rPr>
          <w:szCs w:val="26"/>
        </w:rPr>
        <w:t> </w:t>
      </w:r>
      <w:r w:rsidRPr="00DF0523">
        <w:rPr>
          <w:szCs w:val="26"/>
        </w:rPr>
        <w:t xml:space="preserve">attēlu). Pēc </w:t>
      </w:r>
      <w:r w:rsidR="006226E9">
        <w:rPr>
          <w:szCs w:val="26"/>
        </w:rPr>
        <w:br/>
      </w:r>
      <w:r w:rsidRPr="00DF0523">
        <w:rPr>
          <w:szCs w:val="26"/>
        </w:rPr>
        <w:t>2022.</w:t>
      </w:r>
      <w:r w:rsidR="00886478" w:rsidRPr="00886478">
        <w:t xml:space="preserve"> </w:t>
      </w:r>
      <w:r w:rsidR="00886478">
        <w:t>–</w:t>
      </w:r>
      <w:r w:rsidR="00886478">
        <w:t xml:space="preserve"> </w:t>
      </w:r>
      <w:r w:rsidRPr="00DF0523">
        <w:rPr>
          <w:szCs w:val="26"/>
        </w:rPr>
        <w:t xml:space="preserve">2023.gadā plānotās valsts parāda atmaksas, kā arī </w:t>
      </w:r>
      <w:r>
        <w:rPr>
          <w:szCs w:val="26"/>
        </w:rPr>
        <w:t>mazinoties</w:t>
      </w:r>
      <w:r w:rsidRPr="00DF0523">
        <w:rPr>
          <w:szCs w:val="26"/>
        </w:rPr>
        <w:t xml:space="preserve"> Covid-19 uzliesmojuma ietekm</w:t>
      </w:r>
      <w:r>
        <w:rPr>
          <w:szCs w:val="26"/>
        </w:rPr>
        <w:t>e</w:t>
      </w:r>
      <w:r w:rsidRPr="00DF0523">
        <w:rPr>
          <w:szCs w:val="26"/>
        </w:rPr>
        <w:t xml:space="preserve">i uz valsts budžeta fiskālajiem radītajiem, sagaidāms, ka </w:t>
      </w:r>
      <w:r>
        <w:rPr>
          <w:szCs w:val="26"/>
        </w:rPr>
        <w:t xml:space="preserve">valsts </w:t>
      </w:r>
      <w:r w:rsidRPr="00DF0523">
        <w:rPr>
          <w:szCs w:val="26"/>
        </w:rPr>
        <w:t xml:space="preserve">parāda </w:t>
      </w:r>
      <w:r>
        <w:rPr>
          <w:szCs w:val="26"/>
        </w:rPr>
        <w:t>līmenis</w:t>
      </w:r>
      <w:r w:rsidRPr="00DF0523">
        <w:rPr>
          <w:szCs w:val="26"/>
        </w:rPr>
        <w:t>, sākot ar 2023.</w:t>
      </w:r>
      <w:r w:rsidR="009F5A5C">
        <w:rPr>
          <w:szCs w:val="26"/>
        </w:rPr>
        <w:t xml:space="preserve"> </w:t>
      </w:r>
      <w:r w:rsidRPr="00DF0523">
        <w:rPr>
          <w:szCs w:val="26"/>
        </w:rPr>
        <w:t>gadu</w:t>
      </w:r>
      <w:r>
        <w:rPr>
          <w:szCs w:val="26"/>
        </w:rPr>
        <w:t>,</w:t>
      </w:r>
      <w:r w:rsidRPr="00DF0523">
        <w:rPr>
          <w:szCs w:val="26"/>
        </w:rPr>
        <w:t xml:space="preserve"> nedaudz samazināsies un stabilizēsies attiecībā pret </w:t>
      </w:r>
      <w:r>
        <w:rPr>
          <w:szCs w:val="26"/>
        </w:rPr>
        <w:t xml:space="preserve">IKP </w:t>
      </w:r>
      <w:r w:rsidRPr="00AA105C">
        <w:rPr>
          <w:szCs w:val="26"/>
        </w:rPr>
        <w:t xml:space="preserve">(skat. </w:t>
      </w:r>
      <w:r w:rsidR="00886478">
        <w:rPr>
          <w:szCs w:val="26"/>
        </w:rPr>
        <w:t>6.</w:t>
      </w:r>
      <w:r>
        <w:rPr>
          <w:szCs w:val="26"/>
        </w:rPr>
        <w:t>5</w:t>
      </w:r>
      <w:r w:rsidRPr="00AA105C">
        <w:rPr>
          <w:szCs w:val="26"/>
        </w:rPr>
        <w:t>.</w:t>
      </w:r>
      <w:r w:rsidR="00B40624">
        <w:rPr>
          <w:szCs w:val="26"/>
        </w:rPr>
        <w:t> </w:t>
      </w:r>
      <w:r w:rsidRPr="00AA105C">
        <w:rPr>
          <w:szCs w:val="26"/>
        </w:rPr>
        <w:t>attēlu)</w:t>
      </w:r>
      <w:r>
        <w:rPr>
          <w:szCs w:val="26"/>
        </w:rPr>
        <w:t>.</w:t>
      </w:r>
    </w:p>
    <w:p w14:paraId="272DC8AF" w14:textId="77777777" w:rsidR="000051A1" w:rsidRPr="000051A1" w:rsidRDefault="000051A1" w:rsidP="009F5A5C">
      <w:pPr>
        <w:ind w:firstLine="0"/>
      </w:pPr>
    </w:p>
    <w:p w14:paraId="44972422" w14:textId="77B81AB3" w:rsidR="00902B54" w:rsidRDefault="004A0CB3" w:rsidP="00F47A9F">
      <w:pPr>
        <w:pStyle w:val="Heading2"/>
        <w:spacing w:before="240" w:after="120"/>
        <w:ind w:firstLine="0"/>
        <w:jc w:val="center"/>
        <w:rPr>
          <w:rFonts w:ascii="Times New Roman" w:hAnsi="Times New Roman" w:cs="Times New Roman"/>
          <w:b/>
          <w:color w:val="auto"/>
          <w:sz w:val="36"/>
          <w:szCs w:val="36"/>
        </w:rPr>
      </w:pPr>
      <w:r w:rsidRPr="006E6D01">
        <w:rPr>
          <w:rFonts w:ascii="Times New Roman" w:hAnsi="Times New Roman" w:cs="Times New Roman"/>
          <w:b/>
          <w:color w:val="auto"/>
          <w:sz w:val="36"/>
          <w:szCs w:val="36"/>
        </w:rPr>
        <w:lastRenderedPageBreak/>
        <w:t xml:space="preserve">6.3. </w:t>
      </w:r>
      <w:r w:rsidR="00902B54" w:rsidRPr="006E6D01">
        <w:rPr>
          <w:rFonts w:ascii="Times New Roman" w:hAnsi="Times New Roman" w:cs="Times New Roman"/>
          <w:b/>
          <w:color w:val="auto"/>
          <w:sz w:val="36"/>
          <w:szCs w:val="36"/>
        </w:rPr>
        <w:t>Valsts parāda</w:t>
      </w:r>
      <w:r w:rsidR="004C5A8E">
        <w:rPr>
          <w:rFonts w:ascii="Times New Roman" w:hAnsi="Times New Roman" w:cs="Times New Roman"/>
          <w:b/>
          <w:color w:val="auto"/>
          <w:sz w:val="36"/>
          <w:szCs w:val="36"/>
        </w:rPr>
        <w:t xml:space="preserve"> procentu izdevumu prognoze </w:t>
      </w:r>
      <w:r w:rsidR="00996C0B">
        <w:rPr>
          <w:rFonts w:ascii="Times New Roman" w:hAnsi="Times New Roman" w:cs="Times New Roman"/>
          <w:b/>
          <w:color w:val="auto"/>
          <w:sz w:val="36"/>
          <w:szCs w:val="36"/>
        </w:rPr>
        <w:br/>
      </w:r>
      <w:r w:rsidR="004C5A8E">
        <w:rPr>
          <w:rFonts w:ascii="Times New Roman" w:hAnsi="Times New Roman" w:cs="Times New Roman"/>
          <w:b/>
          <w:color w:val="auto"/>
          <w:sz w:val="36"/>
          <w:szCs w:val="36"/>
        </w:rPr>
        <w:t>202</w:t>
      </w:r>
      <w:r w:rsidR="00846F63">
        <w:rPr>
          <w:rFonts w:ascii="Times New Roman" w:hAnsi="Times New Roman" w:cs="Times New Roman"/>
          <w:b/>
          <w:color w:val="auto"/>
          <w:sz w:val="36"/>
          <w:szCs w:val="36"/>
        </w:rPr>
        <w:t>2</w:t>
      </w:r>
      <w:r w:rsidR="004C5A8E">
        <w:rPr>
          <w:rFonts w:ascii="Times New Roman" w:hAnsi="Times New Roman" w:cs="Times New Roman"/>
          <w:b/>
          <w:color w:val="auto"/>
          <w:sz w:val="36"/>
          <w:szCs w:val="36"/>
        </w:rPr>
        <w:t>.</w:t>
      </w:r>
      <w:r w:rsidR="0038659C" w:rsidRPr="0038659C">
        <w:rPr>
          <w:rFonts w:ascii="Times New Roman" w:hAnsi="Times New Roman" w:cs="Times New Roman"/>
          <w:b/>
          <w:color w:val="auto"/>
          <w:sz w:val="36"/>
          <w:szCs w:val="36"/>
        </w:rPr>
        <w:t xml:space="preserve"> </w:t>
      </w:r>
      <w:r w:rsidR="0038659C">
        <w:rPr>
          <w:rFonts w:ascii="Times New Roman" w:hAnsi="Times New Roman" w:cs="Times New Roman"/>
          <w:b/>
          <w:color w:val="auto"/>
          <w:sz w:val="36"/>
          <w:szCs w:val="36"/>
        </w:rPr>
        <w:t>–</w:t>
      </w:r>
      <w:r w:rsidR="0038659C">
        <w:rPr>
          <w:rFonts w:ascii="Times New Roman" w:hAnsi="Times New Roman" w:cs="Times New Roman"/>
          <w:b/>
          <w:color w:val="auto"/>
          <w:sz w:val="36"/>
          <w:szCs w:val="36"/>
        </w:rPr>
        <w:t xml:space="preserve"> </w:t>
      </w:r>
      <w:r w:rsidR="004C5A8E">
        <w:rPr>
          <w:rFonts w:ascii="Times New Roman" w:hAnsi="Times New Roman" w:cs="Times New Roman"/>
          <w:b/>
          <w:color w:val="auto"/>
          <w:sz w:val="36"/>
          <w:szCs w:val="36"/>
        </w:rPr>
        <w:t>202</w:t>
      </w:r>
      <w:r w:rsidR="00846F63">
        <w:rPr>
          <w:rFonts w:ascii="Times New Roman" w:hAnsi="Times New Roman" w:cs="Times New Roman"/>
          <w:b/>
          <w:color w:val="auto"/>
          <w:sz w:val="36"/>
          <w:szCs w:val="36"/>
        </w:rPr>
        <w:t>4</w:t>
      </w:r>
      <w:r w:rsidR="00902B54" w:rsidRPr="006E6D01">
        <w:rPr>
          <w:rFonts w:ascii="Times New Roman" w:hAnsi="Times New Roman" w:cs="Times New Roman"/>
          <w:b/>
          <w:color w:val="auto"/>
          <w:sz w:val="36"/>
          <w:szCs w:val="36"/>
        </w:rPr>
        <w:t>.</w:t>
      </w:r>
      <w:r w:rsidR="00C5361B">
        <w:rPr>
          <w:rFonts w:ascii="Times New Roman" w:hAnsi="Times New Roman" w:cs="Times New Roman"/>
          <w:b/>
          <w:color w:val="auto"/>
          <w:sz w:val="36"/>
          <w:szCs w:val="36"/>
        </w:rPr>
        <w:t xml:space="preserve"> </w:t>
      </w:r>
      <w:r w:rsidR="00902B54" w:rsidRPr="006E6D01">
        <w:rPr>
          <w:rFonts w:ascii="Times New Roman" w:hAnsi="Times New Roman" w:cs="Times New Roman"/>
          <w:b/>
          <w:color w:val="auto"/>
          <w:sz w:val="36"/>
          <w:szCs w:val="36"/>
        </w:rPr>
        <w:t>gadam</w:t>
      </w:r>
    </w:p>
    <w:p w14:paraId="0FB93096" w14:textId="6B18AB76" w:rsidR="009F5A5C" w:rsidRPr="00FA3126" w:rsidRDefault="009F5A5C" w:rsidP="009F5A5C">
      <w:pPr>
        <w:pStyle w:val="BodyTextIndent"/>
        <w:ind w:left="0"/>
      </w:pPr>
      <w:r w:rsidRPr="00FA3126">
        <w:t xml:space="preserve">Procentu maksājumi par valsts parāda saistībām tiek veikti no </w:t>
      </w:r>
      <w:r>
        <w:t xml:space="preserve">FM </w:t>
      </w:r>
      <w:r w:rsidRPr="00FA3126">
        <w:t xml:space="preserve">pamatbudžeta apakšprogrammas 31.02.00 </w:t>
      </w:r>
      <w:r>
        <w:t>“</w:t>
      </w:r>
      <w:r w:rsidRPr="00FA3126">
        <w:t>Valsts parāda vadība”. Apakšprogrammas ietvaros veicamo valsts parāda procentu izdevumu prognozi 202</w:t>
      </w:r>
      <w:r>
        <w:t>1</w:t>
      </w:r>
      <w:r w:rsidRPr="00FA3126">
        <w:t>.</w:t>
      </w:r>
      <w:r w:rsidR="00886478" w:rsidRPr="00886478">
        <w:t xml:space="preserve"> </w:t>
      </w:r>
      <w:r w:rsidR="00886478">
        <w:t>–</w:t>
      </w:r>
      <w:r w:rsidR="00886478">
        <w:t xml:space="preserve"> </w:t>
      </w:r>
      <w:r w:rsidRPr="00FA3126">
        <w:t>202</w:t>
      </w:r>
      <w:r>
        <w:t>4</w:t>
      </w:r>
      <w:r w:rsidRPr="00FA3126">
        <w:t>.</w:t>
      </w:r>
      <w:r>
        <w:t xml:space="preserve"> </w:t>
      </w:r>
      <w:r w:rsidRPr="00FA3126">
        <w:t>gadam galvenokārt ietekmē iepriekš uzņemto valsts parāda saistību apkalpošanas (procentu) izdevumi</w:t>
      </w:r>
      <w:r>
        <w:t>,</w:t>
      </w:r>
      <w:r w:rsidRPr="00FA3126">
        <w:t xml:space="preserve"> procentu maksājumi par jauniem aizņēmumiem, kuri prognozēti </w:t>
      </w:r>
      <w:r>
        <w:t xml:space="preserve">kārtējā un </w:t>
      </w:r>
      <w:r w:rsidRPr="00FA3126">
        <w:t>nākamajos gados, ņemot vērā finansēšanas nepieciešamības novērtējumu un valsts</w:t>
      </w:r>
      <w:r>
        <w:t xml:space="preserve"> parāda atmaksas grafiku (skat. </w:t>
      </w:r>
      <w:r w:rsidR="00917021">
        <w:t>6.</w:t>
      </w:r>
      <w:r>
        <w:t>1</w:t>
      </w:r>
      <w:r w:rsidRPr="00FA3126">
        <w:t>.</w:t>
      </w:r>
      <w:r>
        <w:t xml:space="preserve"> </w:t>
      </w:r>
      <w:r w:rsidRPr="00FA3126">
        <w:t>tabulu</w:t>
      </w:r>
      <w:r>
        <w:t xml:space="preserve"> un </w:t>
      </w:r>
      <w:r w:rsidR="00917021">
        <w:t>6.</w:t>
      </w:r>
      <w:r>
        <w:t>4.</w:t>
      </w:r>
      <w:r w:rsidR="00B40624">
        <w:t> </w:t>
      </w:r>
      <w:r>
        <w:t>attēlu</w:t>
      </w:r>
      <w:r w:rsidRPr="00FA3126">
        <w:t>)</w:t>
      </w:r>
      <w:r>
        <w:t>, kā arī valsts parāda portfeļa vadībai iepriekš noslēgtie atvasinātie finanšu instrumenti</w:t>
      </w:r>
      <w:r w:rsidRPr="00FA3126">
        <w:t>.</w:t>
      </w:r>
    </w:p>
    <w:p w14:paraId="4E89A011" w14:textId="6A306E96" w:rsidR="009F5A5C" w:rsidRDefault="009F5A5C" w:rsidP="009F5A5C">
      <w:pPr>
        <w:ind w:firstLine="567"/>
      </w:pPr>
      <w:r>
        <w:t>V</w:t>
      </w:r>
      <w:r w:rsidRPr="007D5C8C">
        <w:t>alsts parāda procentu izdevumos būtiskāko daļu kopējā procentu izdevumu apjomā veido valsts ārējā parāda apkalpošanas izdevumi par iepriekš uzņemtajām valsts parāda saistībām</w:t>
      </w:r>
      <w:r>
        <w:t xml:space="preserve"> un plānotajiem aizņēmumiem starptautiskajos finanšu tirgos</w:t>
      </w:r>
      <w:r w:rsidRPr="007D5C8C">
        <w:t xml:space="preserve"> (skat. </w:t>
      </w:r>
      <w:r w:rsidR="00917021">
        <w:t>6.</w:t>
      </w:r>
      <w:r>
        <w:t>6. attēlu</w:t>
      </w:r>
      <w:r w:rsidRPr="007D5C8C">
        <w:t>).</w:t>
      </w:r>
    </w:p>
    <w:p w14:paraId="10CE8126" w14:textId="64508AEC" w:rsidR="009F5A5C" w:rsidRDefault="00917021" w:rsidP="00DD07A1">
      <w:pPr>
        <w:pStyle w:val="tabvirsr"/>
        <w:spacing w:before="240"/>
        <w:rPr>
          <w:rFonts w:ascii="Times New Roman" w:hAnsi="Times New Roman"/>
          <w:i/>
          <w:sz w:val="24"/>
          <w:szCs w:val="24"/>
          <w:lang w:val="lv-LV"/>
        </w:rPr>
      </w:pPr>
      <w:r>
        <w:rPr>
          <w:rFonts w:ascii="Times New Roman" w:hAnsi="Times New Roman"/>
          <w:i/>
          <w:sz w:val="24"/>
          <w:szCs w:val="24"/>
          <w:lang w:val="lv-LV"/>
        </w:rPr>
        <w:t>6.</w:t>
      </w:r>
      <w:r w:rsidR="009F5A5C">
        <w:rPr>
          <w:rFonts w:ascii="Times New Roman" w:hAnsi="Times New Roman"/>
          <w:i/>
          <w:sz w:val="24"/>
          <w:szCs w:val="24"/>
          <w:lang w:val="lv-LV"/>
        </w:rPr>
        <w:t>6</w:t>
      </w:r>
      <w:r w:rsidR="009F5A5C" w:rsidRPr="00FE7FE5">
        <w:rPr>
          <w:rFonts w:ascii="Times New Roman" w:hAnsi="Times New Roman"/>
          <w:i/>
          <w:sz w:val="24"/>
          <w:szCs w:val="24"/>
          <w:lang w:val="lv-LV"/>
        </w:rPr>
        <w:t>. att</w:t>
      </w:r>
      <w:r w:rsidR="009F5A5C">
        <w:rPr>
          <w:rFonts w:ascii="Times New Roman" w:hAnsi="Times New Roman"/>
          <w:i/>
          <w:sz w:val="24"/>
          <w:szCs w:val="24"/>
          <w:lang w:val="lv-LV"/>
        </w:rPr>
        <w:t>ēls</w:t>
      </w:r>
      <w:r w:rsidR="009F5A5C" w:rsidRPr="00FE7FE5">
        <w:rPr>
          <w:rFonts w:ascii="Times New Roman" w:hAnsi="Times New Roman"/>
          <w:i/>
          <w:sz w:val="24"/>
          <w:szCs w:val="24"/>
          <w:lang w:val="lv-LV"/>
        </w:rPr>
        <w:t xml:space="preserve"> </w:t>
      </w:r>
      <w:r w:rsidR="009F5A5C" w:rsidRPr="00F47A9F">
        <w:rPr>
          <w:rFonts w:ascii="Times New Roman" w:hAnsi="Times New Roman"/>
          <w:sz w:val="24"/>
          <w:szCs w:val="24"/>
          <w:lang w:val="lv-LV"/>
        </w:rPr>
        <w:t>Valsts parāda procentu izdevumu prognoze 202</w:t>
      </w:r>
      <w:r w:rsidR="009F5A5C">
        <w:rPr>
          <w:rFonts w:ascii="Times New Roman" w:hAnsi="Times New Roman"/>
          <w:sz w:val="24"/>
          <w:szCs w:val="24"/>
          <w:lang w:val="lv-LV"/>
        </w:rPr>
        <w:t>1</w:t>
      </w:r>
      <w:r w:rsidR="009F5A5C" w:rsidRPr="00F47A9F">
        <w:rPr>
          <w:rFonts w:ascii="Times New Roman" w:hAnsi="Times New Roman"/>
          <w:sz w:val="24"/>
          <w:szCs w:val="24"/>
          <w:lang w:val="lv-LV"/>
        </w:rPr>
        <w:t>.</w:t>
      </w:r>
      <w:r w:rsidR="00DD07A1" w:rsidRPr="00DD07A1">
        <w:t xml:space="preserve"> </w:t>
      </w:r>
      <w:r w:rsidR="00DD07A1">
        <w:t>–</w:t>
      </w:r>
      <w:r w:rsidR="00DD07A1">
        <w:t xml:space="preserve"> </w:t>
      </w:r>
      <w:r w:rsidR="009F5A5C" w:rsidRPr="00F47A9F">
        <w:rPr>
          <w:rFonts w:ascii="Times New Roman" w:hAnsi="Times New Roman"/>
          <w:sz w:val="24"/>
          <w:szCs w:val="24"/>
          <w:lang w:val="lv-LV"/>
        </w:rPr>
        <w:t>202</w:t>
      </w:r>
      <w:r w:rsidR="009F5A5C">
        <w:rPr>
          <w:rFonts w:ascii="Times New Roman" w:hAnsi="Times New Roman"/>
          <w:sz w:val="24"/>
          <w:szCs w:val="24"/>
          <w:lang w:val="lv-LV"/>
        </w:rPr>
        <w:t>4</w:t>
      </w:r>
      <w:r w:rsidR="009F5A5C" w:rsidRPr="00F47A9F">
        <w:rPr>
          <w:rFonts w:ascii="Times New Roman" w:hAnsi="Times New Roman"/>
          <w:sz w:val="24"/>
          <w:szCs w:val="24"/>
          <w:lang w:val="lv-LV"/>
        </w:rPr>
        <w:t>. gadam, milj.</w:t>
      </w:r>
      <w:r w:rsidR="009F5A5C" w:rsidRPr="00FE7FE5">
        <w:rPr>
          <w:rFonts w:ascii="Times New Roman" w:hAnsi="Times New Roman"/>
          <w:i/>
          <w:sz w:val="24"/>
          <w:szCs w:val="24"/>
          <w:lang w:val="lv-LV"/>
        </w:rPr>
        <w:t xml:space="preserve"> </w:t>
      </w:r>
      <w:proofErr w:type="spellStart"/>
      <w:r w:rsidR="009F5A5C" w:rsidRPr="00FE7FE5">
        <w:rPr>
          <w:rFonts w:ascii="Times New Roman" w:hAnsi="Times New Roman"/>
          <w:i/>
          <w:sz w:val="24"/>
          <w:szCs w:val="24"/>
          <w:lang w:val="lv-LV"/>
        </w:rPr>
        <w:t>euro</w:t>
      </w:r>
      <w:proofErr w:type="spellEnd"/>
    </w:p>
    <w:p w14:paraId="5D3D4188" w14:textId="77777777" w:rsidR="009F5A5C" w:rsidRPr="00B34E0D" w:rsidRDefault="009F5A5C" w:rsidP="00DD07A1">
      <w:pPr>
        <w:pStyle w:val="tabvirsr"/>
        <w:spacing w:before="120" w:after="120"/>
        <w:rPr>
          <w:rFonts w:ascii="Times New Roman" w:hAnsi="Times New Roman"/>
          <w:b w:val="0"/>
          <w:sz w:val="24"/>
          <w:szCs w:val="24"/>
          <w:lang w:val="lv-LV"/>
        </w:rPr>
      </w:pPr>
      <w:r>
        <w:rPr>
          <w:rFonts w:ascii="Times New Roman" w:hAnsi="Times New Roman"/>
          <w:b w:val="0"/>
          <w:noProof/>
          <w:sz w:val="24"/>
          <w:szCs w:val="24"/>
          <w:lang w:val="lv-LV" w:eastAsia="lv-LV"/>
        </w:rPr>
        <w:drawing>
          <wp:inline distT="0" distB="0" distL="0" distR="0" wp14:anchorId="2CB09499" wp14:editId="0D417FBC">
            <wp:extent cx="4012698" cy="2324100"/>
            <wp:effectExtent l="0" t="0" r="6985" b="0"/>
            <wp:docPr id="21" name="Picture 21" descr="Chart, treemap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hart, treemap char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29464" cy="2333810"/>
                    </a:xfrm>
                    <a:prstGeom prst="rect">
                      <a:avLst/>
                    </a:prstGeom>
                    <a:noFill/>
                  </pic:spPr>
                </pic:pic>
              </a:graphicData>
            </a:graphic>
          </wp:inline>
        </w:drawing>
      </w:r>
    </w:p>
    <w:p w14:paraId="51D49C7F" w14:textId="2B50505C" w:rsidR="009F5A5C" w:rsidRPr="00B57EEF" w:rsidRDefault="009F5A5C" w:rsidP="00B70EF0">
      <w:pPr>
        <w:spacing w:after="240"/>
        <w:ind w:firstLine="0"/>
      </w:pPr>
      <w:r w:rsidRPr="00197614">
        <w:rPr>
          <w:i/>
          <w:sz w:val="18"/>
        </w:rPr>
        <w:t xml:space="preserve">* t.sk. procentu maksājumi kredītiestādēm no procentu maksājumiem piesaistītā atvasināto finanšu instrumentu rezultāta, procentu maksājumi par Valsts kases kontu atlikumiem un depozītiem, ja tiek piemērota negatīva procentu likme, procentu maksājumi valsts budžeta iestādēm, pašvaldībām un pārējiem ieguldītājiem par līdzekļu izvietošanu noguldījumos </w:t>
      </w:r>
      <w:r>
        <w:rPr>
          <w:i/>
          <w:sz w:val="18"/>
        </w:rPr>
        <w:t xml:space="preserve">un kontu atlikumos </w:t>
      </w:r>
      <w:r w:rsidRPr="00197614">
        <w:rPr>
          <w:i/>
          <w:sz w:val="18"/>
        </w:rPr>
        <w:t>Valsts kasē saskaņā ar noslēgtajiem līgumiem</w:t>
      </w:r>
    </w:p>
    <w:p w14:paraId="6484A4FA" w14:textId="77777777" w:rsidR="009F5A5C" w:rsidRDefault="009F5A5C" w:rsidP="00B57EEF">
      <w:pPr>
        <w:spacing w:before="240"/>
        <w:ind w:firstLine="567"/>
        <w:rPr>
          <w:szCs w:val="24"/>
        </w:rPr>
      </w:pPr>
      <w:r w:rsidRPr="00E42522">
        <w:rPr>
          <w:szCs w:val="24"/>
        </w:rPr>
        <w:t>Iepriekšējos gados īstenotā aizņemšanās stratēģija, kā arī zemo procentu likmju periodā labvēlīgā brīdī finanšu tirgos veiktie aizņēmumi nodrošināja valsts parāda procentu izdevumu samazināšanos pēdējos gados. Neskatoties uz ievērojamu aizņemšanās apjomu pieaugumu, ko izraisa Covid-19 uzliesmojuma seku mazināšanai un ekonomikas atbalstam veicamo un plānoto pasākumu finansēšanas nepieciešamība, iespēju samazināt vidējā termiņā plānotos procentu izdevumus nodrošina Covid-19 ietekmē vērojamas lejupvērstās procentu likmju tendences. Piemēram, 2021.gadā veiktajās obligāciju emisijās ar dzēšanas termiņu 10 gadi un 7 gadi fiksēta procentu likme 0% gadā.</w:t>
      </w:r>
      <w:r w:rsidRPr="00AE0288">
        <w:t xml:space="preserve"> </w:t>
      </w:r>
      <w:r>
        <w:t xml:space="preserve">Nākamajos gados </w:t>
      </w:r>
      <w:r w:rsidRPr="00AE0288">
        <w:rPr>
          <w:szCs w:val="24"/>
        </w:rPr>
        <w:t>apakšprogrammas izdevumu</w:t>
      </w:r>
      <w:r>
        <w:rPr>
          <w:szCs w:val="24"/>
        </w:rPr>
        <w:t>s noteiks turpmākas situācijas attīstība</w:t>
      </w:r>
      <w:r w:rsidRPr="00AE0288">
        <w:rPr>
          <w:szCs w:val="24"/>
        </w:rPr>
        <w:t xml:space="preserve"> finanšu tirgos</w:t>
      </w:r>
      <w:r>
        <w:rPr>
          <w:szCs w:val="24"/>
        </w:rPr>
        <w:t xml:space="preserve"> un fiskālo rādītāju izpilde.</w:t>
      </w:r>
    </w:p>
    <w:p w14:paraId="4FB9F9CA" w14:textId="77777777" w:rsidR="009F5A5C" w:rsidRDefault="009F5A5C" w:rsidP="009F5A5C">
      <w:pPr>
        <w:spacing w:after="0"/>
        <w:ind w:firstLine="567"/>
      </w:pPr>
      <w:r w:rsidRPr="007D5C8C">
        <w:t xml:space="preserve">Aizņemšanos vidējā termiņā plānots nodrošināt galvenokārt ar publiskām ilgtermiņa etalona eiroobligāciju emisijām, atbilstoši Valsts parāda un naudas līdzekļu vadības stratēģijai </w:t>
      </w:r>
      <w:r>
        <w:t>uzturot</w:t>
      </w:r>
      <w:r w:rsidRPr="007D5C8C">
        <w:t xml:space="preserve"> iespēja</w:t>
      </w:r>
      <w:r>
        <w:t>mi</w:t>
      </w:r>
      <w:r w:rsidRPr="007D5C8C">
        <w:t xml:space="preserve"> liel</w:t>
      </w:r>
      <w:r>
        <w:t>u</w:t>
      </w:r>
      <w:r w:rsidRPr="007D5C8C">
        <w:t xml:space="preserve"> elastību aizņemšanās nosacījumu izvēlē</w:t>
      </w:r>
      <w:r>
        <w:t xml:space="preserve">, lai </w:t>
      </w:r>
      <w:r w:rsidRPr="00AB0E02">
        <w:t>fiksētu zemas valsts parāda apkalpošanas izmaksas ilgtermiņā</w:t>
      </w:r>
      <w:r w:rsidRPr="007D5C8C">
        <w:t>.</w:t>
      </w:r>
    </w:p>
    <w:p w14:paraId="751708CA" w14:textId="77777777" w:rsidR="009F5A5C" w:rsidRPr="009F5A5C" w:rsidRDefault="009F5A5C" w:rsidP="009F5A5C"/>
    <w:p w14:paraId="44FCF5A5" w14:textId="60BD0727" w:rsidR="00902B54" w:rsidRDefault="004A0CB3" w:rsidP="00F84106">
      <w:pPr>
        <w:pStyle w:val="Heading2"/>
        <w:spacing w:before="240" w:after="240"/>
        <w:ind w:firstLine="0"/>
        <w:jc w:val="center"/>
        <w:rPr>
          <w:rFonts w:ascii="Times New Roman" w:hAnsi="Times New Roman" w:cs="Times New Roman"/>
          <w:b/>
          <w:color w:val="auto"/>
          <w:sz w:val="36"/>
          <w:szCs w:val="36"/>
        </w:rPr>
      </w:pPr>
      <w:r w:rsidRPr="006E6D01">
        <w:rPr>
          <w:rFonts w:ascii="Times New Roman" w:hAnsi="Times New Roman" w:cs="Times New Roman"/>
          <w:b/>
          <w:color w:val="auto"/>
          <w:sz w:val="36"/>
          <w:szCs w:val="36"/>
        </w:rPr>
        <w:lastRenderedPageBreak/>
        <w:t xml:space="preserve">6.4. </w:t>
      </w:r>
      <w:r w:rsidR="00902B54" w:rsidRPr="006E6D01">
        <w:rPr>
          <w:rFonts w:ascii="Times New Roman" w:hAnsi="Times New Roman" w:cs="Times New Roman"/>
          <w:b/>
          <w:color w:val="auto"/>
          <w:sz w:val="36"/>
          <w:szCs w:val="36"/>
        </w:rPr>
        <w:t>Valsts galvojumu saistības</w:t>
      </w:r>
    </w:p>
    <w:p w14:paraId="7399DEBB" w14:textId="1FB32A50" w:rsidR="00B57EEF" w:rsidRDefault="00B57EEF" w:rsidP="00996C0B">
      <w:pPr>
        <w:ind w:firstLine="720"/>
      </w:pPr>
      <w:r w:rsidRPr="00191386">
        <w:t>Kopējais valsts galvoto aizdevumu atlikums 20</w:t>
      </w:r>
      <w:r>
        <w:t>21</w:t>
      </w:r>
      <w:r w:rsidRPr="00191386">
        <w:t>.</w:t>
      </w:r>
      <w:r>
        <w:t> </w:t>
      </w:r>
      <w:r w:rsidRPr="00191386">
        <w:t xml:space="preserve">gada </w:t>
      </w:r>
      <w:r>
        <w:t xml:space="preserve">augusta </w:t>
      </w:r>
      <w:r w:rsidRPr="00191386">
        <w:t xml:space="preserve">beigās </w:t>
      </w:r>
      <w:r>
        <w:t>veidoja</w:t>
      </w:r>
      <w:r w:rsidRPr="00191386">
        <w:t xml:space="preserve"> </w:t>
      </w:r>
      <w:r>
        <w:t>404,4 </w:t>
      </w:r>
      <w:r w:rsidRPr="00191386">
        <w:t xml:space="preserve">milj. </w:t>
      </w:r>
      <w:proofErr w:type="spellStart"/>
      <w:r w:rsidRPr="007D652E">
        <w:rPr>
          <w:i/>
        </w:rPr>
        <w:t>euro</w:t>
      </w:r>
      <w:proofErr w:type="spellEnd"/>
      <w:r>
        <w:t xml:space="preserve"> (t.sk. </w:t>
      </w:r>
      <w:r w:rsidRPr="007E62F0">
        <w:t xml:space="preserve">saistības, par kurām valsts galvojums sniegts </w:t>
      </w:r>
      <w:proofErr w:type="spellStart"/>
      <w:r w:rsidRPr="007E62F0">
        <w:t>portfeļgarantijas</w:t>
      </w:r>
      <w:proofErr w:type="spellEnd"/>
      <w:r w:rsidRPr="007E62F0">
        <w:t xml:space="preserve"> veidā</w:t>
      </w:r>
      <w:r>
        <w:t xml:space="preserve"> un par </w:t>
      </w:r>
      <w:r w:rsidRPr="00497391">
        <w:t>Eiropas pagaidu atbalsta instrument</w:t>
      </w:r>
      <w:r>
        <w:t>u</w:t>
      </w:r>
      <w:r w:rsidRPr="00497391">
        <w:t xml:space="preserve"> bezdarba riska mazināšanai ārkārtas situācijā (SURE) pēc C</w:t>
      </w:r>
      <w:r>
        <w:t>ovid</w:t>
      </w:r>
      <w:r w:rsidRPr="00497391">
        <w:t>-19 uzliesmojuma</w:t>
      </w:r>
      <w:r>
        <w:t>)</w:t>
      </w:r>
      <w:r w:rsidRPr="00191386">
        <w:t>, k</w:t>
      </w:r>
      <w:r>
        <w:t>opš 2020</w:t>
      </w:r>
      <w:r w:rsidRPr="00191386">
        <w:t>.</w:t>
      </w:r>
      <w:r>
        <w:t> gada beigām</w:t>
      </w:r>
      <w:r w:rsidRPr="00191386">
        <w:t xml:space="preserve"> </w:t>
      </w:r>
      <w:r>
        <w:t>samazinoties</w:t>
      </w:r>
      <w:r w:rsidRPr="00191386">
        <w:t xml:space="preserve"> par </w:t>
      </w:r>
      <w:r>
        <w:t>137,0 </w:t>
      </w:r>
      <w:r w:rsidRPr="00191386">
        <w:t xml:space="preserve">milj. </w:t>
      </w:r>
      <w:proofErr w:type="spellStart"/>
      <w:r w:rsidRPr="007D652E">
        <w:rPr>
          <w:i/>
        </w:rPr>
        <w:t>euro</w:t>
      </w:r>
      <w:proofErr w:type="spellEnd"/>
      <w:r w:rsidRPr="00191386">
        <w:t>.</w:t>
      </w:r>
      <w:r>
        <w:t xml:space="preserve"> </w:t>
      </w:r>
      <w:r w:rsidR="00DD07A1">
        <w:t>6.</w:t>
      </w:r>
      <w:r w:rsidR="00917021">
        <w:t>7</w:t>
      </w:r>
      <w:r>
        <w:t>.</w:t>
      </w:r>
      <w:r w:rsidR="00B40624">
        <w:t> </w:t>
      </w:r>
      <w:r>
        <w:t>attēlā apkopota informācija par valsts galvoto aizdevumu maksājumiem (pamatsummu un procentu maksājumu kopsumma) vidējā termiņā.</w:t>
      </w:r>
    </w:p>
    <w:p w14:paraId="7102A41E" w14:textId="1307E9EB" w:rsidR="00B57EEF" w:rsidRDefault="00917021" w:rsidP="00B57EEF">
      <w:pPr>
        <w:pStyle w:val="BodyTextIndent"/>
        <w:ind w:left="0" w:firstLine="0"/>
        <w:jc w:val="center"/>
        <w:rPr>
          <w:b/>
          <w:i/>
          <w:szCs w:val="24"/>
        </w:rPr>
      </w:pPr>
      <w:r>
        <w:rPr>
          <w:b/>
          <w:i/>
          <w:szCs w:val="24"/>
        </w:rPr>
        <w:t>6.7</w:t>
      </w:r>
      <w:r w:rsidR="00B57EEF">
        <w:rPr>
          <w:b/>
          <w:i/>
          <w:szCs w:val="24"/>
        </w:rPr>
        <w:t xml:space="preserve">. </w:t>
      </w:r>
      <w:r w:rsidR="00B57EEF" w:rsidRPr="001C0BFE">
        <w:rPr>
          <w:b/>
          <w:i/>
          <w:szCs w:val="24"/>
        </w:rPr>
        <w:t xml:space="preserve">attēls. </w:t>
      </w:r>
      <w:r w:rsidR="00B57EEF" w:rsidRPr="001C0BFE">
        <w:rPr>
          <w:b/>
          <w:szCs w:val="24"/>
        </w:rPr>
        <w:t xml:space="preserve">Valsts galvoto aizdevumu </w:t>
      </w:r>
      <w:r w:rsidR="00B57EEF">
        <w:rPr>
          <w:b/>
          <w:szCs w:val="24"/>
        </w:rPr>
        <w:t>plānotās atmaksas un procentu maksājumi</w:t>
      </w:r>
      <w:r w:rsidR="00B57EEF" w:rsidRPr="001C0BFE">
        <w:rPr>
          <w:b/>
          <w:szCs w:val="24"/>
        </w:rPr>
        <w:t xml:space="preserve"> </w:t>
      </w:r>
      <w:r w:rsidR="00AE1723">
        <w:rPr>
          <w:b/>
          <w:szCs w:val="24"/>
        </w:rPr>
        <w:br/>
      </w:r>
      <w:r w:rsidR="00B57EEF" w:rsidRPr="001C0BFE">
        <w:rPr>
          <w:b/>
          <w:szCs w:val="24"/>
        </w:rPr>
        <w:t>2022. -2024. gadā, milj.</w:t>
      </w:r>
      <w:r w:rsidR="00B57EEF" w:rsidRPr="001C0BFE">
        <w:rPr>
          <w:b/>
          <w:i/>
          <w:szCs w:val="24"/>
        </w:rPr>
        <w:t xml:space="preserve"> </w:t>
      </w:r>
      <w:proofErr w:type="spellStart"/>
      <w:r w:rsidR="00B57EEF" w:rsidRPr="001C0BFE">
        <w:rPr>
          <w:b/>
          <w:i/>
          <w:szCs w:val="24"/>
        </w:rPr>
        <w:t>euro</w:t>
      </w:r>
      <w:proofErr w:type="spellEnd"/>
      <w:r w:rsidR="00B57EEF" w:rsidRPr="001C0BFE">
        <w:rPr>
          <w:b/>
          <w:i/>
          <w:szCs w:val="24"/>
        </w:rPr>
        <w:t>*</w:t>
      </w:r>
    </w:p>
    <w:p w14:paraId="0D5EFA3A" w14:textId="77777777" w:rsidR="00B57EEF" w:rsidRPr="001C0BFE" w:rsidRDefault="00B57EEF" w:rsidP="00B57EEF">
      <w:pPr>
        <w:pStyle w:val="BodyTextIndent"/>
        <w:ind w:left="0" w:firstLine="0"/>
        <w:jc w:val="center"/>
        <w:rPr>
          <w:szCs w:val="24"/>
        </w:rPr>
      </w:pPr>
      <w:r>
        <w:rPr>
          <w:noProof/>
          <w:lang w:eastAsia="lv-LV"/>
        </w:rPr>
        <w:drawing>
          <wp:inline distT="0" distB="0" distL="0" distR="0" wp14:anchorId="45AC4A75" wp14:editId="7DB151AD">
            <wp:extent cx="3651250" cy="2054457"/>
            <wp:effectExtent l="0" t="0" r="6350" b="3175"/>
            <wp:docPr id="16" name="Picture 16"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 waterfall chart&#10;&#10;Description automatically generated"/>
                    <pic:cNvPicPr/>
                  </pic:nvPicPr>
                  <pic:blipFill>
                    <a:blip r:embed="rId15"/>
                    <a:stretch>
                      <a:fillRect/>
                    </a:stretch>
                  </pic:blipFill>
                  <pic:spPr>
                    <a:xfrm>
                      <a:off x="0" y="0"/>
                      <a:ext cx="3665939" cy="2062722"/>
                    </a:xfrm>
                    <a:prstGeom prst="rect">
                      <a:avLst/>
                    </a:prstGeom>
                  </pic:spPr>
                </pic:pic>
              </a:graphicData>
            </a:graphic>
          </wp:inline>
        </w:drawing>
      </w:r>
    </w:p>
    <w:p w14:paraId="4EC84207" w14:textId="79C6E10D" w:rsidR="00B57EEF" w:rsidRPr="00B57EEF" w:rsidRDefault="00B57EEF" w:rsidP="00917021">
      <w:pPr>
        <w:ind w:firstLine="0"/>
      </w:pPr>
      <w:r w:rsidRPr="00094F17">
        <w:rPr>
          <w:i/>
          <w:sz w:val="18"/>
        </w:rPr>
        <w:t>*</w:t>
      </w:r>
      <w:r>
        <w:rPr>
          <w:i/>
          <w:sz w:val="18"/>
        </w:rPr>
        <w:t xml:space="preserve"> </w:t>
      </w:r>
      <w:r w:rsidRPr="001C0BFE">
        <w:rPr>
          <w:i/>
          <w:sz w:val="18"/>
        </w:rPr>
        <w:t xml:space="preserve">izņemot saistības, par kurām valsts galvojums sniegts </w:t>
      </w:r>
      <w:proofErr w:type="spellStart"/>
      <w:r w:rsidRPr="001C0BFE">
        <w:rPr>
          <w:i/>
          <w:sz w:val="18"/>
        </w:rPr>
        <w:t>portfeļgarantijas</w:t>
      </w:r>
      <w:proofErr w:type="spellEnd"/>
      <w:r w:rsidRPr="001C0BFE">
        <w:rPr>
          <w:i/>
          <w:sz w:val="18"/>
        </w:rPr>
        <w:t xml:space="preserve"> veidā un par Eiropas pagaidu atbalsta instrumentu bezdarba riska mazināšanai ārkārtas situācijā (SURE) pēc C</w:t>
      </w:r>
      <w:r w:rsidR="003D7E5B">
        <w:rPr>
          <w:i/>
          <w:sz w:val="18"/>
        </w:rPr>
        <w:t>ovid</w:t>
      </w:r>
      <w:r w:rsidRPr="001C0BFE">
        <w:rPr>
          <w:i/>
          <w:sz w:val="18"/>
        </w:rPr>
        <w:t>-19 uzliesmojuma</w:t>
      </w:r>
    </w:p>
    <w:p w14:paraId="5E9F712B" w14:textId="69F0C70A" w:rsidR="00FC3115" w:rsidRDefault="004A0CB3" w:rsidP="00FC3115">
      <w:pPr>
        <w:pStyle w:val="Heading2"/>
        <w:spacing w:before="240" w:after="240"/>
        <w:ind w:firstLine="0"/>
        <w:jc w:val="center"/>
        <w:rPr>
          <w:rFonts w:ascii="Times New Roman" w:hAnsi="Times New Roman" w:cs="Times New Roman"/>
          <w:b/>
          <w:color w:val="auto"/>
          <w:sz w:val="36"/>
          <w:szCs w:val="36"/>
        </w:rPr>
      </w:pPr>
      <w:r w:rsidRPr="006E6D01">
        <w:rPr>
          <w:rFonts w:ascii="Times New Roman" w:hAnsi="Times New Roman" w:cs="Times New Roman"/>
          <w:b/>
          <w:color w:val="auto"/>
          <w:sz w:val="36"/>
          <w:szCs w:val="36"/>
        </w:rPr>
        <w:t xml:space="preserve">6.5. </w:t>
      </w:r>
      <w:r w:rsidR="00FC3115" w:rsidRPr="00FC3115">
        <w:rPr>
          <w:rFonts w:ascii="Times New Roman" w:hAnsi="Times New Roman" w:cs="Times New Roman"/>
          <w:b/>
          <w:color w:val="auto"/>
          <w:sz w:val="36"/>
          <w:szCs w:val="36"/>
        </w:rPr>
        <w:t>Valsts saistības kredītu garantijām,</w:t>
      </w:r>
      <w:r w:rsidR="00FC3115">
        <w:rPr>
          <w:rFonts w:ascii="Times New Roman" w:hAnsi="Times New Roman" w:cs="Times New Roman"/>
          <w:b/>
          <w:color w:val="auto"/>
          <w:sz w:val="36"/>
          <w:szCs w:val="36"/>
        </w:rPr>
        <w:t xml:space="preserve"> ko izsniedz akciju sabiedrība “Attīstības finanšu institūcija “</w:t>
      </w:r>
      <w:proofErr w:type="spellStart"/>
      <w:r w:rsidR="00FC3115">
        <w:rPr>
          <w:rFonts w:ascii="Times New Roman" w:hAnsi="Times New Roman" w:cs="Times New Roman"/>
          <w:b/>
          <w:color w:val="auto"/>
          <w:sz w:val="36"/>
          <w:szCs w:val="36"/>
        </w:rPr>
        <w:t>Altum</w:t>
      </w:r>
      <w:proofErr w:type="spellEnd"/>
      <w:r w:rsidR="00FC3115">
        <w:rPr>
          <w:rFonts w:ascii="Times New Roman" w:hAnsi="Times New Roman" w:cs="Times New Roman"/>
          <w:b/>
          <w:color w:val="auto"/>
          <w:sz w:val="36"/>
          <w:szCs w:val="36"/>
        </w:rPr>
        <w:t>””</w:t>
      </w:r>
    </w:p>
    <w:p w14:paraId="7D76859D" w14:textId="4F337482" w:rsidR="00DC59D2" w:rsidRPr="00AA3B4A" w:rsidRDefault="00DC59D2" w:rsidP="00AB1383">
      <w:pPr>
        <w:ind w:firstLine="720"/>
        <w:rPr>
          <w:szCs w:val="24"/>
        </w:rPr>
      </w:pPr>
      <w:r>
        <w:rPr>
          <w:szCs w:val="24"/>
        </w:rPr>
        <w:t>2022</w:t>
      </w:r>
      <w:r w:rsidRPr="00AA3B4A">
        <w:rPr>
          <w:szCs w:val="24"/>
        </w:rPr>
        <w:t>.</w:t>
      </w:r>
      <w:r>
        <w:rPr>
          <w:szCs w:val="24"/>
        </w:rPr>
        <w:t xml:space="preserve"> gadā </w:t>
      </w:r>
      <w:r w:rsidRPr="00AA3B4A">
        <w:rPr>
          <w:szCs w:val="24"/>
        </w:rPr>
        <w:t>plānots īstenot šādas Ekonomikas ministrijas un Zemkopības ministrijas pārraudzībā esošas programmas, sniedzot valsts atbalstu garantijas veidā</w:t>
      </w:r>
      <w:r>
        <w:rPr>
          <w:szCs w:val="24"/>
        </w:rPr>
        <w:t>, un kuras tiek iekļautas valsts saistību limitā.</w:t>
      </w:r>
    </w:p>
    <w:p w14:paraId="21846F3F" w14:textId="114E1175" w:rsidR="00F7483B" w:rsidRPr="00F7483B" w:rsidRDefault="00DC59D2" w:rsidP="0006411B">
      <w:pPr>
        <w:pStyle w:val="ListParagraph"/>
        <w:numPr>
          <w:ilvl w:val="0"/>
          <w:numId w:val="4"/>
        </w:numPr>
        <w:tabs>
          <w:tab w:val="left" w:pos="709"/>
        </w:tabs>
        <w:spacing w:before="120" w:after="240" w:line="240" w:lineRule="auto"/>
        <w:ind w:left="0" w:firstLine="426"/>
        <w:jc w:val="both"/>
        <w:rPr>
          <w:b/>
          <w:szCs w:val="24"/>
        </w:rPr>
      </w:pPr>
      <w:r w:rsidRPr="00F7483B">
        <w:rPr>
          <w:rFonts w:ascii="Times New Roman" w:hAnsi="Times New Roman" w:cs="Times New Roman"/>
          <w:b/>
          <w:bCs/>
          <w:sz w:val="24"/>
          <w:szCs w:val="24"/>
        </w:rPr>
        <w:t xml:space="preserve">Kredīta garantijas saimnieciskās darbības veicējiem konkurētspējas uzlabošanai </w:t>
      </w:r>
      <w:r w:rsidR="007B0E1D" w:rsidRPr="00F7483B">
        <w:rPr>
          <w:rFonts w:ascii="Times New Roman" w:hAnsi="Times New Roman" w:cs="Times New Roman"/>
          <w:b/>
          <w:bCs/>
          <w:sz w:val="24"/>
          <w:szCs w:val="24"/>
        </w:rPr>
        <w:t>MK</w:t>
      </w:r>
      <w:r w:rsidRPr="00F7483B">
        <w:rPr>
          <w:rFonts w:ascii="Times New Roman" w:hAnsi="Times New Roman" w:cs="Times New Roman"/>
          <w:b/>
          <w:bCs/>
          <w:sz w:val="24"/>
          <w:szCs w:val="24"/>
        </w:rPr>
        <w:t xml:space="preserve"> 2020. gada 16. jūnija noteikumu Nr. 383 </w:t>
      </w:r>
      <w:r w:rsidRPr="00F7483B">
        <w:rPr>
          <w:rFonts w:ascii="Times New Roman" w:hAnsi="Times New Roman" w:cs="Times New Roman"/>
          <w:b/>
          <w:bCs/>
        </w:rPr>
        <w:t>“Noteikumi par garantijām saimnieciskās darbības veicējiem konkurētspējas uzlabošanai”</w:t>
      </w:r>
      <w:r w:rsidRPr="00F7483B">
        <w:rPr>
          <w:rFonts w:ascii="Times New Roman" w:hAnsi="Times New Roman" w:cs="Times New Roman"/>
          <w:b/>
          <w:bCs/>
          <w:sz w:val="24"/>
          <w:szCs w:val="24"/>
        </w:rPr>
        <w:t xml:space="preserve"> ietvaros.</w:t>
      </w:r>
      <w:r w:rsidRPr="00F7483B">
        <w:rPr>
          <w:rFonts w:ascii="Times New Roman" w:hAnsi="Times New Roman" w:cs="Times New Roman"/>
          <w:sz w:val="24"/>
          <w:szCs w:val="24"/>
        </w:rPr>
        <w:t xml:space="preserve"> Programmas mērķis: saimnieciskās darbības veicējiem nodrošināt kredītresursus biznesa projektu īstenošanai, ja esošais nodrošinājums nav pietiekams to saņemšanai. Garantija tiek izsniegta par Latvijā reģistrētas kredītiestādes vai tās meitas sabiedrības izsniegtu finanšu pakalpojumu līdz 80% no finansējuma pamatsummas ar kopējo termiņu līdz 15 gadiem, garantijas summa vienam saimnieciskās darbības veicējam un ar to saistīto personu grupai nepārsniedz 5 milj. </w:t>
      </w:r>
      <w:proofErr w:type="spellStart"/>
      <w:r w:rsidRPr="00F7483B">
        <w:rPr>
          <w:rFonts w:ascii="Times New Roman" w:hAnsi="Times New Roman" w:cs="Times New Roman"/>
          <w:i/>
          <w:sz w:val="24"/>
          <w:szCs w:val="24"/>
        </w:rPr>
        <w:t>euro</w:t>
      </w:r>
      <w:proofErr w:type="spellEnd"/>
      <w:r w:rsidRPr="00F7483B">
        <w:rPr>
          <w:rFonts w:ascii="Times New Roman" w:hAnsi="Times New Roman" w:cs="Times New Roman"/>
          <w:sz w:val="24"/>
          <w:szCs w:val="24"/>
        </w:rPr>
        <w:t>.</w:t>
      </w:r>
      <w:r w:rsidRPr="00F7483B">
        <w:rPr>
          <w:rFonts w:ascii="Times New Roman" w:eastAsia="Times New Roman" w:hAnsi="Times New Roman" w:cs="Times New Roman"/>
          <w:sz w:val="24"/>
          <w:szCs w:val="24"/>
        </w:rPr>
        <w:t xml:space="preserve"> Apstiprinātais programmas finansējums </w:t>
      </w:r>
      <w:r w:rsidRPr="00F7483B">
        <w:rPr>
          <w:rFonts w:ascii="Times New Roman" w:hAnsi="Times New Roman" w:cs="Times New Roman"/>
          <w:sz w:val="24"/>
          <w:szCs w:val="24"/>
        </w:rPr>
        <w:t>2016.</w:t>
      </w:r>
      <w:r w:rsidR="00DD07A1" w:rsidRPr="00DD07A1">
        <w:t xml:space="preserve"> </w:t>
      </w:r>
      <w:r w:rsidR="00DD07A1">
        <w:t>–</w:t>
      </w:r>
      <w:r w:rsidR="00DD07A1">
        <w:t xml:space="preserve"> </w:t>
      </w:r>
      <w:r w:rsidRPr="00F7483B">
        <w:rPr>
          <w:rFonts w:ascii="Times New Roman" w:hAnsi="Times New Roman" w:cs="Times New Roman"/>
          <w:sz w:val="24"/>
          <w:szCs w:val="24"/>
        </w:rPr>
        <w:t>2023. gadam:</w:t>
      </w:r>
      <w:r w:rsidRPr="00F7483B">
        <w:rPr>
          <w:rFonts w:ascii="Times New Roman" w:eastAsia="Times New Roman" w:hAnsi="Times New Roman" w:cs="Times New Roman"/>
          <w:sz w:val="24"/>
          <w:szCs w:val="24"/>
        </w:rPr>
        <w:t xml:space="preserve"> 75,813 milj. </w:t>
      </w:r>
      <w:proofErr w:type="spellStart"/>
      <w:r w:rsidRPr="00F7483B">
        <w:rPr>
          <w:rFonts w:ascii="Times New Roman" w:hAnsi="Times New Roman" w:cs="Times New Roman"/>
          <w:i/>
          <w:sz w:val="24"/>
          <w:szCs w:val="24"/>
        </w:rPr>
        <w:t>euro</w:t>
      </w:r>
      <w:proofErr w:type="spellEnd"/>
      <w:r w:rsidRPr="00F7483B">
        <w:rPr>
          <w:rFonts w:ascii="Times New Roman" w:eastAsia="Times New Roman" w:hAnsi="Times New Roman" w:cs="Times New Roman"/>
          <w:sz w:val="24"/>
          <w:szCs w:val="24"/>
        </w:rPr>
        <w:t xml:space="preserve"> (gan ERAF finansējums, gan atmaksātais finansējums no 2007.</w:t>
      </w:r>
      <w:r w:rsidR="00DD07A1" w:rsidRPr="00DD07A1">
        <w:t xml:space="preserve"> </w:t>
      </w:r>
      <w:r w:rsidR="00DD07A1">
        <w:t>–</w:t>
      </w:r>
      <w:r w:rsidR="00DD07A1">
        <w:t xml:space="preserve"> </w:t>
      </w:r>
      <w:r w:rsidRPr="00F7483B">
        <w:rPr>
          <w:rFonts w:ascii="Times New Roman" w:eastAsia="Times New Roman" w:hAnsi="Times New Roman" w:cs="Times New Roman"/>
          <w:sz w:val="24"/>
          <w:szCs w:val="24"/>
        </w:rPr>
        <w:t>2013. gada plānošanas perioda, gan no 2004.</w:t>
      </w:r>
      <w:r w:rsidR="00DD07A1" w:rsidRPr="00DD07A1">
        <w:t xml:space="preserve"> </w:t>
      </w:r>
      <w:r w:rsidR="00DD07A1">
        <w:t>–</w:t>
      </w:r>
      <w:r w:rsidR="00DD07A1">
        <w:t xml:space="preserve"> </w:t>
      </w:r>
      <w:r w:rsidRPr="00F7483B">
        <w:rPr>
          <w:rFonts w:ascii="Times New Roman" w:eastAsia="Times New Roman" w:hAnsi="Times New Roman" w:cs="Times New Roman"/>
          <w:sz w:val="24"/>
          <w:szCs w:val="24"/>
        </w:rPr>
        <w:t>2006. gada plānošanas perioda, valsts budžeta finansējums,</w:t>
      </w:r>
      <w:r w:rsidRPr="00916236">
        <w:t xml:space="preserve"> </w:t>
      </w:r>
      <w:r w:rsidRPr="00F7483B">
        <w:rPr>
          <w:rFonts w:ascii="Times New Roman" w:eastAsia="Times New Roman" w:hAnsi="Times New Roman" w:cs="Times New Roman"/>
          <w:sz w:val="24"/>
          <w:szCs w:val="24"/>
        </w:rPr>
        <w:t>ES struktūrfondu un KF 2014.</w:t>
      </w:r>
      <w:r w:rsidR="00DD07A1" w:rsidRPr="00DD07A1">
        <w:t xml:space="preserve"> </w:t>
      </w:r>
      <w:r w:rsidR="00DD07A1">
        <w:t>–</w:t>
      </w:r>
      <w:r w:rsidR="00DD07A1">
        <w:t xml:space="preserve"> </w:t>
      </w:r>
      <w:r w:rsidRPr="00F7483B">
        <w:rPr>
          <w:rFonts w:ascii="Times New Roman" w:eastAsia="Times New Roman" w:hAnsi="Times New Roman" w:cs="Times New Roman"/>
          <w:sz w:val="24"/>
          <w:szCs w:val="24"/>
        </w:rPr>
        <w:t>2020.</w:t>
      </w:r>
      <w:r w:rsidR="002B031C">
        <w:rPr>
          <w:rFonts w:ascii="Times New Roman" w:eastAsia="Times New Roman" w:hAnsi="Times New Roman" w:cs="Times New Roman"/>
          <w:sz w:val="24"/>
          <w:szCs w:val="24"/>
        </w:rPr>
        <w:t xml:space="preserve"> </w:t>
      </w:r>
      <w:r w:rsidRPr="00F7483B">
        <w:rPr>
          <w:rFonts w:ascii="Times New Roman" w:eastAsia="Times New Roman" w:hAnsi="Times New Roman" w:cs="Times New Roman"/>
          <w:sz w:val="24"/>
          <w:szCs w:val="24"/>
        </w:rPr>
        <w:t xml:space="preserve">gada plānošanas perioda DP “Izaugsme un nodarbinātība” </w:t>
      </w:r>
      <w:proofErr w:type="spellStart"/>
      <w:r w:rsidRPr="00F7483B">
        <w:rPr>
          <w:rFonts w:ascii="Times New Roman" w:eastAsia="Times New Roman" w:hAnsi="Times New Roman" w:cs="Times New Roman"/>
          <w:sz w:val="24"/>
          <w:szCs w:val="24"/>
        </w:rPr>
        <w:t>virssaistību</w:t>
      </w:r>
      <w:proofErr w:type="spellEnd"/>
      <w:r w:rsidRPr="00F7483B">
        <w:rPr>
          <w:rFonts w:ascii="Times New Roman" w:eastAsia="Times New Roman" w:hAnsi="Times New Roman" w:cs="Times New Roman"/>
          <w:sz w:val="24"/>
          <w:szCs w:val="24"/>
        </w:rPr>
        <w:t xml:space="preserve"> finansējums). </w:t>
      </w:r>
      <w:r w:rsidRPr="00F7483B">
        <w:rPr>
          <w:rFonts w:ascii="Times New Roman" w:eastAsia="Times New Roman" w:hAnsi="Times New Roman" w:cs="Times New Roman"/>
          <w:b/>
          <w:sz w:val="24"/>
          <w:szCs w:val="24"/>
        </w:rPr>
        <w:t xml:space="preserve">Valsts saistības tiek paredzētas par programmā </w:t>
      </w:r>
      <w:proofErr w:type="spellStart"/>
      <w:r w:rsidRPr="00F7483B">
        <w:rPr>
          <w:rFonts w:ascii="Times New Roman" w:eastAsia="Times New Roman" w:hAnsi="Times New Roman" w:cs="Times New Roman"/>
          <w:b/>
          <w:sz w:val="24"/>
          <w:szCs w:val="24"/>
        </w:rPr>
        <w:t>jaunizsniegtajām</w:t>
      </w:r>
      <w:proofErr w:type="spellEnd"/>
      <w:r w:rsidRPr="00F7483B">
        <w:rPr>
          <w:rFonts w:ascii="Times New Roman" w:eastAsia="Times New Roman" w:hAnsi="Times New Roman" w:cs="Times New Roman"/>
          <w:b/>
          <w:sz w:val="24"/>
          <w:szCs w:val="24"/>
        </w:rPr>
        <w:t xml:space="preserve"> garantijām no 2016. gada 1. janvāra atbilstoši garantiju programmas faktiskajiem apjomiem 2022. gadā.</w:t>
      </w:r>
    </w:p>
    <w:p w14:paraId="28C43EE6" w14:textId="77777777" w:rsidR="00F7483B" w:rsidRDefault="00F7483B" w:rsidP="00F7483B">
      <w:pPr>
        <w:pStyle w:val="ListParagraph"/>
        <w:tabs>
          <w:tab w:val="left" w:pos="709"/>
        </w:tabs>
        <w:spacing w:before="120" w:after="240" w:line="240" w:lineRule="auto"/>
        <w:ind w:left="0"/>
        <w:jc w:val="both"/>
        <w:rPr>
          <w:b/>
          <w:szCs w:val="24"/>
        </w:rPr>
      </w:pPr>
    </w:p>
    <w:p w14:paraId="07C7DC24" w14:textId="7F0A7A94" w:rsidR="00AB1383" w:rsidRPr="00F7483B" w:rsidRDefault="00DC59D2" w:rsidP="0006411B">
      <w:pPr>
        <w:pStyle w:val="ListParagraph"/>
        <w:numPr>
          <w:ilvl w:val="0"/>
          <w:numId w:val="4"/>
        </w:numPr>
        <w:tabs>
          <w:tab w:val="left" w:pos="709"/>
        </w:tabs>
        <w:spacing w:before="120" w:after="120" w:line="240" w:lineRule="auto"/>
        <w:ind w:left="0" w:firstLine="426"/>
        <w:jc w:val="both"/>
        <w:rPr>
          <w:b/>
          <w:szCs w:val="24"/>
        </w:rPr>
      </w:pPr>
      <w:proofErr w:type="spellStart"/>
      <w:r w:rsidRPr="00F7483B">
        <w:rPr>
          <w:rFonts w:ascii="Times New Roman" w:hAnsi="Times New Roman" w:cs="Times New Roman"/>
          <w:b/>
          <w:bCs/>
          <w:sz w:val="24"/>
          <w:szCs w:val="24"/>
        </w:rPr>
        <w:t>Portfeļgarantijas</w:t>
      </w:r>
      <w:proofErr w:type="spellEnd"/>
      <w:r w:rsidRPr="00F7483B">
        <w:rPr>
          <w:rFonts w:ascii="Times New Roman" w:hAnsi="Times New Roman" w:cs="Times New Roman"/>
          <w:b/>
          <w:bCs/>
          <w:sz w:val="24"/>
          <w:szCs w:val="24"/>
        </w:rPr>
        <w:t xml:space="preserve"> </w:t>
      </w:r>
      <w:r w:rsidR="007B0E1D" w:rsidRPr="00F7483B">
        <w:rPr>
          <w:rFonts w:ascii="Times New Roman" w:hAnsi="Times New Roman" w:cs="Times New Roman"/>
          <w:b/>
          <w:bCs/>
          <w:sz w:val="24"/>
          <w:szCs w:val="24"/>
        </w:rPr>
        <w:t>MK</w:t>
      </w:r>
      <w:r w:rsidRPr="00F7483B">
        <w:rPr>
          <w:rFonts w:ascii="Times New Roman" w:hAnsi="Times New Roman" w:cs="Times New Roman"/>
          <w:b/>
          <w:bCs/>
          <w:sz w:val="24"/>
          <w:szCs w:val="24"/>
        </w:rPr>
        <w:t xml:space="preserve"> 2017. gada 5. septembra noteikumu Nr. 537 </w:t>
      </w:r>
      <w:r w:rsidR="007B0E1D" w:rsidRPr="00F7483B">
        <w:rPr>
          <w:rFonts w:ascii="Times New Roman" w:hAnsi="Times New Roman" w:cs="Times New Roman"/>
          <w:b/>
          <w:bCs/>
          <w:sz w:val="24"/>
          <w:szCs w:val="24"/>
        </w:rPr>
        <w:t>“</w:t>
      </w:r>
      <w:r w:rsidRPr="00F7483B">
        <w:rPr>
          <w:rFonts w:ascii="Times New Roman" w:hAnsi="Times New Roman" w:cs="Times New Roman"/>
          <w:b/>
          <w:bCs/>
          <w:sz w:val="24"/>
          <w:szCs w:val="24"/>
        </w:rPr>
        <w:t xml:space="preserve">Noteikumi par </w:t>
      </w:r>
      <w:proofErr w:type="spellStart"/>
      <w:r w:rsidRPr="00F7483B">
        <w:rPr>
          <w:rFonts w:ascii="Times New Roman" w:hAnsi="Times New Roman" w:cs="Times New Roman"/>
          <w:b/>
          <w:bCs/>
          <w:sz w:val="24"/>
          <w:szCs w:val="24"/>
        </w:rPr>
        <w:t>portfeļgarantijām</w:t>
      </w:r>
      <w:proofErr w:type="spellEnd"/>
      <w:r w:rsidRPr="00F7483B">
        <w:rPr>
          <w:rFonts w:ascii="Times New Roman" w:hAnsi="Times New Roman" w:cs="Times New Roman"/>
          <w:b/>
          <w:bCs/>
          <w:sz w:val="24"/>
          <w:szCs w:val="24"/>
        </w:rPr>
        <w:t xml:space="preserve"> sīko (mikro), mazo un vidējo komersantu kreditēšanas veicināšanai</w:t>
      </w:r>
      <w:r w:rsidR="007B0E1D" w:rsidRPr="00F7483B">
        <w:rPr>
          <w:rFonts w:ascii="Times New Roman" w:hAnsi="Times New Roman" w:cs="Times New Roman"/>
          <w:b/>
          <w:bCs/>
          <w:sz w:val="24"/>
          <w:szCs w:val="24"/>
        </w:rPr>
        <w:t>”</w:t>
      </w:r>
      <w:r w:rsidRPr="00F7483B">
        <w:rPr>
          <w:rFonts w:ascii="Times New Roman" w:hAnsi="Times New Roman" w:cs="Times New Roman"/>
          <w:b/>
          <w:bCs/>
          <w:sz w:val="24"/>
          <w:szCs w:val="24"/>
        </w:rPr>
        <w:t xml:space="preserve"> </w:t>
      </w:r>
      <w:r w:rsidRPr="00F7483B">
        <w:rPr>
          <w:rFonts w:ascii="Times New Roman" w:hAnsi="Times New Roman" w:cs="Times New Roman"/>
          <w:b/>
          <w:bCs/>
          <w:sz w:val="24"/>
          <w:szCs w:val="24"/>
        </w:rPr>
        <w:lastRenderedPageBreak/>
        <w:t>ietvaros.</w:t>
      </w:r>
      <w:r w:rsidRPr="00F7483B">
        <w:rPr>
          <w:rFonts w:ascii="Times New Roman" w:hAnsi="Times New Roman" w:cs="Times New Roman"/>
          <w:sz w:val="24"/>
          <w:szCs w:val="24"/>
        </w:rPr>
        <w:t xml:space="preserve"> </w:t>
      </w:r>
      <w:proofErr w:type="spellStart"/>
      <w:r w:rsidRPr="00F7483B">
        <w:rPr>
          <w:rFonts w:ascii="Times New Roman" w:hAnsi="Times New Roman" w:cs="Times New Roman"/>
          <w:sz w:val="24"/>
          <w:szCs w:val="24"/>
        </w:rPr>
        <w:t>Portfeļgarantiju</w:t>
      </w:r>
      <w:proofErr w:type="spellEnd"/>
      <w:r w:rsidRPr="00F7483B">
        <w:rPr>
          <w:rFonts w:ascii="Times New Roman" w:hAnsi="Times New Roman" w:cs="Times New Roman"/>
          <w:sz w:val="24"/>
          <w:szCs w:val="24"/>
        </w:rPr>
        <w:t xml:space="preserve"> mērķis ir veicināt finansējuma pieejamību komersantiem. Maksimālais garantijas apmērs ir 80% un maksimālā garantija vienam komersantam ir 250  tūkst. </w:t>
      </w:r>
      <w:proofErr w:type="spellStart"/>
      <w:r w:rsidRPr="00F7483B">
        <w:rPr>
          <w:rFonts w:ascii="Times New Roman" w:hAnsi="Times New Roman" w:cs="Times New Roman"/>
          <w:i/>
          <w:sz w:val="24"/>
          <w:szCs w:val="24"/>
        </w:rPr>
        <w:t>euro</w:t>
      </w:r>
      <w:proofErr w:type="spellEnd"/>
      <w:r w:rsidRPr="00F7483B">
        <w:rPr>
          <w:rFonts w:ascii="Times New Roman" w:hAnsi="Times New Roman" w:cs="Times New Roman"/>
          <w:sz w:val="24"/>
          <w:szCs w:val="24"/>
        </w:rPr>
        <w:t xml:space="preserve">.  Garantijas termiņš apgrozāmiem līdzekļiem ir 5 gadi, finanšu līzingam - 7 gadi, savukārt investīciju aizdevumam </w:t>
      </w:r>
      <w:r w:rsidR="00DD07A1">
        <w:t>–</w:t>
      </w:r>
      <w:r w:rsidRPr="00F7483B">
        <w:rPr>
          <w:rFonts w:ascii="Times New Roman" w:hAnsi="Times New Roman" w:cs="Times New Roman"/>
          <w:sz w:val="24"/>
          <w:szCs w:val="24"/>
        </w:rPr>
        <w:t xml:space="preserve"> 10 gadi.  Apstiprinātais programmas finansējums: 7,8 milj. </w:t>
      </w:r>
      <w:proofErr w:type="spellStart"/>
      <w:r w:rsidRPr="00F7483B">
        <w:rPr>
          <w:rFonts w:ascii="Times New Roman" w:hAnsi="Times New Roman" w:cs="Times New Roman"/>
          <w:i/>
          <w:sz w:val="24"/>
          <w:szCs w:val="24"/>
        </w:rPr>
        <w:t>euro</w:t>
      </w:r>
      <w:proofErr w:type="spellEnd"/>
      <w:r w:rsidRPr="00F7483B">
        <w:rPr>
          <w:rFonts w:ascii="Times New Roman" w:hAnsi="Times New Roman" w:cs="Times New Roman"/>
          <w:sz w:val="24"/>
          <w:szCs w:val="24"/>
        </w:rPr>
        <w:t xml:space="preserve"> (atmaksātais finansējums no 2007.</w:t>
      </w:r>
      <w:r w:rsidR="00DD07A1" w:rsidRPr="00DD07A1">
        <w:t xml:space="preserve"> </w:t>
      </w:r>
      <w:r w:rsidR="00DD07A1">
        <w:t>–</w:t>
      </w:r>
      <w:r w:rsidR="00DD07A1">
        <w:t xml:space="preserve"> </w:t>
      </w:r>
      <w:r w:rsidRPr="00F7483B">
        <w:rPr>
          <w:rFonts w:ascii="Times New Roman" w:hAnsi="Times New Roman" w:cs="Times New Roman"/>
          <w:sz w:val="24"/>
          <w:szCs w:val="24"/>
        </w:rPr>
        <w:t xml:space="preserve">2013. gada plānošanas perioda). </w:t>
      </w:r>
      <w:r w:rsidRPr="00F7483B">
        <w:rPr>
          <w:rFonts w:ascii="Times New Roman" w:eastAsia="Times New Roman" w:hAnsi="Times New Roman" w:cs="Times New Roman"/>
          <w:b/>
          <w:sz w:val="24"/>
          <w:szCs w:val="24"/>
        </w:rPr>
        <w:t xml:space="preserve">Valsts saistības tiek paredzētas par programmā </w:t>
      </w:r>
      <w:proofErr w:type="spellStart"/>
      <w:r w:rsidRPr="00F7483B">
        <w:rPr>
          <w:rFonts w:ascii="Times New Roman" w:eastAsia="Times New Roman" w:hAnsi="Times New Roman" w:cs="Times New Roman"/>
          <w:b/>
          <w:sz w:val="24"/>
          <w:szCs w:val="24"/>
        </w:rPr>
        <w:t>jaunizsniegtajām</w:t>
      </w:r>
      <w:proofErr w:type="spellEnd"/>
      <w:r w:rsidRPr="00F7483B">
        <w:rPr>
          <w:rFonts w:ascii="Times New Roman" w:eastAsia="Times New Roman" w:hAnsi="Times New Roman" w:cs="Times New Roman"/>
          <w:b/>
          <w:sz w:val="24"/>
          <w:szCs w:val="24"/>
        </w:rPr>
        <w:t xml:space="preserve"> garantijām no 2016. gada 1. janvāra līdz 2020.gada 31.decembrim atbilstoši garantiju programmas faktiskajiem apjomiem 2022. gadā.</w:t>
      </w:r>
    </w:p>
    <w:p w14:paraId="209F37DB" w14:textId="691AC4E5" w:rsidR="00AB1383" w:rsidRDefault="00AB1383" w:rsidP="0006411B">
      <w:pPr>
        <w:tabs>
          <w:tab w:val="left" w:pos="709"/>
        </w:tabs>
        <w:spacing w:before="120"/>
        <w:ind w:firstLine="426"/>
        <w:rPr>
          <w:b/>
          <w:szCs w:val="24"/>
        </w:rPr>
      </w:pPr>
      <w:r w:rsidRPr="0006411B">
        <w:rPr>
          <w:b/>
          <w:szCs w:val="24"/>
        </w:rPr>
        <w:t>3.</w:t>
      </w:r>
      <w:r>
        <w:rPr>
          <w:b/>
          <w:szCs w:val="24"/>
        </w:rPr>
        <w:t xml:space="preserve"> </w:t>
      </w:r>
      <w:r>
        <w:rPr>
          <w:b/>
          <w:szCs w:val="24"/>
        </w:rPr>
        <w:tab/>
      </w:r>
      <w:r w:rsidR="00DC59D2" w:rsidRPr="007B0E1D">
        <w:rPr>
          <w:b/>
          <w:bCs/>
          <w:szCs w:val="24"/>
        </w:rPr>
        <w:t xml:space="preserve">Kredīta garantijas lauksaimniecības, zivsaimniecības un lauku attīstības pasākumu veicināšanai </w:t>
      </w:r>
      <w:r w:rsidR="007B0E1D">
        <w:rPr>
          <w:b/>
          <w:bCs/>
          <w:szCs w:val="24"/>
        </w:rPr>
        <w:t>MK</w:t>
      </w:r>
      <w:r w:rsidR="00DC59D2" w:rsidRPr="007B0E1D">
        <w:rPr>
          <w:b/>
          <w:bCs/>
          <w:szCs w:val="24"/>
        </w:rPr>
        <w:t xml:space="preserve"> 2019. gada 8. janvāra noteikumu Nr. 9 “Lauksaimniecības, zivsaimniecības un lauku attīstības garantiju programmas noteikumi” ietvaros.</w:t>
      </w:r>
      <w:r w:rsidR="00DC59D2" w:rsidRPr="00DF7139">
        <w:rPr>
          <w:szCs w:val="24"/>
        </w:rPr>
        <w:t xml:space="preserve"> Programmas mērķis: saimnieciskās darbības veicējiem lauksaimniecības, zivsaimniecības un lauku attīstības jomā nodrošināt finansējumu pasākumu īstenošanai, ja esošais nodrošinājums nav pietiekams to saņemšanai. Garantija tiek izsniegta par Latvijā reģistrētas kredītiestādes vai tās meitas sabiedrības vai </w:t>
      </w:r>
      <w:proofErr w:type="spellStart"/>
      <w:r w:rsidR="00DC59D2" w:rsidRPr="00DF7139">
        <w:rPr>
          <w:szCs w:val="24"/>
        </w:rPr>
        <w:t>krājaizdevu</w:t>
      </w:r>
      <w:proofErr w:type="spellEnd"/>
      <w:r w:rsidR="00DC59D2" w:rsidRPr="00DF7139">
        <w:rPr>
          <w:szCs w:val="24"/>
        </w:rPr>
        <w:t xml:space="preserve"> sabiedrības izsniegtu finanšu pakalpojumu līdz 80 % no finansējuma pamatsummas ar sākotnējo termiņu līdz 10 gadiem, garantijas summa vienam saimnieciskās darbības veicējam un ar to saistīto personu grupai nepārsniedz 3,5 milj. </w:t>
      </w:r>
      <w:proofErr w:type="spellStart"/>
      <w:r w:rsidR="00DC59D2" w:rsidRPr="00F169A2">
        <w:rPr>
          <w:i/>
          <w:szCs w:val="24"/>
        </w:rPr>
        <w:t>euro</w:t>
      </w:r>
      <w:proofErr w:type="spellEnd"/>
      <w:r w:rsidR="00DC59D2" w:rsidRPr="00DF7139">
        <w:rPr>
          <w:szCs w:val="24"/>
        </w:rPr>
        <w:t xml:space="preserve">. Apstiprinātais programmas finansējums ir </w:t>
      </w:r>
      <w:r w:rsidR="00DC59D2">
        <w:rPr>
          <w:szCs w:val="24"/>
        </w:rPr>
        <w:t>8</w:t>
      </w:r>
      <w:r w:rsidR="00DC59D2" w:rsidRPr="00DF7139">
        <w:rPr>
          <w:szCs w:val="24"/>
        </w:rPr>
        <w:t>,</w:t>
      </w:r>
      <w:r w:rsidR="00DC59D2">
        <w:rPr>
          <w:szCs w:val="24"/>
        </w:rPr>
        <w:t>825</w:t>
      </w:r>
      <w:r w:rsidR="00DC59D2" w:rsidRPr="00DF7139">
        <w:rPr>
          <w:szCs w:val="24"/>
        </w:rPr>
        <w:t xml:space="preserve"> milj. </w:t>
      </w:r>
      <w:proofErr w:type="spellStart"/>
      <w:r w:rsidR="00DC59D2" w:rsidRPr="00F169A2">
        <w:rPr>
          <w:i/>
          <w:szCs w:val="24"/>
        </w:rPr>
        <w:t>euro</w:t>
      </w:r>
      <w:proofErr w:type="spellEnd"/>
      <w:r w:rsidR="00DC59D2" w:rsidRPr="00DF7139">
        <w:rPr>
          <w:szCs w:val="24"/>
        </w:rPr>
        <w:t xml:space="preserve"> (Latvijas Lauku attīstības programmas 2007.</w:t>
      </w:r>
      <w:r w:rsidR="00DD07A1" w:rsidRPr="00DD07A1">
        <w:t xml:space="preserve"> </w:t>
      </w:r>
      <w:r w:rsidR="00DD07A1">
        <w:t>–</w:t>
      </w:r>
      <w:r w:rsidR="00DD07A1">
        <w:t xml:space="preserve"> </w:t>
      </w:r>
      <w:r w:rsidR="00DC59D2" w:rsidRPr="00DF7139">
        <w:rPr>
          <w:szCs w:val="24"/>
        </w:rPr>
        <w:t>2013. gadam</w:t>
      </w:r>
      <w:r w:rsidR="00DC59D2" w:rsidRPr="00DF7139">
        <w:rPr>
          <w:bCs/>
          <w:szCs w:val="24"/>
        </w:rPr>
        <w:t xml:space="preserve"> un Rīcības programmas Eiropas Zivsaimniecības fonda atbalsta ieviešanai Latvijā 2007.</w:t>
      </w:r>
      <w:r w:rsidR="00DD07A1" w:rsidRPr="00DD07A1">
        <w:t xml:space="preserve"> </w:t>
      </w:r>
      <w:r w:rsidR="00DD07A1">
        <w:t>–</w:t>
      </w:r>
      <w:r w:rsidR="00DD07A1">
        <w:t xml:space="preserve"> </w:t>
      </w:r>
      <w:r w:rsidR="00DC59D2" w:rsidRPr="00DF7139">
        <w:rPr>
          <w:bCs/>
          <w:szCs w:val="24"/>
        </w:rPr>
        <w:t>2013. gada plānošanas perioda pasākuma “Kredītu fonds” atmaksu finansējums</w:t>
      </w:r>
      <w:r w:rsidR="00DC59D2">
        <w:rPr>
          <w:bCs/>
          <w:szCs w:val="24"/>
        </w:rPr>
        <w:t>, valsts budžeta līdzekļi</w:t>
      </w:r>
      <w:r w:rsidR="00DC59D2" w:rsidRPr="00DF7139">
        <w:rPr>
          <w:szCs w:val="24"/>
        </w:rPr>
        <w:t>).</w:t>
      </w:r>
      <w:r w:rsidR="00DC59D2">
        <w:rPr>
          <w:szCs w:val="24"/>
        </w:rPr>
        <w:t xml:space="preserve"> </w:t>
      </w:r>
      <w:r w:rsidR="00DC59D2" w:rsidRPr="00E04130">
        <w:rPr>
          <w:b/>
          <w:szCs w:val="24"/>
        </w:rPr>
        <w:t xml:space="preserve">Valsts saistības tiek paredzētas par </w:t>
      </w:r>
      <w:r w:rsidR="00DC59D2">
        <w:rPr>
          <w:b/>
          <w:szCs w:val="24"/>
        </w:rPr>
        <w:t xml:space="preserve">programmā </w:t>
      </w:r>
      <w:proofErr w:type="spellStart"/>
      <w:r w:rsidR="00DC59D2">
        <w:rPr>
          <w:b/>
          <w:szCs w:val="24"/>
        </w:rPr>
        <w:t>jaunizsniegtajām</w:t>
      </w:r>
      <w:proofErr w:type="spellEnd"/>
      <w:r w:rsidR="00DC59D2">
        <w:rPr>
          <w:b/>
          <w:szCs w:val="24"/>
        </w:rPr>
        <w:t xml:space="preserve"> </w:t>
      </w:r>
      <w:r w:rsidR="00DC59D2" w:rsidRPr="00E04130">
        <w:rPr>
          <w:b/>
          <w:szCs w:val="24"/>
        </w:rPr>
        <w:t>garantijām no 2016. gada 1. janvāra</w:t>
      </w:r>
      <w:r w:rsidR="00DC59D2">
        <w:rPr>
          <w:b/>
          <w:szCs w:val="24"/>
        </w:rPr>
        <w:t xml:space="preserve"> </w:t>
      </w:r>
      <w:r w:rsidR="00DC59D2" w:rsidRPr="00EC5568">
        <w:rPr>
          <w:b/>
          <w:szCs w:val="24"/>
        </w:rPr>
        <w:t>atbilstoši garantiju programm</w:t>
      </w:r>
      <w:r w:rsidR="00DC59D2">
        <w:rPr>
          <w:b/>
          <w:szCs w:val="24"/>
        </w:rPr>
        <w:t>as</w:t>
      </w:r>
      <w:r w:rsidR="00DC59D2" w:rsidRPr="00EC5568">
        <w:rPr>
          <w:b/>
          <w:szCs w:val="24"/>
        </w:rPr>
        <w:t xml:space="preserve"> faktiskajiem apjomi</w:t>
      </w:r>
      <w:r w:rsidR="00DC59D2">
        <w:rPr>
          <w:b/>
          <w:szCs w:val="24"/>
        </w:rPr>
        <w:t>em</w:t>
      </w:r>
      <w:r w:rsidR="00DC59D2" w:rsidRPr="00EC5568">
        <w:rPr>
          <w:b/>
          <w:szCs w:val="24"/>
        </w:rPr>
        <w:t xml:space="preserve"> 2022. gadā</w:t>
      </w:r>
      <w:r w:rsidR="00DC59D2" w:rsidRPr="00E04130">
        <w:rPr>
          <w:b/>
          <w:szCs w:val="24"/>
        </w:rPr>
        <w:t>.</w:t>
      </w:r>
    </w:p>
    <w:p w14:paraId="3AD9D16B" w14:textId="435BEB02" w:rsidR="00DC59D2" w:rsidRDefault="00AB1383" w:rsidP="0006411B">
      <w:pPr>
        <w:tabs>
          <w:tab w:val="left" w:pos="709"/>
        </w:tabs>
        <w:spacing w:before="120"/>
        <w:ind w:firstLine="426"/>
        <w:rPr>
          <w:szCs w:val="24"/>
        </w:rPr>
      </w:pPr>
      <w:r w:rsidRPr="0006411B">
        <w:rPr>
          <w:b/>
          <w:szCs w:val="24"/>
        </w:rPr>
        <w:t>4.</w:t>
      </w:r>
      <w:r>
        <w:rPr>
          <w:b/>
          <w:szCs w:val="24"/>
        </w:rPr>
        <w:t xml:space="preserve"> </w:t>
      </w:r>
      <w:r>
        <w:rPr>
          <w:b/>
          <w:szCs w:val="24"/>
        </w:rPr>
        <w:tab/>
      </w:r>
      <w:r w:rsidR="00DC59D2" w:rsidRPr="00203EFF">
        <w:rPr>
          <w:b/>
          <w:bCs/>
          <w:szCs w:val="24"/>
        </w:rPr>
        <w:t xml:space="preserve">Garantijas daudzdzīvokļu dzīvojamo māju energoefektivitātes paaugstināšanas pasākumu īstenošanai </w:t>
      </w:r>
      <w:r w:rsidR="007C2D86" w:rsidRPr="00203EFF">
        <w:rPr>
          <w:b/>
          <w:bCs/>
          <w:szCs w:val="24"/>
        </w:rPr>
        <w:t>MK</w:t>
      </w:r>
      <w:r w:rsidR="00DC59D2" w:rsidRPr="00203EFF">
        <w:rPr>
          <w:b/>
          <w:bCs/>
          <w:szCs w:val="24"/>
        </w:rPr>
        <w:t xml:space="preserve"> 2016. gada 15. marta noteikumu Nr. 160 “Darbības programmas “Izaugsme un nodarbinātība” 4.2.1. specifiskā atbalsta mērķa “Veicināt energoefektivitātes paaugstināšanu valsts un dzīvojamās ēkās” 4.2.1.1. specifiskā atbalsta mērķa pasākuma “Veicināt energoefektivitātes paaugstināšanu dzīvojamās ēkās”” ietvaros.</w:t>
      </w:r>
      <w:r w:rsidR="00DC59D2" w:rsidRPr="00B76414">
        <w:rPr>
          <w:szCs w:val="24"/>
        </w:rPr>
        <w:t xml:space="preserve"> Programmas mērķis: veicināt energoefektivitātes paaugstināšanu, viedu </w:t>
      </w:r>
      <w:proofErr w:type="spellStart"/>
      <w:r w:rsidR="00DC59D2" w:rsidRPr="00B76414">
        <w:rPr>
          <w:szCs w:val="24"/>
        </w:rPr>
        <w:t>energovadību</w:t>
      </w:r>
      <w:proofErr w:type="spellEnd"/>
      <w:r w:rsidR="00DC59D2" w:rsidRPr="00B76414">
        <w:rPr>
          <w:szCs w:val="24"/>
        </w:rPr>
        <w:t xml:space="preserve"> un atjaunojamo energoresursu izmantošanu daudzdzīvokļu dzīvojamās mājās. Garantija tiek izsniegta par kredītiestādes</w:t>
      </w:r>
      <w:r w:rsidR="00DC59D2">
        <w:rPr>
          <w:szCs w:val="24"/>
        </w:rPr>
        <w:t>, starptautiskas finanšu institūcijas</w:t>
      </w:r>
      <w:r w:rsidR="00DC59D2" w:rsidRPr="00B76414">
        <w:rPr>
          <w:szCs w:val="24"/>
        </w:rPr>
        <w:t xml:space="preserve"> vai alternatīvā ieguldījumu fonda izsniegtu investīcijas aizdevumu līdz 80 % no finansējuma pamatsummas ar termiņu līdz 20 gadiem, garantijas summa vienas ēkas energoefektivitātes paaugstināšanas pasākumam nepārsniedz 3 milj. </w:t>
      </w:r>
      <w:proofErr w:type="spellStart"/>
      <w:r w:rsidR="00DC59D2" w:rsidRPr="00F169A2">
        <w:rPr>
          <w:i/>
          <w:szCs w:val="24"/>
        </w:rPr>
        <w:t>euro</w:t>
      </w:r>
      <w:proofErr w:type="spellEnd"/>
      <w:r w:rsidR="00DC59D2" w:rsidRPr="00B76414">
        <w:rPr>
          <w:szCs w:val="24"/>
        </w:rPr>
        <w:t>. Apstipri</w:t>
      </w:r>
      <w:r w:rsidR="00DC59D2">
        <w:rPr>
          <w:szCs w:val="24"/>
        </w:rPr>
        <w:t>nātais programmas finansējums: 25</w:t>
      </w:r>
      <w:r w:rsidR="00DC59D2" w:rsidRPr="00B76414">
        <w:rPr>
          <w:szCs w:val="24"/>
        </w:rPr>
        <w:t xml:space="preserve"> milj. </w:t>
      </w:r>
      <w:proofErr w:type="spellStart"/>
      <w:r w:rsidR="00DC59D2" w:rsidRPr="00F169A2">
        <w:rPr>
          <w:i/>
          <w:szCs w:val="24"/>
        </w:rPr>
        <w:t>euro</w:t>
      </w:r>
      <w:proofErr w:type="spellEnd"/>
      <w:r w:rsidR="00DC59D2" w:rsidRPr="00B76414">
        <w:rPr>
          <w:szCs w:val="24"/>
        </w:rPr>
        <w:t xml:space="preserve"> (ERAF</w:t>
      </w:r>
      <w:r w:rsidR="00DC59D2">
        <w:rPr>
          <w:szCs w:val="24"/>
        </w:rPr>
        <w:t xml:space="preserve"> un valsts budžeta līdzfinansējums</w:t>
      </w:r>
      <w:r w:rsidR="00DC59D2" w:rsidRPr="00B76414">
        <w:rPr>
          <w:szCs w:val="24"/>
        </w:rPr>
        <w:t>).</w:t>
      </w:r>
      <w:r w:rsidR="00DC59D2">
        <w:rPr>
          <w:szCs w:val="24"/>
        </w:rPr>
        <w:t xml:space="preserve"> </w:t>
      </w:r>
      <w:r w:rsidR="00DC59D2" w:rsidRPr="00E04130">
        <w:rPr>
          <w:b/>
          <w:szCs w:val="24"/>
        </w:rPr>
        <w:t xml:space="preserve">Valsts saistības tiek paredzētas par </w:t>
      </w:r>
      <w:r w:rsidR="00DC59D2">
        <w:rPr>
          <w:b/>
          <w:szCs w:val="24"/>
        </w:rPr>
        <w:t xml:space="preserve">programmā </w:t>
      </w:r>
      <w:proofErr w:type="spellStart"/>
      <w:r w:rsidR="00DC59D2">
        <w:rPr>
          <w:b/>
          <w:szCs w:val="24"/>
        </w:rPr>
        <w:t>jaunizsniegtajām</w:t>
      </w:r>
      <w:proofErr w:type="spellEnd"/>
      <w:r w:rsidR="00DC59D2">
        <w:rPr>
          <w:b/>
          <w:szCs w:val="24"/>
        </w:rPr>
        <w:t xml:space="preserve"> </w:t>
      </w:r>
      <w:r w:rsidR="00DC59D2" w:rsidRPr="00E04130">
        <w:rPr>
          <w:b/>
          <w:szCs w:val="24"/>
        </w:rPr>
        <w:t>garantijām no 2016. gada 1. janvāra</w:t>
      </w:r>
      <w:r w:rsidR="00DC59D2">
        <w:rPr>
          <w:b/>
          <w:szCs w:val="24"/>
        </w:rPr>
        <w:t xml:space="preserve"> </w:t>
      </w:r>
      <w:r w:rsidR="00DC59D2" w:rsidRPr="00EC5568">
        <w:rPr>
          <w:b/>
          <w:szCs w:val="24"/>
        </w:rPr>
        <w:t>atbilstoši garantiju programm</w:t>
      </w:r>
      <w:r w:rsidR="00DC59D2">
        <w:rPr>
          <w:b/>
          <w:szCs w:val="24"/>
        </w:rPr>
        <w:t>as</w:t>
      </w:r>
      <w:r w:rsidR="00DC59D2" w:rsidRPr="00EC5568">
        <w:rPr>
          <w:b/>
          <w:szCs w:val="24"/>
        </w:rPr>
        <w:t xml:space="preserve"> faktiskajiem apjomi</w:t>
      </w:r>
      <w:r w:rsidR="00DC59D2">
        <w:rPr>
          <w:b/>
          <w:szCs w:val="24"/>
        </w:rPr>
        <w:t>em</w:t>
      </w:r>
      <w:r w:rsidR="00DC59D2" w:rsidRPr="00EC5568">
        <w:rPr>
          <w:b/>
          <w:szCs w:val="24"/>
        </w:rPr>
        <w:t xml:space="preserve"> 2022. gadā</w:t>
      </w:r>
      <w:r w:rsidR="00DC59D2" w:rsidRPr="00E04130">
        <w:rPr>
          <w:b/>
          <w:szCs w:val="24"/>
        </w:rPr>
        <w:t>.</w:t>
      </w:r>
    </w:p>
    <w:p w14:paraId="5143D0AF" w14:textId="43007223" w:rsidR="00DC59D2" w:rsidRPr="00AA3B4A" w:rsidRDefault="00DC59D2" w:rsidP="0006411B">
      <w:pPr>
        <w:tabs>
          <w:tab w:val="left" w:pos="709"/>
        </w:tabs>
        <w:spacing w:after="60"/>
        <w:ind w:firstLine="426"/>
        <w:rPr>
          <w:szCs w:val="24"/>
        </w:rPr>
      </w:pPr>
      <w:r w:rsidRPr="0006411B">
        <w:rPr>
          <w:b/>
          <w:bCs/>
          <w:szCs w:val="24"/>
        </w:rPr>
        <w:t xml:space="preserve">5. </w:t>
      </w:r>
      <w:r w:rsidR="00203EFF" w:rsidRPr="0006411B">
        <w:rPr>
          <w:b/>
          <w:bCs/>
          <w:szCs w:val="24"/>
        </w:rPr>
        <w:tab/>
      </w:r>
      <w:r w:rsidRPr="007C2D86">
        <w:rPr>
          <w:b/>
          <w:bCs/>
          <w:szCs w:val="24"/>
        </w:rPr>
        <w:t>Garantijas ģimenēm ar bērniem (līdz 23 gadiem ieskaitot) un jaunajiem speciālistiem (personām, kuras ieguvušas vidējo profesionālo vai augstāko izglītību, un nepārsniedz 35 gadu vecumu) mājokļu iegādei Ministru kabineta 2018.gada 20.februāra noteikumu Nr.</w:t>
      </w:r>
      <w:r w:rsidR="00DD07A1">
        <w:rPr>
          <w:b/>
          <w:bCs/>
          <w:szCs w:val="24"/>
        </w:rPr>
        <w:t xml:space="preserve"> </w:t>
      </w:r>
      <w:r w:rsidRPr="007C2D86">
        <w:rPr>
          <w:b/>
          <w:bCs/>
          <w:szCs w:val="24"/>
        </w:rPr>
        <w:t>95 “Noteikumi par valsts palīdzību dzīvojamās telpas iegādei vai būvniecībai” ietvaros.</w:t>
      </w:r>
      <w:r w:rsidRPr="00AA3B4A">
        <w:rPr>
          <w:szCs w:val="24"/>
        </w:rPr>
        <w:t xml:space="preserve"> Programmas mērķis: sniegt valsts palīdzību mājokļa iegādei vai būvniecībai ģimenēm ar bērniem un jaunajiem speciālistiem, kuriem ir pastāvīgi ienākumi, bet nav pietiekamu uzkrājumu pirmās iemaksas veikšanai. Garantija tiek sniegta par Latvijā reģistrētas kredītiestādes, dalībvalstī reģistrētas kredītiestādes, tās filiāles vai ārvalsts kredītiestādes filiāles izsniegtu aizdevumu:</w:t>
      </w:r>
    </w:p>
    <w:p w14:paraId="31A9A91C" w14:textId="6CE536FE" w:rsidR="00DC59D2" w:rsidRPr="00AA3B4A" w:rsidRDefault="00DC59D2" w:rsidP="00DC59D2">
      <w:pPr>
        <w:spacing w:after="60"/>
        <w:ind w:firstLine="720"/>
        <w:rPr>
          <w:szCs w:val="24"/>
        </w:rPr>
      </w:pPr>
      <w:r>
        <w:rPr>
          <w:szCs w:val="24"/>
        </w:rPr>
        <w:t>-</w:t>
      </w:r>
      <w:r w:rsidR="007C2D86">
        <w:rPr>
          <w:szCs w:val="24"/>
        </w:rPr>
        <w:t xml:space="preserve"> </w:t>
      </w:r>
      <w:r>
        <w:rPr>
          <w:szCs w:val="24"/>
        </w:rPr>
        <w:t>ģimenēm ar bērniem  līdz 3</w:t>
      </w:r>
      <w:r w:rsidRPr="00AA3B4A">
        <w:rPr>
          <w:szCs w:val="24"/>
        </w:rPr>
        <w:t>0% no finansējuma pamatsummas ar termiņu līdz 10 gadiem, garantij</w:t>
      </w:r>
      <w:r>
        <w:rPr>
          <w:szCs w:val="24"/>
        </w:rPr>
        <w:t>as summa nepārsniedz 3</w:t>
      </w:r>
      <w:r w:rsidRPr="00AA3B4A">
        <w:rPr>
          <w:szCs w:val="24"/>
        </w:rPr>
        <w:t xml:space="preserve">0 tūkst. </w:t>
      </w:r>
      <w:proofErr w:type="spellStart"/>
      <w:r w:rsidR="007C2D86" w:rsidRPr="007C2D86">
        <w:rPr>
          <w:i/>
          <w:iCs/>
          <w:szCs w:val="24"/>
        </w:rPr>
        <w:t>euro</w:t>
      </w:r>
      <w:proofErr w:type="spellEnd"/>
      <w:r w:rsidRPr="00AA3B4A">
        <w:rPr>
          <w:szCs w:val="24"/>
        </w:rPr>
        <w:t xml:space="preserve"> (garantijas nosacījumi tiek noteikti, ņemot vērā bērnu skaitu ģimenē);</w:t>
      </w:r>
    </w:p>
    <w:p w14:paraId="54C9615A" w14:textId="1CCE4372" w:rsidR="00DC59D2" w:rsidRPr="00AA3B4A" w:rsidRDefault="00DC59D2" w:rsidP="00DC59D2">
      <w:pPr>
        <w:spacing w:after="60"/>
        <w:ind w:firstLine="720"/>
        <w:rPr>
          <w:szCs w:val="24"/>
        </w:rPr>
      </w:pPr>
      <w:r w:rsidRPr="00AA3B4A">
        <w:rPr>
          <w:szCs w:val="24"/>
        </w:rPr>
        <w:lastRenderedPageBreak/>
        <w:t>-</w:t>
      </w:r>
      <w:r w:rsidR="007C2D86">
        <w:rPr>
          <w:szCs w:val="24"/>
        </w:rPr>
        <w:t xml:space="preserve"> </w:t>
      </w:r>
      <w:r w:rsidRPr="00AA3B4A">
        <w:rPr>
          <w:szCs w:val="24"/>
        </w:rPr>
        <w:t xml:space="preserve">jaunajiem speciālistiem līdz 20% no aizdevuma pamatsummas un ne vairāk kā 50 tūkst. </w:t>
      </w:r>
      <w:proofErr w:type="spellStart"/>
      <w:r w:rsidR="007C2D86" w:rsidRPr="007C2D86">
        <w:rPr>
          <w:i/>
          <w:iCs/>
          <w:szCs w:val="24"/>
        </w:rPr>
        <w:t>euro</w:t>
      </w:r>
      <w:proofErr w:type="spellEnd"/>
      <w:r w:rsidRPr="00AA3B4A">
        <w:rPr>
          <w:szCs w:val="24"/>
        </w:rPr>
        <w:t xml:space="preserve"> ar termiņu līdz 10 gadiem.</w:t>
      </w:r>
    </w:p>
    <w:p w14:paraId="22A54D76" w14:textId="77777777" w:rsidR="009C5C7F" w:rsidRDefault="00DC59D2" w:rsidP="00DC59D2">
      <w:pPr>
        <w:spacing w:after="60"/>
        <w:ind w:firstLine="720"/>
        <w:rPr>
          <w:szCs w:val="24"/>
        </w:rPr>
      </w:pPr>
      <w:r w:rsidRPr="00AA3B4A">
        <w:rPr>
          <w:szCs w:val="24"/>
        </w:rPr>
        <w:t xml:space="preserve"> Programmas īstenošana un tās pieejamais finansējums ir atkarīgs no </w:t>
      </w:r>
      <w:r w:rsidR="007C2D86">
        <w:rPr>
          <w:szCs w:val="24"/>
        </w:rPr>
        <w:t>MK</w:t>
      </w:r>
      <w:r w:rsidRPr="00AA3B4A">
        <w:rPr>
          <w:szCs w:val="24"/>
        </w:rPr>
        <w:t xml:space="preserve"> un Saeimas lēmumiem.</w:t>
      </w:r>
      <w:r>
        <w:rPr>
          <w:szCs w:val="24"/>
        </w:rPr>
        <w:t xml:space="preserve"> </w:t>
      </w:r>
    </w:p>
    <w:p w14:paraId="4CA88CCA" w14:textId="4EBDF629" w:rsidR="00DC59D2" w:rsidRPr="00665B41" w:rsidRDefault="00DC59D2" w:rsidP="00DC59D2">
      <w:pPr>
        <w:spacing w:after="60"/>
        <w:ind w:firstLine="720"/>
        <w:rPr>
          <w:szCs w:val="24"/>
        </w:rPr>
      </w:pPr>
      <w:r w:rsidRPr="00E04130">
        <w:rPr>
          <w:b/>
          <w:szCs w:val="24"/>
        </w:rPr>
        <w:t xml:space="preserve">Valsts saistības tiek paredzētas par </w:t>
      </w:r>
      <w:r>
        <w:rPr>
          <w:b/>
          <w:szCs w:val="24"/>
        </w:rPr>
        <w:t xml:space="preserve">programmā </w:t>
      </w:r>
      <w:proofErr w:type="spellStart"/>
      <w:r>
        <w:rPr>
          <w:b/>
          <w:szCs w:val="24"/>
        </w:rPr>
        <w:t>jaunizsniegtajām</w:t>
      </w:r>
      <w:proofErr w:type="spellEnd"/>
      <w:r>
        <w:rPr>
          <w:b/>
          <w:szCs w:val="24"/>
        </w:rPr>
        <w:t xml:space="preserve"> </w:t>
      </w:r>
      <w:r w:rsidRPr="00E04130">
        <w:rPr>
          <w:b/>
          <w:szCs w:val="24"/>
        </w:rPr>
        <w:t>garantijām</w:t>
      </w:r>
      <w:r>
        <w:rPr>
          <w:b/>
          <w:szCs w:val="24"/>
        </w:rPr>
        <w:t xml:space="preserve"> </w:t>
      </w:r>
      <w:r w:rsidRPr="00E04130">
        <w:rPr>
          <w:b/>
          <w:szCs w:val="24"/>
        </w:rPr>
        <w:t>no 2016. gada 1. janvāra līdz 2019.</w:t>
      </w:r>
      <w:r w:rsidR="006226E9">
        <w:rPr>
          <w:b/>
          <w:szCs w:val="24"/>
        </w:rPr>
        <w:t xml:space="preserve"> </w:t>
      </w:r>
      <w:r w:rsidRPr="00E04130">
        <w:rPr>
          <w:b/>
          <w:szCs w:val="24"/>
        </w:rPr>
        <w:t>gada 31.</w:t>
      </w:r>
      <w:r w:rsidR="006226E9">
        <w:rPr>
          <w:b/>
          <w:szCs w:val="24"/>
        </w:rPr>
        <w:t xml:space="preserve"> </w:t>
      </w:r>
      <w:r w:rsidRPr="00E04130">
        <w:rPr>
          <w:b/>
          <w:szCs w:val="24"/>
        </w:rPr>
        <w:t>decembrim</w:t>
      </w:r>
      <w:r w:rsidRPr="00951712">
        <w:rPr>
          <w:b/>
          <w:szCs w:val="24"/>
        </w:rPr>
        <w:t xml:space="preserve"> </w:t>
      </w:r>
      <w:r w:rsidRPr="00EC5568">
        <w:rPr>
          <w:b/>
          <w:szCs w:val="24"/>
        </w:rPr>
        <w:t>atbilstoši garantiju programm</w:t>
      </w:r>
      <w:r>
        <w:rPr>
          <w:b/>
          <w:szCs w:val="24"/>
        </w:rPr>
        <w:t>as</w:t>
      </w:r>
      <w:r w:rsidRPr="00EC5568">
        <w:rPr>
          <w:b/>
          <w:szCs w:val="24"/>
        </w:rPr>
        <w:t xml:space="preserve"> faktiskajiem apjomi</w:t>
      </w:r>
      <w:r>
        <w:rPr>
          <w:b/>
          <w:szCs w:val="24"/>
        </w:rPr>
        <w:t>em</w:t>
      </w:r>
      <w:r w:rsidRPr="00EC5568">
        <w:rPr>
          <w:b/>
          <w:szCs w:val="24"/>
        </w:rPr>
        <w:t xml:space="preserve"> 2022. gadā</w:t>
      </w:r>
      <w:r w:rsidRPr="00E04130">
        <w:rPr>
          <w:b/>
          <w:szCs w:val="24"/>
        </w:rPr>
        <w:t>.</w:t>
      </w:r>
    </w:p>
    <w:p w14:paraId="792E0C14" w14:textId="35EEC53D" w:rsidR="00DC59D2" w:rsidRDefault="00DC59D2" w:rsidP="0006411B">
      <w:pPr>
        <w:tabs>
          <w:tab w:val="left" w:pos="709"/>
        </w:tabs>
        <w:spacing w:after="0"/>
        <w:ind w:firstLine="426"/>
        <w:rPr>
          <w:szCs w:val="24"/>
        </w:rPr>
      </w:pPr>
      <w:r w:rsidRPr="0006411B">
        <w:rPr>
          <w:b/>
          <w:bCs/>
          <w:szCs w:val="24"/>
        </w:rPr>
        <w:t xml:space="preserve">6. </w:t>
      </w:r>
      <w:r w:rsidR="00203EFF" w:rsidRPr="0006411B">
        <w:rPr>
          <w:b/>
          <w:bCs/>
          <w:szCs w:val="24"/>
        </w:rPr>
        <w:tab/>
      </w:r>
      <w:r w:rsidRPr="007C2D86">
        <w:rPr>
          <w:b/>
          <w:bCs/>
          <w:szCs w:val="24"/>
        </w:rPr>
        <w:t>Garantijas daudzdzīvokļu dzīvojamo māju energoefektivitātes pasākumu īstenošanai Latvijas Atveseļošanas un noturības mehānisma plāna 1.2.1.1.i. pasākumam “Daudzdzīvokļu māju energoefektivitātes uzlabošana un pāreja uz atjaunojamo energoresursu tehnoloģiju izmantošanu” ietvaros.</w:t>
      </w:r>
      <w:r w:rsidRPr="00EC4F9D">
        <w:rPr>
          <w:szCs w:val="24"/>
        </w:rPr>
        <w:t xml:space="preserve"> </w:t>
      </w:r>
      <w:r>
        <w:rPr>
          <w:szCs w:val="24"/>
        </w:rPr>
        <w:t>Plānotais programmas</w:t>
      </w:r>
      <w:r w:rsidRPr="00271CE9">
        <w:t xml:space="preserve"> </w:t>
      </w:r>
      <w:r w:rsidRPr="00271CE9">
        <w:rPr>
          <w:szCs w:val="24"/>
        </w:rPr>
        <w:t>mērķis ir veikt ieguldījumus daudzdzīvokļu dzīvojamo ēku sektorā, kas veicinās mājokļu jautājuma sakārtošanu Latvijā, palīdzēs samazināt enerģētiskās nabadzības līmeni, kā arī veicinās Latvijas tautsaimniecības attīstību, jo ar energoefektivitātes pasākumu īstenošanu, tiek nodrošinātas darba vietas, un tiek nodrošināts vietējo būvmateriālu pieprasījums.</w:t>
      </w:r>
      <w:r>
        <w:rPr>
          <w:szCs w:val="24"/>
        </w:rPr>
        <w:t xml:space="preserve"> Plānotais </w:t>
      </w:r>
      <w:r w:rsidRPr="00FC3CD0">
        <w:rPr>
          <w:szCs w:val="24"/>
        </w:rPr>
        <w:t>programmas finansējums</w:t>
      </w:r>
      <w:r>
        <w:rPr>
          <w:szCs w:val="24"/>
        </w:rPr>
        <w:t xml:space="preserve"> ir</w:t>
      </w:r>
      <w:r w:rsidRPr="00FC3CD0">
        <w:rPr>
          <w:szCs w:val="24"/>
        </w:rPr>
        <w:t xml:space="preserve"> </w:t>
      </w:r>
      <w:r>
        <w:rPr>
          <w:szCs w:val="24"/>
        </w:rPr>
        <w:t>5</w:t>
      </w:r>
      <w:r w:rsidRPr="00EC4F9D">
        <w:rPr>
          <w:szCs w:val="24"/>
        </w:rPr>
        <w:t xml:space="preserve">7,28 milj. </w:t>
      </w:r>
      <w:proofErr w:type="spellStart"/>
      <w:r w:rsidRPr="007C2D86">
        <w:rPr>
          <w:i/>
          <w:iCs/>
          <w:szCs w:val="24"/>
        </w:rPr>
        <w:t>euro</w:t>
      </w:r>
      <w:proofErr w:type="spellEnd"/>
      <w:r w:rsidRPr="00EC4F9D">
        <w:rPr>
          <w:szCs w:val="24"/>
        </w:rPr>
        <w:t xml:space="preserve"> </w:t>
      </w:r>
      <w:r>
        <w:rPr>
          <w:szCs w:val="24"/>
        </w:rPr>
        <w:t>apmērā (</w:t>
      </w:r>
      <w:r w:rsidRPr="00EC4F9D">
        <w:rPr>
          <w:szCs w:val="24"/>
        </w:rPr>
        <w:t>Atveseļošanās fonda finansējums laika periodā no 2022. līdz 2026. gadam</w:t>
      </w:r>
      <w:r>
        <w:rPr>
          <w:szCs w:val="24"/>
        </w:rPr>
        <w:t>)</w:t>
      </w:r>
      <w:r w:rsidRPr="00EC4F9D">
        <w:rPr>
          <w:szCs w:val="24"/>
        </w:rPr>
        <w:t xml:space="preserve">. </w:t>
      </w:r>
    </w:p>
    <w:p w14:paraId="5510B82D" w14:textId="10B01FBB" w:rsidR="00DC59D2" w:rsidRPr="00203EFF" w:rsidRDefault="00DC59D2" w:rsidP="00203EFF">
      <w:pPr>
        <w:spacing w:after="240"/>
        <w:ind w:firstLine="720"/>
        <w:rPr>
          <w:szCs w:val="24"/>
        </w:rPr>
      </w:pPr>
      <w:r w:rsidRPr="00B76414">
        <w:rPr>
          <w:szCs w:val="24"/>
        </w:rPr>
        <w:t>Garantija tiek izsniegta par kredītiestādes izsniegtu aizdevumu</w:t>
      </w:r>
      <w:r>
        <w:rPr>
          <w:szCs w:val="24"/>
        </w:rPr>
        <w:t xml:space="preserve"> projekta īstenošanai, </w:t>
      </w:r>
      <w:r w:rsidRPr="00CB2270">
        <w:rPr>
          <w:szCs w:val="24"/>
        </w:rPr>
        <w:t>no kura atņemta plānotā kapitāla atlaides summa</w:t>
      </w:r>
      <w:r>
        <w:rPr>
          <w:szCs w:val="24"/>
        </w:rPr>
        <w:t>,</w:t>
      </w:r>
      <w:r w:rsidRPr="00B76414">
        <w:rPr>
          <w:szCs w:val="24"/>
        </w:rPr>
        <w:t xml:space="preserve"> līdz 80 % no finansējuma pamatsummas ar termiņu līdz </w:t>
      </w:r>
      <w:r>
        <w:rPr>
          <w:szCs w:val="24"/>
        </w:rPr>
        <w:t>1</w:t>
      </w:r>
      <w:r w:rsidRPr="00B76414">
        <w:rPr>
          <w:szCs w:val="24"/>
        </w:rPr>
        <w:t xml:space="preserve">0 gadiem, garantijas summa vienas ēkas energoefektivitātes paaugstināšanas pasākumam nepārsniedz 3 milj. </w:t>
      </w:r>
      <w:proofErr w:type="spellStart"/>
      <w:r w:rsidRPr="00F169A2">
        <w:rPr>
          <w:i/>
          <w:szCs w:val="24"/>
        </w:rPr>
        <w:t>euro</w:t>
      </w:r>
      <w:proofErr w:type="spellEnd"/>
      <w:r w:rsidRPr="00B76414">
        <w:rPr>
          <w:szCs w:val="24"/>
        </w:rPr>
        <w:t>.</w:t>
      </w:r>
      <w:r>
        <w:rPr>
          <w:szCs w:val="24"/>
        </w:rPr>
        <w:t xml:space="preserve"> </w:t>
      </w:r>
      <w:r w:rsidRPr="00977B16">
        <w:rPr>
          <w:b/>
          <w:bCs/>
          <w:szCs w:val="24"/>
        </w:rPr>
        <w:t xml:space="preserve">Valsts saistības </w:t>
      </w:r>
      <w:r>
        <w:rPr>
          <w:b/>
          <w:bCs/>
          <w:szCs w:val="24"/>
        </w:rPr>
        <w:t xml:space="preserve">līdz </w:t>
      </w:r>
      <w:r w:rsidRPr="007508CC">
        <w:rPr>
          <w:b/>
          <w:bCs/>
          <w:szCs w:val="24"/>
        </w:rPr>
        <w:t xml:space="preserve">15 014 000 </w:t>
      </w:r>
      <w:proofErr w:type="spellStart"/>
      <w:r w:rsidRPr="007508CC">
        <w:rPr>
          <w:b/>
          <w:bCs/>
          <w:i/>
          <w:iCs/>
          <w:szCs w:val="24"/>
        </w:rPr>
        <w:t>euro</w:t>
      </w:r>
      <w:proofErr w:type="spellEnd"/>
      <w:r w:rsidRPr="0039004B">
        <w:rPr>
          <w:b/>
          <w:bCs/>
          <w:szCs w:val="24"/>
        </w:rPr>
        <w:t xml:space="preserve"> apmērā</w:t>
      </w:r>
      <w:r w:rsidRPr="00A567D5">
        <w:rPr>
          <w:szCs w:val="24"/>
        </w:rPr>
        <w:t xml:space="preserve"> </w:t>
      </w:r>
      <w:r w:rsidRPr="00977B16">
        <w:rPr>
          <w:b/>
          <w:bCs/>
          <w:szCs w:val="24"/>
        </w:rPr>
        <w:t xml:space="preserve">par programmā </w:t>
      </w:r>
      <w:proofErr w:type="spellStart"/>
      <w:r w:rsidRPr="00977B16">
        <w:rPr>
          <w:b/>
          <w:bCs/>
          <w:szCs w:val="24"/>
        </w:rPr>
        <w:t>jaunizsniegtajām</w:t>
      </w:r>
      <w:proofErr w:type="spellEnd"/>
      <w:r w:rsidRPr="00977B16">
        <w:rPr>
          <w:b/>
          <w:bCs/>
          <w:szCs w:val="24"/>
        </w:rPr>
        <w:t xml:space="preserve"> garantijām </w:t>
      </w:r>
      <w:r w:rsidRPr="00EF0F31">
        <w:rPr>
          <w:b/>
          <w:bCs/>
          <w:szCs w:val="24"/>
        </w:rPr>
        <w:t>stājas spēkā pēc normatīvo aktu par programmas īstenošanu spēkā stāšanās</w:t>
      </w:r>
      <w:r w:rsidRPr="00977B16">
        <w:rPr>
          <w:b/>
          <w:bCs/>
          <w:szCs w:val="24"/>
        </w:rPr>
        <w:t xml:space="preserve"> atbilstoši garantiju programmas faktiskajiem apjomiem 2022. gadā.</w:t>
      </w:r>
    </w:p>
    <w:p w14:paraId="401B259B" w14:textId="6ACF2C8F" w:rsidR="00902B54" w:rsidRDefault="00FC3115" w:rsidP="00DD07A1">
      <w:pPr>
        <w:pStyle w:val="Heading2"/>
        <w:spacing w:before="240" w:after="240"/>
        <w:ind w:firstLine="0"/>
        <w:jc w:val="center"/>
        <w:rPr>
          <w:rFonts w:ascii="Times New Roman" w:hAnsi="Times New Roman" w:cs="Times New Roman"/>
          <w:b/>
          <w:color w:val="auto"/>
          <w:sz w:val="36"/>
          <w:szCs w:val="36"/>
        </w:rPr>
      </w:pPr>
      <w:r>
        <w:rPr>
          <w:rFonts w:ascii="Times New Roman" w:hAnsi="Times New Roman" w:cs="Times New Roman"/>
          <w:b/>
          <w:color w:val="auto"/>
          <w:sz w:val="36"/>
          <w:szCs w:val="36"/>
        </w:rPr>
        <w:t xml:space="preserve">6.6. </w:t>
      </w:r>
      <w:r w:rsidR="00F65E5F" w:rsidRPr="006E6D01">
        <w:rPr>
          <w:rFonts w:ascii="Times New Roman" w:hAnsi="Times New Roman" w:cs="Times New Roman"/>
          <w:b/>
          <w:color w:val="auto"/>
          <w:sz w:val="36"/>
          <w:szCs w:val="36"/>
        </w:rPr>
        <w:t>Valsts budžeta aizdevumi un aizdevumu atmaksas</w:t>
      </w:r>
    </w:p>
    <w:p w14:paraId="372AEA9F" w14:textId="77777777" w:rsidR="00F84106" w:rsidRDefault="00F84106" w:rsidP="00F84106">
      <w:pPr>
        <w:pStyle w:val="Title"/>
        <w:spacing w:after="120"/>
        <w:ind w:firstLine="709"/>
        <w:jc w:val="both"/>
        <w:rPr>
          <w:bCs/>
          <w:szCs w:val="24"/>
        </w:rPr>
      </w:pPr>
      <w:r w:rsidRPr="00F66914">
        <w:rPr>
          <w:szCs w:val="24"/>
        </w:rPr>
        <w:t>Katru gadu gadskārtējā valsts budžeta likumā tiek noteikts valsts aizdevumu kopējais palielinājums, t.sk. atsevišķi nosakot pašvaldību aizņēmumu kopējo palielinājumu. Savukārt</w:t>
      </w:r>
      <w:r>
        <w:rPr>
          <w:szCs w:val="24"/>
        </w:rPr>
        <w:t>,</w:t>
      </w:r>
      <w:r w:rsidRPr="00F66914">
        <w:rPr>
          <w:szCs w:val="24"/>
        </w:rPr>
        <w:t xml:space="preserve"> kopējais gadā pieļaujamais izsniedzamo valsts aizdevumu apmērs ietver gan gadskārtējā valsts budžeta likumā noteikto valsts aizdevumu kopējo palielinājumu, gan iepriekšējos gados izsniegto valsts aizdevumu paredzētās atmaksas.</w:t>
      </w:r>
      <w:r w:rsidRPr="00F66914">
        <w:rPr>
          <w:bCs/>
          <w:szCs w:val="24"/>
        </w:rPr>
        <w:t xml:space="preserve"> </w:t>
      </w:r>
    </w:p>
    <w:p w14:paraId="0477B347" w14:textId="77777777" w:rsidR="00F84106" w:rsidRPr="005C55AF" w:rsidRDefault="00F84106" w:rsidP="00E20B97">
      <w:pPr>
        <w:pStyle w:val="Title"/>
        <w:ind w:firstLine="709"/>
        <w:jc w:val="both"/>
        <w:rPr>
          <w:bCs/>
          <w:szCs w:val="24"/>
        </w:rPr>
      </w:pPr>
      <w:r w:rsidRPr="00F66914">
        <w:rPr>
          <w:bCs/>
          <w:szCs w:val="24"/>
        </w:rPr>
        <w:t xml:space="preserve">Ņemot vērā, ka aizvien aktīvāk tiek izmantotas normatīvajos aktos noteiktās tiesības izņemt valsts aizdevumu vidējā termiņā, </w:t>
      </w:r>
      <w:r w:rsidRPr="00F66914">
        <w:rPr>
          <w:szCs w:val="24"/>
        </w:rPr>
        <w:t xml:space="preserve">saskaņā ar </w:t>
      </w:r>
      <w:r>
        <w:rPr>
          <w:szCs w:val="24"/>
        </w:rPr>
        <w:t>līdz 2021. gada 14. septembrim</w:t>
      </w:r>
      <w:r w:rsidRPr="00F66914">
        <w:rPr>
          <w:szCs w:val="24"/>
        </w:rPr>
        <w:t xml:space="preserve"> noslēgt</w:t>
      </w:r>
      <w:r>
        <w:rPr>
          <w:szCs w:val="24"/>
        </w:rPr>
        <w:t xml:space="preserve">o aizdevuma līgumu nosacījumiem, </w:t>
      </w:r>
      <w:r w:rsidRPr="00F66914">
        <w:rPr>
          <w:szCs w:val="24"/>
        </w:rPr>
        <w:t xml:space="preserve">valsts uzņemtās saistības </w:t>
      </w:r>
      <w:r>
        <w:rPr>
          <w:szCs w:val="24"/>
        </w:rPr>
        <w:t xml:space="preserve">aizdevumu izmaksai </w:t>
      </w:r>
      <w:r w:rsidRPr="00F66914">
        <w:rPr>
          <w:szCs w:val="24"/>
        </w:rPr>
        <w:t>202</w:t>
      </w:r>
      <w:r>
        <w:rPr>
          <w:szCs w:val="24"/>
        </w:rPr>
        <w:t>2</w:t>
      </w:r>
      <w:r w:rsidRPr="00F66914">
        <w:rPr>
          <w:szCs w:val="24"/>
        </w:rPr>
        <w:t>.</w:t>
      </w:r>
      <w:r>
        <w:rPr>
          <w:szCs w:val="24"/>
        </w:rPr>
        <w:t> </w:t>
      </w:r>
      <w:r w:rsidRPr="00F66914">
        <w:rPr>
          <w:szCs w:val="24"/>
        </w:rPr>
        <w:t>gad</w:t>
      </w:r>
      <w:r>
        <w:rPr>
          <w:szCs w:val="24"/>
        </w:rPr>
        <w:t>ā</w:t>
      </w:r>
      <w:r w:rsidRPr="00F66914">
        <w:rPr>
          <w:szCs w:val="24"/>
        </w:rPr>
        <w:t xml:space="preserve"> ir </w:t>
      </w:r>
      <w:r>
        <w:rPr>
          <w:szCs w:val="24"/>
        </w:rPr>
        <w:t>151,7 </w:t>
      </w:r>
      <w:r w:rsidRPr="00F66914">
        <w:rPr>
          <w:szCs w:val="24"/>
        </w:rPr>
        <w:t xml:space="preserve">milj. </w:t>
      </w:r>
      <w:proofErr w:type="spellStart"/>
      <w:r w:rsidRPr="00F66914">
        <w:rPr>
          <w:i/>
          <w:szCs w:val="24"/>
        </w:rPr>
        <w:t>euro</w:t>
      </w:r>
      <w:proofErr w:type="spellEnd"/>
      <w:r>
        <w:rPr>
          <w:szCs w:val="24"/>
        </w:rPr>
        <w:t xml:space="preserve">, </w:t>
      </w:r>
      <w:r w:rsidRPr="00322590">
        <w:t>tajā skaitā:</w:t>
      </w:r>
    </w:p>
    <w:p w14:paraId="7F255247" w14:textId="77777777" w:rsidR="00F84106" w:rsidRPr="00322590" w:rsidRDefault="00F84106" w:rsidP="00F84106">
      <w:pPr>
        <w:numPr>
          <w:ilvl w:val="0"/>
          <w:numId w:val="1"/>
        </w:numPr>
        <w:spacing w:after="0"/>
        <w:ind w:hanging="294"/>
        <w:rPr>
          <w:szCs w:val="24"/>
        </w:rPr>
      </w:pPr>
      <w:r>
        <w:rPr>
          <w:szCs w:val="24"/>
        </w:rPr>
        <w:t xml:space="preserve">48,5 </w:t>
      </w:r>
      <w:r w:rsidRPr="00322590">
        <w:rPr>
          <w:szCs w:val="24"/>
        </w:rPr>
        <w:t xml:space="preserve">milj. </w:t>
      </w:r>
      <w:proofErr w:type="spellStart"/>
      <w:r w:rsidRPr="00322590">
        <w:rPr>
          <w:i/>
          <w:szCs w:val="24"/>
        </w:rPr>
        <w:t>euro</w:t>
      </w:r>
      <w:proofErr w:type="spellEnd"/>
      <w:r w:rsidRPr="00322590">
        <w:rPr>
          <w:szCs w:val="24"/>
        </w:rPr>
        <w:t xml:space="preserve"> valsts struktūrām;</w:t>
      </w:r>
    </w:p>
    <w:p w14:paraId="55D2636E" w14:textId="77777777" w:rsidR="00F84106" w:rsidRPr="00322590" w:rsidRDefault="00F84106" w:rsidP="00F84106">
      <w:pPr>
        <w:numPr>
          <w:ilvl w:val="0"/>
          <w:numId w:val="1"/>
        </w:numPr>
        <w:spacing w:after="0"/>
        <w:ind w:hanging="294"/>
        <w:rPr>
          <w:szCs w:val="24"/>
        </w:rPr>
      </w:pPr>
      <w:r>
        <w:rPr>
          <w:szCs w:val="24"/>
        </w:rPr>
        <w:t>48,9</w:t>
      </w:r>
      <w:r w:rsidRPr="00322590">
        <w:rPr>
          <w:szCs w:val="24"/>
        </w:rPr>
        <w:t xml:space="preserve"> milj. </w:t>
      </w:r>
      <w:proofErr w:type="spellStart"/>
      <w:r w:rsidRPr="00322590">
        <w:rPr>
          <w:i/>
          <w:szCs w:val="24"/>
        </w:rPr>
        <w:t>euro</w:t>
      </w:r>
      <w:proofErr w:type="spellEnd"/>
      <w:r w:rsidRPr="00322590">
        <w:rPr>
          <w:szCs w:val="24"/>
        </w:rPr>
        <w:t xml:space="preserve"> aizdevumiem pašvaldību struktūrām;</w:t>
      </w:r>
    </w:p>
    <w:p w14:paraId="033D53B3" w14:textId="77777777" w:rsidR="00F84106" w:rsidRDefault="00F84106" w:rsidP="00F84106">
      <w:pPr>
        <w:numPr>
          <w:ilvl w:val="0"/>
          <w:numId w:val="1"/>
        </w:numPr>
        <w:spacing w:after="0"/>
        <w:ind w:hanging="294"/>
        <w:rPr>
          <w:szCs w:val="24"/>
        </w:rPr>
      </w:pPr>
      <w:r>
        <w:rPr>
          <w:szCs w:val="24"/>
        </w:rPr>
        <w:t xml:space="preserve">15,8 </w:t>
      </w:r>
      <w:r w:rsidRPr="00322590">
        <w:rPr>
          <w:szCs w:val="24"/>
        </w:rPr>
        <w:t xml:space="preserve">milj. </w:t>
      </w:r>
      <w:proofErr w:type="spellStart"/>
      <w:r w:rsidRPr="00322590">
        <w:rPr>
          <w:i/>
          <w:szCs w:val="24"/>
        </w:rPr>
        <w:t>euro</w:t>
      </w:r>
      <w:proofErr w:type="spellEnd"/>
      <w:r w:rsidRPr="00322590">
        <w:rPr>
          <w:szCs w:val="24"/>
        </w:rPr>
        <w:t xml:space="preserve"> aizdevumiem </w:t>
      </w:r>
      <w:proofErr w:type="spellStart"/>
      <w:r w:rsidRPr="00322590">
        <w:rPr>
          <w:szCs w:val="24"/>
        </w:rPr>
        <w:t>nefinanšu</w:t>
      </w:r>
      <w:proofErr w:type="spellEnd"/>
      <w:r>
        <w:rPr>
          <w:szCs w:val="24"/>
        </w:rPr>
        <w:t xml:space="preserve"> sabiedrībām</w:t>
      </w:r>
      <w:r w:rsidRPr="00322590">
        <w:rPr>
          <w:szCs w:val="24"/>
        </w:rPr>
        <w:t>,</w:t>
      </w:r>
    </w:p>
    <w:p w14:paraId="62C09A3F" w14:textId="24CFD8A9" w:rsidR="00F84106" w:rsidRDefault="00F84106" w:rsidP="00F84106">
      <w:pPr>
        <w:numPr>
          <w:ilvl w:val="0"/>
          <w:numId w:val="1"/>
        </w:numPr>
        <w:spacing w:after="0"/>
        <w:ind w:hanging="294"/>
        <w:rPr>
          <w:szCs w:val="24"/>
        </w:rPr>
      </w:pPr>
      <w:r>
        <w:rPr>
          <w:szCs w:val="24"/>
        </w:rPr>
        <w:t xml:space="preserve">38,5 milj. </w:t>
      </w:r>
      <w:proofErr w:type="spellStart"/>
      <w:r w:rsidRPr="002B6F43">
        <w:rPr>
          <w:i/>
          <w:szCs w:val="24"/>
        </w:rPr>
        <w:t>euro</w:t>
      </w:r>
      <w:proofErr w:type="spellEnd"/>
      <w:r>
        <w:rPr>
          <w:szCs w:val="24"/>
        </w:rPr>
        <w:t xml:space="preserve"> </w:t>
      </w:r>
      <w:r w:rsidRPr="00322590">
        <w:rPr>
          <w:szCs w:val="24"/>
        </w:rPr>
        <w:t>nerezidentiem.</w:t>
      </w:r>
    </w:p>
    <w:p w14:paraId="741171EE" w14:textId="77777777" w:rsidR="00B13811" w:rsidRPr="00B13811" w:rsidRDefault="00B13811" w:rsidP="00B13811">
      <w:pPr>
        <w:spacing w:before="120" w:after="0"/>
        <w:rPr>
          <w:szCs w:val="24"/>
        </w:rPr>
      </w:pPr>
      <w:r w:rsidRPr="00B13811">
        <w:rPr>
          <w:szCs w:val="24"/>
        </w:rPr>
        <w:t xml:space="preserve">Valsts pamatbudžeta aizdevumi (izsniegto aizdevumu un izsniegto aizdevumu saņemtās atmaksas starpība) 2022. gadā plānoti 404,5 milj. </w:t>
      </w:r>
      <w:proofErr w:type="spellStart"/>
      <w:r w:rsidRPr="00B13811">
        <w:rPr>
          <w:i/>
          <w:szCs w:val="24"/>
        </w:rPr>
        <w:t>euro</w:t>
      </w:r>
      <w:proofErr w:type="spellEnd"/>
      <w:r w:rsidRPr="00B13811">
        <w:rPr>
          <w:szCs w:val="24"/>
        </w:rPr>
        <w:t xml:space="preserve"> apmērā. </w:t>
      </w:r>
    </w:p>
    <w:p w14:paraId="5C4CA3A8" w14:textId="77777777" w:rsidR="00B13811" w:rsidRPr="00B13811" w:rsidRDefault="00B13811" w:rsidP="00B13811">
      <w:pPr>
        <w:spacing w:after="0"/>
        <w:rPr>
          <w:szCs w:val="24"/>
        </w:rPr>
      </w:pPr>
      <w:r w:rsidRPr="00B13811">
        <w:rPr>
          <w:szCs w:val="24"/>
        </w:rPr>
        <w:t xml:space="preserve">Valsts budžeta izsniegtie aizdevumi plānoti 541,9 milj. </w:t>
      </w:r>
      <w:proofErr w:type="spellStart"/>
      <w:r w:rsidRPr="00B13811">
        <w:rPr>
          <w:i/>
          <w:szCs w:val="24"/>
        </w:rPr>
        <w:t>euro</w:t>
      </w:r>
      <w:proofErr w:type="spellEnd"/>
      <w:r w:rsidRPr="00B13811">
        <w:rPr>
          <w:szCs w:val="24"/>
        </w:rPr>
        <w:t xml:space="preserve"> apjomā, tajā skaitā:</w:t>
      </w:r>
    </w:p>
    <w:p w14:paraId="032F48F7" w14:textId="77777777" w:rsidR="00B13811" w:rsidRPr="00B13811" w:rsidRDefault="00B13811" w:rsidP="00B13811">
      <w:pPr>
        <w:pStyle w:val="ListParagraph"/>
        <w:numPr>
          <w:ilvl w:val="0"/>
          <w:numId w:val="3"/>
        </w:numPr>
        <w:spacing w:after="0"/>
        <w:jc w:val="both"/>
        <w:rPr>
          <w:rFonts w:ascii="Times New Roman" w:hAnsi="Times New Roman" w:cs="Times New Roman"/>
          <w:sz w:val="24"/>
          <w:szCs w:val="24"/>
        </w:rPr>
      </w:pPr>
      <w:r w:rsidRPr="00B13811">
        <w:rPr>
          <w:rFonts w:ascii="Times New Roman" w:hAnsi="Times New Roman" w:cs="Times New Roman"/>
          <w:sz w:val="24"/>
          <w:szCs w:val="24"/>
        </w:rPr>
        <w:t xml:space="preserve">108,9 milj. </w:t>
      </w:r>
      <w:proofErr w:type="spellStart"/>
      <w:r w:rsidRPr="00B13811">
        <w:rPr>
          <w:rFonts w:ascii="Times New Roman" w:hAnsi="Times New Roman" w:cs="Times New Roman"/>
          <w:i/>
          <w:sz w:val="24"/>
          <w:szCs w:val="24"/>
        </w:rPr>
        <w:t>euro</w:t>
      </w:r>
      <w:proofErr w:type="spellEnd"/>
      <w:r w:rsidRPr="00B13811">
        <w:rPr>
          <w:rFonts w:ascii="Times New Roman" w:hAnsi="Times New Roman" w:cs="Times New Roman"/>
          <w:sz w:val="24"/>
          <w:szCs w:val="24"/>
        </w:rPr>
        <w:t xml:space="preserve"> valsts struktūrām;</w:t>
      </w:r>
    </w:p>
    <w:p w14:paraId="480ED28B" w14:textId="77777777" w:rsidR="00B13811" w:rsidRPr="00B13811" w:rsidRDefault="00B13811" w:rsidP="00B13811">
      <w:pPr>
        <w:pStyle w:val="ListParagraph"/>
        <w:numPr>
          <w:ilvl w:val="0"/>
          <w:numId w:val="3"/>
        </w:numPr>
        <w:spacing w:after="0"/>
        <w:jc w:val="both"/>
        <w:rPr>
          <w:rFonts w:ascii="Times New Roman" w:hAnsi="Times New Roman" w:cs="Times New Roman"/>
          <w:sz w:val="24"/>
          <w:szCs w:val="24"/>
        </w:rPr>
      </w:pPr>
      <w:r w:rsidRPr="00B13811">
        <w:rPr>
          <w:rFonts w:ascii="Times New Roman" w:hAnsi="Times New Roman" w:cs="Times New Roman"/>
          <w:sz w:val="24"/>
          <w:szCs w:val="24"/>
        </w:rPr>
        <w:t xml:space="preserve">304,5 milj. </w:t>
      </w:r>
      <w:proofErr w:type="spellStart"/>
      <w:r w:rsidRPr="00B13811">
        <w:rPr>
          <w:rFonts w:ascii="Times New Roman" w:hAnsi="Times New Roman" w:cs="Times New Roman"/>
          <w:i/>
          <w:sz w:val="24"/>
          <w:szCs w:val="24"/>
        </w:rPr>
        <w:t>euro</w:t>
      </w:r>
      <w:proofErr w:type="spellEnd"/>
      <w:r w:rsidRPr="00B13811">
        <w:rPr>
          <w:rFonts w:ascii="Times New Roman" w:hAnsi="Times New Roman" w:cs="Times New Roman"/>
          <w:sz w:val="24"/>
          <w:szCs w:val="24"/>
        </w:rPr>
        <w:t xml:space="preserve"> aizdevumiem pašvaldību struktūrām;</w:t>
      </w:r>
    </w:p>
    <w:p w14:paraId="7BAFFBC8" w14:textId="77777777" w:rsidR="00B13811" w:rsidRPr="00B13811" w:rsidRDefault="00B13811" w:rsidP="00B13811">
      <w:pPr>
        <w:pStyle w:val="ListParagraph"/>
        <w:numPr>
          <w:ilvl w:val="0"/>
          <w:numId w:val="3"/>
        </w:numPr>
        <w:jc w:val="both"/>
        <w:rPr>
          <w:rFonts w:ascii="Times New Roman" w:hAnsi="Times New Roman" w:cs="Times New Roman"/>
          <w:sz w:val="24"/>
          <w:szCs w:val="24"/>
        </w:rPr>
      </w:pPr>
      <w:r w:rsidRPr="00B13811">
        <w:rPr>
          <w:rFonts w:ascii="Times New Roman" w:hAnsi="Times New Roman" w:cs="Times New Roman"/>
          <w:sz w:val="24"/>
          <w:szCs w:val="24"/>
        </w:rPr>
        <w:t xml:space="preserve">128,5 milj. </w:t>
      </w:r>
      <w:proofErr w:type="spellStart"/>
      <w:r w:rsidRPr="00B13811">
        <w:rPr>
          <w:rFonts w:ascii="Times New Roman" w:hAnsi="Times New Roman" w:cs="Times New Roman"/>
          <w:i/>
          <w:sz w:val="24"/>
          <w:szCs w:val="24"/>
        </w:rPr>
        <w:t>euro</w:t>
      </w:r>
      <w:proofErr w:type="spellEnd"/>
      <w:r w:rsidRPr="00B13811">
        <w:rPr>
          <w:rFonts w:ascii="Times New Roman" w:hAnsi="Times New Roman" w:cs="Times New Roman"/>
          <w:sz w:val="24"/>
          <w:szCs w:val="24"/>
        </w:rPr>
        <w:t xml:space="preserve"> aizdevumiem </w:t>
      </w:r>
      <w:proofErr w:type="spellStart"/>
      <w:r w:rsidRPr="00B13811">
        <w:rPr>
          <w:rFonts w:ascii="Times New Roman" w:hAnsi="Times New Roman" w:cs="Times New Roman"/>
          <w:sz w:val="24"/>
          <w:szCs w:val="24"/>
        </w:rPr>
        <w:t>nefinanšu</w:t>
      </w:r>
      <w:proofErr w:type="spellEnd"/>
      <w:r w:rsidRPr="00B13811">
        <w:rPr>
          <w:rFonts w:ascii="Times New Roman" w:hAnsi="Times New Roman" w:cs="Times New Roman"/>
          <w:sz w:val="24"/>
          <w:szCs w:val="24"/>
        </w:rPr>
        <w:t xml:space="preserve"> sabiedrībām un nerezidentiem.</w:t>
      </w:r>
    </w:p>
    <w:p w14:paraId="11EA40C7" w14:textId="7816131B" w:rsidR="00F84106" w:rsidRPr="00322590" w:rsidRDefault="00F84106" w:rsidP="00E20B97">
      <w:pPr>
        <w:spacing w:before="120" w:after="0"/>
      </w:pPr>
      <w:r w:rsidRPr="00322590">
        <w:lastRenderedPageBreak/>
        <w:t>Saskaņā ar iepriekšējos gados noslēgtajos aizdevuma līgumos iekļautajiem aizdevumu atmaksas grafikiem, 202</w:t>
      </w:r>
      <w:r>
        <w:t>2</w:t>
      </w:r>
      <w:r w:rsidRPr="00322590">
        <w:t xml:space="preserve">. gadā valsts aizdevumu atmaksas plānotas </w:t>
      </w:r>
      <w:r>
        <w:t>13</w:t>
      </w:r>
      <w:r w:rsidR="00B13811">
        <w:t>7</w:t>
      </w:r>
      <w:r>
        <w:t>,4 </w:t>
      </w:r>
      <w:r w:rsidRPr="00322590">
        <w:t xml:space="preserve">milj. </w:t>
      </w:r>
      <w:proofErr w:type="spellStart"/>
      <w:r w:rsidRPr="00322590">
        <w:rPr>
          <w:i/>
        </w:rPr>
        <w:t>euro</w:t>
      </w:r>
      <w:proofErr w:type="spellEnd"/>
      <w:r w:rsidRPr="00322590">
        <w:rPr>
          <w:b/>
        </w:rPr>
        <w:t xml:space="preserve"> </w:t>
      </w:r>
      <w:r w:rsidRPr="00322590">
        <w:t>apmērā, tajā skaitā:</w:t>
      </w:r>
    </w:p>
    <w:p w14:paraId="62C3CD42" w14:textId="395457FE" w:rsidR="00F84106" w:rsidRPr="00322590" w:rsidRDefault="00F84106" w:rsidP="009C5C7F">
      <w:pPr>
        <w:numPr>
          <w:ilvl w:val="0"/>
          <w:numId w:val="2"/>
        </w:numPr>
        <w:tabs>
          <w:tab w:val="clear" w:pos="720"/>
        </w:tabs>
        <w:spacing w:after="0"/>
        <w:ind w:hanging="294"/>
        <w:rPr>
          <w:szCs w:val="24"/>
        </w:rPr>
      </w:pPr>
      <w:r w:rsidRPr="00322590">
        <w:rPr>
          <w:szCs w:val="24"/>
        </w:rPr>
        <w:t xml:space="preserve">no valsts struktūrām – </w:t>
      </w:r>
      <w:r w:rsidR="00B13811">
        <w:rPr>
          <w:szCs w:val="24"/>
        </w:rPr>
        <w:t>8</w:t>
      </w:r>
      <w:r>
        <w:rPr>
          <w:szCs w:val="24"/>
        </w:rPr>
        <w:t>,3</w:t>
      </w:r>
      <w:r w:rsidRPr="00322590">
        <w:rPr>
          <w:szCs w:val="24"/>
        </w:rPr>
        <w:t xml:space="preserve"> milj. </w:t>
      </w:r>
      <w:proofErr w:type="spellStart"/>
      <w:r w:rsidRPr="00322590">
        <w:rPr>
          <w:i/>
          <w:szCs w:val="24"/>
        </w:rPr>
        <w:t>euro</w:t>
      </w:r>
      <w:proofErr w:type="spellEnd"/>
      <w:r w:rsidRPr="00322590">
        <w:rPr>
          <w:szCs w:val="24"/>
        </w:rPr>
        <w:t>;</w:t>
      </w:r>
    </w:p>
    <w:p w14:paraId="0CA65B4F" w14:textId="77777777" w:rsidR="00F84106" w:rsidRPr="00322590" w:rsidRDefault="00F84106" w:rsidP="009C5C7F">
      <w:pPr>
        <w:numPr>
          <w:ilvl w:val="0"/>
          <w:numId w:val="2"/>
        </w:numPr>
        <w:tabs>
          <w:tab w:val="clear" w:pos="720"/>
        </w:tabs>
        <w:spacing w:after="0"/>
        <w:ind w:hanging="294"/>
        <w:rPr>
          <w:szCs w:val="24"/>
        </w:rPr>
      </w:pPr>
      <w:r w:rsidRPr="00322590">
        <w:rPr>
          <w:szCs w:val="24"/>
        </w:rPr>
        <w:t xml:space="preserve">no pašvaldību struktūrām – </w:t>
      </w:r>
      <w:r>
        <w:rPr>
          <w:szCs w:val="24"/>
        </w:rPr>
        <w:t>118,2</w:t>
      </w:r>
      <w:r w:rsidRPr="00322590">
        <w:rPr>
          <w:szCs w:val="24"/>
        </w:rPr>
        <w:t xml:space="preserve"> milj. </w:t>
      </w:r>
      <w:proofErr w:type="spellStart"/>
      <w:r w:rsidRPr="00322590">
        <w:rPr>
          <w:i/>
          <w:szCs w:val="24"/>
        </w:rPr>
        <w:t>euro</w:t>
      </w:r>
      <w:proofErr w:type="spellEnd"/>
      <w:r w:rsidRPr="00322590">
        <w:rPr>
          <w:szCs w:val="24"/>
        </w:rPr>
        <w:t>;</w:t>
      </w:r>
    </w:p>
    <w:p w14:paraId="28ED6AE7" w14:textId="0BAF4E93" w:rsidR="00F84106" w:rsidRPr="00E20B97" w:rsidRDefault="00F84106" w:rsidP="00E20B97">
      <w:pPr>
        <w:numPr>
          <w:ilvl w:val="0"/>
          <w:numId w:val="2"/>
        </w:numPr>
        <w:tabs>
          <w:tab w:val="clear" w:pos="720"/>
        </w:tabs>
        <w:spacing w:after="0"/>
        <w:ind w:hanging="294"/>
        <w:rPr>
          <w:szCs w:val="24"/>
        </w:rPr>
      </w:pPr>
      <w:r w:rsidRPr="009C5C7F">
        <w:rPr>
          <w:szCs w:val="24"/>
        </w:rPr>
        <w:t xml:space="preserve">no </w:t>
      </w:r>
      <w:proofErr w:type="spellStart"/>
      <w:r w:rsidRPr="009C5C7F">
        <w:rPr>
          <w:szCs w:val="24"/>
        </w:rPr>
        <w:t>nefinanšu</w:t>
      </w:r>
      <w:proofErr w:type="spellEnd"/>
      <w:r w:rsidRPr="009C5C7F">
        <w:rPr>
          <w:szCs w:val="24"/>
        </w:rPr>
        <w:t xml:space="preserve"> sabiedrībām – 10,9 milj. </w:t>
      </w:r>
      <w:proofErr w:type="spellStart"/>
      <w:r w:rsidRPr="00AB1383">
        <w:rPr>
          <w:i/>
          <w:iCs/>
          <w:szCs w:val="24"/>
        </w:rPr>
        <w:t>euro</w:t>
      </w:r>
      <w:proofErr w:type="spellEnd"/>
      <w:r w:rsidRPr="00AB1383">
        <w:rPr>
          <w:i/>
          <w:iCs/>
          <w:szCs w:val="24"/>
        </w:rPr>
        <w:t>.</w:t>
      </w:r>
    </w:p>
    <w:sectPr w:rsidR="00F84106" w:rsidRPr="00E20B97" w:rsidSect="00DC42F3">
      <w:headerReference w:type="even" r:id="rId16"/>
      <w:headerReference w:type="default" r:id="rId17"/>
      <w:footerReference w:type="default" r:id="rId18"/>
      <w:pgSz w:w="11906" w:h="16838" w:code="9"/>
      <w:pgMar w:top="1418" w:right="1134" w:bottom="1134" w:left="1701" w:header="720" w:footer="363" w:gutter="0"/>
      <w:pgNumType w:start="92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524E" w14:textId="77777777" w:rsidR="00D87FA0" w:rsidRDefault="00D87FA0">
      <w:r>
        <w:separator/>
      </w:r>
    </w:p>
  </w:endnote>
  <w:endnote w:type="continuationSeparator" w:id="0">
    <w:p w14:paraId="7108F8F3" w14:textId="77777777" w:rsidR="00D87FA0" w:rsidRDefault="00D8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B779" w14:textId="64129812" w:rsidR="007C7780" w:rsidRPr="007C7780" w:rsidRDefault="007A1D8E" w:rsidP="00064D3E">
    <w:pPr>
      <w:ind w:firstLine="0"/>
      <w:rPr>
        <w:sz w:val="6"/>
      </w:rPr>
    </w:pPr>
    <w:r>
      <w:rPr>
        <w:noProof/>
        <w:sz w:val="20"/>
      </w:rPr>
      <w:fldChar w:fldCharType="begin"/>
    </w:r>
    <w:r>
      <w:rPr>
        <w:noProof/>
        <w:sz w:val="20"/>
      </w:rPr>
      <w:instrText xml:space="preserve"> FILENAME \* MERGEFORMAT </w:instrText>
    </w:r>
    <w:r>
      <w:rPr>
        <w:noProof/>
        <w:sz w:val="20"/>
      </w:rPr>
      <w:fldChar w:fldCharType="separate"/>
    </w:r>
    <w:r w:rsidR="00361FB5">
      <w:rPr>
        <w:noProof/>
        <w:sz w:val="20"/>
      </w:rPr>
      <w:t>FMPask_6_111021_proj2022.docx</w:t>
    </w:r>
    <w:r>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0898C" w14:textId="77777777" w:rsidR="00D87FA0" w:rsidRDefault="00D87FA0" w:rsidP="00D33C1B">
      <w:pPr>
        <w:spacing w:after="0"/>
        <w:ind w:firstLine="0"/>
      </w:pPr>
      <w:r>
        <w:separator/>
      </w:r>
    </w:p>
  </w:footnote>
  <w:footnote w:type="continuationSeparator" w:id="0">
    <w:p w14:paraId="3ECFD869" w14:textId="77777777" w:rsidR="00D87FA0" w:rsidRDefault="00D87FA0">
      <w:r>
        <w:continuationSeparator/>
      </w:r>
    </w:p>
  </w:footnote>
  <w:footnote w:id="1">
    <w:p w14:paraId="79AB40DD" w14:textId="213643CC" w:rsidR="007C6302" w:rsidRPr="00EE7FC2" w:rsidRDefault="007C6302" w:rsidP="0038659C">
      <w:pPr>
        <w:pStyle w:val="FootnoteText"/>
        <w:spacing w:after="0"/>
        <w:ind w:firstLine="0"/>
      </w:pPr>
      <w:r w:rsidRPr="00EE7FC2">
        <w:rPr>
          <w:rStyle w:val="FootnoteReference"/>
        </w:rPr>
        <w:footnoteRef/>
      </w:r>
      <w:r w:rsidRPr="00EE7FC2">
        <w:t xml:space="preserve"> </w:t>
      </w:r>
      <w:r w:rsidR="0038659C">
        <w:t>S</w:t>
      </w:r>
      <w:r w:rsidRPr="00EE7FC2">
        <w:t>askaņā ar institucionālo sektoru klasifikāciju, izņemot valsts sektorā ietvertos kontrolētos un finansētos komersantus, ostu un brīvostu pārvaldes, speciālās ekonomiskās zonas</w:t>
      </w:r>
      <w:r w:rsidR="0038659C">
        <w:t>.</w:t>
      </w:r>
    </w:p>
  </w:footnote>
  <w:footnote w:id="2">
    <w:p w14:paraId="39E44E61" w14:textId="173EEE08" w:rsidR="007C6302" w:rsidRPr="00DB150A" w:rsidRDefault="007C6302" w:rsidP="0038659C">
      <w:pPr>
        <w:pStyle w:val="FootnoteText"/>
        <w:spacing w:after="0"/>
        <w:ind w:firstLine="0"/>
        <w:rPr>
          <w:sz w:val="18"/>
          <w:szCs w:val="18"/>
        </w:rPr>
      </w:pPr>
      <w:r w:rsidRPr="00EE7FC2">
        <w:rPr>
          <w:rStyle w:val="FootnoteReference"/>
        </w:rPr>
        <w:footnoteRef/>
      </w:r>
      <w:r w:rsidRPr="00EE7FC2">
        <w:t xml:space="preserve"> </w:t>
      </w:r>
      <w:r w:rsidR="0038659C">
        <w:t>S</w:t>
      </w:r>
      <w:r w:rsidRPr="00EE7FC2">
        <w:t>askaņā ar Likuma par budžetu un finanšu vadību 27.</w:t>
      </w:r>
      <w:r w:rsidR="0038659C">
        <w:t xml:space="preserve"> </w:t>
      </w:r>
      <w:r w:rsidRPr="00EE7FC2">
        <w:t>panta 4.</w:t>
      </w:r>
      <w:r w:rsidR="0038659C">
        <w:t xml:space="preserve"> </w:t>
      </w:r>
      <w:r w:rsidRPr="00EE7FC2">
        <w:t xml:space="preserve">daļu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30FAC" w14:textId="77777777" w:rsidR="00AA51AB" w:rsidRDefault="003D7C9D">
    <w:pPr>
      <w:pStyle w:val="Header"/>
      <w:framePr w:wrap="around" w:vAnchor="text" w:hAnchor="margin" w:xAlign="center" w:y="1"/>
      <w:rPr>
        <w:rStyle w:val="PageNumber"/>
      </w:rPr>
    </w:pPr>
    <w:r>
      <w:rPr>
        <w:rStyle w:val="PageNumber"/>
      </w:rPr>
      <w:fldChar w:fldCharType="begin"/>
    </w:r>
    <w:r w:rsidR="00AA51AB">
      <w:rPr>
        <w:rStyle w:val="PageNumber"/>
      </w:rPr>
      <w:instrText xml:space="preserve">PAGE  </w:instrText>
    </w:r>
    <w:r>
      <w:rPr>
        <w:rStyle w:val="PageNumber"/>
      </w:rPr>
      <w:fldChar w:fldCharType="separate"/>
    </w:r>
    <w:r w:rsidR="001F358D">
      <w:rPr>
        <w:rStyle w:val="PageNumber"/>
        <w:noProof/>
      </w:rPr>
      <w:t>89</w:t>
    </w:r>
    <w:r>
      <w:rPr>
        <w:rStyle w:val="PageNumber"/>
      </w:rPr>
      <w:fldChar w:fldCharType="end"/>
    </w:r>
  </w:p>
  <w:p w14:paraId="430D175F" w14:textId="77777777" w:rsidR="00AA51AB" w:rsidRDefault="00AA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605754"/>
      <w:docPartObj>
        <w:docPartGallery w:val="Page Numbers (Top of Page)"/>
        <w:docPartUnique/>
      </w:docPartObj>
    </w:sdtPr>
    <w:sdtEndPr>
      <w:rPr>
        <w:noProof/>
      </w:rPr>
    </w:sdtEndPr>
    <w:sdtContent>
      <w:p w14:paraId="6F245623" w14:textId="025A8931" w:rsidR="00975FDC" w:rsidRDefault="00975FDC">
        <w:pPr>
          <w:pStyle w:val="Header"/>
          <w:jc w:val="center"/>
        </w:pPr>
        <w:r>
          <w:fldChar w:fldCharType="begin"/>
        </w:r>
        <w:r>
          <w:instrText xml:space="preserve"> PAGE   \* MERGEFORMAT </w:instrText>
        </w:r>
        <w:r>
          <w:fldChar w:fldCharType="separate"/>
        </w:r>
        <w:r w:rsidR="005A05B4">
          <w:rPr>
            <w:noProof/>
          </w:rPr>
          <w:t>967</w:t>
        </w:r>
        <w:r>
          <w:rPr>
            <w:noProof/>
          </w:rPr>
          <w:fldChar w:fldCharType="end"/>
        </w:r>
      </w:p>
    </w:sdtContent>
  </w:sdt>
  <w:p w14:paraId="60095F2B" w14:textId="77777777" w:rsidR="00975FDC" w:rsidRDefault="00975F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612BE"/>
    <w:multiLevelType w:val="multilevel"/>
    <w:tmpl w:val="775A23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2BD4AF5"/>
    <w:multiLevelType w:val="hybridMultilevel"/>
    <w:tmpl w:val="B5EEFA22"/>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1044DF"/>
    <w:multiLevelType w:val="hybridMultilevel"/>
    <w:tmpl w:val="E9D67552"/>
    <w:lvl w:ilvl="0" w:tplc="6D2CD1BE">
      <w:start w:val="1"/>
      <w:numFmt w:val="decimal"/>
      <w:lvlText w:val="%1."/>
      <w:lvlJc w:val="left"/>
      <w:pPr>
        <w:ind w:left="435" w:hanging="435"/>
      </w:pPr>
      <w:rPr>
        <w:rFonts w:ascii="Times New Roman" w:hAnsi="Times New Roman" w:cs="Times New Roman" w:hint="default"/>
        <w:b/>
        <w:bCs/>
        <w:sz w:val="24"/>
        <w:szCs w:val="2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7CD0166F"/>
    <w:multiLevelType w:val="multilevel"/>
    <w:tmpl w:val="D7E4E2BE"/>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D42"/>
    <w:rsid w:val="0000057C"/>
    <w:rsid w:val="00001849"/>
    <w:rsid w:val="000051A1"/>
    <w:rsid w:val="00006C1A"/>
    <w:rsid w:val="00007727"/>
    <w:rsid w:val="0002025E"/>
    <w:rsid w:val="000215E5"/>
    <w:rsid w:val="00021615"/>
    <w:rsid w:val="000233BC"/>
    <w:rsid w:val="00024875"/>
    <w:rsid w:val="0002593D"/>
    <w:rsid w:val="000259E0"/>
    <w:rsid w:val="00026317"/>
    <w:rsid w:val="00032548"/>
    <w:rsid w:val="00042A06"/>
    <w:rsid w:val="00053730"/>
    <w:rsid w:val="00055E9C"/>
    <w:rsid w:val="000612BB"/>
    <w:rsid w:val="00061450"/>
    <w:rsid w:val="000625AC"/>
    <w:rsid w:val="0006411B"/>
    <w:rsid w:val="00064D3E"/>
    <w:rsid w:val="00071942"/>
    <w:rsid w:val="000724FE"/>
    <w:rsid w:val="00074D97"/>
    <w:rsid w:val="000768C4"/>
    <w:rsid w:val="00076E81"/>
    <w:rsid w:val="00084581"/>
    <w:rsid w:val="000847AC"/>
    <w:rsid w:val="00084BCD"/>
    <w:rsid w:val="00087CB9"/>
    <w:rsid w:val="00094371"/>
    <w:rsid w:val="00097E20"/>
    <w:rsid w:val="000A1514"/>
    <w:rsid w:val="000A1D95"/>
    <w:rsid w:val="000A3E79"/>
    <w:rsid w:val="000B0585"/>
    <w:rsid w:val="000B66CA"/>
    <w:rsid w:val="000C0316"/>
    <w:rsid w:val="000C0643"/>
    <w:rsid w:val="000C7999"/>
    <w:rsid w:val="000C7F49"/>
    <w:rsid w:val="000C7FE9"/>
    <w:rsid w:val="000D6A46"/>
    <w:rsid w:val="000E47B4"/>
    <w:rsid w:val="000E4E77"/>
    <w:rsid w:val="000E56F1"/>
    <w:rsid w:val="000E7D02"/>
    <w:rsid w:val="000F2A91"/>
    <w:rsid w:val="000F2AB1"/>
    <w:rsid w:val="000F3ACB"/>
    <w:rsid w:val="000F48E1"/>
    <w:rsid w:val="00101D7B"/>
    <w:rsid w:val="00105258"/>
    <w:rsid w:val="00111901"/>
    <w:rsid w:val="001129CE"/>
    <w:rsid w:val="00113263"/>
    <w:rsid w:val="001150B1"/>
    <w:rsid w:val="001156CD"/>
    <w:rsid w:val="00116096"/>
    <w:rsid w:val="0013248F"/>
    <w:rsid w:val="00134644"/>
    <w:rsid w:val="001352E2"/>
    <w:rsid w:val="001357A9"/>
    <w:rsid w:val="001402D6"/>
    <w:rsid w:val="00142CB5"/>
    <w:rsid w:val="0014718A"/>
    <w:rsid w:val="001479BF"/>
    <w:rsid w:val="00154D5C"/>
    <w:rsid w:val="00161D0C"/>
    <w:rsid w:val="001678BC"/>
    <w:rsid w:val="00174E4C"/>
    <w:rsid w:val="00175FFE"/>
    <w:rsid w:val="001762B4"/>
    <w:rsid w:val="00180BC2"/>
    <w:rsid w:val="0018134E"/>
    <w:rsid w:val="0018320D"/>
    <w:rsid w:val="00186288"/>
    <w:rsid w:val="001902D2"/>
    <w:rsid w:val="0019145B"/>
    <w:rsid w:val="00197614"/>
    <w:rsid w:val="001A3AAB"/>
    <w:rsid w:val="001A5C5D"/>
    <w:rsid w:val="001B0A08"/>
    <w:rsid w:val="001B51D8"/>
    <w:rsid w:val="001C17E4"/>
    <w:rsid w:val="001C3542"/>
    <w:rsid w:val="001C588E"/>
    <w:rsid w:val="001D21DC"/>
    <w:rsid w:val="001D29D8"/>
    <w:rsid w:val="001E068D"/>
    <w:rsid w:val="001E2A3A"/>
    <w:rsid w:val="001E2C7E"/>
    <w:rsid w:val="001E6194"/>
    <w:rsid w:val="001E7157"/>
    <w:rsid w:val="001F0354"/>
    <w:rsid w:val="001F358D"/>
    <w:rsid w:val="001F3E50"/>
    <w:rsid w:val="001F52BC"/>
    <w:rsid w:val="001F7249"/>
    <w:rsid w:val="002010DC"/>
    <w:rsid w:val="00203EFF"/>
    <w:rsid w:val="002056C4"/>
    <w:rsid w:val="00206203"/>
    <w:rsid w:val="002068FA"/>
    <w:rsid w:val="00206A6A"/>
    <w:rsid w:val="002076E7"/>
    <w:rsid w:val="002078EA"/>
    <w:rsid w:val="00213319"/>
    <w:rsid w:val="002230A1"/>
    <w:rsid w:val="00226477"/>
    <w:rsid w:val="00232357"/>
    <w:rsid w:val="002329B0"/>
    <w:rsid w:val="00234F67"/>
    <w:rsid w:val="00237027"/>
    <w:rsid w:val="002401DA"/>
    <w:rsid w:val="0024285F"/>
    <w:rsid w:val="00242EE3"/>
    <w:rsid w:val="002458A7"/>
    <w:rsid w:val="00254A2A"/>
    <w:rsid w:val="0026264E"/>
    <w:rsid w:val="00264351"/>
    <w:rsid w:val="00264CE1"/>
    <w:rsid w:val="00266A5D"/>
    <w:rsid w:val="00271BED"/>
    <w:rsid w:val="00272801"/>
    <w:rsid w:val="0027282E"/>
    <w:rsid w:val="00274A7D"/>
    <w:rsid w:val="00274CA6"/>
    <w:rsid w:val="002804B9"/>
    <w:rsid w:val="002806A3"/>
    <w:rsid w:val="00285322"/>
    <w:rsid w:val="0028564A"/>
    <w:rsid w:val="00290AA5"/>
    <w:rsid w:val="00291939"/>
    <w:rsid w:val="00291A78"/>
    <w:rsid w:val="00293168"/>
    <w:rsid w:val="002976A4"/>
    <w:rsid w:val="002A159F"/>
    <w:rsid w:val="002A3DF3"/>
    <w:rsid w:val="002A5D5D"/>
    <w:rsid w:val="002B031C"/>
    <w:rsid w:val="002B63D3"/>
    <w:rsid w:val="002B6528"/>
    <w:rsid w:val="002C2D97"/>
    <w:rsid w:val="002C3959"/>
    <w:rsid w:val="002C6445"/>
    <w:rsid w:val="002C6566"/>
    <w:rsid w:val="002C7AAB"/>
    <w:rsid w:val="002D404A"/>
    <w:rsid w:val="002D48AC"/>
    <w:rsid w:val="002D5C66"/>
    <w:rsid w:val="002E28F9"/>
    <w:rsid w:val="002E3BAB"/>
    <w:rsid w:val="002E5295"/>
    <w:rsid w:val="002F0239"/>
    <w:rsid w:val="002F0EA0"/>
    <w:rsid w:val="002F1FED"/>
    <w:rsid w:val="002F3C06"/>
    <w:rsid w:val="002F4F45"/>
    <w:rsid w:val="002F72EF"/>
    <w:rsid w:val="003044B2"/>
    <w:rsid w:val="00310349"/>
    <w:rsid w:val="003106EC"/>
    <w:rsid w:val="00320F03"/>
    <w:rsid w:val="00322590"/>
    <w:rsid w:val="00322A1F"/>
    <w:rsid w:val="003276D3"/>
    <w:rsid w:val="00331844"/>
    <w:rsid w:val="00332EE1"/>
    <w:rsid w:val="00333104"/>
    <w:rsid w:val="00334B84"/>
    <w:rsid w:val="0033600D"/>
    <w:rsid w:val="00342B03"/>
    <w:rsid w:val="00343A52"/>
    <w:rsid w:val="00344391"/>
    <w:rsid w:val="00344A17"/>
    <w:rsid w:val="00345D42"/>
    <w:rsid w:val="00350F32"/>
    <w:rsid w:val="00355081"/>
    <w:rsid w:val="0035555E"/>
    <w:rsid w:val="00357F86"/>
    <w:rsid w:val="0036106A"/>
    <w:rsid w:val="00361FB5"/>
    <w:rsid w:val="003629D1"/>
    <w:rsid w:val="0036456C"/>
    <w:rsid w:val="00364A74"/>
    <w:rsid w:val="003708AE"/>
    <w:rsid w:val="00380AD7"/>
    <w:rsid w:val="00381B53"/>
    <w:rsid w:val="00383225"/>
    <w:rsid w:val="003856C8"/>
    <w:rsid w:val="00385BFE"/>
    <w:rsid w:val="0038659C"/>
    <w:rsid w:val="00386C57"/>
    <w:rsid w:val="00390ED5"/>
    <w:rsid w:val="00393799"/>
    <w:rsid w:val="00395BC6"/>
    <w:rsid w:val="00395F37"/>
    <w:rsid w:val="003A0ABA"/>
    <w:rsid w:val="003A68D6"/>
    <w:rsid w:val="003B30B7"/>
    <w:rsid w:val="003B357B"/>
    <w:rsid w:val="003B4932"/>
    <w:rsid w:val="003B56F9"/>
    <w:rsid w:val="003B6635"/>
    <w:rsid w:val="003B7F9A"/>
    <w:rsid w:val="003C05FF"/>
    <w:rsid w:val="003C1D78"/>
    <w:rsid w:val="003D0A2A"/>
    <w:rsid w:val="003D303F"/>
    <w:rsid w:val="003D5B49"/>
    <w:rsid w:val="003D611A"/>
    <w:rsid w:val="003D7C9D"/>
    <w:rsid w:val="003D7E5B"/>
    <w:rsid w:val="003E10EA"/>
    <w:rsid w:val="003E1C27"/>
    <w:rsid w:val="003E22F7"/>
    <w:rsid w:val="003E2E5B"/>
    <w:rsid w:val="003E3638"/>
    <w:rsid w:val="003E467A"/>
    <w:rsid w:val="003E4FC0"/>
    <w:rsid w:val="003E590B"/>
    <w:rsid w:val="003E666D"/>
    <w:rsid w:val="003F1311"/>
    <w:rsid w:val="003F235E"/>
    <w:rsid w:val="003F5503"/>
    <w:rsid w:val="003F7027"/>
    <w:rsid w:val="00400FD3"/>
    <w:rsid w:val="004039A8"/>
    <w:rsid w:val="00411B54"/>
    <w:rsid w:val="00414197"/>
    <w:rsid w:val="00414938"/>
    <w:rsid w:val="0041513B"/>
    <w:rsid w:val="00415A28"/>
    <w:rsid w:val="004169A2"/>
    <w:rsid w:val="00417962"/>
    <w:rsid w:val="00425973"/>
    <w:rsid w:val="0042719C"/>
    <w:rsid w:val="00432673"/>
    <w:rsid w:val="00432903"/>
    <w:rsid w:val="00433552"/>
    <w:rsid w:val="00434182"/>
    <w:rsid w:val="00434838"/>
    <w:rsid w:val="004376FA"/>
    <w:rsid w:val="00440767"/>
    <w:rsid w:val="00442A59"/>
    <w:rsid w:val="00446F70"/>
    <w:rsid w:val="00455A16"/>
    <w:rsid w:val="00457D7B"/>
    <w:rsid w:val="00461D67"/>
    <w:rsid w:val="004640DA"/>
    <w:rsid w:val="00464381"/>
    <w:rsid w:val="004666AA"/>
    <w:rsid w:val="00467F40"/>
    <w:rsid w:val="00470FB3"/>
    <w:rsid w:val="004726AB"/>
    <w:rsid w:val="00475521"/>
    <w:rsid w:val="0048175C"/>
    <w:rsid w:val="00481C6B"/>
    <w:rsid w:val="00484928"/>
    <w:rsid w:val="00490668"/>
    <w:rsid w:val="00495A31"/>
    <w:rsid w:val="004A0CB3"/>
    <w:rsid w:val="004A227B"/>
    <w:rsid w:val="004B179A"/>
    <w:rsid w:val="004B267D"/>
    <w:rsid w:val="004B37E5"/>
    <w:rsid w:val="004B38A2"/>
    <w:rsid w:val="004B3A8B"/>
    <w:rsid w:val="004B4FF8"/>
    <w:rsid w:val="004B6760"/>
    <w:rsid w:val="004C0AB4"/>
    <w:rsid w:val="004C1B07"/>
    <w:rsid w:val="004C22F6"/>
    <w:rsid w:val="004C5A8E"/>
    <w:rsid w:val="004C6F04"/>
    <w:rsid w:val="004C7F41"/>
    <w:rsid w:val="004D3017"/>
    <w:rsid w:val="004D51D6"/>
    <w:rsid w:val="004E2FE1"/>
    <w:rsid w:val="004E3199"/>
    <w:rsid w:val="004F0D89"/>
    <w:rsid w:val="005034EB"/>
    <w:rsid w:val="00503B46"/>
    <w:rsid w:val="005067B7"/>
    <w:rsid w:val="00506AC2"/>
    <w:rsid w:val="00510AE5"/>
    <w:rsid w:val="00515375"/>
    <w:rsid w:val="005157E5"/>
    <w:rsid w:val="00516BC5"/>
    <w:rsid w:val="0051721C"/>
    <w:rsid w:val="0052133B"/>
    <w:rsid w:val="00521401"/>
    <w:rsid w:val="00521BD9"/>
    <w:rsid w:val="00527528"/>
    <w:rsid w:val="00527A24"/>
    <w:rsid w:val="0053491D"/>
    <w:rsid w:val="005363AD"/>
    <w:rsid w:val="00545A18"/>
    <w:rsid w:val="00545A2B"/>
    <w:rsid w:val="00546DF1"/>
    <w:rsid w:val="005513D8"/>
    <w:rsid w:val="00552544"/>
    <w:rsid w:val="0055416F"/>
    <w:rsid w:val="00555824"/>
    <w:rsid w:val="00555C46"/>
    <w:rsid w:val="005606B5"/>
    <w:rsid w:val="005616FE"/>
    <w:rsid w:val="00563745"/>
    <w:rsid w:val="00564205"/>
    <w:rsid w:val="00565D0C"/>
    <w:rsid w:val="00566DEC"/>
    <w:rsid w:val="00572A2D"/>
    <w:rsid w:val="00575D5D"/>
    <w:rsid w:val="00576521"/>
    <w:rsid w:val="00576AD0"/>
    <w:rsid w:val="005809F3"/>
    <w:rsid w:val="00584DAF"/>
    <w:rsid w:val="00585C1C"/>
    <w:rsid w:val="005869D2"/>
    <w:rsid w:val="00586E78"/>
    <w:rsid w:val="00591030"/>
    <w:rsid w:val="00594B48"/>
    <w:rsid w:val="00595210"/>
    <w:rsid w:val="005A05B4"/>
    <w:rsid w:val="005A11C6"/>
    <w:rsid w:val="005A39B6"/>
    <w:rsid w:val="005A44D3"/>
    <w:rsid w:val="005B0AC4"/>
    <w:rsid w:val="005B3932"/>
    <w:rsid w:val="005B3E88"/>
    <w:rsid w:val="005B4C61"/>
    <w:rsid w:val="005B5794"/>
    <w:rsid w:val="005B5DB8"/>
    <w:rsid w:val="005C2D66"/>
    <w:rsid w:val="005C69F0"/>
    <w:rsid w:val="005C6F7D"/>
    <w:rsid w:val="005C7AB5"/>
    <w:rsid w:val="005D2B20"/>
    <w:rsid w:val="005D7F0D"/>
    <w:rsid w:val="005E1C40"/>
    <w:rsid w:val="005E3130"/>
    <w:rsid w:val="005E663E"/>
    <w:rsid w:val="005E7C55"/>
    <w:rsid w:val="005F0ED9"/>
    <w:rsid w:val="005F4C41"/>
    <w:rsid w:val="005F576E"/>
    <w:rsid w:val="005F57AC"/>
    <w:rsid w:val="005F6C9B"/>
    <w:rsid w:val="0060105E"/>
    <w:rsid w:val="00604731"/>
    <w:rsid w:val="0060479E"/>
    <w:rsid w:val="00605BA7"/>
    <w:rsid w:val="00606F94"/>
    <w:rsid w:val="006079EE"/>
    <w:rsid w:val="00611D92"/>
    <w:rsid w:val="00613658"/>
    <w:rsid w:val="00615570"/>
    <w:rsid w:val="006226E9"/>
    <w:rsid w:val="006235D9"/>
    <w:rsid w:val="0062621D"/>
    <w:rsid w:val="006315F5"/>
    <w:rsid w:val="00634AAE"/>
    <w:rsid w:val="006364BD"/>
    <w:rsid w:val="006412EF"/>
    <w:rsid w:val="00642FCC"/>
    <w:rsid w:val="00652324"/>
    <w:rsid w:val="00652BFE"/>
    <w:rsid w:val="0065319C"/>
    <w:rsid w:val="0065414C"/>
    <w:rsid w:val="006638F8"/>
    <w:rsid w:val="006726E0"/>
    <w:rsid w:val="0067351F"/>
    <w:rsid w:val="00674C28"/>
    <w:rsid w:val="00677B8A"/>
    <w:rsid w:val="00682587"/>
    <w:rsid w:val="00682EBA"/>
    <w:rsid w:val="0068674F"/>
    <w:rsid w:val="00693C2E"/>
    <w:rsid w:val="006A12D5"/>
    <w:rsid w:val="006A18E8"/>
    <w:rsid w:val="006A373D"/>
    <w:rsid w:val="006A74D7"/>
    <w:rsid w:val="006B2E0E"/>
    <w:rsid w:val="006B4C7D"/>
    <w:rsid w:val="006C1240"/>
    <w:rsid w:val="006C76E1"/>
    <w:rsid w:val="006D27AC"/>
    <w:rsid w:val="006D28F8"/>
    <w:rsid w:val="006D4D8E"/>
    <w:rsid w:val="006D5235"/>
    <w:rsid w:val="006E0E9A"/>
    <w:rsid w:val="006E6D01"/>
    <w:rsid w:val="006E70DB"/>
    <w:rsid w:val="006F0889"/>
    <w:rsid w:val="006F2457"/>
    <w:rsid w:val="006F4847"/>
    <w:rsid w:val="006F5BE3"/>
    <w:rsid w:val="006F6615"/>
    <w:rsid w:val="006F765E"/>
    <w:rsid w:val="007020F7"/>
    <w:rsid w:val="0070482F"/>
    <w:rsid w:val="00704B77"/>
    <w:rsid w:val="007072C7"/>
    <w:rsid w:val="00712F24"/>
    <w:rsid w:val="00713000"/>
    <w:rsid w:val="00713D1D"/>
    <w:rsid w:val="00720060"/>
    <w:rsid w:val="00725B96"/>
    <w:rsid w:val="007316F9"/>
    <w:rsid w:val="00731F69"/>
    <w:rsid w:val="00734472"/>
    <w:rsid w:val="00734D84"/>
    <w:rsid w:val="007353C2"/>
    <w:rsid w:val="0073661A"/>
    <w:rsid w:val="007369C3"/>
    <w:rsid w:val="00736AF5"/>
    <w:rsid w:val="007471E7"/>
    <w:rsid w:val="00747CCA"/>
    <w:rsid w:val="00752274"/>
    <w:rsid w:val="0075407A"/>
    <w:rsid w:val="00755668"/>
    <w:rsid w:val="007559F1"/>
    <w:rsid w:val="00756144"/>
    <w:rsid w:val="00760CE6"/>
    <w:rsid w:val="0076371E"/>
    <w:rsid w:val="00763F43"/>
    <w:rsid w:val="00766684"/>
    <w:rsid w:val="007727C5"/>
    <w:rsid w:val="0077360A"/>
    <w:rsid w:val="00783671"/>
    <w:rsid w:val="00783A46"/>
    <w:rsid w:val="00790FA4"/>
    <w:rsid w:val="00794609"/>
    <w:rsid w:val="007946AD"/>
    <w:rsid w:val="007951C7"/>
    <w:rsid w:val="00795CF4"/>
    <w:rsid w:val="007A0249"/>
    <w:rsid w:val="007A1D8E"/>
    <w:rsid w:val="007A5A24"/>
    <w:rsid w:val="007A77B6"/>
    <w:rsid w:val="007B0208"/>
    <w:rsid w:val="007B0E1D"/>
    <w:rsid w:val="007B43A9"/>
    <w:rsid w:val="007B73C0"/>
    <w:rsid w:val="007C21B7"/>
    <w:rsid w:val="007C2D86"/>
    <w:rsid w:val="007C44A9"/>
    <w:rsid w:val="007C5FE9"/>
    <w:rsid w:val="007C6302"/>
    <w:rsid w:val="007C7780"/>
    <w:rsid w:val="007D1441"/>
    <w:rsid w:val="007D2C85"/>
    <w:rsid w:val="007D66E8"/>
    <w:rsid w:val="007E00EF"/>
    <w:rsid w:val="007E2590"/>
    <w:rsid w:val="007E28CC"/>
    <w:rsid w:val="007E46FE"/>
    <w:rsid w:val="007E48D5"/>
    <w:rsid w:val="007E7A4D"/>
    <w:rsid w:val="007F1C37"/>
    <w:rsid w:val="007F2824"/>
    <w:rsid w:val="007F2894"/>
    <w:rsid w:val="007F3C11"/>
    <w:rsid w:val="007F4368"/>
    <w:rsid w:val="007F6162"/>
    <w:rsid w:val="007F6847"/>
    <w:rsid w:val="007F6BC5"/>
    <w:rsid w:val="008041E8"/>
    <w:rsid w:val="00806510"/>
    <w:rsid w:val="008137BB"/>
    <w:rsid w:val="00814BE7"/>
    <w:rsid w:val="00816780"/>
    <w:rsid w:val="00816817"/>
    <w:rsid w:val="00817534"/>
    <w:rsid w:val="00817A20"/>
    <w:rsid w:val="00821EF0"/>
    <w:rsid w:val="0082534B"/>
    <w:rsid w:val="0083059F"/>
    <w:rsid w:val="0083199F"/>
    <w:rsid w:val="00834207"/>
    <w:rsid w:val="0083566B"/>
    <w:rsid w:val="00835868"/>
    <w:rsid w:val="00837BBC"/>
    <w:rsid w:val="008437FA"/>
    <w:rsid w:val="00843F84"/>
    <w:rsid w:val="00843FD7"/>
    <w:rsid w:val="00844F9C"/>
    <w:rsid w:val="00845088"/>
    <w:rsid w:val="00846F63"/>
    <w:rsid w:val="008470C3"/>
    <w:rsid w:val="0085057E"/>
    <w:rsid w:val="00853411"/>
    <w:rsid w:val="0085557C"/>
    <w:rsid w:val="0085701A"/>
    <w:rsid w:val="00857F07"/>
    <w:rsid w:val="00863DAD"/>
    <w:rsid w:val="00865FC9"/>
    <w:rsid w:val="008732CF"/>
    <w:rsid w:val="0087459F"/>
    <w:rsid w:val="00880F47"/>
    <w:rsid w:val="00885253"/>
    <w:rsid w:val="00886478"/>
    <w:rsid w:val="00887530"/>
    <w:rsid w:val="00887D91"/>
    <w:rsid w:val="008A04CC"/>
    <w:rsid w:val="008A28DD"/>
    <w:rsid w:val="008A5DDB"/>
    <w:rsid w:val="008B13C5"/>
    <w:rsid w:val="008B5AEC"/>
    <w:rsid w:val="008C23E1"/>
    <w:rsid w:val="008D0325"/>
    <w:rsid w:val="008D0C99"/>
    <w:rsid w:val="008D317C"/>
    <w:rsid w:val="008D5354"/>
    <w:rsid w:val="008D7A6F"/>
    <w:rsid w:val="008E2067"/>
    <w:rsid w:val="008E3317"/>
    <w:rsid w:val="008F0525"/>
    <w:rsid w:val="008F2028"/>
    <w:rsid w:val="008F4FB3"/>
    <w:rsid w:val="008F7302"/>
    <w:rsid w:val="0090262F"/>
    <w:rsid w:val="00902B54"/>
    <w:rsid w:val="00903D76"/>
    <w:rsid w:val="00905725"/>
    <w:rsid w:val="00905F05"/>
    <w:rsid w:val="00906CC5"/>
    <w:rsid w:val="00911CCC"/>
    <w:rsid w:val="00911E00"/>
    <w:rsid w:val="00911F2A"/>
    <w:rsid w:val="0091610D"/>
    <w:rsid w:val="00917021"/>
    <w:rsid w:val="009248FE"/>
    <w:rsid w:val="009275C0"/>
    <w:rsid w:val="00930191"/>
    <w:rsid w:val="00930E38"/>
    <w:rsid w:val="009330BA"/>
    <w:rsid w:val="009352B1"/>
    <w:rsid w:val="009356F5"/>
    <w:rsid w:val="00936CFB"/>
    <w:rsid w:val="009372E8"/>
    <w:rsid w:val="00944A84"/>
    <w:rsid w:val="00946D4E"/>
    <w:rsid w:val="00954715"/>
    <w:rsid w:val="00960C9B"/>
    <w:rsid w:val="009644F0"/>
    <w:rsid w:val="00965A16"/>
    <w:rsid w:val="00965B76"/>
    <w:rsid w:val="00966D82"/>
    <w:rsid w:val="00970564"/>
    <w:rsid w:val="00974F66"/>
    <w:rsid w:val="00975FDC"/>
    <w:rsid w:val="0098149B"/>
    <w:rsid w:val="00981970"/>
    <w:rsid w:val="00983234"/>
    <w:rsid w:val="0098359E"/>
    <w:rsid w:val="0098783B"/>
    <w:rsid w:val="009930F4"/>
    <w:rsid w:val="0099324E"/>
    <w:rsid w:val="0099387B"/>
    <w:rsid w:val="00993F78"/>
    <w:rsid w:val="00995A35"/>
    <w:rsid w:val="00996C0B"/>
    <w:rsid w:val="009A33B2"/>
    <w:rsid w:val="009A349B"/>
    <w:rsid w:val="009A384A"/>
    <w:rsid w:val="009A6A56"/>
    <w:rsid w:val="009A740D"/>
    <w:rsid w:val="009B004C"/>
    <w:rsid w:val="009B18C2"/>
    <w:rsid w:val="009B781F"/>
    <w:rsid w:val="009C0F48"/>
    <w:rsid w:val="009C5C7F"/>
    <w:rsid w:val="009C5F90"/>
    <w:rsid w:val="009C7F07"/>
    <w:rsid w:val="009D11B4"/>
    <w:rsid w:val="009D198B"/>
    <w:rsid w:val="009D3799"/>
    <w:rsid w:val="009D471F"/>
    <w:rsid w:val="009D4DC3"/>
    <w:rsid w:val="009D5658"/>
    <w:rsid w:val="009D7823"/>
    <w:rsid w:val="009E031C"/>
    <w:rsid w:val="009E112D"/>
    <w:rsid w:val="009E1456"/>
    <w:rsid w:val="009E3BC7"/>
    <w:rsid w:val="009F1E50"/>
    <w:rsid w:val="009F27CA"/>
    <w:rsid w:val="009F5A5C"/>
    <w:rsid w:val="009F61BC"/>
    <w:rsid w:val="009F6485"/>
    <w:rsid w:val="00A013DA"/>
    <w:rsid w:val="00A02EE7"/>
    <w:rsid w:val="00A03AC8"/>
    <w:rsid w:val="00A045E8"/>
    <w:rsid w:val="00A10C77"/>
    <w:rsid w:val="00A12A00"/>
    <w:rsid w:val="00A13378"/>
    <w:rsid w:val="00A14BF8"/>
    <w:rsid w:val="00A15A21"/>
    <w:rsid w:val="00A168FE"/>
    <w:rsid w:val="00A175D6"/>
    <w:rsid w:val="00A20C52"/>
    <w:rsid w:val="00A2130F"/>
    <w:rsid w:val="00A22357"/>
    <w:rsid w:val="00A2533E"/>
    <w:rsid w:val="00A27827"/>
    <w:rsid w:val="00A349CC"/>
    <w:rsid w:val="00A3678F"/>
    <w:rsid w:val="00A41017"/>
    <w:rsid w:val="00A4244C"/>
    <w:rsid w:val="00A44E2F"/>
    <w:rsid w:val="00A50A9C"/>
    <w:rsid w:val="00A51577"/>
    <w:rsid w:val="00A5194C"/>
    <w:rsid w:val="00A55135"/>
    <w:rsid w:val="00A61848"/>
    <w:rsid w:val="00A632DE"/>
    <w:rsid w:val="00A64905"/>
    <w:rsid w:val="00A651B4"/>
    <w:rsid w:val="00A651B5"/>
    <w:rsid w:val="00A66473"/>
    <w:rsid w:val="00A6697C"/>
    <w:rsid w:val="00A67BD5"/>
    <w:rsid w:val="00A70C49"/>
    <w:rsid w:val="00A72636"/>
    <w:rsid w:val="00A72D2A"/>
    <w:rsid w:val="00A81B5F"/>
    <w:rsid w:val="00A820D6"/>
    <w:rsid w:val="00A822A1"/>
    <w:rsid w:val="00A842D9"/>
    <w:rsid w:val="00A8573B"/>
    <w:rsid w:val="00A93E6F"/>
    <w:rsid w:val="00A94F92"/>
    <w:rsid w:val="00A95700"/>
    <w:rsid w:val="00AA487A"/>
    <w:rsid w:val="00AA51AB"/>
    <w:rsid w:val="00AA742A"/>
    <w:rsid w:val="00AB07DF"/>
    <w:rsid w:val="00AB1383"/>
    <w:rsid w:val="00AB3F5E"/>
    <w:rsid w:val="00AB4377"/>
    <w:rsid w:val="00AB7229"/>
    <w:rsid w:val="00AC0718"/>
    <w:rsid w:val="00AC0DDB"/>
    <w:rsid w:val="00AC32B9"/>
    <w:rsid w:val="00AC3C10"/>
    <w:rsid w:val="00AC55F5"/>
    <w:rsid w:val="00AC5954"/>
    <w:rsid w:val="00AC6AE0"/>
    <w:rsid w:val="00AD26F5"/>
    <w:rsid w:val="00AD3455"/>
    <w:rsid w:val="00AD3BE0"/>
    <w:rsid w:val="00AD6143"/>
    <w:rsid w:val="00AE1723"/>
    <w:rsid w:val="00AE381A"/>
    <w:rsid w:val="00AE48AD"/>
    <w:rsid w:val="00AE7D93"/>
    <w:rsid w:val="00AF08C7"/>
    <w:rsid w:val="00AF1C95"/>
    <w:rsid w:val="00AF2C74"/>
    <w:rsid w:val="00B00951"/>
    <w:rsid w:val="00B0142C"/>
    <w:rsid w:val="00B116D4"/>
    <w:rsid w:val="00B132E8"/>
    <w:rsid w:val="00B13811"/>
    <w:rsid w:val="00B13854"/>
    <w:rsid w:val="00B14C56"/>
    <w:rsid w:val="00B15424"/>
    <w:rsid w:val="00B20907"/>
    <w:rsid w:val="00B266B2"/>
    <w:rsid w:val="00B32E39"/>
    <w:rsid w:val="00B33656"/>
    <w:rsid w:val="00B40624"/>
    <w:rsid w:val="00B4086E"/>
    <w:rsid w:val="00B504ED"/>
    <w:rsid w:val="00B562D3"/>
    <w:rsid w:val="00B57EEF"/>
    <w:rsid w:val="00B60E71"/>
    <w:rsid w:val="00B61CC1"/>
    <w:rsid w:val="00B62475"/>
    <w:rsid w:val="00B62E54"/>
    <w:rsid w:val="00B655E8"/>
    <w:rsid w:val="00B6753C"/>
    <w:rsid w:val="00B67717"/>
    <w:rsid w:val="00B70EF0"/>
    <w:rsid w:val="00B7337B"/>
    <w:rsid w:val="00B7355E"/>
    <w:rsid w:val="00B81761"/>
    <w:rsid w:val="00B82156"/>
    <w:rsid w:val="00B872CE"/>
    <w:rsid w:val="00B87450"/>
    <w:rsid w:val="00B915E5"/>
    <w:rsid w:val="00B9221F"/>
    <w:rsid w:val="00B957F9"/>
    <w:rsid w:val="00B97780"/>
    <w:rsid w:val="00B97A76"/>
    <w:rsid w:val="00BA4072"/>
    <w:rsid w:val="00BB32FB"/>
    <w:rsid w:val="00BB4BD1"/>
    <w:rsid w:val="00BB7795"/>
    <w:rsid w:val="00BC4383"/>
    <w:rsid w:val="00BD0577"/>
    <w:rsid w:val="00BD0D0E"/>
    <w:rsid w:val="00BD78E6"/>
    <w:rsid w:val="00BE095A"/>
    <w:rsid w:val="00BE09AB"/>
    <w:rsid w:val="00BE1D94"/>
    <w:rsid w:val="00BF3268"/>
    <w:rsid w:val="00BF5935"/>
    <w:rsid w:val="00C017B1"/>
    <w:rsid w:val="00C02699"/>
    <w:rsid w:val="00C02C87"/>
    <w:rsid w:val="00C0334B"/>
    <w:rsid w:val="00C0348C"/>
    <w:rsid w:val="00C03A65"/>
    <w:rsid w:val="00C040D9"/>
    <w:rsid w:val="00C06922"/>
    <w:rsid w:val="00C104F5"/>
    <w:rsid w:val="00C112A5"/>
    <w:rsid w:val="00C12BA2"/>
    <w:rsid w:val="00C13A90"/>
    <w:rsid w:val="00C22618"/>
    <w:rsid w:val="00C22E1E"/>
    <w:rsid w:val="00C23A28"/>
    <w:rsid w:val="00C27C32"/>
    <w:rsid w:val="00C321BF"/>
    <w:rsid w:val="00C35212"/>
    <w:rsid w:val="00C42E98"/>
    <w:rsid w:val="00C43984"/>
    <w:rsid w:val="00C45ADC"/>
    <w:rsid w:val="00C51FD2"/>
    <w:rsid w:val="00C5361B"/>
    <w:rsid w:val="00C56992"/>
    <w:rsid w:val="00C5770E"/>
    <w:rsid w:val="00C60B44"/>
    <w:rsid w:val="00C60D28"/>
    <w:rsid w:val="00C65E73"/>
    <w:rsid w:val="00C675C3"/>
    <w:rsid w:val="00C70632"/>
    <w:rsid w:val="00C721BF"/>
    <w:rsid w:val="00C72BEF"/>
    <w:rsid w:val="00C7387C"/>
    <w:rsid w:val="00C7720F"/>
    <w:rsid w:val="00C77C81"/>
    <w:rsid w:val="00C77FFA"/>
    <w:rsid w:val="00C82261"/>
    <w:rsid w:val="00C85771"/>
    <w:rsid w:val="00C86F78"/>
    <w:rsid w:val="00C91519"/>
    <w:rsid w:val="00C9289F"/>
    <w:rsid w:val="00C951B8"/>
    <w:rsid w:val="00C972AF"/>
    <w:rsid w:val="00CA51B2"/>
    <w:rsid w:val="00CA52E4"/>
    <w:rsid w:val="00CA6367"/>
    <w:rsid w:val="00CA7B7C"/>
    <w:rsid w:val="00CB1561"/>
    <w:rsid w:val="00CB23D7"/>
    <w:rsid w:val="00CB46E1"/>
    <w:rsid w:val="00CB76E2"/>
    <w:rsid w:val="00CC069B"/>
    <w:rsid w:val="00CC4069"/>
    <w:rsid w:val="00CC5F8A"/>
    <w:rsid w:val="00CD256C"/>
    <w:rsid w:val="00CD2710"/>
    <w:rsid w:val="00CD3190"/>
    <w:rsid w:val="00CD373E"/>
    <w:rsid w:val="00CD5B60"/>
    <w:rsid w:val="00CD5E62"/>
    <w:rsid w:val="00CE1689"/>
    <w:rsid w:val="00CE455F"/>
    <w:rsid w:val="00CE5500"/>
    <w:rsid w:val="00CF0254"/>
    <w:rsid w:val="00CF260C"/>
    <w:rsid w:val="00CF2B66"/>
    <w:rsid w:val="00CF7616"/>
    <w:rsid w:val="00D0147F"/>
    <w:rsid w:val="00D024CB"/>
    <w:rsid w:val="00D033E4"/>
    <w:rsid w:val="00D033F0"/>
    <w:rsid w:val="00D037DD"/>
    <w:rsid w:val="00D10977"/>
    <w:rsid w:val="00D12955"/>
    <w:rsid w:val="00D13256"/>
    <w:rsid w:val="00D1338C"/>
    <w:rsid w:val="00D144E9"/>
    <w:rsid w:val="00D151CB"/>
    <w:rsid w:val="00D17054"/>
    <w:rsid w:val="00D20D54"/>
    <w:rsid w:val="00D213A0"/>
    <w:rsid w:val="00D33C1B"/>
    <w:rsid w:val="00D34F2A"/>
    <w:rsid w:val="00D37370"/>
    <w:rsid w:val="00D4685E"/>
    <w:rsid w:val="00D50AD5"/>
    <w:rsid w:val="00D51925"/>
    <w:rsid w:val="00D526F5"/>
    <w:rsid w:val="00D533A4"/>
    <w:rsid w:val="00D556FF"/>
    <w:rsid w:val="00D610E4"/>
    <w:rsid w:val="00D6149E"/>
    <w:rsid w:val="00D62F8E"/>
    <w:rsid w:val="00D63C02"/>
    <w:rsid w:val="00D64ECF"/>
    <w:rsid w:val="00D71E98"/>
    <w:rsid w:val="00D74F76"/>
    <w:rsid w:val="00D77583"/>
    <w:rsid w:val="00D82B11"/>
    <w:rsid w:val="00D84E05"/>
    <w:rsid w:val="00D85BA4"/>
    <w:rsid w:val="00D87FA0"/>
    <w:rsid w:val="00D930D4"/>
    <w:rsid w:val="00D94962"/>
    <w:rsid w:val="00D95333"/>
    <w:rsid w:val="00D97302"/>
    <w:rsid w:val="00DA5F26"/>
    <w:rsid w:val="00DA619D"/>
    <w:rsid w:val="00DB1CD3"/>
    <w:rsid w:val="00DB2FE7"/>
    <w:rsid w:val="00DB3075"/>
    <w:rsid w:val="00DB3126"/>
    <w:rsid w:val="00DB4E82"/>
    <w:rsid w:val="00DB5538"/>
    <w:rsid w:val="00DB6CF1"/>
    <w:rsid w:val="00DB7C6D"/>
    <w:rsid w:val="00DC0877"/>
    <w:rsid w:val="00DC42F3"/>
    <w:rsid w:val="00DC59BE"/>
    <w:rsid w:val="00DC59D2"/>
    <w:rsid w:val="00DD0411"/>
    <w:rsid w:val="00DD07A1"/>
    <w:rsid w:val="00DE1F4D"/>
    <w:rsid w:val="00DE3845"/>
    <w:rsid w:val="00DE4A03"/>
    <w:rsid w:val="00DE717A"/>
    <w:rsid w:val="00DE7DDB"/>
    <w:rsid w:val="00DF3A6E"/>
    <w:rsid w:val="00DF514C"/>
    <w:rsid w:val="00DF57B5"/>
    <w:rsid w:val="00DF5BB6"/>
    <w:rsid w:val="00E004CD"/>
    <w:rsid w:val="00E01809"/>
    <w:rsid w:val="00E03CDF"/>
    <w:rsid w:val="00E03FC3"/>
    <w:rsid w:val="00E0687D"/>
    <w:rsid w:val="00E14955"/>
    <w:rsid w:val="00E15120"/>
    <w:rsid w:val="00E15F3B"/>
    <w:rsid w:val="00E20B97"/>
    <w:rsid w:val="00E20C7B"/>
    <w:rsid w:val="00E26EDF"/>
    <w:rsid w:val="00E3120C"/>
    <w:rsid w:val="00E33F11"/>
    <w:rsid w:val="00E4203F"/>
    <w:rsid w:val="00E43358"/>
    <w:rsid w:val="00E47AD7"/>
    <w:rsid w:val="00E54E0F"/>
    <w:rsid w:val="00E5528E"/>
    <w:rsid w:val="00E565FE"/>
    <w:rsid w:val="00E6320A"/>
    <w:rsid w:val="00E64E73"/>
    <w:rsid w:val="00E702C5"/>
    <w:rsid w:val="00E74773"/>
    <w:rsid w:val="00E7748F"/>
    <w:rsid w:val="00E83772"/>
    <w:rsid w:val="00E92AE5"/>
    <w:rsid w:val="00E97CD0"/>
    <w:rsid w:val="00EA05C2"/>
    <w:rsid w:val="00EA2A0C"/>
    <w:rsid w:val="00EA2BD0"/>
    <w:rsid w:val="00EB016D"/>
    <w:rsid w:val="00EB663F"/>
    <w:rsid w:val="00EC2FF5"/>
    <w:rsid w:val="00EC7E51"/>
    <w:rsid w:val="00ED0B49"/>
    <w:rsid w:val="00ED1DC7"/>
    <w:rsid w:val="00ED2154"/>
    <w:rsid w:val="00ED4B98"/>
    <w:rsid w:val="00ED4D82"/>
    <w:rsid w:val="00ED72C9"/>
    <w:rsid w:val="00ED7A97"/>
    <w:rsid w:val="00EE0794"/>
    <w:rsid w:val="00EE0A5E"/>
    <w:rsid w:val="00EE4F34"/>
    <w:rsid w:val="00EF0CF8"/>
    <w:rsid w:val="00EF3CC7"/>
    <w:rsid w:val="00EF4FBE"/>
    <w:rsid w:val="00EF611E"/>
    <w:rsid w:val="00EF6840"/>
    <w:rsid w:val="00F00404"/>
    <w:rsid w:val="00F0145C"/>
    <w:rsid w:val="00F04D7B"/>
    <w:rsid w:val="00F06D69"/>
    <w:rsid w:val="00F1047E"/>
    <w:rsid w:val="00F10591"/>
    <w:rsid w:val="00F10989"/>
    <w:rsid w:val="00F111E0"/>
    <w:rsid w:val="00F11D47"/>
    <w:rsid w:val="00F137FF"/>
    <w:rsid w:val="00F13B9F"/>
    <w:rsid w:val="00F15214"/>
    <w:rsid w:val="00F17B04"/>
    <w:rsid w:val="00F21882"/>
    <w:rsid w:val="00F2439A"/>
    <w:rsid w:val="00F26444"/>
    <w:rsid w:val="00F26737"/>
    <w:rsid w:val="00F2733B"/>
    <w:rsid w:val="00F315FF"/>
    <w:rsid w:val="00F319F6"/>
    <w:rsid w:val="00F33D64"/>
    <w:rsid w:val="00F35489"/>
    <w:rsid w:val="00F40488"/>
    <w:rsid w:val="00F40853"/>
    <w:rsid w:val="00F459BF"/>
    <w:rsid w:val="00F47A9F"/>
    <w:rsid w:val="00F47DBA"/>
    <w:rsid w:val="00F47F6A"/>
    <w:rsid w:val="00F554CC"/>
    <w:rsid w:val="00F56C44"/>
    <w:rsid w:val="00F61544"/>
    <w:rsid w:val="00F61B2D"/>
    <w:rsid w:val="00F63986"/>
    <w:rsid w:val="00F63F6A"/>
    <w:rsid w:val="00F65E5F"/>
    <w:rsid w:val="00F66F8F"/>
    <w:rsid w:val="00F70CB9"/>
    <w:rsid w:val="00F7483B"/>
    <w:rsid w:val="00F819CA"/>
    <w:rsid w:val="00F84106"/>
    <w:rsid w:val="00F85788"/>
    <w:rsid w:val="00F86707"/>
    <w:rsid w:val="00F868EB"/>
    <w:rsid w:val="00F94A7A"/>
    <w:rsid w:val="00F952C9"/>
    <w:rsid w:val="00F967D1"/>
    <w:rsid w:val="00F96AB0"/>
    <w:rsid w:val="00F97112"/>
    <w:rsid w:val="00F9715B"/>
    <w:rsid w:val="00F97871"/>
    <w:rsid w:val="00FA1443"/>
    <w:rsid w:val="00FA1567"/>
    <w:rsid w:val="00FA27C6"/>
    <w:rsid w:val="00FA4BAE"/>
    <w:rsid w:val="00FA5D61"/>
    <w:rsid w:val="00FA715B"/>
    <w:rsid w:val="00FB0A92"/>
    <w:rsid w:val="00FB2738"/>
    <w:rsid w:val="00FB55D4"/>
    <w:rsid w:val="00FC095D"/>
    <w:rsid w:val="00FC10AB"/>
    <w:rsid w:val="00FC116C"/>
    <w:rsid w:val="00FC1ADE"/>
    <w:rsid w:val="00FC3115"/>
    <w:rsid w:val="00FC3FE1"/>
    <w:rsid w:val="00FC707D"/>
    <w:rsid w:val="00FE1CBC"/>
    <w:rsid w:val="00FF2458"/>
    <w:rsid w:val="00FF3FB2"/>
    <w:rsid w:val="00FF5A7E"/>
    <w:rsid w:val="00FF7F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4582F95F"/>
  <w15:docId w15:val="{B5149B05-5ACC-48A9-ACF5-41AD4008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368"/>
    <w:pPr>
      <w:spacing w:after="120"/>
      <w:ind w:firstLine="709"/>
      <w:jc w:val="both"/>
    </w:pPr>
    <w:rPr>
      <w:sz w:val="24"/>
      <w:lang w:eastAsia="en-US"/>
    </w:rPr>
  </w:style>
  <w:style w:type="paragraph" w:styleId="Heading1">
    <w:name w:val="heading 1"/>
    <w:basedOn w:val="Normal"/>
    <w:next w:val="Normal"/>
    <w:link w:val="Heading1Char"/>
    <w:uiPriority w:val="9"/>
    <w:rsid w:val="006E6D0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rsid w:val="006E6D0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3D7C9D"/>
    <w:pPr>
      <w:tabs>
        <w:tab w:val="center" w:pos="4153"/>
        <w:tab w:val="right" w:pos="8306"/>
      </w:tabs>
      <w:spacing w:after="0"/>
      <w:ind w:firstLine="0"/>
    </w:pPr>
    <w:rPr>
      <w:sz w:val="20"/>
    </w:rPr>
  </w:style>
  <w:style w:type="paragraph" w:customStyle="1" w:styleId="H3">
    <w:name w:val="H3"/>
    <w:rsid w:val="007F4368"/>
    <w:pPr>
      <w:spacing w:after="120"/>
      <w:jc w:val="center"/>
      <w:outlineLvl w:val="2"/>
    </w:pPr>
    <w:rPr>
      <w:b/>
      <w:sz w:val="32"/>
      <w:lang w:eastAsia="en-US"/>
    </w:rPr>
  </w:style>
  <w:style w:type="paragraph" w:customStyle="1" w:styleId="H2">
    <w:name w:val="H2"/>
    <w:rsid w:val="007F4368"/>
    <w:pPr>
      <w:spacing w:after="120"/>
      <w:jc w:val="center"/>
      <w:outlineLvl w:val="1"/>
    </w:pPr>
    <w:rPr>
      <w:b/>
      <w:sz w:val="36"/>
      <w:lang w:eastAsia="en-US"/>
    </w:rPr>
  </w:style>
  <w:style w:type="paragraph" w:customStyle="1" w:styleId="H1">
    <w:name w:val="H1"/>
    <w:rsid w:val="007F4368"/>
    <w:pPr>
      <w:spacing w:after="120"/>
      <w:jc w:val="center"/>
      <w:outlineLvl w:val="0"/>
    </w:pPr>
    <w:rPr>
      <w:b/>
      <w:sz w:val="44"/>
      <w:lang w:eastAsia="en-US"/>
    </w:rPr>
  </w:style>
  <w:style w:type="character" w:styleId="PageNumber">
    <w:name w:val="page number"/>
    <w:basedOn w:val="DefaultParagraphFont"/>
    <w:semiHidden/>
    <w:rsid w:val="003D7C9D"/>
  </w:style>
  <w:style w:type="paragraph" w:styleId="Header">
    <w:name w:val="header"/>
    <w:basedOn w:val="Normal"/>
    <w:link w:val="HeaderChar"/>
    <w:uiPriority w:val="99"/>
    <w:rsid w:val="003D7C9D"/>
    <w:pPr>
      <w:tabs>
        <w:tab w:val="center" w:pos="4153"/>
        <w:tab w:val="right" w:pos="8306"/>
      </w:tabs>
      <w:spacing w:after="0"/>
      <w:ind w:firstLine="0"/>
    </w:pPr>
  </w:style>
  <w:style w:type="character" w:customStyle="1" w:styleId="HeaderChar">
    <w:name w:val="Header Char"/>
    <w:link w:val="Header"/>
    <w:uiPriority w:val="99"/>
    <w:rsid w:val="009330BA"/>
    <w:rPr>
      <w:sz w:val="24"/>
      <w:lang w:eastAsia="en-US"/>
    </w:rPr>
  </w:style>
  <w:style w:type="character" w:styleId="CommentReference">
    <w:name w:val="annotation reference"/>
    <w:semiHidden/>
    <w:rsid w:val="003D7C9D"/>
    <w:rPr>
      <w:sz w:val="16"/>
      <w:szCs w:val="16"/>
    </w:rPr>
  </w:style>
  <w:style w:type="paragraph" w:styleId="CommentText">
    <w:name w:val="annotation text"/>
    <w:basedOn w:val="Normal"/>
    <w:link w:val="CommentTextChar"/>
    <w:rsid w:val="003D7C9D"/>
    <w:rPr>
      <w:sz w:val="20"/>
    </w:rPr>
  </w:style>
  <w:style w:type="character" w:customStyle="1" w:styleId="CommentTextChar">
    <w:name w:val="Comment Text Char"/>
    <w:link w:val="CommentText"/>
    <w:rsid w:val="00FC1ADE"/>
    <w:rPr>
      <w:lang w:eastAsia="en-US"/>
    </w:rPr>
  </w:style>
  <w:style w:type="paragraph" w:styleId="BalloonText">
    <w:name w:val="Balloon Text"/>
    <w:basedOn w:val="Normal"/>
    <w:link w:val="BalloonTextChar"/>
    <w:uiPriority w:val="99"/>
    <w:semiHidden/>
    <w:unhideWhenUsed/>
    <w:rsid w:val="00D610E4"/>
    <w:pPr>
      <w:spacing w:after="0"/>
    </w:pPr>
    <w:rPr>
      <w:rFonts w:ascii="Tahoma" w:hAnsi="Tahoma"/>
      <w:sz w:val="16"/>
      <w:szCs w:val="16"/>
    </w:rPr>
  </w:style>
  <w:style w:type="character" w:customStyle="1" w:styleId="BalloonTextChar">
    <w:name w:val="Balloon Text Char"/>
    <w:link w:val="BalloonText"/>
    <w:uiPriority w:val="99"/>
    <w:semiHidden/>
    <w:rsid w:val="00D610E4"/>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C1ADE"/>
    <w:rPr>
      <w:b/>
      <w:bCs/>
    </w:rPr>
  </w:style>
  <w:style w:type="character" w:customStyle="1" w:styleId="CommentSubjectChar">
    <w:name w:val="Comment Subject Char"/>
    <w:basedOn w:val="CommentTextChar"/>
    <w:link w:val="CommentSubject"/>
    <w:rsid w:val="00FC1ADE"/>
    <w:rPr>
      <w:lang w:eastAsia="en-US"/>
    </w:rPr>
  </w:style>
  <w:style w:type="paragraph" w:styleId="BodyTextIndent">
    <w:name w:val="Body Text Indent"/>
    <w:basedOn w:val="Normal"/>
    <w:link w:val="BodyTextIndentChar"/>
    <w:uiPriority w:val="99"/>
    <w:unhideWhenUsed/>
    <w:rsid w:val="00521401"/>
    <w:pPr>
      <w:ind w:left="283"/>
    </w:pPr>
  </w:style>
  <w:style w:type="character" w:customStyle="1" w:styleId="BodyTextIndentChar">
    <w:name w:val="Body Text Indent Char"/>
    <w:link w:val="BodyTextIndent"/>
    <w:uiPriority w:val="99"/>
    <w:rsid w:val="00521401"/>
    <w:rPr>
      <w:sz w:val="24"/>
      <w:lang w:eastAsia="en-US"/>
    </w:rPr>
  </w:style>
  <w:style w:type="paragraph" w:customStyle="1" w:styleId="Default">
    <w:name w:val="Default"/>
    <w:rsid w:val="004726AB"/>
    <w:pPr>
      <w:autoSpaceDE w:val="0"/>
      <w:autoSpaceDN w:val="0"/>
      <w:adjustRightInd w:val="0"/>
    </w:pPr>
    <w:rPr>
      <w:color w:val="000000"/>
      <w:sz w:val="24"/>
      <w:szCs w:val="24"/>
    </w:rPr>
  </w:style>
  <w:style w:type="paragraph" w:styleId="Revision">
    <w:name w:val="Revision"/>
    <w:hidden/>
    <w:uiPriority w:val="99"/>
    <w:semiHidden/>
    <w:rsid w:val="009A740D"/>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316F9"/>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link w:val="FootnoteText"/>
    <w:uiPriority w:val="99"/>
    <w:rsid w:val="007316F9"/>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unhideWhenUsed/>
    <w:rsid w:val="007316F9"/>
    <w:rPr>
      <w:vertAlign w:val="superscript"/>
    </w:rPr>
  </w:style>
  <w:style w:type="character" w:styleId="Hyperlink">
    <w:name w:val="Hyperlink"/>
    <w:uiPriority w:val="99"/>
    <w:unhideWhenUsed/>
    <w:rsid w:val="00F952C9"/>
    <w:rPr>
      <w:color w:val="0000FF"/>
      <w:u w:val="single"/>
    </w:rPr>
  </w:style>
  <w:style w:type="paragraph" w:customStyle="1" w:styleId="H4">
    <w:name w:val="H4"/>
    <w:rsid w:val="007F4368"/>
    <w:pPr>
      <w:spacing w:after="120"/>
      <w:jc w:val="center"/>
      <w:outlineLvl w:val="3"/>
    </w:pPr>
    <w:rPr>
      <w:b/>
      <w:sz w:val="28"/>
      <w:lang w:eastAsia="en-US"/>
    </w:rPr>
  </w:style>
  <w:style w:type="paragraph" w:customStyle="1" w:styleId="funkcijas">
    <w:name w:val="funkcijas"/>
    <w:basedOn w:val="Normal"/>
    <w:qFormat/>
    <w:rsid w:val="007F4368"/>
    <w:pPr>
      <w:ind w:firstLine="0"/>
    </w:pPr>
    <w:rPr>
      <w:bCs/>
      <w:u w:val="single"/>
    </w:rPr>
  </w:style>
  <w:style w:type="paragraph" w:customStyle="1" w:styleId="Funkcijasbold">
    <w:name w:val="Funkcijas_bold"/>
    <w:basedOn w:val="Normal"/>
    <w:qFormat/>
    <w:rsid w:val="007F4368"/>
    <w:pPr>
      <w:ind w:firstLine="0"/>
    </w:pPr>
    <w:rPr>
      <w:b/>
      <w:bCs/>
    </w:rPr>
  </w:style>
  <w:style w:type="paragraph" w:customStyle="1" w:styleId="paraksti">
    <w:name w:val="paraksti"/>
    <w:basedOn w:val="Normal"/>
    <w:qFormat/>
    <w:rsid w:val="007F4368"/>
    <w:pPr>
      <w:ind w:firstLine="0"/>
    </w:pPr>
    <w:rPr>
      <w:i/>
      <w:sz w:val="18"/>
    </w:rPr>
  </w:style>
  <w:style w:type="paragraph" w:customStyle="1" w:styleId="programmas">
    <w:name w:val="programmas"/>
    <w:basedOn w:val="Normal"/>
    <w:qFormat/>
    <w:rsid w:val="007F4368"/>
    <w:pPr>
      <w:widowControl w:val="0"/>
      <w:spacing w:before="240"/>
      <w:ind w:firstLine="0"/>
      <w:jc w:val="center"/>
    </w:pPr>
    <w:rPr>
      <w:b/>
      <w:lang w:val="en-US"/>
    </w:rPr>
  </w:style>
  <w:style w:type="paragraph" w:customStyle="1" w:styleId="samazpaliel">
    <w:name w:val="samaz_paliel"/>
    <w:basedOn w:val="Normal"/>
    <w:qFormat/>
    <w:rsid w:val="007F4368"/>
    <w:pPr>
      <w:widowControl w:val="0"/>
      <w:ind w:firstLine="0"/>
    </w:pPr>
    <w:rPr>
      <w:b/>
      <w:u w:val="single"/>
    </w:rPr>
  </w:style>
  <w:style w:type="paragraph" w:customStyle="1" w:styleId="T">
    <w:name w:val="T"/>
    <w:basedOn w:val="Normal"/>
    <w:uiPriority w:val="99"/>
    <w:rsid w:val="007F4368"/>
    <w:pPr>
      <w:keepNext/>
      <w:ind w:firstLine="0"/>
      <w:jc w:val="center"/>
    </w:pPr>
    <w:rPr>
      <w:b/>
      <w:i/>
    </w:rPr>
  </w:style>
  <w:style w:type="paragraph" w:customStyle="1" w:styleId="tabteksts">
    <w:name w:val="tab_teksts"/>
    <w:basedOn w:val="Normal"/>
    <w:qFormat/>
    <w:rsid w:val="007F4368"/>
    <w:pPr>
      <w:spacing w:after="0"/>
      <w:ind w:firstLine="0"/>
      <w:jc w:val="left"/>
    </w:pPr>
    <w:rPr>
      <w:sz w:val="18"/>
    </w:rPr>
  </w:style>
  <w:style w:type="paragraph" w:customStyle="1" w:styleId="Z">
    <w:name w:val="Z"/>
    <w:basedOn w:val="T"/>
    <w:uiPriority w:val="99"/>
    <w:rsid w:val="007F4368"/>
    <w:pPr>
      <w:keepNext w:val="0"/>
    </w:pPr>
  </w:style>
  <w:style w:type="paragraph" w:customStyle="1" w:styleId="cipari">
    <w:name w:val="cipari"/>
    <w:basedOn w:val="Normal"/>
    <w:link w:val="cipariChar"/>
    <w:qFormat/>
    <w:rsid w:val="007F4368"/>
    <w:pPr>
      <w:ind w:left="720" w:hanging="720"/>
    </w:pPr>
    <w:rPr>
      <w:bCs/>
    </w:rPr>
  </w:style>
  <w:style w:type="character" w:customStyle="1" w:styleId="cipariChar">
    <w:name w:val="cipari Char"/>
    <w:link w:val="cipari"/>
    <w:rsid w:val="007F4368"/>
    <w:rPr>
      <w:bCs/>
      <w:sz w:val="24"/>
      <w:lang w:eastAsia="en-US"/>
    </w:rPr>
  </w:style>
  <w:style w:type="paragraph" w:customStyle="1" w:styleId="cipariiturp">
    <w:name w:val="ciparii_turp"/>
    <w:basedOn w:val="cipari"/>
    <w:qFormat/>
    <w:rsid w:val="007F4368"/>
    <w:pPr>
      <w:ind w:left="709" w:firstLine="0"/>
    </w:pPr>
    <w:rPr>
      <w:bCs w:val="0"/>
    </w:rPr>
  </w:style>
  <w:style w:type="paragraph" w:styleId="ListParagraph">
    <w:name w:val="List Paragraph"/>
    <w:aliases w:val="2"/>
    <w:basedOn w:val="Normal"/>
    <w:link w:val="ListParagraphChar"/>
    <w:uiPriority w:val="34"/>
    <w:qFormat/>
    <w:rsid w:val="00C017B1"/>
    <w:pPr>
      <w:spacing w:after="200" w:line="276" w:lineRule="auto"/>
      <w:ind w:left="720" w:firstLine="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2 Char"/>
    <w:link w:val="ListParagraph"/>
    <w:uiPriority w:val="34"/>
    <w:rsid w:val="00C017B1"/>
    <w:rPr>
      <w:rFonts w:asciiTheme="minorHAnsi" w:eastAsiaTheme="minorHAnsi" w:hAnsiTheme="minorHAnsi" w:cstheme="minorBidi"/>
      <w:sz w:val="22"/>
      <w:szCs w:val="22"/>
      <w:lang w:eastAsia="en-US"/>
    </w:rPr>
  </w:style>
  <w:style w:type="paragraph" w:customStyle="1" w:styleId="virsr2">
    <w:name w:val="virsr_2"/>
    <w:basedOn w:val="Normal"/>
    <w:rsid w:val="00902B54"/>
    <w:pPr>
      <w:keepNext/>
      <w:pBdr>
        <w:bottom w:val="dashed" w:sz="4" w:space="4" w:color="auto"/>
      </w:pBdr>
      <w:spacing w:before="360" w:after="240"/>
      <w:ind w:firstLine="0"/>
      <w:jc w:val="center"/>
    </w:pPr>
    <w:rPr>
      <w:rFonts w:ascii="Garamond" w:hAnsi="Garamond"/>
      <w:b/>
      <w:sz w:val="28"/>
    </w:rPr>
  </w:style>
  <w:style w:type="paragraph" w:customStyle="1" w:styleId="virsr3">
    <w:name w:val="virsr_3"/>
    <w:basedOn w:val="virsr2"/>
    <w:rsid w:val="00902B54"/>
    <w:rPr>
      <w:i/>
      <w:sz w:val="24"/>
    </w:rPr>
  </w:style>
  <w:style w:type="paragraph" w:customStyle="1" w:styleId="teksts">
    <w:name w:val="teksts"/>
    <w:rsid w:val="00902B54"/>
    <w:pPr>
      <w:spacing w:after="120"/>
      <w:jc w:val="both"/>
    </w:pPr>
    <w:rPr>
      <w:rFonts w:ascii="Garamond" w:hAnsi="Garamond"/>
      <w:sz w:val="24"/>
      <w:lang w:val="en-US" w:eastAsia="en-US"/>
    </w:rPr>
  </w:style>
  <w:style w:type="paragraph" w:customStyle="1" w:styleId="tabnum">
    <w:name w:val="tab_num"/>
    <w:basedOn w:val="Normal"/>
    <w:rsid w:val="00902B54"/>
    <w:pPr>
      <w:keepNext/>
      <w:spacing w:before="120" w:after="240"/>
      <w:ind w:firstLine="0"/>
      <w:jc w:val="center"/>
    </w:pPr>
    <w:rPr>
      <w:rFonts w:ascii="Garamond" w:hAnsi="Garamond"/>
      <w:lang w:val="en-US"/>
    </w:rPr>
  </w:style>
  <w:style w:type="paragraph" w:customStyle="1" w:styleId="tabvirsr">
    <w:name w:val="tab_virsr"/>
    <w:basedOn w:val="teksts"/>
    <w:rsid w:val="00902B54"/>
    <w:pPr>
      <w:keepNext/>
      <w:keepLines/>
      <w:spacing w:after="0"/>
      <w:jc w:val="center"/>
    </w:pPr>
    <w:rPr>
      <w:b/>
      <w:sz w:val="22"/>
    </w:rPr>
  </w:style>
  <w:style w:type="paragraph" w:customStyle="1" w:styleId="tabvirsrturp">
    <w:name w:val="tab_virsr_turp"/>
    <w:basedOn w:val="tabvirsr"/>
    <w:rsid w:val="00902B54"/>
    <w:pPr>
      <w:spacing w:after="120"/>
    </w:pPr>
    <w:rPr>
      <w:b w:val="0"/>
    </w:rPr>
  </w:style>
  <w:style w:type="paragraph" w:styleId="Title">
    <w:name w:val="Title"/>
    <w:basedOn w:val="Normal"/>
    <w:link w:val="TitleChar"/>
    <w:uiPriority w:val="10"/>
    <w:qFormat/>
    <w:rsid w:val="007A5A24"/>
    <w:pPr>
      <w:spacing w:after="0"/>
      <w:ind w:firstLine="0"/>
      <w:jc w:val="center"/>
    </w:pPr>
  </w:style>
  <w:style w:type="character" w:customStyle="1" w:styleId="TitleChar">
    <w:name w:val="Title Char"/>
    <w:basedOn w:val="DefaultParagraphFont"/>
    <w:link w:val="Title"/>
    <w:uiPriority w:val="10"/>
    <w:rsid w:val="007A5A24"/>
    <w:rPr>
      <w:sz w:val="24"/>
      <w:lang w:eastAsia="en-US"/>
    </w:rPr>
  </w:style>
  <w:style w:type="table" w:styleId="TableGrid">
    <w:name w:val="Table Grid"/>
    <w:basedOn w:val="TableNormal"/>
    <w:uiPriority w:val="59"/>
    <w:rsid w:val="00D55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E6D01"/>
    <w:rPr>
      <w:rFonts w:asciiTheme="majorHAnsi" w:eastAsiaTheme="majorEastAsia" w:hAnsiTheme="majorHAnsi" w:cstheme="majorBidi"/>
      <w:color w:val="2E74B5" w:themeColor="accent1" w:themeShade="BF"/>
      <w:sz w:val="32"/>
      <w:szCs w:val="32"/>
      <w:lang w:eastAsia="en-US"/>
    </w:rPr>
  </w:style>
  <w:style w:type="character" w:customStyle="1" w:styleId="Heading2Char">
    <w:name w:val="Heading 2 Char"/>
    <w:basedOn w:val="DefaultParagraphFont"/>
    <w:link w:val="Heading2"/>
    <w:uiPriority w:val="9"/>
    <w:rsid w:val="006E6D01"/>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132">
      <w:bodyDiv w:val="1"/>
      <w:marLeft w:val="0"/>
      <w:marRight w:val="0"/>
      <w:marTop w:val="0"/>
      <w:marBottom w:val="0"/>
      <w:divBdr>
        <w:top w:val="none" w:sz="0" w:space="0" w:color="auto"/>
        <w:left w:val="none" w:sz="0" w:space="0" w:color="auto"/>
        <w:bottom w:val="none" w:sz="0" w:space="0" w:color="auto"/>
        <w:right w:val="none" w:sz="0" w:space="0" w:color="auto"/>
      </w:divBdr>
      <w:divsChild>
        <w:div w:id="663706267">
          <w:marLeft w:val="2074"/>
          <w:marRight w:val="0"/>
          <w:marTop w:val="134"/>
          <w:marBottom w:val="0"/>
          <w:divBdr>
            <w:top w:val="none" w:sz="0" w:space="0" w:color="auto"/>
            <w:left w:val="none" w:sz="0" w:space="0" w:color="auto"/>
            <w:bottom w:val="none" w:sz="0" w:space="0" w:color="auto"/>
            <w:right w:val="none" w:sz="0" w:space="0" w:color="auto"/>
          </w:divBdr>
        </w:div>
        <w:div w:id="1496263807">
          <w:marLeft w:val="2074"/>
          <w:marRight w:val="0"/>
          <w:marTop w:val="134"/>
          <w:marBottom w:val="0"/>
          <w:divBdr>
            <w:top w:val="none" w:sz="0" w:space="0" w:color="auto"/>
            <w:left w:val="none" w:sz="0" w:space="0" w:color="auto"/>
            <w:bottom w:val="none" w:sz="0" w:space="0" w:color="auto"/>
            <w:right w:val="none" w:sz="0" w:space="0" w:color="auto"/>
          </w:divBdr>
        </w:div>
      </w:divsChild>
    </w:div>
    <w:div w:id="156965318">
      <w:bodyDiv w:val="1"/>
      <w:marLeft w:val="0"/>
      <w:marRight w:val="0"/>
      <w:marTop w:val="0"/>
      <w:marBottom w:val="0"/>
      <w:divBdr>
        <w:top w:val="none" w:sz="0" w:space="0" w:color="auto"/>
        <w:left w:val="none" w:sz="0" w:space="0" w:color="auto"/>
        <w:bottom w:val="none" w:sz="0" w:space="0" w:color="auto"/>
        <w:right w:val="none" w:sz="0" w:space="0" w:color="auto"/>
      </w:divBdr>
      <w:divsChild>
        <w:div w:id="65493582">
          <w:marLeft w:val="547"/>
          <w:marRight w:val="0"/>
          <w:marTop w:val="115"/>
          <w:marBottom w:val="0"/>
          <w:divBdr>
            <w:top w:val="none" w:sz="0" w:space="0" w:color="auto"/>
            <w:left w:val="none" w:sz="0" w:space="0" w:color="auto"/>
            <w:bottom w:val="none" w:sz="0" w:space="0" w:color="auto"/>
            <w:right w:val="none" w:sz="0" w:space="0" w:color="auto"/>
          </w:divBdr>
        </w:div>
      </w:divsChild>
    </w:div>
    <w:div w:id="277683036">
      <w:bodyDiv w:val="1"/>
      <w:marLeft w:val="0"/>
      <w:marRight w:val="0"/>
      <w:marTop w:val="0"/>
      <w:marBottom w:val="0"/>
      <w:divBdr>
        <w:top w:val="none" w:sz="0" w:space="0" w:color="auto"/>
        <w:left w:val="none" w:sz="0" w:space="0" w:color="auto"/>
        <w:bottom w:val="none" w:sz="0" w:space="0" w:color="auto"/>
        <w:right w:val="none" w:sz="0" w:space="0" w:color="auto"/>
      </w:divBdr>
    </w:div>
    <w:div w:id="332221459">
      <w:bodyDiv w:val="1"/>
      <w:marLeft w:val="0"/>
      <w:marRight w:val="0"/>
      <w:marTop w:val="0"/>
      <w:marBottom w:val="0"/>
      <w:divBdr>
        <w:top w:val="none" w:sz="0" w:space="0" w:color="auto"/>
        <w:left w:val="none" w:sz="0" w:space="0" w:color="auto"/>
        <w:bottom w:val="none" w:sz="0" w:space="0" w:color="auto"/>
        <w:right w:val="none" w:sz="0" w:space="0" w:color="auto"/>
      </w:divBdr>
    </w:div>
    <w:div w:id="366102320">
      <w:bodyDiv w:val="1"/>
      <w:marLeft w:val="0"/>
      <w:marRight w:val="0"/>
      <w:marTop w:val="0"/>
      <w:marBottom w:val="0"/>
      <w:divBdr>
        <w:top w:val="none" w:sz="0" w:space="0" w:color="auto"/>
        <w:left w:val="none" w:sz="0" w:space="0" w:color="auto"/>
        <w:bottom w:val="none" w:sz="0" w:space="0" w:color="auto"/>
        <w:right w:val="none" w:sz="0" w:space="0" w:color="auto"/>
      </w:divBdr>
    </w:div>
    <w:div w:id="386297028">
      <w:bodyDiv w:val="1"/>
      <w:marLeft w:val="0"/>
      <w:marRight w:val="0"/>
      <w:marTop w:val="0"/>
      <w:marBottom w:val="0"/>
      <w:divBdr>
        <w:top w:val="none" w:sz="0" w:space="0" w:color="auto"/>
        <w:left w:val="none" w:sz="0" w:space="0" w:color="auto"/>
        <w:bottom w:val="none" w:sz="0" w:space="0" w:color="auto"/>
        <w:right w:val="none" w:sz="0" w:space="0" w:color="auto"/>
      </w:divBdr>
    </w:div>
    <w:div w:id="416484417">
      <w:bodyDiv w:val="1"/>
      <w:marLeft w:val="0"/>
      <w:marRight w:val="0"/>
      <w:marTop w:val="0"/>
      <w:marBottom w:val="0"/>
      <w:divBdr>
        <w:top w:val="none" w:sz="0" w:space="0" w:color="auto"/>
        <w:left w:val="none" w:sz="0" w:space="0" w:color="auto"/>
        <w:bottom w:val="none" w:sz="0" w:space="0" w:color="auto"/>
        <w:right w:val="none" w:sz="0" w:space="0" w:color="auto"/>
      </w:divBdr>
    </w:div>
    <w:div w:id="656424447">
      <w:bodyDiv w:val="1"/>
      <w:marLeft w:val="0"/>
      <w:marRight w:val="0"/>
      <w:marTop w:val="0"/>
      <w:marBottom w:val="0"/>
      <w:divBdr>
        <w:top w:val="none" w:sz="0" w:space="0" w:color="auto"/>
        <w:left w:val="none" w:sz="0" w:space="0" w:color="auto"/>
        <w:bottom w:val="none" w:sz="0" w:space="0" w:color="auto"/>
        <w:right w:val="none" w:sz="0" w:space="0" w:color="auto"/>
      </w:divBdr>
    </w:div>
    <w:div w:id="842092662">
      <w:bodyDiv w:val="1"/>
      <w:marLeft w:val="0"/>
      <w:marRight w:val="0"/>
      <w:marTop w:val="0"/>
      <w:marBottom w:val="0"/>
      <w:divBdr>
        <w:top w:val="none" w:sz="0" w:space="0" w:color="auto"/>
        <w:left w:val="none" w:sz="0" w:space="0" w:color="auto"/>
        <w:bottom w:val="none" w:sz="0" w:space="0" w:color="auto"/>
        <w:right w:val="none" w:sz="0" w:space="0" w:color="auto"/>
      </w:divBdr>
    </w:div>
    <w:div w:id="876701290">
      <w:bodyDiv w:val="1"/>
      <w:marLeft w:val="0"/>
      <w:marRight w:val="0"/>
      <w:marTop w:val="0"/>
      <w:marBottom w:val="0"/>
      <w:divBdr>
        <w:top w:val="none" w:sz="0" w:space="0" w:color="auto"/>
        <w:left w:val="none" w:sz="0" w:space="0" w:color="auto"/>
        <w:bottom w:val="none" w:sz="0" w:space="0" w:color="auto"/>
        <w:right w:val="none" w:sz="0" w:space="0" w:color="auto"/>
      </w:divBdr>
      <w:divsChild>
        <w:div w:id="89354713">
          <w:marLeft w:val="1166"/>
          <w:marRight w:val="0"/>
          <w:marTop w:val="96"/>
          <w:marBottom w:val="0"/>
          <w:divBdr>
            <w:top w:val="none" w:sz="0" w:space="0" w:color="auto"/>
            <w:left w:val="none" w:sz="0" w:space="0" w:color="auto"/>
            <w:bottom w:val="none" w:sz="0" w:space="0" w:color="auto"/>
            <w:right w:val="none" w:sz="0" w:space="0" w:color="auto"/>
          </w:divBdr>
        </w:div>
        <w:div w:id="259334684">
          <w:marLeft w:val="547"/>
          <w:marRight w:val="0"/>
          <w:marTop w:val="96"/>
          <w:marBottom w:val="0"/>
          <w:divBdr>
            <w:top w:val="none" w:sz="0" w:space="0" w:color="auto"/>
            <w:left w:val="none" w:sz="0" w:space="0" w:color="auto"/>
            <w:bottom w:val="none" w:sz="0" w:space="0" w:color="auto"/>
            <w:right w:val="none" w:sz="0" w:space="0" w:color="auto"/>
          </w:divBdr>
        </w:div>
        <w:div w:id="739986041">
          <w:marLeft w:val="1166"/>
          <w:marRight w:val="0"/>
          <w:marTop w:val="96"/>
          <w:marBottom w:val="0"/>
          <w:divBdr>
            <w:top w:val="none" w:sz="0" w:space="0" w:color="auto"/>
            <w:left w:val="none" w:sz="0" w:space="0" w:color="auto"/>
            <w:bottom w:val="none" w:sz="0" w:space="0" w:color="auto"/>
            <w:right w:val="none" w:sz="0" w:space="0" w:color="auto"/>
          </w:divBdr>
        </w:div>
        <w:div w:id="778178771">
          <w:marLeft w:val="1166"/>
          <w:marRight w:val="0"/>
          <w:marTop w:val="96"/>
          <w:marBottom w:val="0"/>
          <w:divBdr>
            <w:top w:val="none" w:sz="0" w:space="0" w:color="auto"/>
            <w:left w:val="none" w:sz="0" w:space="0" w:color="auto"/>
            <w:bottom w:val="none" w:sz="0" w:space="0" w:color="auto"/>
            <w:right w:val="none" w:sz="0" w:space="0" w:color="auto"/>
          </w:divBdr>
        </w:div>
      </w:divsChild>
    </w:div>
    <w:div w:id="908265796">
      <w:bodyDiv w:val="1"/>
      <w:marLeft w:val="0"/>
      <w:marRight w:val="0"/>
      <w:marTop w:val="0"/>
      <w:marBottom w:val="0"/>
      <w:divBdr>
        <w:top w:val="none" w:sz="0" w:space="0" w:color="auto"/>
        <w:left w:val="none" w:sz="0" w:space="0" w:color="auto"/>
        <w:bottom w:val="none" w:sz="0" w:space="0" w:color="auto"/>
        <w:right w:val="none" w:sz="0" w:space="0" w:color="auto"/>
      </w:divBdr>
    </w:div>
    <w:div w:id="1039478407">
      <w:bodyDiv w:val="1"/>
      <w:marLeft w:val="0"/>
      <w:marRight w:val="0"/>
      <w:marTop w:val="0"/>
      <w:marBottom w:val="0"/>
      <w:divBdr>
        <w:top w:val="none" w:sz="0" w:space="0" w:color="auto"/>
        <w:left w:val="none" w:sz="0" w:space="0" w:color="auto"/>
        <w:bottom w:val="none" w:sz="0" w:space="0" w:color="auto"/>
        <w:right w:val="none" w:sz="0" w:space="0" w:color="auto"/>
      </w:divBdr>
    </w:div>
    <w:div w:id="1095248383">
      <w:bodyDiv w:val="1"/>
      <w:marLeft w:val="0"/>
      <w:marRight w:val="0"/>
      <w:marTop w:val="0"/>
      <w:marBottom w:val="0"/>
      <w:divBdr>
        <w:top w:val="none" w:sz="0" w:space="0" w:color="auto"/>
        <w:left w:val="none" w:sz="0" w:space="0" w:color="auto"/>
        <w:bottom w:val="none" w:sz="0" w:space="0" w:color="auto"/>
        <w:right w:val="none" w:sz="0" w:space="0" w:color="auto"/>
      </w:divBdr>
    </w:div>
    <w:div w:id="1522158769">
      <w:bodyDiv w:val="1"/>
      <w:marLeft w:val="0"/>
      <w:marRight w:val="0"/>
      <w:marTop w:val="0"/>
      <w:marBottom w:val="0"/>
      <w:divBdr>
        <w:top w:val="none" w:sz="0" w:space="0" w:color="auto"/>
        <w:left w:val="none" w:sz="0" w:space="0" w:color="auto"/>
        <w:bottom w:val="none" w:sz="0" w:space="0" w:color="auto"/>
        <w:right w:val="none" w:sz="0" w:space="0" w:color="auto"/>
      </w:divBdr>
      <w:divsChild>
        <w:div w:id="436675258">
          <w:marLeft w:val="547"/>
          <w:marRight w:val="0"/>
          <w:marTop w:val="106"/>
          <w:marBottom w:val="0"/>
          <w:divBdr>
            <w:top w:val="none" w:sz="0" w:space="0" w:color="auto"/>
            <w:left w:val="none" w:sz="0" w:space="0" w:color="auto"/>
            <w:bottom w:val="none" w:sz="0" w:space="0" w:color="auto"/>
            <w:right w:val="none" w:sz="0" w:space="0" w:color="auto"/>
          </w:divBdr>
        </w:div>
      </w:divsChild>
    </w:div>
    <w:div w:id="182473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3DDF5-BC5E-478C-BD89-8C4044053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9</Pages>
  <Words>2474</Words>
  <Characters>17723</Characters>
  <Application>Microsoft Office Word</Application>
  <DocSecurity>0</DocSecurity>
  <Lines>147</Lines>
  <Paragraphs>40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6.nodaļa Valsts finansiālo saistību kopsavilkums</vt:lpstr>
      <vt:lpstr>Likuma „Par valsts budžetu 2010. gadam“ paskaidrojumi. 5.1. nodaļa. Valsts budžeta izdevumu plānošanas būtiskākie elementi</vt:lpstr>
    </vt:vector>
  </TitlesOfParts>
  <Manager/>
  <Company>Finanšu ministrija</Company>
  <LinksUpToDate>false</LinksUpToDate>
  <CharactersWithSpaces>20157</CharactersWithSpaces>
  <SharedDoc>false</SharedDoc>
  <HLinks>
    <vt:vector size="66" baseType="variant">
      <vt:variant>
        <vt:i4>1835029</vt:i4>
      </vt:variant>
      <vt:variant>
        <vt:i4>18</vt:i4>
      </vt:variant>
      <vt:variant>
        <vt:i4>0</vt:i4>
      </vt:variant>
      <vt:variant>
        <vt:i4>5</vt:i4>
      </vt:variant>
      <vt:variant>
        <vt:lpwstr>http://www.swiss-contribution.lv/</vt:lpwstr>
      </vt:variant>
      <vt:variant>
        <vt:lpwstr/>
      </vt:variant>
      <vt:variant>
        <vt:i4>8126514</vt:i4>
      </vt:variant>
      <vt:variant>
        <vt:i4>15</vt:i4>
      </vt:variant>
      <vt:variant>
        <vt:i4>0</vt:i4>
      </vt:variant>
      <vt:variant>
        <vt:i4>5</vt:i4>
      </vt:variant>
      <vt:variant>
        <vt:lpwstr>http://www.norwaygrants.lv/</vt:lpwstr>
      </vt:variant>
      <vt:variant>
        <vt:lpwstr/>
      </vt:variant>
      <vt:variant>
        <vt:i4>196639</vt:i4>
      </vt:variant>
      <vt:variant>
        <vt:i4>12</vt:i4>
      </vt:variant>
      <vt:variant>
        <vt:i4>0</vt:i4>
      </vt:variant>
      <vt:variant>
        <vt:i4>5</vt:i4>
      </vt:variant>
      <vt:variant>
        <vt:lpwstr>http://www.eeagrants.lv/</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327758</vt:i4>
      </vt:variant>
      <vt:variant>
        <vt:i4>6</vt:i4>
      </vt:variant>
      <vt:variant>
        <vt:i4>0</vt:i4>
      </vt:variant>
      <vt:variant>
        <vt:i4>5</vt:i4>
      </vt:variant>
      <vt:variant>
        <vt:lpwstr>http://www.esfondi.lv/page.php?id=494</vt:lpwstr>
      </vt:variant>
      <vt:variant>
        <vt:lpwstr/>
      </vt:variant>
      <vt:variant>
        <vt:i4>327758</vt:i4>
      </vt:variant>
      <vt:variant>
        <vt:i4>3</vt:i4>
      </vt:variant>
      <vt:variant>
        <vt:i4>0</vt:i4>
      </vt:variant>
      <vt:variant>
        <vt:i4>5</vt:i4>
      </vt:variant>
      <vt:variant>
        <vt:lpwstr>http://www.esfondi.lv/page.php?id=493</vt:lpwstr>
      </vt:variant>
      <vt:variant>
        <vt:lpwstr/>
      </vt:variant>
      <vt:variant>
        <vt:i4>327758</vt:i4>
      </vt:variant>
      <vt:variant>
        <vt:i4>0</vt:i4>
      </vt:variant>
      <vt:variant>
        <vt:i4>0</vt:i4>
      </vt:variant>
      <vt:variant>
        <vt:i4>5</vt:i4>
      </vt:variant>
      <vt:variant>
        <vt:lpwstr>http://www.esfondi.lv/page.php?id=492</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3407999</vt:i4>
      </vt:variant>
      <vt:variant>
        <vt:i4>6</vt:i4>
      </vt:variant>
      <vt:variant>
        <vt:i4>0</vt:i4>
      </vt:variant>
      <vt:variant>
        <vt:i4>5</vt:i4>
      </vt:variant>
      <vt:variant>
        <vt:lpwstr>http://www.esfondi.lv/page.php?id=1149</vt:lpwstr>
      </vt:variant>
      <vt:variant>
        <vt:lpwstr/>
      </vt:variant>
      <vt:variant>
        <vt:i4>7471229</vt:i4>
      </vt:variant>
      <vt:variant>
        <vt:i4>3</vt:i4>
      </vt:variant>
      <vt:variant>
        <vt:i4>0</vt:i4>
      </vt:variant>
      <vt:variant>
        <vt:i4>5</vt:i4>
      </vt:variant>
      <vt:variant>
        <vt:lpwstr>http://likumi.lv/doc.php?id=211138</vt:lpwstr>
      </vt:variant>
      <vt:variant>
        <vt:lpwstr/>
      </vt:variant>
      <vt:variant>
        <vt:i4>655436</vt:i4>
      </vt:variant>
      <vt:variant>
        <vt:i4>0</vt:i4>
      </vt:variant>
      <vt:variant>
        <vt:i4>0</vt:i4>
      </vt:variant>
      <vt:variant>
        <vt:i4>5</vt:i4>
      </vt:variant>
      <vt:variant>
        <vt:lpwstr>http://www.esfondi.lv/page.php?id=667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6.nodaļa Valsts finansiālo saistību kopsavilkums</dc:title>
  <dc:subject>paskaidrojuma raksts</dc:subject>
  <dc:creator>klinta.stafecka@fm.gov.lv</dc:creator>
  <dc:description>67095438,
klinta.stafecka@fm.gov.lv</dc:description>
  <cp:lastModifiedBy>Dace Godiņa</cp:lastModifiedBy>
  <cp:revision>111</cp:revision>
  <cp:lastPrinted>2019-03-01T12:57:00Z</cp:lastPrinted>
  <dcterms:created xsi:type="dcterms:W3CDTF">2019-05-13T11:55:00Z</dcterms:created>
  <dcterms:modified xsi:type="dcterms:W3CDTF">2021-10-10T09:48:00Z</dcterms:modified>
</cp:coreProperties>
</file>