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4532" w14:textId="77777777" w:rsidR="007870D7" w:rsidRPr="006E395D" w:rsidRDefault="007870D7" w:rsidP="007870D7">
      <w:pPr>
        <w:pStyle w:val="H1"/>
      </w:pPr>
      <w:bookmarkStart w:id="0" w:name="_Toc150840175"/>
      <w:bookmarkStart w:id="1" w:name="_Toc150941365"/>
      <w:bookmarkStart w:id="2" w:name="_Toc78689521"/>
      <w:bookmarkStart w:id="3" w:name="_Toc150840177"/>
      <w:bookmarkStart w:id="4" w:name="_Toc150941367"/>
      <w:r w:rsidRPr="006E395D">
        <w:t>3. Ieņēmumu analīze</w:t>
      </w:r>
    </w:p>
    <w:p w14:paraId="2D4E4B09" w14:textId="18C540AF" w:rsidR="007870D7" w:rsidRDefault="007870D7" w:rsidP="00832E17">
      <w:pPr>
        <w:pStyle w:val="H2"/>
        <w:spacing w:before="240" w:after="360"/>
      </w:pPr>
      <w:r w:rsidRPr="006E395D">
        <w:t>3.1. Nodokļu politikas aktualitātes</w:t>
      </w:r>
    </w:p>
    <w:p w14:paraId="15BED806" w14:textId="77777777" w:rsidR="00832E17" w:rsidRPr="00E86687" w:rsidRDefault="00832E17" w:rsidP="002309D6">
      <w:pPr>
        <w:ind w:firstLine="720"/>
        <w:rPr>
          <w:szCs w:val="24"/>
        </w:rPr>
      </w:pPr>
      <w:bookmarkStart w:id="5" w:name="_Hlk83644718"/>
      <w:bookmarkStart w:id="6" w:name="_Hlk82094363"/>
      <w:r w:rsidRPr="00120F96">
        <w:rPr>
          <w:szCs w:val="24"/>
        </w:rPr>
        <w:t>Nodokļu politikas stratēģisko virzienu skaidrība un stabilitāte ir būtiska gan uzņēmējdarbības, gan sabiedrisko pakalpojumu un investīciju efektīvai plānošanai. Svarīga ir arī to sasaiste ar valsts vi</w:t>
      </w:r>
      <w:r w:rsidRPr="00AC3042">
        <w:rPr>
          <w:szCs w:val="24"/>
        </w:rPr>
        <w:t>spārējiem attīstības mērķiem.</w:t>
      </w:r>
    </w:p>
    <w:p w14:paraId="55720F7B" w14:textId="77777777" w:rsidR="00832E17" w:rsidRPr="00E86687" w:rsidRDefault="00832E17" w:rsidP="002309D6">
      <w:pPr>
        <w:ind w:firstLine="720"/>
        <w:rPr>
          <w:szCs w:val="24"/>
        </w:rPr>
      </w:pPr>
      <w:r w:rsidRPr="00120F96">
        <w:rPr>
          <w:szCs w:val="24"/>
        </w:rPr>
        <w:t>Tādējādi arī būtiskākie nodokļu pasākumu ir vērsti, lai ar nodokļu politiku uzlabotu darbaspēka nodokļu konkurētspēju un mazinātu ienākumu nevienlīdzību strādājošiem iedzīvotājiem.</w:t>
      </w:r>
    </w:p>
    <w:bookmarkEnd w:id="5"/>
    <w:p w14:paraId="480617F0" w14:textId="77777777" w:rsidR="005018FE" w:rsidRPr="005018FE" w:rsidRDefault="005018FE" w:rsidP="005018FE">
      <w:pPr>
        <w:ind w:firstLine="720"/>
        <w:rPr>
          <w:szCs w:val="24"/>
          <w:lang w:eastAsia="lv-LV"/>
        </w:rPr>
      </w:pPr>
      <w:r w:rsidRPr="005018FE">
        <w:rPr>
          <w:szCs w:val="24"/>
          <w:lang w:eastAsia="lv-LV"/>
        </w:rPr>
        <w:t>Nodokļu ieņēmumu prognozēs netiek ietverti nesadalītie nodokļu ieņēmumi vienotajā kontā.</w:t>
      </w:r>
    </w:p>
    <w:p w14:paraId="19CB72F4" w14:textId="2CD11E04" w:rsidR="00832E17" w:rsidRPr="00B2555A" w:rsidRDefault="005018FE" w:rsidP="005018FE">
      <w:pPr>
        <w:ind w:firstLine="720"/>
        <w:rPr>
          <w:noProof/>
          <w:szCs w:val="24"/>
          <w:lang w:eastAsia="lv-LV"/>
        </w:rPr>
      </w:pPr>
      <w:r w:rsidRPr="005018FE">
        <w:rPr>
          <w:szCs w:val="24"/>
          <w:lang w:eastAsia="lv-LV"/>
        </w:rPr>
        <w:t>3.1. tabulā ietvertie pasākumi uzskaitīti pēc naudas plūsmas. Iepriekš pieņemtie nodokļu pasākumi, kas ietekmēs nodokļu ieņēmumus no 2022. gada, ir ietverti nodokļu ieņēmumu prognozēs, kas tika izstrādātas saskaņā ar likumu „Par vidēja termiņa budžeta ietvaru 2021., 2022. un 2023. gadam”.</w:t>
      </w:r>
    </w:p>
    <w:p w14:paraId="2D05BE01" w14:textId="77777777" w:rsidR="00832E17" w:rsidRDefault="00832E17" w:rsidP="00CE35D9">
      <w:pPr>
        <w:spacing w:before="240" w:after="240"/>
        <w:ind w:firstLine="0"/>
        <w:jc w:val="center"/>
        <w:rPr>
          <w:b/>
          <w:i/>
          <w:szCs w:val="24"/>
        </w:rPr>
      </w:pPr>
      <w:r w:rsidRPr="005858E5">
        <w:rPr>
          <w:b/>
          <w:bCs/>
          <w:i/>
          <w:iCs/>
          <w:szCs w:val="24"/>
        </w:rPr>
        <w:t xml:space="preserve">3.1. tabula. </w:t>
      </w:r>
      <w:r w:rsidRPr="00CE35D9">
        <w:rPr>
          <w:b/>
          <w:bCs/>
          <w:szCs w:val="24"/>
        </w:rPr>
        <w:t xml:space="preserve">Pasākumi, kas ietekmē nodokļu un valsts pamatbudžeta </w:t>
      </w:r>
      <w:proofErr w:type="spellStart"/>
      <w:r w:rsidRPr="00CE35D9">
        <w:rPr>
          <w:b/>
          <w:bCs/>
          <w:szCs w:val="24"/>
        </w:rPr>
        <w:t>nenodokļu</w:t>
      </w:r>
      <w:proofErr w:type="spellEnd"/>
      <w:r w:rsidRPr="00CE35D9">
        <w:rPr>
          <w:b/>
          <w:bCs/>
          <w:szCs w:val="24"/>
        </w:rPr>
        <w:t xml:space="preserve"> ieņēmumus, milj.</w:t>
      </w:r>
      <w:r>
        <w:rPr>
          <w:b/>
          <w:bCs/>
          <w:i/>
          <w:iCs/>
          <w:szCs w:val="24"/>
        </w:rPr>
        <w:t> </w:t>
      </w:r>
      <w:proofErr w:type="spellStart"/>
      <w:r w:rsidRPr="00D705E7">
        <w:rPr>
          <w:b/>
          <w:bCs/>
          <w:i/>
          <w:iCs/>
          <w:szCs w:val="24"/>
        </w:rPr>
        <w:t>euro</w:t>
      </w:r>
      <w:proofErr w:type="spellEnd"/>
    </w:p>
    <w:tbl>
      <w:tblPr>
        <w:tblStyle w:val="TableGrid"/>
        <w:tblW w:w="5000" w:type="pct"/>
        <w:tblLook w:val="04A0" w:firstRow="1" w:lastRow="0" w:firstColumn="1" w:lastColumn="0" w:noHBand="0" w:noVBand="1"/>
      </w:tblPr>
      <w:tblGrid>
        <w:gridCol w:w="4820"/>
        <w:gridCol w:w="2925"/>
        <w:gridCol w:w="1316"/>
      </w:tblGrid>
      <w:tr w:rsidR="00832E17" w:rsidRPr="00E86687" w14:paraId="4AF7E16B" w14:textId="77777777" w:rsidTr="00193ACF">
        <w:trPr>
          <w:cantSplit/>
          <w:trHeight w:val="143"/>
          <w:tblHeader/>
        </w:trPr>
        <w:tc>
          <w:tcPr>
            <w:tcW w:w="2660" w:type="pct"/>
            <w:shd w:val="clear" w:color="auto" w:fill="B8CCE4" w:themeFill="accent1" w:themeFillTint="66"/>
            <w:vAlign w:val="center"/>
          </w:tcPr>
          <w:bookmarkEnd w:id="6"/>
          <w:p w14:paraId="5056EB27" w14:textId="77777777" w:rsidR="00832E17" w:rsidRPr="00E86687" w:rsidRDefault="00832E17" w:rsidP="00970743">
            <w:pPr>
              <w:spacing w:before="0" w:after="0"/>
              <w:ind w:left="0" w:firstLine="0"/>
              <w:jc w:val="center"/>
              <w:rPr>
                <w:b/>
                <w:bCs/>
                <w:noProof/>
                <w:sz w:val="18"/>
                <w:szCs w:val="18"/>
                <w:highlight w:val="yellow"/>
              </w:rPr>
            </w:pPr>
            <w:r w:rsidRPr="00E86687">
              <w:rPr>
                <w:b/>
                <w:bCs/>
                <w:noProof/>
                <w:sz w:val="18"/>
                <w:szCs w:val="18"/>
              </w:rPr>
              <w:t>Priekšlikums</w:t>
            </w:r>
          </w:p>
        </w:tc>
        <w:tc>
          <w:tcPr>
            <w:tcW w:w="1614" w:type="pct"/>
            <w:shd w:val="clear" w:color="auto" w:fill="B8CCE4" w:themeFill="accent1" w:themeFillTint="66"/>
            <w:vAlign w:val="center"/>
          </w:tcPr>
          <w:p w14:paraId="31881940" w14:textId="77777777" w:rsidR="00832E17" w:rsidRPr="00E86687" w:rsidRDefault="00832E17" w:rsidP="00970743">
            <w:pPr>
              <w:spacing w:before="0" w:after="0"/>
              <w:ind w:left="0" w:firstLine="0"/>
              <w:jc w:val="center"/>
              <w:rPr>
                <w:b/>
                <w:bCs/>
                <w:noProof/>
                <w:sz w:val="18"/>
                <w:szCs w:val="18"/>
              </w:rPr>
            </w:pPr>
            <w:r w:rsidRPr="00E86687">
              <w:rPr>
                <w:b/>
                <w:bCs/>
                <w:noProof/>
                <w:sz w:val="18"/>
                <w:szCs w:val="18"/>
              </w:rPr>
              <w:t>Ieņēmumu veids</w:t>
            </w:r>
          </w:p>
        </w:tc>
        <w:tc>
          <w:tcPr>
            <w:tcW w:w="726" w:type="pct"/>
            <w:shd w:val="clear" w:color="auto" w:fill="B8CCE4" w:themeFill="accent1" w:themeFillTint="66"/>
            <w:vAlign w:val="center"/>
          </w:tcPr>
          <w:p w14:paraId="4D3D7D2C" w14:textId="77777777" w:rsidR="00832E17" w:rsidRPr="00E86687" w:rsidRDefault="00832E17" w:rsidP="00970743">
            <w:pPr>
              <w:spacing w:before="0" w:after="0"/>
              <w:ind w:left="0" w:firstLine="0"/>
              <w:jc w:val="center"/>
              <w:rPr>
                <w:b/>
                <w:bCs/>
                <w:noProof/>
                <w:sz w:val="18"/>
                <w:szCs w:val="18"/>
              </w:rPr>
            </w:pPr>
            <w:r w:rsidRPr="00E86687">
              <w:rPr>
                <w:b/>
                <w:bCs/>
                <w:noProof/>
                <w:sz w:val="18"/>
                <w:szCs w:val="18"/>
              </w:rPr>
              <w:t>2022</w:t>
            </w:r>
          </w:p>
        </w:tc>
      </w:tr>
      <w:tr w:rsidR="00832E17" w:rsidRPr="00E86687" w14:paraId="799E89EB" w14:textId="77777777" w:rsidTr="00193ACF">
        <w:trPr>
          <w:cantSplit/>
          <w:trHeight w:val="75"/>
        </w:trPr>
        <w:tc>
          <w:tcPr>
            <w:tcW w:w="5000" w:type="pct"/>
            <w:gridSpan w:val="3"/>
            <w:shd w:val="clear" w:color="auto" w:fill="B8CCE4" w:themeFill="accent1" w:themeFillTint="66"/>
            <w:vAlign w:val="center"/>
          </w:tcPr>
          <w:p w14:paraId="228F96F2" w14:textId="77777777" w:rsidR="00832E17" w:rsidRPr="00E86687" w:rsidRDefault="00832E17" w:rsidP="002309D6">
            <w:pPr>
              <w:spacing w:before="0" w:after="0"/>
              <w:ind w:left="113" w:firstLine="0"/>
              <w:jc w:val="center"/>
              <w:rPr>
                <w:b/>
                <w:bCs/>
                <w:noProof/>
                <w:sz w:val="18"/>
                <w:szCs w:val="18"/>
              </w:rPr>
            </w:pPr>
            <w:r w:rsidRPr="00120F96">
              <w:rPr>
                <w:b/>
                <w:bCs/>
                <w:noProof/>
                <w:sz w:val="18"/>
                <w:szCs w:val="18"/>
              </w:rPr>
              <w:t>Iepriekš pieņemti nodokļu pasākumi, kas ietekmēs nodokļu ieņēmumus no 2022</w:t>
            </w:r>
            <w:r w:rsidRPr="00E86687">
              <w:rPr>
                <w:b/>
                <w:bCs/>
                <w:noProof/>
                <w:sz w:val="18"/>
                <w:szCs w:val="18"/>
              </w:rPr>
              <w:t>. gada</w:t>
            </w:r>
          </w:p>
        </w:tc>
      </w:tr>
      <w:tr w:rsidR="00832E17" w:rsidRPr="00E86687" w14:paraId="0293E473" w14:textId="77777777" w:rsidTr="00832E17">
        <w:trPr>
          <w:cantSplit/>
          <w:trHeight w:val="195"/>
        </w:trPr>
        <w:tc>
          <w:tcPr>
            <w:tcW w:w="2660" w:type="pct"/>
          </w:tcPr>
          <w:p w14:paraId="521DEB90" w14:textId="77777777" w:rsidR="00832E17" w:rsidRPr="00E86687" w:rsidRDefault="00832E17" w:rsidP="00832E17">
            <w:pPr>
              <w:spacing w:before="0" w:after="0"/>
              <w:ind w:left="0" w:firstLine="0"/>
              <w:rPr>
                <w:noProof/>
                <w:sz w:val="18"/>
                <w:szCs w:val="18"/>
              </w:rPr>
            </w:pPr>
            <w:r w:rsidRPr="00120F96">
              <w:rPr>
                <w:noProof/>
                <w:sz w:val="18"/>
                <w:szCs w:val="18"/>
              </w:rPr>
              <w:t>Dabas resursu nodokļa likmju paaugstināšana at</w:t>
            </w:r>
            <w:r w:rsidRPr="00AC3042">
              <w:rPr>
                <w:noProof/>
                <w:sz w:val="18"/>
                <w:szCs w:val="18"/>
              </w:rPr>
              <w:t>sevišķiem objektiem</w:t>
            </w:r>
            <w:r w:rsidRPr="00E86687">
              <w:rPr>
                <w:noProof/>
                <w:sz w:val="18"/>
                <w:szCs w:val="18"/>
              </w:rPr>
              <w:t xml:space="preserve"> un nodokļa ieņēmumu sadalījuma maiņa starp valsts un pašvaldību budžetiem</w:t>
            </w:r>
          </w:p>
        </w:tc>
        <w:tc>
          <w:tcPr>
            <w:tcW w:w="1614" w:type="pct"/>
          </w:tcPr>
          <w:p w14:paraId="60E2E26E" w14:textId="77777777" w:rsidR="00832E17" w:rsidRPr="00E86687" w:rsidRDefault="00832E17" w:rsidP="00970743">
            <w:pPr>
              <w:spacing w:before="0" w:after="0"/>
              <w:ind w:left="0" w:firstLine="0"/>
              <w:jc w:val="left"/>
              <w:rPr>
                <w:rFonts w:eastAsia="Calibri"/>
                <w:noProof/>
                <w:sz w:val="18"/>
                <w:szCs w:val="18"/>
              </w:rPr>
            </w:pPr>
            <w:r w:rsidRPr="00E86687">
              <w:rPr>
                <w:rFonts w:eastAsia="Calibri"/>
                <w:noProof/>
                <w:sz w:val="18"/>
                <w:szCs w:val="18"/>
              </w:rPr>
              <w:t>Dabas resursu nodoklis</w:t>
            </w:r>
          </w:p>
        </w:tc>
        <w:tc>
          <w:tcPr>
            <w:tcW w:w="726" w:type="pct"/>
            <w:shd w:val="clear" w:color="auto" w:fill="auto"/>
          </w:tcPr>
          <w:p w14:paraId="7B157E1C" w14:textId="77777777" w:rsidR="00832E17" w:rsidRPr="00E86687" w:rsidRDefault="00832E17" w:rsidP="00970743">
            <w:pPr>
              <w:tabs>
                <w:tab w:val="decimal" w:pos="504"/>
              </w:tabs>
              <w:spacing w:before="0" w:after="0"/>
              <w:ind w:left="0" w:firstLine="0"/>
              <w:jc w:val="right"/>
              <w:rPr>
                <w:rFonts w:eastAsia="Calibri"/>
                <w:noProof/>
                <w:sz w:val="18"/>
                <w:szCs w:val="18"/>
              </w:rPr>
            </w:pPr>
            <w:r w:rsidRPr="00E86687">
              <w:rPr>
                <w:rFonts w:eastAsia="Calibri"/>
                <w:noProof/>
                <w:sz w:val="18"/>
                <w:szCs w:val="18"/>
              </w:rPr>
              <w:t>+5,2</w:t>
            </w:r>
          </w:p>
        </w:tc>
      </w:tr>
      <w:tr w:rsidR="00832E17" w:rsidRPr="00E86687" w14:paraId="23B2954B" w14:textId="77777777" w:rsidTr="00832E17">
        <w:trPr>
          <w:cantSplit/>
          <w:trHeight w:val="338"/>
        </w:trPr>
        <w:tc>
          <w:tcPr>
            <w:tcW w:w="2660" w:type="pct"/>
            <w:vMerge w:val="restart"/>
            <w:tcBorders>
              <w:top w:val="single" w:sz="4" w:space="0" w:color="auto"/>
              <w:left w:val="single" w:sz="4" w:space="0" w:color="auto"/>
              <w:bottom w:val="single" w:sz="4" w:space="0" w:color="auto"/>
              <w:right w:val="single" w:sz="4" w:space="0" w:color="auto"/>
            </w:tcBorders>
          </w:tcPr>
          <w:p w14:paraId="7EAFAF05" w14:textId="77777777" w:rsidR="00832E17" w:rsidRPr="00AC3042" w:rsidRDefault="00832E17" w:rsidP="00832E17">
            <w:pPr>
              <w:spacing w:before="0" w:after="0"/>
              <w:ind w:left="0" w:firstLine="0"/>
              <w:rPr>
                <w:noProof/>
                <w:sz w:val="18"/>
                <w:szCs w:val="18"/>
              </w:rPr>
            </w:pPr>
            <w:r w:rsidRPr="00120F96">
              <w:rPr>
                <w:noProof/>
                <w:sz w:val="18"/>
                <w:szCs w:val="18"/>
              </w:rPr>
              <w:t>Akcīzes nodokļa likmju paaugstināšana cigaretēm, cigāriem, cigarillām, smēķējamai, karsējamai tabakai un e-cigarešu šķidrumiem un akc</w:t>
            </w:r>
            <w:r w:rsidRPr="00AC3042">
              <w:rPr>
                <w:noProof/>
                <w:sz w:val="18"/>
                <w:szCs w:val="18"/>
              </w:rPr>
              <w:t>īzes nodokļa paaugstināšana no tabakas aizstājējproduktiem (piemēram, nikotīnu saturošiem spilventiņiem)</w:t>
            </w:r>
          </w:p>
        </w:tc>
        <w:tc>
          <w:tcPr>
            <w:tcW w:w="1614" w:type="pct"/>
            <w:tcBorders>
              <w:top w:val="single" w:sz="4" w:space="0" w:color="auto"/>
              <w:left w:val="single" w:sz="4" w:space="0" w:color="auto"/>
              <w:bottom w:val="nil"/>
              <w:right w:val="single" w:sz="4" w:space="0" w:color="auto"/>
            </w:tcBorders>
          </w:tcPr>
          <w:p w14:paraId="34DA4935" w14:textId="77777777" w:rsidR="00832E17" w:rsidRPr="00E86687" w:rsidRDefault="00832E17" w:rsidP="00970743">
            <w:pPr>
              <w:spacing w:before="0" w:after="0"/>
              <w:ind w:left="0" w:firstLine="0"/>
              <w:jc w:val="left"/>
              <w:rPr>
                <w:rFonts w:eastAsia="Calibri"/>
                <w:noProof/>
                <w:sz w:val="18"/>
                <w:szCs w:val="18"/>
              </w:rPr>
            </w:pPr>
            <w:r w:rsidRPr="00E86687">
              <w:rPr>
                <w:rFonts w:eastAsia="Calibri"/>
                <w:noProof/>
                <w:sz w:val="18"/>
                <w:szCs w:val="18"/>
              </w:rPr>
              <w:t>Kopā, t.sk.:</w:t>
            </w:r>
          </w:p>
        </w:tc>
        <w:tc>
          <w:tcPr>
            <w:tcW w:w="726" w:type="pct"/>
            <w:tcBorders>
              <w:top w:val="single" w:sz="4" w:space="0" w:color="auto"/>
              <w:left w:val="single" w:sz="4" w:space="0" w:color="auto"/>
              <w:bottom w:val="nil"/>
              <w:right w:val="single" w:sz="4" w:space="0" w:color="auto"/>
            </w:tcBorders>
          </w:tcPr>
          <w:p w14:paraId="35374082" w14:textId="77777777" w:rsidR="00832E17" w:rsidRPr="00E86687" w:rsidRDefault="00832E17" w:rsidP="00970743">
            <w:pPr>
              <w:tabs>
                <w:tab w:val="decimal" w:pos="504"/>
              </w:tabs>
              <w:spacing w:before="0" w:after="0"/>
              <w:ind w:left="0" w:firstLine="0"/>
              <w:jc w:val="right"/>
              <w:rPr>
                <w:rFonts w:eastAsia="Calibri"/>
                <w:noProof/>
                <w:sz w:val="18"/>
                <w:szCs w:val="18"/>
              </w:rPr>
            </w:pPr>
            <w:r w:rsidRPr="00E86687">
              <w:rPr>
                <w:rFonts w:eastAsia="Calibri"/>
                <w:noProof/>
                <w:sz w:val="18"/>
                <w:szCs w:val="18"/>
              </w:rPr>
              <w:t>+13,9</w:t>
            </w:r>
          </w:p>
        </w:tc>
      </w:tr>
      <w:tr w:rsidR="00832E17" w:rsidRPr="00E86687" w14:paraId="759C5EAE" w14:textId="77777777" w:rsidTr="00832E17">
        <w:trPr>
          <w:cantSplit/>
          <w:trHeight w:val="338"/>
        </w:trPr>
        <w:tc>
          <w:tcPr>
            <w:tcW w:w="2660" w:type="pct"/>
            <w:vMerge/>
            <w:tcBorders>
              <w:top w:val="single" w:sz="4" w:space="0" w:color="auto"/>
              <w:left w:val="single" w:sz="4" w:space="0" w:color="auto"/>
              <w:bottom w:val="single" w:sz="4" w:space="0" w:color="auto"/>
              <w:right w:val="single" w:sz="4" w:space="0" w:color="auto"/>
            </w:tcBorders>
          </w:tcPr>
          <w:p w14:paraId="15161E76" w14:textId="77777777" w:rsidR="00832E17" w:rsidRPr="00E86687" w:rsidRDefault="00832E17" w:rsidP="00832E17">
            <w:pPr>
              <w:spacing w:before="0" w:after="0"/>
              <w:ind w:left="0" w:firstLine="0"/>
              <w:rPr>
                <w:noProof/>
                <w:sz w:val="18"/>
                <w:szCs w:val="18"/>
              </w:rPr>
            </w:pPr>
          </w:p>
        </w:tc>
        <w:tc>
          <w:tcPr>
            <w:tcW w:w="1614" w:type="pct"/>
            <w:tcBorders>
              <w:top w:val="nil"/>
              <w:left w:val="single" w:sz="4" w:space="0" w:color="auto"/>
              <w:bottom w:val="nil"/>
              <w:right w:val="single" w:sz="4" w:space="0" w:color="auto"/>
            </w:tcBorders>
          </w:tcPr>
          <w:p w14:paraId="0C9B61E6" w14:textId="77777777" w:rsidR="00832E17" w:rsidRPr="00E86687" w:rsidRDefault="00832E17" w:rsidP="00970743">
            <w:pPr>
              <w:spacing w:before="0" w:after="0"/>
              <w:ind w:left="188" w:right="113" w:firstLine="0"/>
              <w:jc w:val="left"/>
              <w:rPr>
                <w:rFonts w:eastAsia="Calibri"/>
                <w:i/>
                <w:iCs/>
                <w:noProof/>
                <w:sz w:val="18"/>
                <w:szCs w:val="18"/>
              </w:rPr>
            </w:pPr>
            <w:r w:rsidRPr="00E86687">
              <w:rPr>
                <w:rFonts w:eastAsia="Calibri"/>
                <w:i/>
                <w:iCs/>
                <w:noProof/>
                <w:sz w:val="18"/>
                <w:szCs w:val="18"/>
              </w:rPr>
              <w:t>Akcīzes nodoklis</w:t>
            </w:r>
          </w:p>
        </w:tc>
        <w:tc>
          <w:tcPr>
            <w:tcW w:w="726" w:type="pct"/>
            <w:tcBorders>
              <w:top w:val="nil"/>
              <w:left w:val="single" w:sz="4" w:space="0" w:color="auto"/>
              <w:bottom w:val="nil"/>
              <w:right w:val="single" w:sz="4" w:space="0" w:color="auto"/>
            </w:tcBorders>
          </w:tcPr>
          <w:p w14:paraId="40075D8A" w14:textId="77777777" w:rsidR="00832E17" w:rsidRPr="00E86687" w:rsidRDefault="00832E17" w:rsidP="00970743">
            <w:pPr>
              <w:tabs>
                <w:tab w:val="decimal" w:pos="504"/>
              </w:tabs>
              <w:spacing w:before="0" w:after="0"/>
              <w:ind w:left="0" w:firstLine="0"/>
              <w:jc w:val="right"/>
              <w:rPr>
                <w:rFonts w:eastAsia="Calibri"/>
                <w:i/>
                <w:iCs/>
                <w:noProof/>
                <w:sz w:val="18"/>
                <w:szCs w:val="18"/>
              </w:rPr>
            </w:pPr>
            <w:r w:rsidRPr="00E86687">
              <w:rPr>
                <w:rFonts w:eastAsia="Calibri"/>
                <w:i/>
                <w:iCs/>
                <w:noProof/>
                <w:sz w:val="18"/>
                <w:szCs w:val="18"/>
              </w:rPr>
              <w:t>+11,5</w:t>
            </w:r>
          </w:p>
        </w:tc>
      </w:tr>
      <w:tr w:rsidR="00832E17" w:rsidRPr="00E86687" w14:paraId="2866F767" w14:textId="77777777" w:rsidTr="00832E17">
        <w:trPr>
          <w:cantSplit/>
          <w:trHeight w:val="339"/>
        </w:trPr>
        <w:tc>
          <w:tcPr>
            <w:tcW w:w="2660" w:type="pct"/>
            <w:vMerge/>
            <w:tcBorders>
              <w:top w:val="single" w:sz="4" w:space="0" w:color="auto"/>
              <w:left w:val="single" w:sz="4" w:space="0" w:color="auto"/>
              <w:bottom w:val="single" w:sz="4" w:space="0" w:color="auto"/>
              <w:right w:val="single" w:sz="4" w:space="0" w:color="auto"/>
            </w:tcBorders>
          </w:tcPr>
          <w:p w14:paraId="0AE93A77" w14:textId="77777777" w:rsidR="00832E17" w:rsidRPr="00E86687" w:rsidRDefault="00832E17" w:rsidP="00832E17">
            <w:pPr>
              <w:spacing w:before="0" w:after="0"/>
              <w:ind w:left="0" w:firstLine="0"/>
              <w:rPr>
                <w:noProof/>
                <w:sz w:val="18"/>
                <w:szCs w:val="18"/>
              </w:rPr>
            </w:pPr>
          </w:p>
        </w:tc>
        <w:tc>
          <w:tcPr>
            <w:tcW w:w="1614" w:type="pct"/>
            <w:tcBorders>
              <w:top w:val="nil"/>
              <w:left w:val="single" w:sz="4" w:space="0" w:color="auto"/>
              <w:bottom w:val="single" w:sz="4" w:space="0" w:color="auto"/>
              <w:right w:val="single" w:sz="4" w:space="0" w:color="auto"/>
            </w:tcBorders>
          </w:tcPr>
          <w:p w14:paraId="3074A772" w14:textId="77777777" w:rsidR="00832E17" w:rsidRPr="00E86687" w:rsidRDefault="00832E17" w:rsidP="00970743">
            <w:pPr>
              <w:spacing w:before="0" w:after="0"/>
              <w:ind w:left="188" w:right="113" w:firstLine="0"/>
              <w:jc w:val="left"/>
              <w:rPr>
                <w:rFonts w:eastAsia="Calibri"/>
                <w:i/>
                <w:iCs/>
                <w:noProof/>
                <w:sz w:val="18"/>
                <w:szCs w:val="18"/>
              </w:rPr>
            </w:pPr>
            <w:r w:rsidRPr="00E86687">
              <w:rPr>
                <w:rFonts w:eastAsia="Calibri"/>
                <w:i/>
                <w:iCs/>
                <w:noProof/>
                <w:sz w:val="18"/>
                <w:szCs w:val="18"/>
              </w:rPr>
              <w:t>Pievienotās vērtības nodoklis</w:t>
            </w:r>
          </w:p>
        </w:tc>
        <w:tc>
          <w:tcPr>
            <w:tcW w:w="726" w:type="pct"/>
            <w:tcBorders>
              <w:top w:val="nil"/>
              <w:left w:val="single" w:sz="4" w:space="0" w:color="auto"/>
              <w:bottom w:val="single" w:sz="4" w:space="0" w:color="auto"/>
              <w:right w:val="single" w:sz="4" w:space="0" w:color="auto"/>
            </w:tcBorders>
          </w:tcPr>
          <w:p w14:paraId="06488D72" w14:textId="77777777" w:rsidR="00832E17" w:rsidRPr="00E86687" w:rsidRDefault="00832E17" w:rsidP="00970743">
            <w:pPr>
              <w:tabs>
                <w:tab w:val="decimal" w:pos="504"/>
              </w:tabs>
              <w:spacing w:before="0" w:after="0"/>
              <w:ind w:left="0" w:firstLine="0"/>
              <w:jc w:val="right"/>
              <w:rPr>
                <w:rFonts w:eastAsia="Calibri"/>
                <w:i/>
                <w:iCs/>
                <w:noProof/>
                <w:sz w:val="18"/>
                <w:szCs w:val="18"/>
              </w:rPr>
            </w:pPr>
            <w:r w:rsidRPr="00E86687">
              <w:rPr>
                <w:rFonts w:eastAsia="Calibri"/>
                <w:i/>
                <w:iCs/>
                <w:noProof/>
                <w:sz w:val="18"/>
                <w:szCs w:val="18"/>
              </w:rPr>
              <w:t>+2,4</w:t>
            </w:r>
          </w:p>
        </w:tc>
      </w:tr>
      <w:tr w:rsidR="00832E17" w:rsidRPr="00E86687" w14:paraId="7CB9CE2D" w14:textId="77777777" w:rsidTr="00832E17">
        <w:trPr>
          <w:cantSplit/>
          <w:trHeight w:val="195"/>
        </w:trPr>
        <w:tc>
          <w:tcPr>
            <w:tcW w:w="2660" w:type="pct"/>
          </w:tcPr>
          <w:p w14:paraId="112DEB9C" w14:textId="77777777" w:rsidR="00832E17" w:rsidRPr="00E86687" w:rsidRDefault="00832E17" w:rsidP="00832E17">
            <w:pPr>
              <w:spacing w:before="0" w:after="0"/>
              <w:ind w:left="0" w:firstLine="0"/>
              <w:rPr>
                <w:noProof/>
                <w:sz w:val="18"/>
                <w:szCs w:val="18"/>
              </w:rPr>
            </w:pPr>
            <w:r w:rsidRPr="00120F96">
              <w:rPr>
                <w:noProof/>
                <w:sz w:val="18"/>
                <w:szCs w:val="18"/>
              </w:rPr>
              <w:t>2022</w:t>
            </w:r>
            <w:r w:rsidRPr="00E86687">
              <w:rPr>
                <w:noProof/>
                <w:sz w:val="18"/>
                <w:szCs w:val="18"/>
              </w:rPr>
              <w:t xml:space="preserve">. gada </w:t>
            </w:r>
            <w:r>
              <w:rPr>
                <w:noProof/>
                <w:sz w:val="18"/>
                <w:szCs w:val="18"/>
              </w:rPr>
              <w:t>1. janv</w:t>
            </w:r>
            <w:r w:rsidRPr="00E86687">
              <w:rPr>
                <w:noProof/>
                <w:sz w:val="18"/>
                <w:szCs w:val="18"/>
              </w:rPr>
              <w:t>āri bezalkoholiskajiem dzērieniem ar cukura saturu no 8 gramiem uz 100 mililitriem noteiks paaugstinātu akcīzes nodokļa likmi 14,0</w:t>
            </w:r>
            <w:r>
              <w:rPr>
                <w:noProof/>
                <w:sz w:val="18"/>
                <w:szCs w:val="18"/>
              </w:rPr>
              <w:t>0 </w:t>
            </w:r>
            <w:r w:rsidRPr="00832E17">
              <w:rPr>
                <w:i/>
                <w:iCs/>
                <w:noProof/>
                <w:sz w:val="18"/>
                <w:szCs w:val="18"/>
              </w:rPr>
              <w:t>euro</w:t>
            </w:r>
            <w:r w:rsidRPr="00E86687">
              <w:rPr>
                <w:noProof/>
                <w:sz w:val="18"/>
                <w:szCs w:val="18"/>
              </w:rPr>
              <w:t xml:space="preserve"> par 100 litriem</w:t>
            </w:r>
          </w:p>
        </w:tc>
        <w:tc>
          <w:tcPr>
            <w:tcW w:w="1614" w:type="pct"/>
          </w:tcPr>
          <w:p w14:paraId="29B47433" w14:textId="77777777" w:rsidR="00832E17" w:rsidRPr="00E86687" w:rsidRDefault="00832E17" w:rsidP="00970743">
            <w:pPr>
              <w:spacing w:before="0" w:after="0"/>
              <w:ind w:left="0" w:firstLine="0"/>
              <w:jc w:val="left"/>
              <w:rPr>
                <w:rFonts w:eastAsia="Calibri"/>
                <w:noProof/>
                <w:sz w:val="18"/>
                <w:szCs w:val="18"/>
              </w:rPr>
            </w:pPr>
            <w:r w:rsidRPr="00E86687">
              <w:rPr>
                <w:rFonts w:eastAsia="Calibri"/>
                <w:noProof/>
                <w:sz w:val="18"/>
                <w:szCs w:val="18"/>
              </w:rPr>
              <w:t>Akcīzes nodoklis</w:t>
            </w:r>
          </w:p>
        </w:tc>
        <w:tc>
          <w:tcPr>
            <w:tcW w:w="726" w:type="pct"/>
            <w:shd w:val="clear" w:color="auto" w:fill="auto"/>
            <w:vAlign w:val="center"/>
          </w:tcPr>
          <w:p w14:paraId="0ADA88AB" w14:textId="77777777" w:rsidR="00832E17" w:rsidRPr="00E86687" w:rsidRDefault="00832E17" w:rsidP="00970743">
            <w:pPr>
              <w:spacing w:before="0" w:after="0"/>
              <w:ind w:left="0" w:firstLine="0"/>
              <w:jc w:val="center"/>
              <w:rPr>
                <w:rFonts w:eastAsia="Calibri"/>
                <w:noProof/>
                <w:sz w:val="18"/>
                <w:szCs w:val="18"/>
              </w:rPr>
            </w:pPr>
            <w:r w:rsidRPr="00E86687">
              <w:rPr>
                <w:rFonts w:eastAsia="Calibri"/>
                <w:noProof/>
                <w:sz w:val="18"/>
                <w:szCs w:val="18"/>
              </w:rPr>
              <w:t>Fiskālā ietekme nav aprēkināma</w:t>
            </w:r>
          </w:p>
        </w:tc>
      </w:tr>
      <w:tr w:rsidR="00832E17" w:rsidRPr="00E86687" w14:paraId="2B86620A" w14:textId="77777777" w:rsidTr="00193ACF">
        <w:trPr>
          <w:cantSplit/>
          <w:trHeight w:val="239"/>
        </w:trPr>
        <w:tc>
          <w:tcPr>
            <w:tcW w:w="5000" w:type="pct"/>
            <w:gridSpan w:val="3"/>
            <w:shd w:val="clear" w:color="auto" w:fill="B8CCE4" w:themeFill="accent1" w:themeFillTint="66"/>
            <w:vAlign w:val="center"/>
          </w:tcPr>
          <w:p w14:paraId="7F278E2D" w14:textId="77777777" w:rsidR="00832E17" w:rsidRPr="00E86687" w:rsidRDefault="00832E17" w:rsidP="002309D6">
            <w:pPr>
              <w:spacing w:before="0" w:after="0"/>
              <w:ind w:left="113" w:firstLine="0"/>
              <w:jc w:val="center"/>
              <w:rPr>
                <w:b/>
                <w:bCs/>
                <w:noProof/>
                <w:sz w:val="18"/>
                <w:szCs w:val="18"/>
              </w:rPr>
            </w:pPr>
            <w:r w:rsidRPr="00120F96">
              <w:rPr>
                <w:b/>
                <w:bCs/>
                <w:noProof/>
                <w:sz w:val="18"/>
                <w:szCs w:val="18"/>
              </w:rPr>
              <w:t>Likumprojekta “Par valsts budžetu 2022</w:t>
            </w:r>
            <w:r w:rsidRPr="00E86687">
              <w:rPr>
                <w:b/>
                <w:bCs/>
                <w:noProof/>
                <w:sz w:val="18"/>
                <w:szCs w:val="18"/>
              </w:rPr>
              <w:t>. gadam” izstrādes gaitā Ministru kabinetā atbalstītie pasākumi</w:t>
            </w:r>
          </w:p>
        </w:tc>
      </w:tr>
      <w:tr w:rsidR="00832E17" w:rsidRPr="00E86687" w14:paraId="0E715CC6" w14:textId="77777777" w:rsidTr="00193ACF">
        <w:trPr>
          <w:cantSplit/>
          <w:trHeight w:val="129"/>
        </w:trPr>
        <w:tc>
          <w:tcPr>
            <w:tcW w:w="5000" w:type="pct"/>
            <w:gridSpan w:val="3"/>
            <w:shd w:val="clear" w:color="auto" w:fill="B8CCE4" w:themeFill="accent1" w:themeFillTint="66"/>
            <w:vAlign w:val="center"/>
          </w:tcPr>
          <w:p w14:paraId="5D6BDFB0" w14:textId="77777777" w:rsidR="00832E17" w:rsidRPr="00120F96" w:rsidRDefault="00832E17" w:rsidP="00970743">
            <w:pPr>
              <w:spacing w:before="0" w:after="0"/>
              <w:ind w:left="113" w:firstLine="0"/>
              <w:jc w:val="center"/>
              <w:rPr>
                <w:b/>
                <w:bCs/>
                <w:noProof/>
                <w:sz w:val="18"/>
                <w:szCs w:val="18"/>
              </w:rPr>
            </w:pPr>
            <w:r w:rsidRPr="00C013EF">
              <w:rPr>
                <w:bCs/>
                <w:i/>
                <w:iCs/>
                <w:noProof/>
                <w:sz w:val="18"/>
                <w:szCs w:val="18"/>
              </w:rPr>
              <w:t>Nodokļu pasākumi</w:t>
            </w:r>
          </w:p>
        </w:tc>
      </w:tr>
      <w:tr w:rsidR="00832E17" w:rsidRPr="00E86687" w14:paraId="2CE238CD" w14:textId="77777777" w:rsidTr="00832E17">
        <w:trPr>
          <w:cantSplit/>
          <w:trHeight w:val="207"/>
        </w:trPr>
        <w:tc>
          <w:tcPr>
            <w:tcW w:w="2660" w:type="pct"/>
            <w:vMerge w:val="restart"/>
            <w:tcBorders>
              <w:top w:val="single" w:sz="4" w:space="0" w:color="auto"/>
              <w:left w:val="single" w:sz="4" w:space="0" w:color="auto"/>
              <w:right w:val="single" w:sz="4" w:space="0" w:color="auto"/>
            </w:tcBorders>
          </w:tcPr>
          <w:p w14:paraId="2E00D8BE" w14:textId="77777777" w:rsidR="00832E17" w:rsidRPr="00832E17" w:rsidRDefault="00832E17" w:rsidP="00832E17">
            <w:pPr>
              <w:spacing w:before="0" w:after="0"/>
              <w:ind w:left="0" w:firstLine="0"/>
              <w:rPr>
                <w:noProof/>
                <w:sz w:val="18"/>
                <w:szCs w:val="18"/>
              </w:rPr>
            </w:pPr>
            <w:r w:rsidRPr="00832E17">
              <w:rPr>
                <w:noProof/>
                <w:sz w:val="18"/>
                <w:szCs w:val="18"/>
              </w:rPr>
              <w:t>Diferencētā neapliekamā minimuma un pensionāru neapliekamā minimuma palielināšana no 2022. gada 1. janvāra, attiecīgi no 300 līdz 350 </w:t>
            </w:r>
            <w:r w:rsidRPr="00832E17">
              <w:rPr>
                <w:i/>
                <w:iCs/>
                <w:noProof/>
                <w:sz w:val="18"/>
                <w:szCs w:val="18"/>
              </w:rPr>
              <w:t>euro</w:t>
            </w:r>
            <w:r w:rsidRPr="00832E17">
              <w:rPr>
                <w:noProof/>
                <w:sz w:val="18"/>
                <w:szCs w:val="18"/>
              </w:rPr>
              <w:t xml:space="preserve"> mēnesī un no 330 līdz 350 </w:t>
            </w:r>
            <w:r w:rsidRPr="00832E17">
              <w:rPr>
                <w:i/>
                <w:iCs/>
                <w:noProof/>
                <w:sz w:val="18"/>
                <w:szCs w:val="18"/>
              </w:rPr>
              <w:t>euro</w:t>
            </w:r>
            <w:r w:rsidRPr="00832E17">
              <w:rPr>
                <w:noProof/>
                <w:sz w:val="18"/>
                <w:szCs w:val="18"/>
              </w:rPr>
              <w:t xml:space="preserve"> mēnesī, un abu neapliekamo minimumu palielināšana no 2022. gada 1. jūlija līdz 500 </w:t>
            </w:r>
            <w:r w:rsidRPr="00832E17">
              <w:rPr>
                <w:i/>
                <w:iCs/>
                <w:noProof/>
                <w:sz w:val="18"/>
                <w:szCs w:val="18"/>
              </w:rPr>
              <w:t>euro</w:t>
            </w:r>
            <w:r w:rsidRPr="00832E17">
              <w:rPr>
                <w:noProof/>
                <w:sz w:val="18"/>
                <w:szCs w:val="18"/>
              </w:rPr>
              <w:t xml:space="preserve"> mēnesī</w:t>
            </w:r>
          </w:p>
        </w:tc>
        <w:tc>
          <w:tcPr>
            <w:tcW w:w="1614" w:type="pct"/>
            <w:tcBorders>
              <w:top w:val="single" w:sz="4" w:space="0" w:color="auto"/>
              <w:left w:val="single" w:sz="4" w:space="0" w:color="auto"/>
              <w:bottom w:val="nil"/>
              <w:right w:val="single" w:sz="4" w:space="0" w:color="auto"/>
            </w:tcBorders>
          </w:tcPr>
          <w:p w14:paraId="7187CF6E" w14:textId="77777777" w:rsidR="00832E17" w:rsidRPr="00E86687" w:rsidRDefault="00832E17" w:rsidP="00970743">
            <w:pPr>
              <w:spacing w:before="0" w:after="0"/>
              <w:ind w:left="0" w:firstLine="0"/>
              <w:jc w:val="left"/>
              <w:rPr>
                <w:rFonts w:eastAsia="Calibri"/>
                <w:noProof/>
                <w:sz w:val="18"/>
                <w:szCs w:val="18"/>
              </w:rPr>
            </w:pPr>
            <w:r w:rsidRPr="00E86687">
              <w:rPr>
                <w:rFonts w:eastAsia="Calibri"/>
                <w:noProof/>
                <w:sz w:val="18"/>
                <w:szCs w:val="18"/>
              </w:rPr>
              <w:t>Kopā, t.sk.,</w:t>
            </w:r>
          </w:p>
        </w:tc>
        <w:tc>
          <w:tcPr>
            <w:tcW w:w="726" w:type="pct"/>
            <w:tcBorders>
              <w:top w:val="single" w:sz="4" w:space="0" w:color="auto"/>
              <w:left w:val="single" w:sz="4" w:space="0" w:color="auto"/>
              <w:bottom w:val="nil"/>
              <w:right w:val="single" w:sz="4" w:space="0" w:color="auto"/>
            </w:tcBorders>
          </w:tcPr>
          <w:p w14:paraId="022DAA12" w14:textId="77777777" w:rsidR="00832E17" w:rsidRPr="00E86687" w:rsidRDefault="00832E17" w:rsidP="00970743">
            <w:pPr>
              <w:tabs>
                <w:tab w:val="decimal" w:pos="504"/>
              </w:tabs>
              <w:spacing w:before="0" w:after="0"/>
              <w:ind w:left="0" w:firstLine="0"/>
              <w:jc w:val="right"/>
              <w:rPr>
                <w:noProof/>
                <w:sz w:val="18"/>
                <w:szCs w:val="18"/>
              </w:rPr>
            </w:pPr>
            <w:r w:rsidRPr="00E86687">
              <w:rPr>
                <w:noProof/>
                <w:sz w:val="18"/>
                <w:szCs w:val="18"/>
              </w:rPr>
              <w:t>-93,8</w:t>
            </w:r>
          </w:p>
        </w:tc>
      </w:tr>
      <w:tr w:rsidR="00832E17" w:rsidRPr="00E86687" w14:paraId="30BE0521" w14:textId="77777777" w:rsidTr="00832E17">
        <w:trPr>
          <w:cantSplit/>
          <w:trHeight w:val="207"/>
        </w:trPr>
        <w:tc>
          <w:tcPr>
            <w:tcW w:w="2660" w:type="pct"/>
            <w:vMerge/>
            <w:tcBorders>
              <w:left w:val="single" w:sz="4" w:space="0" w:color="auto"/>
              <w:right w:val="single" w:sz="4" w:space="0" w:color="auto"/>
            </w:tcBorders>
          </w:tcPr>
          <w:p w14:paraId="7DA9D628" w14:textId="77777777" w:rsidR="00832E17" w:rsidRPr="00832E17" w:rsidRDefault="00832E17" w:rsidP="00832E17">
            <w:pPr>
              <w:spacing w:after="0"/>
              <w:ind w:left="57" w:firstLine="0"/>
              <w:rPr>
                <w:noProof/>
                <w:sz w:val="18"/>
                <w:szCs w:val="18"/>
              </w:rPr>
            </w:pPr>
          </w:p>
        </w:tc>
        <w:tc>
          <w:tcPr>
            <w:tcW w:w="1614" w:type="pct"/>
            <w:tcBorders>
              <w:top w:val="nil"/>
              <w:left w:val="single" w:sz="4" w:space="0" w:color="auto"/>
              <w:bottom w:val="nil"/>
              <w:right w:val="single" w:sz="4" w:space="0" w:color="auto"/>
            </w:tcBorders>
          </w:tcPr>
          <w:p w14:paraId="7789AA86" w14:textId="77777777" w:rsidR="00832E17" w:rsidRPr="00E86687" w:rsidRDefault="00832E17" w:rsidP="00970743">
            <w:pPr>
              <w:spacing w:before="0" w:after="0"/>
              <w:ind w:left="188" w:right="113" w:firstLine="0"/>
              <w:jc w:val="left"/>
              <w:rPr>
                <w:rFonts w:eastAsia="Calibri"/>
                <w:i/>
                <w:iCs/>
                <w:noProof/>
                <w:sz w:val="18"/>
                <w:szCs w:val="18"/>
              </w:rPr>
            </w:pPr>
            <w:r w:rsidRPr="00E86687">
              <w:rPr>
                <w:rFonts w:eastAsia="Calibri"/>
                <w:i/>
                <w:iCs/>
                <w:noProof/>
                <w:sz w:val="18"/>
                <w:szCs w:val="18"/>
              </w:rPr>
              <w:t>Iedzīvotāju ienākuma nodoklis</w:t>
            </w:r>
          </w:p>
        </w:tc>
        <w:tc>
          <w:tcPr>
            <w:tcW w:w="726" w:type="pct"/>
            <w:tcBorders>
              <w:top w:val="nil"/>
              <w:left w:val="single" w:sz="4" w:space="0" w:color="auto"/>
              <w:bottom w:val="nil"/>
              <w:right w:val="single" w:sz="4" w:space="0" w:color="auto"/>
            </w:tcBorders>
          </w:tcPr>
          <w:p w14:paraId="775FC964" w14:textId="77777777" w:rsidR="00832E17" w:rsidRPr="00E86687" w:rsidRDefault="00832E17" w:rsidP="00970743">
            <w:pPr>
              <w:tabs>
                <w:tab w:val="decimal" w:pos="504"/>
              </w:tabs>
              <w:spacing w:before="0" w:after="0"/>
              <w:ind w:left="0" w:firstLine="0"/>
              <w:jc w:val="right"/>
              <w:rPr>
                <w:i/>
                <w:iCs/>
                <w:noProof/>
                <w:sz w:val="18"/>
                <w:szCs w:val="18"/>
              </w:rPr>
            </w:pPr>
            <w:r w:rsidRPr="00E86687">
              <w:rPr>
                <w:i/>
                <w:iCs/>
                <w:noProof/>
                <w:sz w:val="18"/>
                <w:szCs w:val="18"/>
              </w:rPr>
              <w:t>-106,2</w:t>
            </w:r>
          </w:p>
        </w:tc>
      </w:tr>
      <w:tr w:rsidR="00832E17" w:rsidRPr="00E86687" w14:paraId="5485F8A5" w14:textId="77777777" w:rsidTr="00832E17">
        <w:trPr>
          <w:cantSplit/>
          <w:trHeight w:val="207"/>
        </w:trPr>
        <w:tc>
          <w:tcPr>
            <w:tcW w:w="2660" w:type="pct"/>
            <w:vMerge/>
            <w:tcBorders>
              <w:left w:val="single" w:sz="4" w:space="0" w:color="auto"/>
              <w:right w:val="single" w:sz="4" w:space="0" w:color="auto"/>
            </w:tcBorders>
          </w:tcPr>
          <w:p w14:paraId="04D789F3" w14:textId="77777777" w:rsidR="00832E17" w:rsidRPr="00832E17" w:rsidRDefault="00832E17" w:rsidP="00832E17">
            <w:pPr>
              <w:spacing w:after="0"/>
              <w:ind w:left="57" w:firstLine="0"/>
              <w:rPr>
                <w:noProof/>
                <w:sz w:val="18"/>
                <w:szCs w:val="18"/>
              </w:rPr>
            </w:pPr>
          </w:p>
        </w:tc>
        <w:tc>
          <w:tcPr>
            <w:tcW w:w="1614" w:type="pct"/>
            <w:tcBorders>
              <w:top w:val="nil"/>
              <w:left w:val="single" w:sz="4" w:space="0" w:color="auto"/>
              <w:bottom w:val="single" w:sz="4" w:space="0" w:color="auto"/>
              <w:right w:val="single" w:sz="4" w:space="0" w:color="auto"/>
            </w:tcBorders>
          </w:tcPr>
          <w:p w14:paraId="5BD3E347" w14:textId="77777777" w:rsidR="00832E17" w:rsidRPr="00E86687" w:rsidRDefault="00832E17" w:rsidP="00970743">
            <w:pPr>
              <w:spacing w:before="0" w:after="0"/>
              <w:ind w:left="188" w:right="113" w:firstLine="0"/>
              <w:jc w:val="left"/>
              <w:rPr>
                <w:rFonts w:eastAsia="Calibri"/>
                <w:i/>
                <w:iCs/>
                <w:noProof/>
                <w:sz w:val="18"/>
                <w:szCs w:val="18"/>
              </w:rPr>
            </w:pPr>
            <w:r w:rsidRPr="00E86687">
              <w:rPr>
                <w:rFonts w:eastAsia="Calibri"/>
                <w:i/>
                <w:iCs/>
                <w:noProof/>
                <w:sz w:val="18"/>
                <w:szCs w:val="18"/>
              </w:rPr>
              <w:t>Pievienotās vērtības nodoklis</w:t>
            </w:r>
          </w:p>
        </w:tc>
        <w:tc>
          <w:tcPr>
            <w:tcW w:w="726" w:type="pct"/>
            <w:tcBorders>
              <w:top w:val="nil"/>
              <w:left w:val="single" w:sz="4" w:space="0" w:color="auto"/>
              <w:bottom w:val="single" w:sz="4" w:space="0" w:color="auto"/>
              <w:right w:val="single" w:sz="4" w:space="0" w:color="auto"/>
            </w:tcBorders>
          </w:tcPr>
          <w:p w14:paraId="6AC2F6E1" w14:textId="77777777" w:rsidR="00832E17" w:rsidRPr="00E86687" w:rsidRDefault="00832E17" w:rsidP="00970743">
            <w:pPr>
              <w:tabs>
                <w:tab w:val="decimal" w:pos="504"/>
              </w:tabs>
              <w:spacing w:before="0" w:after="0"/>
              <w:ind w:left="0" w:firstLine="0"/>
              <w:jc w:val="right"/>
              <w:rPr>
                <w:i/>
                <w:iCs/>
                <w:noProof/>
                <w:sz w:val="18"/>
                <w:szCs w:val="18"/>
              </w:rPr>
            </w:pPr>
            <w:r w:rsidRPr="00E86687">
              <w:rPr>
                <w:i/>
                <w:iCs/>
                <w:noProof/>
                <w:sz w:val="18"/>
                <w:szCs w:val="18"/>
              </w:rPr>
              <w:t>+12,4</w:t>
            </w:r>
          </w:p>
        </w:tc>
      </w:tr>
      <w:tr w:rsidR="00832E17" w:rsidRPr="00E86687" w14:paraId="43973E2D" w14:textId="77777777" w:rsidTr="00832E17">
        <w:trPr>
          <w:cantSplit/>
          <w:trHeight w:val="207"/>
        </w:trPr>
        <w:tc>
          <w:tcPr>
            <w:tcW w:w="2660" w:type="pct"/>
            <w:vMerge w:val="restart"/>
            <w:tcBorders>
              <w:left w:val="single" w:sz="4" w:space="0" w:color="auto"/>
              <w:right w:val="single" w:sz="4" w:space="0" w:color="auto"/>
            </w:tcBorders>
          </w:tcPr>
          <w:p w14:paraId="32A0A2CA" w14:textId="77777777" w:rsidR="00832E17" w:rsidRPr="00832E17" w:rsidRDefault="00832E17" w:rsidP="00832E17">
            <w:pPr>
              <w:keepNext/>
              <w:spacing w:before="0" w:after="0"/>
              <w:ind w:left="57" w:firstLine="0"/>
              <w:rPr>
                <w:noProof/>
                <w:sz w:val="18"/>
                <w:szCs w:val="18"/>
              </w:rPr>
            </w:pPr>
            <w:r w:rsidRPr="00832E17">
              <w:rPr>
                <w:noProof/>
                <w:sz w:val="18"/>
                <w:szCs w:val="18"/>
              </w:rPr>
              <w:t>Atalgojuma palielināšana prioritārajām nozarēm</w:t>
            </w:r>
          </w:p>
        </w:tc>
        <w:tc>
          <w:tcPr>
            <w:tcW w:w="1614" w:type="pct"/>
            <w:tcBorders>
              <w:top w:val="single" w:sz="4" w:space="0" w:color="auto"/>
              <w:left w:val="single" w:sz="4" w:space="0" w:color="auto"/>
              <w:bottom w:val="nil"/>
              <w:right w:val="single" w:sz="4" w:space="0" w:color="auto"/>
            </w:tcBorders>
          </w:tcPr>
          <w:p w14:paraId="5791F8D9" w14:textId="77777777" w:rsidR="00832E17" w:rsidRPr="00E86687" w:rsidRDefault="00832E17" w:rsidP="00970743">
            <w:pPr>
              <w:keepNext/>
              <w:spacing w:before="0" w:after="0"/>
              <w:ind w:left="0" w:right="113" w:firstLine="0"/>
              <w:jc w:val="left"/>
              <w:rPr>
                <w:rFonts w:eastAsia="Calibri"/>
                <w:i/>
                <w:iCs/>
                <w:noProof/>
                <w:sz w:val="18"/>
                <w:szCs w:val="18"/>
              </w:rPr>
            </w:pPr>
            <w:r w:rsidRPr="00AC3042">
              <w:rPr>
                <w:rFonts w:eastAsia="Calibri"/>
                <w:noProof/>
                <w:sz w:val="18"/>
                <w:szCs w:val="18"/>
              </w:rPr>
              <w:t>Kopā, t.sk.,</w:t>
            </w:r>
          </w:p>
        </w:tc>
        <w:tc>
          <w:tcPr>
            <w:tcW w:w="726" w:type="pct"/>
            <w:tcBorders>
              <w:top w:val="single" w:sz="4" w:space="0" w:color="auto"/>
              <w:left w:val="single" w:sz="4" w:space="0" w:color="auto"/>
              <w:bottom w:val="nil"/>
              <w:right w:val="single" w:sz="4" w:space="0" w:color="auto"/>
            </w:tcBorders>
          </w:tcPr>
          <w:p w14:paraId="16047207" w14:textId="77777777" w:rsidR="00832E17" w:rsidRPr="00E86687" w:rsidRDefault="00832E17" w:rsidP="00970743">
            <w:pPr>
              <w:keepNext/>
              <w:tabs>
                <w:tab w:val="decimal" w:pos="504"/>
              </w:tabs>
              <w:spacing w:before="0" w:after="0"/>
              <w:ind w:left="0" w:firstLine="0"/>
              <w:jc w:val="right"/>
              <w:rPr>
                <w:noProof/>
                <w:sz w:val="18"/>
                <w:szCs w:val="18"/>
              </w:rPr>
            </w:pPr>
            <w:r w:rsidRPr="00E86687">
              <w:rPr>
                <w:noProof/>
                <w:sz w:val="18"/>
                <w:szCs w:val="18"/>
              </w:rPr>
              <w:t>+48,0</w:t>
            </w:r>
          </w:p>
        </w:tc>
      </w:tr>
      <w:tr w:rsidR="00832E17" w:rsidRPr="00E86687" w14:paraId="52C7EE0A" w14:textId="77777777" w:rsidTr="00832E17">
        <w:trPr>
          <w:cantSplit/>
          <w:trHeight w:val="227"/>
        </w:trPr>
        <w:tc>
          <w:tcPr>
            <w:tcW w:w="2660" w:type="pct"/>
            <w:vMerge/>
            <w:tcBorders>
              <w:left w:val="single" w:sz="4" w:space="0" w:color="auto"/>
              <w:right w:val="single" w:sz="4" w:space="0" w:color="auto"/>
            </w:tcBorders>
          </w:tcPr>
          <w:p w14:paraId="1C3910B4" w14:textId="77777777" w:rsidR="00832E17" w:rsidRPr="00832E17" w:rsidRDefault="00832E17" w:rsidP="00832E17">
            <w:pPr>
              <w:keepNext/>
              <w:spacing w:after="0"/>
              <w:ind w:left="57" w:firstLine="0"/>
              <w:rPr>
                <w:noProof/>
                <w:sz w:val="18"/>
                <w:szCs w:val="18"/>
              </w:rPr>
            </w:pPr>
          </w:p>
        </w:tc>
        <w:tc>
          <w:tcPr>
            <w:tcW w:w="1614" w:type="pct"/>
            <w:tcBorders>
              <w:top w:val="nil"/>
              <w:left w:val="single" w:sz="4" w:space="0" w:color="auto"/>
              <w:bottom w:val="nil"/>
              <w:right w:val="single" w:sz="4" w:space="0" w:color="auto"/>
            </w:tcBorders>
          </w:tcPr>
          <w:p w14:paraId="54428063" w14:textId="77777777" w:rsidR="00832E17" w:rsidRPr="00E86687" w:rsidRDefault="00832E17" w:rsidP="00970743">
            <w:pPr>
              <w:keepNext/>
              <w:spacing w:before="0" w:after="0"/>
              <w:ind w:left="187" w:right="113" w:firstLine="0"/>
              <w:jc w:val="left"/>
              <w:rPr>
                <w:rFonts w:eastAsia="Calibri"/>
                <w:i/>
                <w:iCs/>
                <w:noProof/>
                <w:sz w:val="18"/>
                <w:szCs w:val="18"/>
              </w:rPr>
            </w:pPr>
            <w:r w:rsidRPr="00E86687">
              <w:rPr>
                <w:rFonts w:eastAsia="Calibri"/>
                <w:i/>
                <w:iCs/>
                <w:noProof/>
                <w:sz w:val="18"/>
                <w:szCs w:val="18"/>
              </w:rPr>
              <w:t>Iedzīvotāju ienākuma nodoklis</w:t>
            </w:r>
          </w:p>
        </w:tc>
        <w:tc>
          <w:tcPr>
            <w:tcW w:w="726" w:type="pct"/>
            <w:tcBorders>
              <w:top w:val="nil"/>
              <w:left w:val="single" w:sz="4" w:space="0" w:color="auto"/>
              <w:bottom w:val="nil"/>
              <w:right w:val="single" w:sz="4" w:space="0" w:color="auto"/>
            </w:tcBorders>
          </w:tcPr>
          <w:p w14:paraId="16443C3F" w14:textId="77777777" w:rsidR="00832E17" w:rsidRPr="00E86687" w:rsidRDefault="00832E17" w:rsidP="00970743">
            <w:pPr>
              <w:keepNext/>
              <w:tabs>
                <w:tab w:val="decimal" w:pos="504"/>
              </w:tabs>
              <w:spacing w:before="0" w:after="0"/>
              <w:ind w:left="0" w:firstLine="0"/>
              <w:jc w:val="right"/>
              <w:rPr>
                <w:i/>
                <w:iCs/>
                <w:noProof/>
                <w:sz w:val="18"/>
                <w:szCs w:val="18"/>
              </w:rPr>
            </w:pPr>
            <w:r w:rsidRPr="00E86687">
              <w:rPr>
                <w:i/>
                <w:iCs/>
                <w:noProof/>
                <w:sz w:val="18"/>
                <w:szCs w:val="18"/>
              </w:rPr>
              <w:t>+16,8</w:t>
            </w:r>
          </w:p>
        </w:tc>
      </w:tr>
      <w:tr w:rsidR="00832E17" w:rsidRPr="00E86687" w14:paraId="4BEAE12F" w14:textId="77777777" w:rsidTr="00832E17">
        <w:trPr>
          <w:cantSplit/>
          <w:trHeight w:val="207"/>
        </w:trPr>
        <w:tc>
          <w:tcPr>
            <w:tcW w:w="2660" w:type="pct"/>
            <w:vMerge/>
            <w:tcBorders>
              <w:left w:val="single" w:sz="4" w:space="0" w:color="auto"/>
              <w:right w:val="single" w:sz="4" w:space="0" w:color="auto"/>
            </w:tcBorders>
          </w:tcPr>
          <w:p w14:paraId="5B03D577" w14:textId="77777777" w:rsidR="00832E17" w:rsidRPr="00832E17" w:rsidRDefault="00832E17" w:rsidP="00832E17">
            <w:pPr>
              <w:keepNext/>
              <w:spacing w:after="0"/>
              <w:ind w:left="57" w:firstLine="0"/>
              <w:rPr>
                <w:noProof/>
                <w:sz w:val="18"/>
                <w:szCs w:val="18"/>
              </w:rPr>
            </w:pPr>
          </w:p>
        </w:tc>
        <w:tc>
          <w:tcPr>
            <w:tcW w:w="1614" w:type="pct"/>
            <w:tcBorders>
              <w:top w:val="nil"/>
              <w:left w:val="single" w:sz="4" w:space="0" w:color="auto"/>
              <w:bottom w:val="nil"/>
              <w:right w:val="single" w:sz="4" w:space="0" w:color="auto"/>
            </w:tcBorders>
          </w:tcPr>
          <w:p w14:paraId="3D211C49" w14:textId="77777777" w:rsidR="00832E17" w:rsidRPr="00E86687" w:rsidRDefault="00832E17" w:rsidP="00970743">
            <w:pPr>
              <w:keepNext/>
              <w:spacing w:before="0" w:after="0"/>
              <w:ind w:left="187" w:right="113" w:firstLine="0"/>
              <w:jc w:val="left"/>
              <w:rPr>
                <w:rFonts w:eastAsia="Calibri"/>
                <w:i/>
                <w:iCs/>
                <w:noProof/>
                <w:sz w:val="18"/>
                <w:szCs w:val="18"/>
              </w:rPr>
            </w:pPr>
            <w:r w:rsidRPr="00E86687">
              <w:rPr>
                <w:i/>
                <w:sz w:val="18"/>
                <w:szCs w:val="18"/>
                <w:lang w:eastAsia="lv-LV"/>
              </w:rPr>
              <w:t>Sociālās apdrošināšanas iemaksas</w:t>
            </w:r>
          </w:p>
        </w:tc>
        <w:tc>
          <w:tcPr>
            <w:tcW w:w="726" w:type="pct"/>
            <w:tcBorders>
              <w:top w:val="nil"/>
              <w:left w:val="single" w:sz="4" w:space="0" w:color="auto"/>
              <w:bottom w:val="nil"/>
              <w:right w:val="single" w:sz="4" w:space="0" w:color="auto"/>
            </w:tcBorders>
          </w:tcPr>
          <w:p w14:paraId="3A46DF22" w14:textId="77777777" w:rsidR="00832E17" w:rsidRPr="00E86687" w:rsidRDefault="00832E17" w:rsidP="00970743">
            <w:pPr>
              <w:keepNext/>
              <w:tabs>
                <w:tab w:val="decimal" w:pos="504"/>
              </w:tabs>
              <w:spacing w:before="0" w:after="0"/>
              <w:ind w:left="0" w:firstLine="0"/>
              <w:jc w:val="right"/>
              <w:rPr>
                <w:i/>
                <w:iCs/>
                <w:noProof/>
                <w:sz w:val="18"/>
                <w:szCs w:val="18"/>
              </w:rPr>
            </w:pPr>
            <w:r w:rsidRPr="00E86687">
              <w:rPr>
                <w:i/>
                <w:iCs/>
                <w:noProof/>
                <w:sz w:val="18"/>
                <w:szCs w:val="18"/>
              </w:rPr>
              <w:t>+26,7</w:t>
            </w:r>
          </w:p>
        </w:tc>
      </w:tr>
      <w:tr w:rsidR="00832E17" w:rsidRPr="00E86687" w14:paraId="10AC932F" w14:textId="77777777" w:rsidTr="00832E17">
        <w:trPr>
          <w:cantSplit/>
          <w:trHeight w:val="207"/>
        </w:trPr>
        <w:tc>
          <w:tcPr>
            <w:tcW w:w="2660" w:type="pct"/>
            <w:vMerge/>
            <w:tcBorders>
              <w:left w:val="single" w:sz="4" w:space="0" w:color="auto"/>
              <w:right w:val="single" w:sz="4" w:space="0" w:color="auto"/>
            </w:tcBorders>
          </w:tcPr>
          <w:p w14:paraId="0CCDAD02" w14:textId="77777777" w:rsidR="00832E17" w:rsidRPr="00832E17" w:rsidRDefault="00832E17" w:rsidP="00832E17">
            <w:pPr>
              <w:spacing w:after="0"/>
              <w:ind w:left="57" w:firstLine="0"/>
              <w:rPr>
                <w:noProof/>
                <w:sz w:val="18"/>
                <w:szCs w:val="18"/>
              </w:rPr>
            </w:pPr>
          </w:p>
        </w:tc>
        <w:tc>
          <w:tcPr>
            <w:tcW w:w="1614" w:type="pct"/>
            <w:tcBorders>
              <w:top w:val="nil"/>
              <w:left w:val="single" w:sz="4" w:space="0" w:color="auto"/>
              <w:bottom w:val="single" w:sz="4" w:space="0" w:color="auto"/>
              <w:right w:val="single" w:sz="4" w:space="0" w:color="auto"/>
            </w:tcBorders>
          </w:tcPr>
          <w:p w14:paraId="4972CC8A" w14:textId="77777777" w:rsidR="00832E17" w:rsidRPr="00E86687" w:rsidRDefault="00832E17" w:rsidP="00970743">
            <w:pPr>
              <w:spacing w:before="0" w:after="0"/>
              <w:ind w:left="188" w:right="113" w:firstLine="0"/>
              <w:jc w:val="left"/>
              <w:rPr>
                <w:rFonts w:eastAsia="Calibri"/>
                <w:i/>
                <w:iCs/>
                <w:noProof/>
                <w:sz w:val="18"/>
                <w:szCs w:val="18"/>
              </w:rPr>
            </w:pPr>
            <w:r w:rsidRPr="00E86687">
              <w:rPr>
                <w:rFonts w:eastAsia="Calibri"/>
                <w:i/>
                <w:iCs/>
                <w:noProof/>
                <w:sz w:val="18"/>
                <w:szCs w:val="18"/>
              </w:rPr>
              <w:t>Pievienotās vērtības nodoklis</w:t>
            </w:r>
          </w:p>
        </w:tc>
        <w:tc>
          <w:tcPr>
            <w:tcW w:w="726" w:type="pct"/>
            <w:tcBorders>
              <w:top w:val="nil"/>
              <w:left w:val="single" w:sz="4" w:space="0" w:color="auto"/>
              <w:bottom w:val="single" w:sz="4" w:space="0" w:color="auto"/>
              <w:right w:val="single" w:sz="4" w:space="0" w:color="auto"/>
            </w:tcBorders>
          </w:tcPr>
          <w:p w14:paraId="541DA76B" w14:textId="77777777" w:rsidR="00832E17" w:rsidRPr="00E86687" w:rsidRDefault="00832E17" w:rsidP="00970743">
            <w:pPr>
              <w:tabs>
                <w:tab w:val="decimal" w:pos="504"/>
              </w:tabs>
              <w:spacing w:before="0" w:after="0"/>
              <w:ind w:left="0" w:firstLine="0"/>
              <w:jc w:val="right"/>
              <w:rPr>
                <w:i/>
                <w:iCs/>
                <w:noProof/>
                <w:sz w:val="18"/>
                <w:szCs w:val="18"/>
              </w:rPr>
            </w:pPr>
            <w:r w:rsidRPr="00E86687">
              <w:rPr>
                <w:i/>
                <w:iCs/>
                <w:noProof/>
                <w:sz w:val="18"/>
                <w:szCs w:val="18"/>
              </w:rPr>
              <w:t>+4,6</w:t>
            </w:r>
          </w:p>
        </w:tc>
      </w:tr>
      <w:tr w:rsidR="00832E17" w:rsidRPr="00E86687" w14:paraId="2FD5A439" w14:textId="77777777" w:rsidTr="00832E17">
        <w:trPr>
          <w:cantSplit/>
          <w:trHeight w:val="287"/>
        </w:trPr>
        <w:tc>
          <w:tcPr>
            <w:tcW w:w="2660" w:type="pct"/>
            <w:vMerge w:val="restart"/>
            <w:tcBorders>
              <w:left w:val="single" w:sz="4" w:space="0" w:color="auto"/>
              <w:right w:val="single" w:sz="4" w:space="0" w:color="auto"/>
            </w:tcBorders>
          </w:tcPr>
          <w:p w14:paraId="47972759" w14:textId="77777777" w:rsidR="00832E17" w:rsidRPr="00832E17" w:rsidRDefault="00832E17" w:rsidP="00832E17">
            <w:pPr>
              <w:spacing w:before="0" w:after="0"/>
              <w:ind w:left="57" w:firstLine="0"/>
              <w:rPr>
                <w:rFonts w:eastAsia="Calibri"/>
                <w:noProof/>
                <w:sz w:val="18"/>
                <w:szCs w:val="18"/>
              </w:rPr>
            </w:pPr>
            <w:r w:rsidRPr="00832E17">
              <w:rPr>
                <w:rFonts w:eastAsia="Calibri"/>
                <w:noProof/>
                <w:sz w:val="18"/>
                <w:szCs w:val="18"/>
              </w:rPr>
              <w:t>Darba devēja veselības pakalpojuma limita paaugstināšana</w:t>
            </w:r>
          </w:p>
        </w:tc>
        <w:tc>
          <w:tcPr>
            <w:tcW w:w="1614" w:type="pct"/>
            <w:tcBorders>
              <w:top w:val="single" w:sz="4" w:space="0" w:color="auto"/>
              <w:left w:val="single" w:sz="4" w:space="0" w:color="auto"/>
              <w:bottom w:val="nil"/>
              <w:right w:val="single" w:sz="4" w:space="0" w:color="auto"/>
            </w:tcBorders>
          </w:tcPr>
          <w:p w14:paraId="0CCD60CB" w14:textId="77777777" w:rsidR="00832E17" w:rsidRPr="00AC3042" w:rsidRDefault="00832E17" w:rsidP="00970743">
            <w:pPr>
              <w:keepNext/>
              <w:spacing w:before="0" w:after="0"/>
              <w:ind w:left="0" w:right="113" w:firstLine="0"/>
              <w:jc w:val="left"/>
              <w:rPr>
                <w:rFonts w:eastAsia="Calibri"/>
                <w:noProof/>
                <w:sz w:val="18"/>
                <w:szCs w:val="18"/>
              </w:rPr>
            </w:pPr>
            <w:r w:rsidRPr="00AC3042">
              <w:rPr>
                <w:rFonts w:eastAsia="Calibri"/>
                <w:noProof/>
                <w:sz w:val="18"/>
                <w:szCs w:val="18"/>
              </w:rPr>
              <w:t>Kopā, t.sk.,</w:t>
            </w:r>
          </w:p>
        </w:tc>
        <w:tc>
          <w:tcPr>
            <w:tcW w:w="726" w:type="pct"/>
            <w:tcBorders>
              <w:top w:val="single" w:sz="4" w:space="0" w:color="auto"/>
              <w:left w:val="single" w:sz="4" w:space="0" w:color="auto"/>
              <w:bottom w:val="nil"/>
              <w:right w:val="single" w:sz="4" w:space="0" w:color="auto"/>
            </w:tcBorders>
          </w:tcPr>
          <w:p w14:paraId="3E070EF5" w14:textId="77777777" w:rsidR="00832E17" w:rsidRPr="00E86687" w:rsidRDefault="00832E17" w:rsidP="00970743">
            <w:pPr>
              <w:tabs>
                <w:tab w:val="decimal" w:pos="504"/>
              </w:tabs>
              <w:spacing w:before="0" w:after="0"/>
              <w:ind w:left="0" w:firstLine="0"/>
              <w:jc w:val="right"/>
              <w:rPr>
                <w:noProof/>
                <w:sz w:val="18"/>
                <w:szCs w:val="18"/>
              </w:rPr>
            </w:pPr>
            <w:r w:rsidRPr="00E86687">
              <w:rPr>
                <w:noProof/>
                <w:sz w:val="18"/>
                <w:szCs w:val="18"/>
              </w:rPr>
              <w:t>-1,4</w:t>
            </w:r>
          </w:p>
        </w:tc>
      </w:tr>
      <w:tr w:rsidR="00832E17" w:rsidRPr="00E86687" w14:paraId="42E4FB20" w14:textId="77777777" w:rsidTr="00832E17">
        <w:trPr>
          <w:cantSplit/>
          <w:trHeight w:val="207"/>
        </w:trPr>
        <w:tc>
          <w:tcPr>
            <w:tcW w:w="2660" w:type="pct"/>
            <w:vMerge/>
            <w:tcBorders>
              <w:left w:val="single" w:sz="4" w:space="0" w:color="auto"/>
              <w:right w:val="single" w:sz="4" w:space="0" w:color="auto"/>
            </w:tcBorders>
          </w:tcPr>
          <w:p w14:paraId="3209E2AB" w14:textId="77777777" w:rsidR="00832E17" w:rsidRPr="00832E17" w:rsidRDefault="00832E17" w:rsidP="00832E17">
            <w:pPr>
              <w:spacing w:after="0"/>
              <w:ind w:left="57" w:firstLine="0"/>
              <w:rPr>
                <w:rFonts w:eastAsia="Calibri"/>
                <w:noProof/>
                <w:sz w:val="18"/>
                <w:szCs w:val="18"/>
              </w:rPr>
            </w:pPr>
          </w:p>
        </w:tc>
        <w:tc>
          <w:tcPr>
            <w:tcW w:w="1614" w:type="pct"/>
            <w:tcBorders>
              <w:top w:val="nil"/>
              <w:left w:val="single" w:sz="4" w:space="0" w:color="auto"/>
              <w:bottom w:val="nil"/>
              <w:right w:val="single" w:sz="4" w:space="0" w:color="auto"/>
            </w:tcBorders>
          </w:tcPr>
          <w:p w14:paraId="40498A4B" w14:textId="77777777" w:rsidR="00832E17" w:rsidRPr="00E86687" w:rsidRDefault="00832E17" w:rsidP="00970743">
            <w:pPr>
              <w:keepNext/>
              <w:spacing w:before="0" w:after="0"/>
              <w:ind w:left="188" w:right="113" w:firstLine="0"/>
              <w:jc w:val="left"/>
              <w:rPr>
                <w:rFonts w:eastAsia="Calibri"/>
                <w:noProof/>
                <w:sz w:val="18"/>
                <w:szCs w:val="18"/>
              </w:rPr>
            </w:pPr>
            <w:r w:rsidRPr="00E86687">
              <w:rPr>
                <w:rFonts w:eastAsia="Calibri"/>
                <w:i/>
                <w:iCs/>
                <w:noProof/>
                <w:sz w:val="18"/>
                <w:szCs w:val="18"/>
              </w:rPr>
              <w:t>Iedzīvotāju ienākuma nodoklis</w:t>
            </w:r>
          </w:p>
        </w:tc>
        <w:tc>
          <w:tcPr>
            <w:tcW w:w="726" w:type="pct"/>
            <w:tcBorders>
              <w:top w:val="nil"/>
              <w:left w:val="single" w:sz="4" w:space="0" w:color="auto"/>
              <w:bottom w:val="nil"/>
              <w:right w:val="single" w:sz="4" w:space="0" w:color="auto"/>
            </w:tcBorders>
          </w:tcPr>
          <w:p w14:paraId="604B46B8" w14:textId="77777777" w:rsidR="00832E17" w:rsidRPr="00E86687" w:rsidRDefault="00832E17" w:rsidP="00970743">
            <w:pPr>
              <w:tabs>
                <w:tab w:val="decimal" w:pos="504"/>
              </w:tabs>
              <w:spacing w:before="0" w:after="0"/>
              <w:ind w:left="0" w:firstLine="0"/>
              <w:jc w:val="right"/>
              <w:rPr>
                <w:i/>
                <w:iCs/>
                <w:noProof/>
                <w:sz w:val="18"/>
                <w:szCs w:val="18"/>
              </w:rPr>
            </w:pPr>
            <w:r w:rsidRPr="00E86687">
              <w:rPr>
                <w:i/>
                <w:iCs/>
                <w:noProof/>
                <w:sz w:val="18"/>
                <w:szCs w:val="18"/>
              </w:rPr>
              <w:t>-0,5</w:t>
            </w:r>
          </w:p>
        </w:tc>
      </w:tr>
      <w:tr w:rsidR="00832E17" w:rsidRPr="00E86687" w14:paraId="1C938759" w14:textId="77777777" w:rsidTr="00832E17">
        <w:trPr>
          <w:cantSplit/>
          <w:trHeight w:val="207"/>
        </w:trPr>
        <w:tc>
          <w:tcPr>
            <w:tcW w:w="2660" w:type="pct"/>
            <w:vMerge/>
            <w:tcBorders>
              <w:left w:val="single" w:sz="4" w:space="0" w:color="auto"/>
              <w:right w:val="single" w:sz="4" w:space="0" w:color="auto"/>
            </w:tcBorders>
          </w:tcPr>
          <w:p w14:paraId="6582E53F" w14:textId="77777777" w:rsidR="00832E17" w:rsidRPr="00832E17" w:rsidRDefault="00832E17" w:rsidP="00832E17">
            <w:pPr>
              <w:spacing w:after="0"/>
              <w:ind w:left="57" w:firstLine="0"/>
              <w:rPr>
                <w:rFonts w:eastAsia="Calibri"/>
                <w:noProof/>
                <w:sz w:val="18"/>
                <w:szCs w:val="18"/>
              </w:rPr>
            </w:pPr>
          </w:p>
        </w:tc>
        <w:tc>
          <w:tcPr>
            <w:tcW w:w="1614" w:type="pct"/>
            <w:tcBorders>
              <w:top w:val="nil"/>
              <w:left w:val="single" w:sz="4" w:space="0" w:color="auto"/>
              <w:bottom w:val="single" w:sz="4" w:space="0" w:color="auto"/>
              <w:right w:val="single" w:sz="4" w:space="0" w:color="auto"/>
            </w:tcBorders>
          </w:tcPr>
          <w:p w14:paraId="69A18DEE" w14:textId="77777777" w:rsidR="00832E17" w:rsidRPr="00E86687" w:rsidRDefault="00832E17" w:rsidP="00970743">
            <w:pPr>
              <w:spacing w:before="0" w:after="0"/>
              <w:ind w:left="188" w:right="113" w:firstLine="0"/>
              <w:jc w:val="left"/>
              <w:rPr>
                <w:rFonts w:eastAsia="Calibri"/>
                <w:noProof/>
                <w:sz w:val="18"/>
                <w:szCs w:val="18"/>
              </w:rPr>
            </w:pPr>
            <w:r w:rsidRPr="00E86687">
              <w:rPr>
                <w:i/>
                <w:sz w:val="18"/>
                <w:szCs w:val="18"/>
                <w:lang w:eastAsia="lv-LV"/>
              </w:rPr>
              <w:t>Sociālās apdrošināšanas iemaksas</w:t>
            </w:r>
          </w:p>
        </w:tc>
        <w:tc>
          <w:tcPr>
            <w:tcW w:w="726" w:type="pct"/>
            <w:tcBorders>
              <w:top w:val="nil"/>
              <w:left w:val="single" w:sz="4" w:space="0" w:color="auto"/>
              <w:bottom w:val="single" w:sz="4" w:space="0" w:color="auto"/>
              <w:right w:val="single" w:sz="4" w:space="0" w:color="auto"/>
            </w:tcBorders>
          </w:tcPr>
          <w:p w14:paraId="75CEE0D0" w14:textId="77777777" w:rsidR="00832E17" w:rsidRPr="00E86687" w:rsidRDefault="00832E17" w:rsidP="00970743">
            <w:pPr>
              <w:tabs>
                <w:tab w:val="decimal" w:pos="504"/>
              </w:tabs>
              <w:spacing w:before="0" w:after="0"/>
              <w:ind w:left="0" w:firstLine="0"/>
              <w:jc w:val="right"/>
              <w:rPr>
                <w:i/>
                <w:iCs/>
                <w:noProof/>
                <w:sz w:val="18"/>
                <w:szCs w:val="18"/>
              </w:rPr>
            </w:pPr>
            <w:r w:rsidRPr="00E86687">
              <w:rPr>
                <w:i/>
                <w:iCs/>
                <w:noProof/>
                <w:sz w:val="18"/>
                <w:szCs w:val="18"/>
              </w:rPr>
              <w:t>-0,8</w:t>
            </w:r>
          </w:p>
        </w:tc>
      </w:tr>
      <w:tr w:rsidR="00832E17" w:rsidRPr="00E86687" w14:paraId="0573A2F2" w14:textId="77777777" w:rsidTr="00832E17">
        <w:trPr>
          <w:cantSplit/>
          <w:trHeight w:val="207"/>
        </w:trPr>
        <w:tc>
          <w:tcPr>
            <w:tcW w:w="2660" w:type="pct"/>
            <w:tcBorders>
              <w:left w:val="single" w:sz="4" w:space="0" w:color="auto"/>
              <w:right w:val="single" w:sz="4" w:space="0" w:color="auto"/>
            </w:tcBorders>
          </w:tcPr>
          <w:p w14:paraId="62BC1781" w14:textId="77777777" w:rsidR="00832E17" w:rsidRPr="00832E17" w:rsidRDefault="00832E17" w:rsidP="00832E17">
            <w:pPr>
              <w:spacing w:before="0" w:after="0"/>
              <w:ind w:left="57" w:firstLine="0"/>
              <w:rPr>
                <w:rFonts w:eastAsia="Calibri"/>
                <w:noProof/>
                <w:sz w:val="18"/>
                <w:szCs w:val="18"/>
              </w:rPr>
            </w:pPr>
            <w:r w:rsidRPr="00832E17">
              <w:rPr>
                <w:noProof/>
                <w:sz w:val="18"/>
                <w:szCs w:val="18"/>
              </w:rPr>
              <w:t>PVN likmes samazināšana no 12% līdz 5% grāmatu piegādei un preses un citu masu informācijas līdzekļu izdevumu vai publikāciju piegādei un to abonentmaksai</w:t>
            </w:r>
          </w:p>
        </w:tc>
        <w:tc>
          <w:tcPr>
            <w:tcW w:w="1614" w:type="pct"/>
            <w:tcBorders>
              <w:top w:val="single" w:sz="4" w:space="0" w:color="auto"/>
              <w:left w:val="single" w:sz="4" w:space="0" w:color="auto"/>
              <w:bottom w:val="single" w:sz="4" w:space="0" w:color="auto"/>
              <w:right w:val="single" w:sz="4" w:space="0" w:color="auto"/>
            </w:tcBorders>
          </w:tcPr>
          <w:p w14:paraId="64DE9637" w14:textId="77777777" w:rsidR="00832E17" w:rsidRPr="00E86687" w:rsidRDefault="00832E17" w:rsidP="00970743">
            <w:pPr>
              <w:spacing w:before="0" w:after="0"/>
              <w:ind w:left="0" w:right="113" w:firstLine="0"/>
              <w:jc w:val="left"/>
              <w:rPr>
                <w:rFonts w:eastAsia="Calibri"/>
                <w:noProof/>
                <w:sz w:val="18"/>
                <w:szCs w:val="18"/>
              </w:rPr>
            </w:pPr>
            <w:r w:rsidRPr="00AC3042">
              <w:rPr>
                <w:rFonts w:eastAsia="Calibri"/>
                <w:noProof/>
                <w:sz w:val="18"/>
                <w:szCs w:val="18"/>
              </w:rPr>
              <w:t>Pievienotās vērtības nodoklis</w:t>
            </w:r>
          </w:p>
        </w:tc>
        <w:tc>
          <w:tcPr>
            <w:tcW w:w="726" w:type="pct"/>
            <w:tcBorders>
              <w:top w:val="single" w:sz="4" w:space="0" w:color="auto"/>
              <w:left w:val="single" w:sz="4" w:space="0" w:color="auto"/>
              <w:bottom w:val="single" w:sz="4" w:space="0" w:color="auto"/>
              <w:right w:val="single" w:sz="4" w:space="0" w:color="auto"/>
            </w:tcBorders>
          </w:tcPr>
          <w:p w14:paraId="4A359A77" w14:textId="77777777" w:rsidR="00832E17" w:rsidRPr="00E86687" w:rsidRDefault="00832E17" w:rsidP="00970743">
            <w:pPr>
              <w:tabs>
                <w:tab w:val="decimal" w:pos="504"/>
              </w:tabs>
              <w:spacing w:before="0" w:after="0"/>
              <w:ind w:left="0" w:firstLine="0"/>
              <w:jc w:val="right"/>
              <w:rPr>
                <w:noProof/>
                <w:sz w:val="18"/>
                <w:szCs w:val="18"/>
              </w:rPr>
            </w:pPr>
            <w:r w:rsidRPr="00E86687">
              <w:rPr>
                <w:noProof/>
                <w:sz w:val="18"/>
                <w:szCs w:val="18"/>
              </w:rPr>
              <w:t>-4,8</w:t>
            </w:r>
          </w:p>
        </w:tc>
      </w:tr>
      <w:tr w:rsidR="00832E17" w:rsidRPr="00E86687" w14:paraId="1A7E149F" w14:textId="77777777" w:rsidTr="00832E17">
        <w:trPr>
          <w:cantSplit/>
          <w:trHeight w:val="207"/>
        </w:trPr>
        <w:tc>
          <w:tcPr>
            <w:tcW w:w="2660" w:type="pct"/>
            <w:vMerge w:val="restart"/>
            <w:tcBorders>
              <w:left w:val="single" w:sz="4" w:space="0" w:color="auto"/>
              <w:right w:val="single" w:sz="4" w:space="0" w:color="auto"/>
            </w:tcBorders>
          </w:tcPr>
          <w:p w14:paraId="403EDDFA" w14:textId="77777777" w:rsidR="00832E17" w:rsidRPr="00832E17" w:rsidRDefault="00832E17" w:rsidP="00832E17">
            <w:pPr>
              <w:spacing w:before="0" w:after="0"/>
              <w:ind w:left="57" w:firstLine="0"/>
              <w:rPr>
                <w:rFonts w:eastAsia="Calibri"/>
                <w:noProof/>
                <w:sz w:val="18"/>
                <w:szCs w:val="18"/>
              </w:rPr>
            </w:pPr>
            <w:r w:rsidRPr="00832E17">
              <w:rPr>
                <w:noProof/>
                <w:sz w:val="18"/>
                <w:szCs w:val="18"/>
              </w:rPr>
              <w:t>Valsts sociālās apdrošināšanas obligāto iemaksu maksimālā objekta palielināšana no 62 800 līdz 78 100 </w:t>
            </w:r>
            <w:r w:rsidRPr="00832E17">
              <w:rPr>
                <w:i/>
                <w:iCs/>
                <w:noProof/>
                <w:sz w:val="18"/>
                <w:szCs w:val="18"/>
              </w:rPr>
              <w:t>euro</w:t>
            </w:r>
          </w:p>
        </w:tc>
        <w:tc>
          <w:tcPr>
            <w:tcW w:w="1614" w:type="pct"/>
            <w:tcBorders>
              <w:top w:val="single" w:sz="4" w:space="0" w:color="auto"/>
              <w:left w:val="single" w:sz="4" w:space="0" w:color="auto"/>
              <w:bottom w:val="nil"/>
              <w:right w:val="single" w:sz="4" w:space="0" w:color="auto"/>
            </w:tcBorders>
          </w:tcPr>
          <w:p w14:paraId="46D6A546" w14:textId="77777777" w:rsidR="00832E17" w:rsidRPr="00E86687" w:rsidRDefault="00832E17" w:rsidP="00970743">
            <w:pPr>
              <w:spacing w:before="0" w:after="0"/>
              <w:ind w:left="0" w:right="113" w:firstLine="0"/>
              <w:jc w:val="left"/>
              <w:rPr>
                <w:rFonts w:eastAsia="Calibri"/>
                <w:noProof/>
                <w:sz w:val="18"/>
                <w:szCs w:val="18"/>
              </w:rPr>
            </w:pPr>
            <w:r w:rsidRPr="00E86687">
              <w:rPr>
                <w:rFonts w:eastAsia="Calibri"/>
                <w:noProof/>
                <w:sz w:val="18"/>
                <w:szCs w:val="18"/>
              </w:rPr>
              <w:t>Kopā, t.sk.,</w:t>
            </w:r>
          </w:p>
        </w:tc>
        <w:tc>
          <w:tcPr>
            <w:tcW w:w="726" w:type="pct"/>
            <w:tcBorders>
              <w:top w:val="single" w:sz="4" w:space="0" w:color="auto"/>
              <w:left w:val="single" w:sz="4" w:space="0" w:color="auto"/>
              <w:bottom w:val="nil"/>
              <w:right w:val="single" w:sz="4" w:space="0" w:color="auto"/>
            </w:tcBorders>
          </w:tcPr>
          <w:p w14:paraId="338F4606" w14:textId="77777777" w:rsidR="00832E17" w:rsidRPr="00E86687" w:rsidRDefault="00832E17" w:rsidP="00970743">
            <w:pPr>
              <w:tabs>
                <w:tab w:val="decimal" w:pos="504"/>
              </w:tabs>
              <w:spacing w:before="0" w:after="0"/>
              <w:ind w:left="0" w:firstLine="0"/>
              <w:jc w:val="right"/>
              <w:rPr>
                <w:noProof/>
                <w:sz w:val="18"/>
                <w:szCs w:val="18"/>
              </w:rPr>
            </w:pPr>
            <w:r w:rsidRPr="00E86687">
              <w:rPr>
                <w:noProof/>
                <w:sz w:val="18"/>
                <w:szCs w:val="18"/>
              </w:rPr>
              <w:t>+1,3</w:t>
            </w:r>
          </w:p>
        </w:tc>
      </w:tr>
      <w:tr w:rsidR="00832E17" w:rsidRPr="00E86687" w14:paraId="7A04716E" w14:textId="77777777" w:rsidTr="00832E17">
        <w:trPr>
          <w:cantSplit/>
          <w:trHeight w:val="207"/>
        </w:trPr>
        <w:tc>
          <w:tcPr>
            <w:tcW w:w="2660" w:type="pct"/>
            <w:vMerge/>
            <w:tcBorders>
              <w:left w:val="single" w:sz="4" w:space="0" w:color="auto"/>
              <w:right w:val="single" w:sz="4" w:space="0" w:color="auto"/>
            </w:tcBorders>
            <w:vAlign w:val="center"/>
          </w:tcPr>
          <w:p w14:paraId="71E9D354" w14:textId="77777777" w:rsidR="00832E17" w:rsidRPr="00E86687" w:rsidRDefault="00832E17" w:rsidP="00970743">
            <w:pPr>
              <w:spacing w:after="0"/>
              <w:ind w:left="57" w:firstLine="0"/>
              <w:jc w:val="left"/>
              <w:rPr>
                <w:rFonts w:eastAsia="Calibri"/>
                <w:noProof/>
                <w:sz w:val="18"/>
                <w:szCs w:val="18"/>
              </w:rPr>
            </w:pPr>
          </w:p>
        </w:tc>
        <w:tc>
          <w:tcPr>
            <w:tcW w:w="1614" w:type="pct"/>
            <w:tcBorders>
              <w:top w:val="nil"/>
              <w:left w:val="single" w:sz="4" w:space="0" w:color="auto"/>
              <w:bottom w:val="nil"/>
              <w:right w:val="single" w:sz="4" w:space="0" w:color="auto"/>
            </w:tcBorders>
          </w:tcPr>
          <w:p w14:paraId="325D26DE" w14:textId="77777777" w:rsidR="00832E17" w:rsidRPr="00677361" w:rsidRDefault="00832E17" w:rsidP="00970743">
            <w:pPr>
              <w:keepNext/>
              <w:spacing w:before="0" w:after="0"/>
              <w:ind w:left="188" w:right="113" w:firstLine="0"/>
              <w:jc w:val="left"/>
              <w:rPr>
                <w:rFonts w:eastAsia="Calibri"/>
                <w:i/>
                <w:iCs/>
                <w:noProof/>
                <w:sz w:val="18"/>
                <w:szCs w:val="18"/>
              </w:rPr>
            </w:pPr>
            <w:r w:rsidRPr="00E86687">
              <w:rPr>
                <w:rFonts w:eastAsia="Calibri"/>
                <w:i/>
                <w:iCs/>
                <w:noProof/>
                <w:sz w:val="18"/>
                <w:szCs w:val="18"/>
              </w:rPr>
              <w:t>Iedzīvotāju ienākuma nodoklis</w:t>
            </w:r>
          </w:p>
        </w:tc>
        <w:tc>
          <w:tcPr>
            <w:tcW w:w="726" w:type="pct"/>
            <w:tcBorders>
              <w:top w:val="nil"/>
              <w:left w:val="single" w:sz="4" w:space="0" w:color="auto"/>
              <w:bottom w:val="nil"/>
              <w:right w:val="single" w:sz="4" w:space="0" w:color="auto"/>
            </w:tcBorders>
          </w:tcPr>
          <w:p w14:paraId="3AA8D51C" w14:textId="77777777" w:rsidR="00832E17" w:rsidRPr="00E86687" w:rsidRDefault="00832E17" w:rsidP="00970743">
            <w:pPr>
              <w:tabs>
                <w:tab w:val="decimal" w:pos="504"/>
              </w:tabs>
              <w:spacing w:before="0" w:after="0"/>
              <w:ind w:left="0" w:firstLine="0"/>
              <w:jc w:val="right"/>
              <w:rPr>
                <w:noProof/>
                <w:sz w:val="18"/>
                <w:szCs w:val="18"/>
              </w:rPr>
            </w:pPr>
            <w:r w:rsidRPr="00E86687">
              <w:rPr>
                <w:noProof/>
                <w:sz w:val="18"/>
                <w:szCs w:val="18"/>
              </w:rPr>
              <w:t>-3,1</w:t>
            </w:r>
          </w:p>
        </w:tc>
      </w:tr>
      <w:tr w:rsidR="00832E17" w:rsidRPr="00E86687" w14:paraId="65058FCE" w14:textId="77777777" w:rsidTr="00832E17">
        <w:trPr>
          <w:cantSplit/>
          <w:trHeight w:val="207"/>
        </w:trPr>
        <w:tc>
          <w:tcPr>
            <w:tcW w:w="2660" w:type="pct"/>
            <w:vMerge/>
            <w:tcBorders>
              <w:left w:val="single" w:sz="4" w:space="0" w:color="auto"/>
              <w:right w:val="single" w:sz="4" w:space="0" w:color="auto"/>
            </w:tcBorders>
            <w:vAlign w:val="center"/>
          </w:tcPr>
          <w:p w14:paraId="17807622" w14:textId="77777777" w:rsidR="00832E17" w:rsidRPr="00E86687" w:rsidRDefault="00832E17" w:rsidP="00970743">
            <w:pPr>
              <w:spacing w:after="0"/>
              <w:ind w:left="57" w:firstLine="0"/>
              <w:jc w:val="left"/>
              <w:rPr>
                <w:rFonts w:eastAsia="Calibri"/>
                <w:noProof/>
                <w:sz w:val="18"/>
                <w:szCs w:val="18"/>
              </w:rPr>
            </w:pPr>
          </w:p>
        </w:tc>
        <w:tc>
          <w:tcPr>
            <w:tcW w:w="1614" w:type="pct"/>
            <w:tcBorders>
              <w:top w:val="nil"/>
              <w:left w:val="single" w:sz="4" w:space="0" w:color="auto"/>
              <w:bottom w:val="single" w:sz="4" w:space="0" w:color="auto"/>
              <w:right w:val="single" w:sz="4" w:space="0" w:color="auto"/>
            </w:tcBorders>
          </w:tcPr>
          <w:p w14:paraId="3640C2DB" w14:textId="77777777" w:rsidR="00832E17" w:rsidRPr="00677361" w:rsidRDefault="00832E17" w:rsidP="00970743">
            <w:pPr>
              <w:keepNext/>
              <w:spacing w:before="0" w:after="0"/>
              <w:ind w:left="188" w:right="113" w:firstLine="0"/>
              <w:jc w:val="left"/>
              <w:rPr>
                <w:rFonts w:eastAsia="Calibri"/>
                <w:i/>
                <w:iCs/>
                <w:noProof/>
                <w:sz w:val="18"/>
                <w:szCs w:val="18"/>
              </w:rPr>
            </w:pPr>
            <w:r w:rsidRPr="00677361">
              <w:rPr>
                <w:rFonts w:eastAsia="Calibri"/>
                <w:i/>
                <w:iCs/>
                <w:noProof/>
                <w:sz w:val="18"/>
                <w:szCs w:val="18"/>
              </w:rPr>
              <w:t>Sociālās apdrošināšanas iemaksas</w:t>
            </w:r>
          </w:p>
        </w:tc>
        <w:tc>
          <w:tcPr>
            <w:tcW w:w="726" w:type="pct"/>
            <w:tcBorders>
              <w:top w:val="nil"/>
              <w:left w:val="single" w:sz="4" w:space="0" w:color="auto"/>
              <w:bottom w:val="single" w:sz="4" w:space="0" w:color="auto"/>
              <w:right w:val="single" w:sz="4" w:space="0" w:color="auto"/>
            </w:tcBorders>
          </w:tcPr>
          <w:p w14:paraId="6D80107D" w14:textId="77777777" w:rsidR="00832E17" w:rsidRPr="00E86687" w:rsidRDefault="00832E17" w:rsidP="00970743">
            <w:pPr>
              <w:tabs>
                <w:tab w:val="decimal" w:pos="504"/>
              </w:tabs>
              <w:spacing w:before="0" w:after="0"/>
              <w:ind w:left="0" w:firstLine="0"/>
              <w:jc w:val="right"/>
              <w:rPr>
                <w:noProof/>
                <w:sz w:val="18"/>
                <w:szCs w:val="18"/>
              </w:rPr>
            </w:pPr>
            <w:r w:rsidRPr="00E86687">
              <w:rPr>
                <w:noProof/>
                <w:sz w:val="18"/>
                <w:szCs w:val="18"/>
              </w:rPr>
              <w:t>+4,4</w:t>
            </w:r>
          </w:p>
        </w:tc>
      </w:tr>
      <w:tr w:rsidR="00832E17" w:rsidRPr="00E86687" w14:paraId="19CF1DE5" w14:textId="77777777" w:rsidTr="00193ACF">
        <w:trPr>
          <w:cantSplit/>
          <w:trHeight w:val="386"/>
        </w:trPr>
        <w:tc>
          <w:tcPr>
            <w:tcW w:w="5000" w:type="pct"/>
            <w:gridSpan w:val="3"/>
            <w:tcBorders>
              <w:left w:val="single" w:sz="4" w:space="0" w:color="auto"/>
              <w:right w:val="single" w:sz="4" w:space="0" w:color="auto"/>
            </w:tcBorders>
            <w:shd w:val="clear" w:color="auto" w:fill="B8CCE4" w:themeFill="accent1" w:themeFillTint="66"/>
            <w:vAlign w:val="center"/>
          </w:tcPr>
          <w:p w14:paraId="216AD08B" w14:textId="77777777" w:rsidR="00832E17" w:rsidRPr="00E86687" w:rsidRDefault="00832E17" w:rsidP="00970743">
            <w:pPr>
              <w:tabs>
                <w:tab w:val="decimal" w:pos="504"/>
              </w:tabs>
              <w:spacing w:before="0" w:after="0"/>
              <w:ind w:firstLine="0"/>
              <w:jc w:val="center"/>
              <w:rPr>
                <w:noProof/>
                <w:sz w:val="18"/>
                <w:szCs w:val="18"/>
              </w:rPr>
            </w:pPr>
            <w:r w:rsidRPr="00EB4346">
              <w:rPr>
                <w:bCs/>
                <w:i/>
                <w:iCs/>
                <w:noProof/>
                <w:sz w:val="18"/>
                <w:szCs w:val="18"/>
              </w:rPr>
              <w:lastRenderedPageBreak/>
              <w:t>N</w:t>
            </w:r>
            <w:r>
              <w:rPr>
                <w:bCs/>
                <w:i/>
                <w:iCs/>
                <w:noProof/>
                <w:sz w:val="18"/>
                <w:szCs w:val="18"/>
              </w:rPr>
              <w:t xml:space="preserve">enodokļu </w:t>
            </w:r>
            <w:r w:rsidRPr="00EB4346">
              <w:rPr>
                <w:bCs/>
                <w:i/>
                <w:iCs/>
                <w:noProof/>
                <w:sz w:val="18"/>
                <w:szCs w:val="18"/>
              </w:rPr>
              <w:t xml:space="preserve"> pasākumi</w:t>
            </w:r>
          </w:p>
        </w:tc>
      </w:tr>
      <w:tr w:rsidR="00832E17" w:rsidRPr="00E86687" w14:paraId="644E8622" w14:textId="77777777" w:rsidTr="00832E17">
        <w:trPr>
          <w:cantSplit/>
          <w:trHeight w:val="397"/>
        </w:trPr>
        <w:tc>
          <w:tcPr>
            <w:tcW w:w="2660" w:type="pct"/>
          </w:tcPr>
          <w:p w14:paraId="39BA92EA" w14:textId="77777777" w:rsidR="00832E17" w:rsidRPr="00AC3042" w:rsidRDefault="00832E17" w:rsidP="00832E17">
            <w:pPr>
              <w:spacing w:before="0" w:after="0"/>
              <w:ind w:left="0" w:firstLine="0"/>
              <w:rPr>
                <w:b/>
                <w:bCs/>
                <w:noProof/>
                <w:sz w:val="18"/>
                <w:szCs w:val="18"/>
                <w:highlight w:val="yellow"/>
              </w:rPr>
            </w:pPr>
            <w:r w:rsidRPr="00120F96">
              <w:rPr>
                <w:noProof/>
                <w:sz w:val="18"/>
                <w:szCs w:val="18"/>
              </w:rPr>
              <w:t>Ieņēmumu prognozes papielināšana valsts nodevai par grāmatvedības ārpakalpojuma sniedzēju licencēšanu</w:t>
            </w:r>
          </w:p>
        </w:tc>
        <w:tc>
          <w:tcPr>
            <w:tcW w:w="1614" w:type="pct"/>
          </w:tcPr>
          <w:p w14:paraId="45A2E1BD" w14:textId="77777777" w:rsidR="00832E17" w:rsidRPr="00E86687" w:rsidRDefault="00832E17" w:rsidP="00970743">
            <w:pPr>
              <w:spacing w:before="0" w:after="0"/>
              <w:ind w:left="0" w:firstLine="0"/>
              <w:jc w:val="left"/>
              <w:rPr>
                <w:rFonts w:eastAsia="Calibri"/>
                <w:noProof/>
                <w:sz w:val="18"/>
                <w:szCs w:val="18"/>
              </w:rPr>
            </w:pPr>
            <w:r w:rsidRPr="00E86687">
              <w:rPr>
                <w:rFonts w:eastAsia="Calibri"/>
                <w:noProof/>
                <w:sz w:val="18"/>
                <w:szCs w:val="18"/>
              </w:rPr>
              <w:t>Nenodokļi</w:t>
            </w:r>
          </w:p>
        </w:tc>
        <w:tc>
          <w:tcPr>
            <w:tcW w:w="726" w:type="pct"/>
          </w:tcPr>
          <w:p w14:paraId="14BAFB7C" w14:textId="77777777" w:rsidR="00832E17" w:rsidRPr="00E86687" w:rsidRDefault="00832E17" w:rsidP="00970743">
            <w:pPr>
              <w:tabs>
                <w:tab w:val="decimal" w:pos="504"/>
              </w:tabs>
              <w:spacing w:before="0" w:after="0"/>
              <w:ind w:left="0" w:firstLine="0"/>
              <w:jc w:val="right"/>
              <w:rPr>
                <w:rFonts w:eastAsia="Calibri"/>
                <w:noProof/>
                <w:sz w:val="18"/>
                <w:szCs w:val="18"/>
              </w:rPr>
            </w:pPr>
            <w:r w:rsidRPr="00E86687">
              <w:rPr>
                <w:rFonts w:eastAsia="Calibri"/>
                <w:noProof/>
                <w:sz w:val="18"/>
                <w:szCs w:val="18"/>
              </w:rPr>
              <w:t>+0,6</w:t>
            </w:r>
          </w:p>
        </w:tc>
      </w:tr>
      <w:tr w:rsidR="00832E17" w:rsidRPr="00E86687" w14:paraId="66BEDA0C" w14:textId="77777777" w:rsidTr="00832E17">
        <w:trPr>
          <w:cantSplit/>
          <w:trHeight w:val="468"/>
        </w:trPr>
        <w:tc>
          <w:tcPr>
            <w:tcW w:w="2660" w:type="pct"/>
          </w:tcPr>
          <w:p w14:paraId="337CA822" w14:textId="77777777" w:rsidR="00832E17" w:rsidRPr="00AC3042" w:rsidRDefault="00832E17" w:rsidP="00832E17">
            <w:pPr>
              <w:spacing w:before="0" w:after="0"/>
              <w:ind w:left="0" w:firstLine="0"/>
              <w:rPr>
                <w:b/>
                <w:bCs/>
                <w:noProof/>
                <w:sz w:val="18"/>
                <w:szCs w:val="18"/>
                <w:highlight w:val="yellow"/>
              </w:rPr>
            </w:pPr>
            <w:r w:rsidRPr="00120F96">
              <w:rPr>
                <w:noProof/>
                <w:sz w:val="18"/>
                <w:szCs w:val="18"/>
              </w:rPr>
              <w:t>Ieņēmumu palielināšana no naudas sodiem, ko uzliek Valsts policija par procesuālajiem izdevumiem administratīvajās lietās</w:t>
            </w:r>
          </w:p>
        </w:tc>
        <w:tc>
          <w:tcPr>
            <w:tcW w:w="1614" w:type="pct"/>
          </w:tcPr>
          <w:p w14:paraId="504AFBC3" w14:textId="77777777" w:rsidR="00832E17" w:rsidRPr="00E86687" w:rsidRDefault="00832E17" w:rsidP="00970743">
            <w:pPr>
              <w:spacing w:before="0" w:after="0"/>
              <w:ind w:left="0" w:firstLine="0"/>
              <w:jc w:val="left"/>
              <w:rPr>
                <w:rFonts w:eastAsia="Calibri"/>
                <w:noProof/>
                <w:sz w:val="18"/>
                <w:szCs w:val="18"/>
              </w:rPr>
            </w:pPr>
            <w:r w:rsidRPr="00E86687">
              <w:rPr>
                <w:rFonts w:eastAsia="Calibri"/>
                <w:noProof/>
                <w:sz w:val="18"/>
                <w:szCs w:val="18"/>
              </w:rPr>
              <w:t>Nenodokļi</w:t>
            </w:r>
          </w:p>
        </w:tc>
        <w:tc>
          <w:tcPr>
            <w:tcW w:w="726" w:type="pct"/>
          </w:tcPr>
          <w:p w14:paraId="67A958C1" w14:textId="77777777" w:rsidR="00832E17" w:rsidRPr="00E86687" w:rsidRDefault="00832E17" w:rsidP="00970743">
            <w:pPr>
              <w:tabs>
                <w:tab w:val="decimal" w:pos="504"/>
              </w:tabs>
              <w:spacing w:before="0" w:after="0"/>
              <w:ind w:left="0" w:firstLine="0"/>
              <w:jc w:val="right"/>
              <w:rPr>
                <w:rFonts w:eastAsia="Calibri"/>
                <w:noProof/>
                <w:sz w:val="18"/>
                <w:szCs w:val="18"/>
              </w:rPr>
            </w:pPr>
            <w:r w:rsidRPr="00E86687">
              <w:rPr>
                <w:rFonts w:eastAsia="Calibri"/>
                <w:noProof/>
                <w:sz w:val="18"/>
                <w:szCs w:val="18"/>
              </w:rPr>
              <w:t>+0,02</w:t>
            </w:r>
          </w:p>
        </w:tc>
      </w:tr>
      <w:tr w:rsidR="00832E17" w:rsidRPr="00E86687" w14:paraId="0E960A47" w14:textId="77777777" w:rsidTr="00832E17">
        <w:trPr>
          <w:cantSplit/>
          <w:trHeight w:val="480"/>
        </w:trPr>
        <w:tc>
          <w:tcPr>
            <w:tcW w:w="2660" w:type="pct"/>
          </w:tcPr>
          <w:p w14:paraId="42BFFAD1" w14:textId="77777777" w:rsidR="00832E17" w:rsidRPr="00AC3042" w:rsidRDefault="00832E17" w:rsidP="00832E17">
            <w:pPr>
              <w:spacing w:before="0" w:after="0"/>
              <w:ind w:left="0" w:firstLine="0"/>
              <w:rPr>
                <w:b/>
                <w:bCs/>
                <w:noProof/>
                <w:sz w:val="18"/>
                <w:szCs w:val="18"/>
              </w:rPr>
            </w:pPr>
            <w:r w:rsidRPr="00120F96">
              <w:rPr>
                <w:noProof/>
                <w:sz w:val="18"/>
                <w:szCs w:val="18"/>
              </w:rPr>
              <w:t>Ieņēmumu palielināšana no pārējiem naudas sodiem, ko uzliek Valsts policija par pārkāpumiem ceļu satiksmē</w:t>
            </w:r>
          </w:p>
        </w:tc>
        <w:tc>
          <w:tcPr>
            <w:tcW w:w="1614" w:type="pct"/>
          </w:tcPr>
          <w:p w14:paraId="5A05F273" w14:textId="77777777" w:rsidR="00832E17" w:rsidRPr="00E86687" w:rsidRDefault="00832E17" w:rsidP="00970743">
            <w:pPr>
              <w:spacing w:before="0" w:after="0"/>
              <w:ind w:left="0" w:firstLine="0"/>
              <w:jc w:val="left"/>
              <w:rPr>
                <w:rFonts w:eastAsia="Calibri"/>
                <w:noProof/>
                <w:sz w:val="18"/>
                <w:szCs w:val="18"/>
              </w:rPr>
            </w:pPr>
            <w:r w:rsidRPr="00E86687">
              <w:rPr>
                <w:rFonts w:eastAsia="Calibri"/>
                <w:noProof/>
                <w:sz w:val="18"/>
                <w:szCs w:val="18"/>
              </w:rPr>
              <w:t>Nenodokļi</w:t>
            </w:r>
          </w:p>
        </w:tc>
        <w:tc>
          <w:tcPr>
            <w:tcW w:w="726" w:type="pct"/>
          </w:tcPr>
          <w:p w14:paraId="31330D68" w14:textId="77777777" w:rsidR="00832E17" w:rsidRPr="00E86687" w:rsidRDefault="00832E17" w:rsidP="00970743">
            <w:pPr>
              <w:tabs>
                <w:tab w:val="decimal" w:pos="504"/>
              </w:tabs>
              <w:spacing w:before="0" w:after="0"/>
              <w:ind w:left="0" w:firstLine="0"/>
              <w:jc w:val="right"/>
              <w:rPr>
                <w:rFonts w:eastAsia="Calibri"/>
                <w:noProof/>
                <w:sz w:val="18"/>
                <w:szCs w:val="18"/>
              </w:rPr>
            </w:pPr>
            <w:r w:rsidRPr="00E86687">
              <w:rPr>
                <w:rFonts w:eastAsia="Calibri"/>
                <w:noProof/>
                <w:sz w:val="18"/>
                <w:szCs w:val="18"/>
              </w:rPr>
              <w:t>+0,2</w:t>
            </w:r>
          </w:p>
        </w:tc>
      </w:tr>
      <w:tr w:rsidR="00832E17" w:rsidRPr="00E86687" w14:paraId="422EB910" w14:textId="77777777" w:rsidTr="00832E17">
        <w:trPr>
          <w:cantSplit/>
          <w:trHeight w:val="64"/>
        </w:trPr>
        <w:tc>
          <w:tcPr>
            <w:tcW w:w="2660" w:type="pct"/>
            <w:vMerge w:val="restart"/>
          </w:tcPr>
          <w:p w14:paraId="2D1501D0" w14:textId="500BBBF1" w:rsidR="00832E17" w:rsidRPr="00E86687" w:rsidRDefault="00832E17" w:rsidP="00832E17">
            <w:pPr>
              <w:spacing w:before="0" w:after="0"/>
              <w:ind w:left="0" w:firstLine="0"/>
              <w:rPr>
                <w:b/>
                <w:bCs/>
                <w:noProof/>
                <w:sz w:val="18"/>
                <w:szCs w:val="18"/>
              </w:rPr>
            </w:pPr>
            <w:r>
              <w:rPr>
                <w:noProof/>
                <w:sz w:val="18"/>
                <w:szCs w:val="18"/>
              </w:rPr>
              <w:t>Papildus i</w:t>
            </w:r>
            <w:r w:rsidRPr="00120F96">
              <w:rPr>
                <w:noProof/>
                <w:sz w:val="18"/>
                <w:szCs w:val="18"/>
              </w:rPr>
              <w:t>eņēmum</w:t>
            </w:r>
            <w:r>
              <w:rPr>
                <w:noProof/>
                <w:sz w:val="18"/>
                <w:szCs w:val="18"/>
              </w:rPr>
              <w:t>i</w:t>
            </w:r>
            <w:r w:rsidRPr="00120F96">
              <w:rPr>
                <w:noProof/>
                <w:sz w:val="18"/>
                <w:szCs w:val="18"/>
              </w:rPr>
              <w:t xml:space="preserve"> no AS </w:t>
            </w:r>
            <w:r w:rsidR="00D96773">
              <w:rPr>
                <w:noProof/>
                <w:sz w:val="18"/>
                <w:szCs w:val="18"/>
              </w:rPr>
              <w:t>“</w:t>
            </w:r>
            <w:r w:rsidRPr="00120F96">
              <w:rPr>
                <w:noProof/>
                <w:sz w:val="18"/>
                <w:szCs w:val="18"/>
              </w:rPr>
              <w:t>Latvijas valsts meži</w:t>
            </w:r>
            <w:r w:rsidR="00D96773">
              <w:rPr>
                <w:noProof/>
                <w:sz w:val="18"/>
                <w:szCs w:val="18"/>
              </w:rPr>
              <w:t>”</w:t>
            </w:r>
            <w:r w:rsidRPr="00120F96">
              <w:rPr>
                <w:noProof/>
                <w:sz w:val="18"/>
                <w:szCs w:val="18"/>
              </w:rPr>
              <w:t xml:space="preserve"> dividendēs izmaksājamās peļņas daļas par 2021</w:t>
            </w:r>
            <w:r w:rsidRPr="00E86687">
              <w:rPr>
                <w:noProof/>
                <w:sz w:val="18"/>
                <w:szCs w:val="18"/>
              </w:rPr>
              <w:t>. gadu</w:t>
            </w:r>
          </w:p>
        </w:tc>
        <w:tc>
          <w:tcPr>
            <w:tcW w:w="1614" w:type="pct"/>
            <w:tcBorders>
              <w:bottom w:val="nil"/>
            </w:tcBorders>
          </w:tcPr>
          <w:p w14:paraId="19F34EFF" w14:textId="77777777" w:rsidR="00832E17" w:rsidRPr="00E86687" w:rsidRDefault="00832E17" w:rsidP="00970743">
            <w:pPr>
              <w:spacing w:before="0" w:after="0"/>
              <w:ind w:left="0" w:firstLine="0"/>
              <w:jc w:val="left"/>
              <w:rPr>
                <w:rFonts w:eastAsia="Calibri"/>
                <w:noProof/>
                <w:sz w:val="18"/>
                <w:szCs w:val="18"/>
              </w:rPr>
            </w:pPr>
            <w:r w:rsidRPr="00E86687">
              <w:rPr>
                <w:rFonts w:eastAsia="Calibri"/>
                <w:noProof/>
                <w:sz w:val="18"/>
                <w:szCs w:val="18"/>
              </w:rPr>
              <w:t>Kopā, t.sk.:</w:t>
            </w:r>
          </w:p>
        </w:tc>
        <w:tc>
          <w:tcPr>
            <w:tcW w:w="726" w:type="pct"/>
            <w:tcBorders>
              <w:bottom w:val="nil"/>
            </w:tcBorders>
          </w:tcPr>
          <w:p w14:paraId="262A5C96" w14:textId="77777777" w:rsidR="00832E17" w:rsidRPr="00E86687" w:rsidRDefault="00832E17" w:rsidP="00970743">
            <w:pPr>
              <w:tabs>
                <w:tab w:val="decimal" w:pos="504"/>
              </w:tabs>
              <w:spacing w:before="0" w:after="0"/>
              <w:ind w:left="0" w:firstLine="0"/>
              <w:jc w:val="right"/>
              <w:rPr>
                <w:rFonts w:eastAsia="Calibri"/>
                <w:noProof/>
                <w:sz w:val="18"/>
                <w:szCs w:val="18"/>
              </w:rPr>
            </w:pPr>
            <w:r w:rsidRPr="00E86687">
              <w:rPr>
                <w:rFonts w:eastAsia="Calibri"/>
                <w:noProof/>
                <w:sz w:val="18"/>
                <w:szCs w:val="18"/>
              </w:rPr>
              <w:t>+32,0</w:t>
            </w:r>
          </w:p>
        </w:tc>
      </w:tr>
      <w:tr w:rsidR="00832E17" w:rsidRPr="00AC3042" w14:paraId="220FEC4D" w14:textId="77777777" w:rsidTr="00832E17">
        <w:trPr>
          <w:cantSplit/>
          <w:trHeight w:val="108"/>
        </w:trPr>
        <w:tc>
          <w:tcPr>
            <w:tcW w:w="2660" w:type="pct"/>
            <w:vMerge/>
          </w:tcPr>
          <w:p w14:paraId="157E7B19" w14:textId="77777777" w:rsidR="00832E17" w:rsidRPr="00E86687" w:rsidRDefault="00832E17" w:rsidP="00832E17">
            <w:pPr>
              <w:spacing w:before="0" w:after="0"/>
              <w:ind w:left="0" w:firstLine="0"/>
              <w:rPr>
                <w:b/>
                <w:bCs/>
                <w:noProof/>
                <w:sz w:val="18"/>
                <w:szCs w:val="18"/>
              </w:rPr>
            </w:pPr>
          </w:p>
        </w:tc>
        <w:tc>
          <w:tcPr>
            <w:tcW w:w="1614" w:type="pct"/>
            <w:tcBorders>
              <w:top w:val="nil"/>
              <w:bottom w:val="nil"/>
            </w:tcBorders>
          </w:tcPr>
          <w:p w14:paraId="30453138" w14:textId="77777777" w:rsidR="00832E17" w:rsidRPr="00120F96" w:rsidRDefault="00832E17" w:rsidP="00970743">
            <w:pPr>
              <w:spacing w:before="0" w:after="0"/>
              <w:ind w:left="188" w:right="113" w:firstLine="0"/>
              <w:jc w:val="left"/>
              <w:rPr>
                <w:rFonts w:eastAsia="Calibri"/>
                <w:i/>
                <w:iCs/>
                <w:noProof/>
                <w:sz w:val="18"/>
                <w:szCs w:val="18"/>
              </w:rPr>
            </w:pPr>
            <w:r w:rsidRPr="00120F96">
              <w:rPr>
                <w:rFonts w:eastAsia="Calibri"/>
                <w:i/>
                <w:iCs/>
                <w:noProof/>
                <w:sz w:val="18"/>
                <w:szCs w:val="18"/>
              </w:rPr>
              <w:t>Uzņēmumu ienākuma nodoklis</w:t>
            </w:r>
          </w:p>
        </w:tc>
        <w:tc>
          <w:tcPr>
            <w:tcW w:w="726" w:type="pct"/>
            <w:tcBorders>
              <w:top w:val="nil"/>
              <w:bottom w:val="nil"/>
            </w:tcBorders>
          </w:tcPr>
          <w:p w14:paraId="697E0197" w14:textId="77777777" w:rsidR="00832E17" w:rsidRPr="00AC3042" w:rsidRDefault="00832E17" w:rsidP="00970743">
            <w:pPr>
              <w:tabs>
                <w:tab w:val="decimal" w:pos="504"/>
              </w:tabs>
              <w:spacing w:before="0" w:after="0"/>
              <w:ind w:left="0" w:firstLine="0"/>
              <w:jc w:val="right"/>
              <w:rPr>
                <w:rFonts w:eastAsia="Calibri"/>
                <w:i/>
                <w:iCs/>
                <w:noProof/>
                <w:sz w:val="18"/>
                <w:szCs w:val="18"/>
              </w:rPr>
            </w:pPr>
            <w:r w:rsidRPr="00AC3042">
              <w:rPr>
                <w:rFonts w:eastAsia="Calibri"/>
                <w:i/>
                <w:iCs/>
                <w:noProof/>
                <w:sz w:val="18"/>
                <w:szCs w:val="18"/>
              </w:rPr>
              <w:t>+6,4</w:t>
            </w:r>
          </w:p>
        </w:tc>
      </w:tr>
      <w:tr w:rsidR="00832E17" w:rsidRPr="00AC3042" w14:paraId="6D135F7D" w14:textId="77777777" w:rsidTr="00832E17">
        <w:trPr>
          <w:cantSplit/>
          <w:trHeight w:val="64"/>
        </w:trPr>
        <w:tc>
          <w:tcPr>
            <w:tcW w:w="2660" w:type="pct"/>
            <w:vMerge/>
          </w:tcPr>
          <w:p w14:paraId="57E915C5" w14:textId="77777777" w:rsidR="00832E17" w:rsidRPr="00E86687" w:rsidRDefault="00832E17" w:rsidP="00832E17">
            <w:pPr>
              <w:spacing w:before="0" w:after="0"/>
              <w:ind w:left="0" w:firstLine="0"/>
              <w:rPr>
                <w:b/>
                <w:bCs/>
                <w:noProof/>
                <w:sz w:val="18"/>
                <w:szCs w:val="18"/>
              </w:rPr>
            </w:pPr>
          </w:p>
        </w:tc>
        <w:tc>
          <w:tcPr>
            <w:tcW w:w="1614" w:type="pct"/>
            <w:tcBorders>
              <w:top w:val="nil"/>
            </w:tcBorders>
          </w:tcPr>
          <w:p w14:paraId="23F51191" w14:textId="77777777" w:rsidR="00832E17" w:rsidRPr="00120F96" w:rsidRDefault="00832E17" w:rsidP="00970743">
            <w:pPr>
              <w:spacing w:before="0" w:after="0"/>
              <w:ind w:left="188" w:right="113" w:firstLine="0"/>
              <w:jc w:val="left"/>
              <w:rPr>
                <w:rFonts w:eastAsia="Calibri"/>
                <w:i/>
                <w:iCs/>
                <w:noProof/>
                <w:sz w:val="18"/>
                <w:szCs w:val="18"/>
              </w:rPr>
            </w:pPr>
            <w:r w:rsidRPr="00120F96">
              <w:rPr>
                <w:rFonts w:eastAsia="Calibri"/>
                <w:i/>
                <w:iCs/>
                <w:noProof/>
                <w:sz w:val="18"/>
                <w:szCs w:val="18"/>
              </w:rPr>
              <w:t>Nenodokļi</w:t>
            </w:r>
          </w:p>
        </w:tc>
        <w:tc>
          <w:tcPr>
            <w:tcW w:w="726" w:type="pct"/>
            <w:tcBorders>
              <w:top w:val="nil"/>
            </w:tcBorders>
          </w:tcPr>
          <w:p w14:paraId="0BAFA9D7" w14:textId="77777777" w:rsidR="00832E17" w:rsidRPr="00AC3042" w:rsidRDefault="00832E17" w:rsidP="00970743">
            <w:pPr>
              <w:tabs>
                <w:tab w:val="decimal" w:pos="504"/>
              </w:tabs>
              <w:spacing w:before="0" w:after="0"/>
              <w:ind w:left="0" w:firstLine="0"/>
              <w:jc w:val="right"/>
              <w:rPr>
                <w:rFonts w:eastAsia="Calibri"/>
                <w:i/>
                <w:iCs/>
                <w:noProof/>
                <w:sz w:val="18"/>
                <w:szCs w:val="18"/>
              </w:rPr>
            </w:pPr>
            <w:r w:rsidRPr="00AC3042">
              <w:rPr>
                <w:rFonts w:eastAsia="Calibri"/>
                <w:i/>
                <w:iCs/>
                <w:noProof/>
                <w:sz w:val="18"/>
                <w:szCs w:val="18"/>
              </w:rPr>
              <w:t>+25,6</w:t>
            </w:r>
          </w:p>
        </w:tc>
      </w:tr>
      <w:tr w:rsidR="00832E17" w:rsidRPr="00E86687" w14:paraId="5CF2DFA9" w14:textId="77777777" w:rsidTr="00832E17">
        <w:trPr>
          <w:cantSplit/>
          <w:trHeight w:val="468"/>
        </w:trPr>
        <w:tc>
          <w:tcPr>
            <w:tcW w:w="2660" w:type="pct"/>
          </w:tcPr>
          <w:p w14:paraId="1B433C11" w14:textId="4933C321" w:rsidR="00832E17" w:rsidRPr="00120F96" w:rsidRDefault="00832E17" w:rsidP="00832E17">
            <w:pPr>
              <w:spacing w:before="0" w:after="0"/>
              <w:ind w:left="0" w:firstLine="0"/>
              <w:rPr>
                <w:noProof/>
                <w:sz w:val="18"/>
                <w:szCs w:val="18"/>
              </w:rPr>
            </w:pPr>
            <w:r w:rsidRPr="00120F96">
              <w:rPr>
                <w:noProof/>
                <w:sz w:val="18"/>
                <w:szCs w:val="18"/>
              </w:rPr>
              <w:t xml:space="preserve">Ieņēmumu prognožu palielināšana maksājumam par valsts kapitāla izmantošanu no valsts akciju sabiedrības </w:t>
            </w:r>
            <w:r w:rsidR="00D96773">
              <w:rPr>
                <w:noProof/>
                <w:sz w:val="18"/>
                <w:szCs w:val="18"/>
              </w:rPr>
              <w:t>“</w:t>
            </w:r>
            <w:r w:rsidRPr="00120F96">
              <w:rPr>
                <w:noProof/>
                <w:sz w:val="18"/>
                <w:szCs w:val="18"/>
              </w:rPr>
              <w:t>Latvijas Loto</w:t>
            </w:r>
            <w:r w:rsidR="00D96773">
              <w:rPr>
                <w:noProof/>
                <w:sz w:val="18"/>
                <w:szCs w:val="18"/>
              </w:rPr>
              <w:t>”</w:t>
            </w:r>
            <w:r w:rsidRPr="00120F96">
              <w:rPr>
                <w:noProof/>
                <w:sz w:val="18"/>
                <w:szCs w:val="18"/>
              </w:rPr>
              <w:t xml:space="preserve"> dividendēs izmaksājamās peļņas daļas</w:t>
            </w:r>
          </w:p>
        </w:tc>
        <w:tc>
          <w:tcPr>
            <w:tcW w:w="1614" w:type="pct"/>
          </w:tcPr>
          <w:p w14:paraId="7D64232D" w14:textId="77777777" w:rsidR="00832E17" w:rsidRPr="00AC3042" w:rsidRDefault="00832E17" w:rsidP="00970743">
            <w:pPr>
              <w:spacing w:before="0" w:after="0"/>
              <w:ind w:left="0" w:firstLine="0"/>
              <w:jc w:val="left"/>
              <w:rPr>
                <w:rFonts w:eastAsia="Calibri"/>
                <w:noProof/>
                <w:sz w:val="18"/>
                <w:szCs w:val="18"/>
              </w:rPr>
            </w:pPr>
            <w:r w:rsidRPr="00AC3042">
              <w:rPr>
                <w:rFonts w:eastAsia="Calibri"/>
                <w:noProof/>
                <w:sz w:val="18"/>
                <w:szCs w:val="18"/>
              </w:rPr>
              <w:t>Nenodokļi</w:t>
            </w:r>
          </w:p>
        </w:tc>
        <w:tc>
          <w:tcPr>
            <w:tcW w:w="726" w:type="pct"/>
          </w:tcPr>
          <w:p w14:paraId="05A66EBC" w14:textId="77777777" w:rsidR="00832E17" w:rsidRPr="00E86687" w:rsidRDefault="00832E17" w:rsidP="00970743">
            <w:pPr>
              <w:tabs>
                <w:tab w:val="decimal" w:pos="504"/>
              </w:tabs>
              <w:spacing w:before="0" w:after="0"/>
              <w:ind w:left="0" w:firstLine="0"/>
              <w:jc w:val="right"/>
              <w:rPr>
                <w:noProof/>
                <w:sz w:val="18"/>
                <w:szCs w:val="18"/>
              </w:rPr>
            </w:pPr>
            <w:r w:rsidRPr="00E86687">
              <w:rPr>
                <w:noProof/>
                <w:sz w:val="18"/>
                <w:szCs w:val="18"/>
              </w:rPr>
              <w:t>+0,2</w:t>
            </w:r>
          </w:p>
        </w:tc>
      </w:tr>
      <w:tr w:rsidR="00832E17" w:rsidRPr="00E86687" w14:paraId="4D496BED" w14:textId="77777777" w:rsidTr="00832E17">
        <w:trPr>
          <w:cantSplit/>
          <w:trHeight w:val="468"/>
        </w:trPr>
        <w:tc>
          <w:tcPr>
            <w:tcW w:w="2660" w:type="pct"/>
          </w:tcPr>
          <w:p w14:paraId="6C7B4D87" w14:textId="4C59329C" w:rsidR="00832E17" w:rsidRPr="00E86687" w:rsidRDefault="00832E17" w:rsidP="00832E17">
            <w:pPr>
              <w:spacing w:before="0" w:after="0"/>
              <w:ind w:left="0" w:firstLine="0"/>
              <w:rPr>
                <w:noProof/>
                <w:sz w:val="18"/>
                <w:szCs w:val="18"/>
              </w:rPr>
            </w:pPr>
            <w:r w:rsidRPr="00120F96">
              <w:rPr>
                <w:noProof/>
                <w:sz w:val="18"/>
                <w:szCs w:val="18"/>
              </w:rPr>
              <w:t>Grozījums Ministru kabineta 202</w:t>
            </w:r>
            <w:r w:rsidRPr="00AC3042">
              <w:rPr>
                <w:noProof/>
                <w:sz w:val="18"/>
                <w:szCs w:val="18"/>
              </w:rPr>
              <w:t>0</w:t>
            </w:r>
            <w:r w:rsidRPr="00E86687">
              <w:rPr>
                <w:noProof/>
                <w:sz w:val="18"/>
                <w:szCs w:val="18"/>
              </w:rPr>
              <w:t>. gada 2</w:t>
            </w:r>
            <w:r>
              <w:rPr>
                <w:noProof/>
                <w:sz w:val="18"/>
                <w:szCs w:val="18"/>
              </w:rPr>
              <w:t>1. janv</w:t>
            </w:r>
            <w:r w:rsidRPr="00E86687">
              <w:rPr>
                <w:noProof/>
                <w:sz w:val="18"/>
                <w:szCs w:val="18"/>
              </w:rPr>
              <w:t>āra noteikumos Nr.</w:t>
            </w:r>
            <w:r w:rsidR="00D96773">
              <w:rPr>
                <w:noProof/>
                <w:sz w:val="18"/>
                <w:szCs w:val="18"/>
              </w:rPr>
              <w:t xml:space="preserve"> </w:t>
            </w:r>
            <w:r w:rsidRPr="00E86687">
              <w:rPr>
                <w:noProof/>
                <w:sz w:val="18"/>
                <w:szCs w:val="18"/>
              </w:rPr>
              <w:t xml:space="preserve">40 </w:t>
            </w:r>
            <w:r w:rsidR="00D96773">
              <w:rPr>
                <w:noProof/>
                <w:sz w:val="18"/>
                <w:szCs w:val="18"/>
              </w:rPr>
              <w:t>“</w:t>
            </w:r>
            <w:r w:rsidRPr="00E86687">
              <w:rPr>
                <w:noProof/>
                <w:sz w:val="18"/>
                <w:szCs w:val="18"/>
              </w:rPr>
              <w:t>Kontrolšāvienu izdarīšanas kārtība un valsts nodevu apmērs un maksāšanas kārtība</w:t>
            </w:r>
            <w:r w:rsidR="00D96773">
              <w:rPr>
                <w:noProof/>
                <w:sz w:val="18"/>
                <w:szCs w:val="18"/>
              </w:rPr>
              <w:t>”</w:t>
            </w:r>
          </w:p>
        </w:tc>
        <w:tc>
          <w:tcPr>
            <w:tcW w:w="1614" w:type="pct"/>
          </w:tcPr>
          <w:p w14:paraId="515A2CE7" w14:textId="77777777" w:rsidR="00832E17" w:rsidRPr="00E86687" w:rsidRDefault="00832E17" w:rsidP="00970743">
            <w:pPr>
              <w:spacing w:before="0" w:after="0"/>
              <w:ind w:left="0" w:firstLine="0"/>
              <w:jc w:val="left"/>
              <w:rPr>
                <w:rFonts w:eastAsia="Calibri"/>
                <w:noProof/>
                <w:sz w:val="18"/>
                <w:szCs w:val="18"/>
              </w:rPr>
            </w:pPr>
            <w:r w:rsidRPr="00E86687">
              <w:rPr>
                <w:rFonts w:eastAsia="Calibri"/>
                <w:noProof/>
                <w:sz w:val="18"/>
                <w:szCs w:val="18"/>
              </w:rPr>
              <w:t>Nenodokļi</w:t>
            </w:r>
          </w:p>
        </w:tc>
        <w:tc>
          <w:tcPr>
            <w:tcW w:w="726" w:type="pct"/>
          </w:tcPr>
          <w:p w14:paraId="0B797350" w14:textId="77777777" w:rsidR="00832E17" w:rsidRPr="00E86687" w:rsidRDefault="00832E17" w:rsidP="00970743">
            <w:pPr>
              <w:tabs>
                <w:tab w:val="decimal" w:pos="504"/>
              </w:tabs>
              <w:spacing w:before="0" w:after="0"/>
              <w:ind w:left="0" w:firstLine="0"/>
              <w:jc w:val="right"/>
              <w:rPr>
                <w:noProof/>
                <w:sz w:val="18"/>
                <w:szCs w:val="18"/>
              </w:rPr>
            </w:pPr>
            <w:r w:rsidRPr="00E86687">
              <w:rPr>
                <w:noProof/>
                <w:sz w:val="18"/>
                <w:szCs w:val="18"/>
              </w:rPr>
              <w:t>-0,002</w:t>
            </w:r>
          </w:p>
        </w:tc>
      </w:tr>
      <w:tr w:rsidR="00832E17" w:rsidRPr="00E86687" w14:paraId="6B45062A" w14:textId="77777777" w:rsidTr="00832E17">
        <w:trPr>
          <w:cantSplit/>
          <w:trHeight w:val="468"/>
        </w:trPr>
        <w:tc>
          <w:tcPr>
            <w:tcW w:w="2660" w:type="pct"/>
          </w:tcPr>
          <w:p w14:paraId="14BE2EDA" w14:textId="77777777" w:rsidR="00832E17" w:rsidRPr="00AC3042" w:rsidRDefault="00832E17" w:rsidP="00832E17">
            <w:pPr>
              <w:spacing w:before="0" w:after="0"/>
              <w:ind w:left="0" w:firstLine="0"/>
              <w:rPr>
                <w:noProof/>
                <w:sz w:val="18"/>
                <w:szCs w:val="18"/>
              </w:rPr>
            </w:pPr>
            <w:r w:rsidRPr="00120F96">
              <w:rPr>
                <w:noProof/>
                <w:sz w:val="18"/>
                <w:szCs w:val="18"/>
              </w:rPr>
              <w:t>Ieņēmumu samazināšana valsts nodevai, kas maksājama par ierakstu izdarīšanu uzņēmumu reģistra žurnālā un komercreģi</w:t>
            </w:r>
            <w:r w:rsidRPr="00AC3042">
              <w:rPr>
                <w:noProof/>
                <w:sz w:val="18"/>
                <w:szCs w:val="18"/>
              </w:rPr>
              <w:t>strā, kā arī iesniedzamo dokumentu reģistrēšanu</w:t>
            </w:r>
          </w:p>
        </w:tc>
        <w:tc>
          <w:tcPr>
            <w:tcW w:w="1614" w:type="pct"/>
          </w:tcPr>
          <w:p w14:paraId="5F182D2C" w14:textId="77777777" w:rsidR="00832E17" w:rsidRPr="00E86687" w:rsidRDefault="00832E17" w:rsidP="00970743">
            <w:pPr>
              <w:spacing w:before="0" w:after="0"/>
              <w:ind w:left="0" w:firstLine="0"/>
              <w:jc w:val="left"/>
              <w:rPr>
                <w:rFonts w:eastAsia="Calibri"/>
                <w:noProof/>
                <w:sz w:val="18"/>
                <w:szCs w:val="18"/>
              </w:rPr>
            </w:pPr>
            <w:r w:rsidRPr="00E86687">
              <w:rPr>
                <w:rFonts w:eastAsia="Calibri"/>
                <w:noProof/>
                <w:sz w:val="18"/>
                <w:szCs w:val="18"/>
              </w:rPr>
              <w:t>Nenodokļi</w:t>
            </w:r>
          </w:p>
        </w:tc>
        <w:tc>
          <w:tcPr>
            <w:tcW w:w="726" w:type="pct"/>
          </w:tcPr>
          <w:p w14:paraId="3D89D1DE" w14:textId="77777777" w:rsidR="00832E17" w:rsidRPr="00E86687" w:rsidRDefault="00832E17" w:rsidP="00970743">
            <w:pPr>
              <w:tabs>
                <w:tab w:val="decimal" w:pos="504"/>
              </w:tabs>
              <w:spacing w:before="0" w:after="0"/>
              <w:ind w:left="0" w:firstLine="0"/>
              <w:jc w:val="right"/>
              <w:rPr>
                <w:noProof/>
                <w:sz w:val="18"/>
                <w:szCs w:val="18"/>
              </w:rPr>
            </w:pPr>
            <w:r w:rsidRPr="00E86687">
              <w:rPr>
                <w:noProof/>
                <w:sz w:val="18"/>
                <w:szCs w:val="18"/>
              </w:rPr>
              <w:t>-0,7</w:t>
            </w:r>
          </w:p>
        </w:tc>
      </w:tr>
      <w:tr w:rsidR="00832E17" w:rsidRPr="00E86687" w14:paraId="791CA996" w14:textId="77777777" w:rsidTr="00832E17">
        <w:trPr>
          <w:cantSplit/>
          <w:trHeight w:val="207"/>
        </w:trPr>
        <w:tc>
          <w:tcPr>
            <w:tcW w:w="2660" w:type="pct"/>
            <w:tcBorders>
              <w:left w:val="single" w:sz="4" w:space="0" w:color="auto"/>
              <w:right w:val="single" w:sz="4" w:space="0" w:color="auto"/>
            </w:tcBorders>
          </w:tcPr>
          <w:p w14:paraId="520A7543" w14:textId="11142196" w:rsidR="00832E17" w:rsidRPr="00AC3042" w:rsidRDefault="00832E17" w:rsidP="00832E17">
            <w:pPr>
              <w:spacing w:before="0" w:after="0"/>
              <w:ind w:left="57" w:firstLine="0"/>
              <w:rPr>
                <w:rFonts w:eastAsia="Calibri"/>
                <w:noProof/>
                <w:sz w:val="18"/>
                <w:szCs w:val="18"/>
              </w:rPr>
            </w:pPr>
            <w:r w:rsidRPr="00120F96">
              <w:rPr>
                <w:rFonts w:eastAsia="Calibri"/>
                <w:noProof/>
                <w:sz w:val="18"/>
                <w:szCs w:val="18"/>
              </w:rPr>
              <w:t>Numerācijas lietošanas tiesību ikgadējās valsts nodevas palielin</w:t>
            </w:r>
            <w:r w:rsidRPr="00AC3042">
              <w:rPr>
                <w:rFonts w:eastAsia="Calibri"/>
                <w:noProof/>
                <w:sz w:val="18"/>
                <w:szCs w:val="18"/>
              </w:rPr>
              <w:t xml:space="preserve">āšana saskaņā ar likumprojektu </w:t>
            </w:r>
            <w:r w:rsidR="00D96773">
              <w:rPr>
                <w:rFonts w:eastAsia="Calibri"/>
                <w:noProof/>
                <w:sz w:val="18"/>
                <w:szCs w:val="18"/>
              </w:rPr>
              <w:t>“</w:t>
            </w:r>
            <w:r w:rsidRPr="00AC3042">
              <w:rPr>
                <w:rFonts w:eastAsia="Calibri"/>
                <w:noProof/>
                <w:sz w:val="18"/>
                <w:szCs w:val="18"/>
              </w:rPr>
              <w:t>Elektronisko sakaru likums</w:t>
            </w:r>
            <w:r w:rsidR="00D96773">
              <w:rPr>
                <w:rFonts w:eastAsia="Calibri"/>
                <w:noProof/>
                <w:sz w:val="18"/>
                <w:szCs w:val="18"/>
              </w:rPr>
              <w:t>”</w:t>
            </w:r>
          </w:p>
        </w:tc>
        <w:tc>
          <w:tcPr>
            <w:tcW w:w="1614" w:type="pct"/>
            <w:tcBorders>
              <w:top w:val="single" w:sz="4" w:space="0" w:color="auto"/>
              <w:left w:val="single" w:sz="4" w:space="0" w:color="auto"/>
              <w:bottom w:val="single" w:sz="4" w:space="0" w:color="auto"/>
              <w:right w:val="single" w:sz="4" w:space="0" w:color="auto"/>
            </w:tcBorders>
          </w:tcPr>
          <w:p w14:paraId="76417CDA" w14:textId="77777777" w:rsidR="00832E17" w:rsidRPr="00E86687" w:rsidRDefault="00832E17" w:rsidP="00970743">
            <w:pPr>
              <w:spacing w:before="0" w:after="0"/>
              <w:ind w:left="0" w:right="113" w:firstLine="0"/>
              <w:jc w:val="left"/>
              <w:rPr>
                <w:rFonts w:eastAsia="Calibri"/>
                <w:noProof/>
                <w:sz w:val="18"/>
                <w:szCs w:val="18"/>
              </w:rPr>
            </w:pPr>
            <w:r w:rsidRPr="00E86687">
              <w:rPr>
                <w:rFonts w:eastAsia="Calibri"/>
                <w:noProof/>
                <w:sz w:val="18"/>
                <w:szCs w:val="18"/>
              </w:rPr>
              <w:t>Nenodokļi</w:t>
            </w:r>
          </w:p>
        </w:tc>
        <w:tc>
          <w:tcPr>
            <w:tcW w:w="726" w:type="pct"/>
            <w:tcBorders>
              <w:top w:val="single" w:sz="4" w:space="0" w:color="auto"/>
              <w:left w:val="single" w:sz="4" w:space="0" w:color="auto"/>
              <w:bottom w:val="single" w:sz="4" w:space="0" w:color="auto"/>
              <w:right w:val="single" w:sz="4" w:space="0" w:color="auto"/>
            </w:tcBorders>
          </w:tcPr>
          <w:p w14:paraId="495FBE84" w14:textId="77777777" w:rsidR="00832E17" w:rsidRPr="00E86687" w:rsidRDefault="00832E17" w:rsidP="00970743">
            <w:pPr>
              <w:tabs>
                <w:tab w:val="decimal" w:pos="504"/>
              </w:tabs>
              <w:spacing w:before="0" w:after="0"/>
              <w:ind w:left="0" w:firstLine="0"/>
              <w:jc w:val="right"/>
              <w:rPr>
                <w:noProof/>
                <w:sz w:val="18"/>
                <w:szCs w:val="18"/>
              </w:rPr>
            </w:pPr>
            <w:r w:rsidRPr="00E86687">
              <w:rPr>
                <w:noProof/>
                <w:sz w:val="18"/>
                <w:szCs w:val="18"/>
              </w:rPr>
              <w:t>+0,4</w:t>
            </w:r>
          </w:p>
        </w:tc>
      </w:tr>
      <w:tr w:rsidR="00832E17" w:rsidRPr="00E86687" w14:paraId="6ABCFD10" w14:textId="77777777" w:rsidTr="00832E17">
        <w:trPr>
          <w:cantSplit/>
          <w:trHeight w:val="207"/>
        </w:trPr>
        <w:tc>
          <w:tcPr>
            <w:tcW w:w="2660" w:type="pct"/>
            <w:tcBorders>
              <w:left w:val="single" w:sz="4" w:space="0" w:color="auto"/>
              <w:right w:val="single" w:sz="4" w:space="0" w:color="auto"/>
            </w:tcBorders>
          </w:tcPr>
          <w:p w14:paraId="5BA2E550" w14:textId="77777777" w:rsidR="00832E17" w:rsidRPr="00120F96" w:rsidRDefault="00832E17" w:rsidP="00832E17">
            <w:pPr>
              <w:spacing w:before="0" w:after="0"/>
              <w:ind w:left="57" w:firstLine="0"/>
              <w:rPr>
                <w:rFonts w:eastAsia="Calibri"/>
                <w:noProof/>
                <w:sz w:val="18"/>
                <w:szCs w:val="18"/>
              </w:rPr>
            </w:pPr>
            <w:r w:rsidRPr="00120F96">
              <w:rPr>
                <w:rFonts w:eastAsia="Calibri"/>
                <w:noProof/>
                <w:sz w:val="18"/>
                <w:szCs w:val="18"/>
              </w:rPr>
              <w:t>Ieņēmumu prognožu palielināsana no pārējiem naudas sodiem, ko uzliek Valsts policija par pārkāpumiem ceļu satiksmē</w:t>
            </w:r>
          </w:p>
        </w:tc>
        <w:tc>
          <w:tcPr>
            <w:tcW w:w="1614" w:type="pct"/>
            <w:tcBorders>
              <w:top w:val="single" w:sz="4" w:space="0" w:color="auto"/>
              <w:left w:val="single" w:sz="4" w:space="0" w:color="auto"/>
              <w:bottom w:val="single" w:sz="4" w:space="0" w:color="auto"/>
              <w:right w:val="single" w:sz="4" w:space="0" w:color="auto"/>
            </w:tcBorders>
          </w:tcPr>
          <w:p w14:paraId="134417CA" w14:textId="77777777" w:rsidR="00832E17" w:rsidRPr="00AC3042" w:rsidRDefault="00832E17" w:rsidP="00970743">
            <w:pPr>
              <w:spacing w:before="0" w:after="0"/>
              <w:ind w:left="0" w:right="113" w:firstLine="0"/>
              <w:jc w:val="left"/>
              <w:rPr>
                <w:rFonts w:eastAsia="Calibri"/>
                <w:noProof/>
                <w:sz w:val="18"/>
                <w:szCs w:val="18"/>
              </w:rPr>
            </w:pPr>
            <w:r w:rsidRPr="00AC3042">
              <w:rPr>
                <w:rFonts w:eastAsia="Calibri"/>
                <w:noProof/>
                <w:sz w:val="18"/>
                <w:szCs w:val="18"/>
              </w:rPr>
              <w:t>Nenodokļi</w:t>
            </w:r>
          </w:p>
        </w:tc>
        <w:tc>
          <w:tcPr>
            <w:tcW w:w="726" w:type="pct"/>
            <w:tcBorders>
              <w:top w:val="single" w:sz="4" w:space="0" w:color="auto"/>
              <w:left w:val="single" w:sz="4" w:space="0" w:color="auto"/>
              <w:bottom w:val="single" w:sz="4" w:space="0" w:color="auto"/>
              <w:right w:val="single" w:sz="4" w:space="0" w:color="auto"/>
            </w:tcBorders>
          </w:tcPr>
          <w:p w14:paraId="36515F2C" w14:textId="77777777" w:rsidR="00832E17" w:rsidRPr="00E86687" w:rsidRDefault="00832E17" w:rsidP="00970743">
            <w:pPr>
              <w:tabs>
                <w:tab w:val="decimal" w:pos="504"/>
              </w:tabs>
              <w:spacing w:before="0" w:after="0"/>
              <w:ind w:left="0" w:firstLine="0"/>
              <w:jc w:val="right"/>
              <w:rPr>
                <w:noProof/>
                <w:sz w:val="18"/>
                <w:szCs w:val="18"/>
              </w:rPr>
            </w:pPr>
            <w:r w:rsidRPr="00E86687">
              <w:rPr>
                <w:noProof/>
                <w:sz w:val="18"/>
                <w:szCs w:val="18"/>
              </w:rPr>
              <w:t>+1,6</w:t>
            </w:r>
          </w:p>
        </w:tc>
      </w:tr>
      <w:tr w:rsidR="00832E17" w:rsidRPr="00E86687" w14:paraId="70187E6B" w14:textId="77777777" w:rsidTr="00832E17">
        <w:trPr>
          <w:cantSplit/>
          <w:trHeight w:val="207"/>
        </w:trPr>
        <w:tc>
          <w:tcPr>
            <w:tcW w:w="2660" w:type="pct"/>
            <w:tcBorders>
              <w:left w:val="single" w:sz="4" w:space="0" w:color="auto"/>
              <w:right w:val="single" w:sz="4" w:space="0" w:color="auto"/>
            </w:tcBorders>
          </w:tcPr>
          <w:p w14:paraId="6F454619" w14:textId="77777777" w:rsidR="00832E17" w:rsidRPr="00E86687" w:rsidRDefault="00832E17" w:rsidP="00832E17">
            <w:pPr>
              <w:spacing w:before="0" w:after="0"/>
              <w:ind w:left="57" w:firstLine="0"/>
              <w:rPr>
                <w:rFonts w:eastAsia="Calibri"/>
                <w:noProof/>
                <w:sz w:val="18"/>
                <w:szCs w:val="18"/>
              </w:rPr>
            </w:pPr>
            <w:r w:rsidRPr="00120F96">
              <w:rPr>
                <w:rFonts w:eastAsia="Calibri"/>
                <w:noProof/>
                <w:sz w:val="18"/>
                <w:szCs w:val="18"/>
              </w:rPr>
              <w:t>Kancelejas nodevu</w:t>
            </w:r>
            <w:r w:rsidRPr="00AC3042">
              <w:rPr>
                <w:rFonts w:eastAsia="Calibri"/>
                <w:noProof/>
                <w:sz w:val="18"/>
                <w:szCs w:val="18"/>
              </w:rPr>
              <w:t xml:space="preserve"> </w:t>
            </w:r>
            <w:r w:rsidRPr="00E86687">
              <w:rPr>
                <w:rFonts w:eastAsia="Calibri"/>
                <w:noProof/>
                <w:sz w:val="18"/>
                <w:szCs w:val="18"/>
              </w:rPr>
              <w:t>palielināšana par zemesgrāmatā veiktajām darbībām</w:t>
            </w:r>
          </w:p>
        </w:tc>
        <w:tc>
          <w:tcPr>
            <w:tcW w:w="1614" w:type="pct"/>
            <w:tcBorders>
              <w:top w:val="single" w:sz="4" w:space="0" w:color="auto"/>
              <w:left w:val="single" w:sz="4" w:space="0" w:color="auto"/>
              <w:bottom w:val="single" w:sz="4" w:space="0" w:color="auto"/>
              <w:right w:val="single" w:sz="4" w:space="0" w:color="auto"/>
            </w:tcBorders>
          </w:tcPr>
          <w:p w14:paraId="4F9F0D84" w14:textId="77777777" w:rsidR="00832E17" w:rsidRPr="00E86687" w:rsidRDefault="00832E17" w:rsidP="00970743">
            <w:pPr>
              <w:spacing w:before="0" w:after="0"/>
              <w:ind w:left="0" w:right="113" w:firstLine="0"/>
              <w:jc w:val="left"/>
              <w:rPr>
                <w:rFonts w:eastAsia="Calibri"/>
                <w:noProof/>
                <w:sz w:val="18"/>
                <w:szCs w:val="18"/>
              </w:rPr>
            </w:pPr>
            <w:r w:rsidRPr="00E86687">
              <w:rPr>
                <w:rFonts w:eastAsia="Calibri"/>
                <w:noProof/>
                <w:sz w:val="18"/>
                <w:szCs w:val="18"/>
              </w:rPr>
              <w:t>Nenodokļi</w:t>
            </w:r>
          </w:p>
        </w:tc>
        <w:tc>
          <w:tcPr>
            <w:tcW w:w="726" w:type="pct"/>
            <w:tcBorders>
              <w:top w:val="single" w:sz="4" w:space="0" w:color="auto"/>
              <w:left w:val="single" w:sz="4" w:space="0" w:color="auto"/>
              <w:bottom w:val="single" w:sz="4" w:space="0" w:color="auto"/>
              <w:right w:val="single" w:sz="4" w:space="0" w:color="auto"/>
            </w:tcBorders>
          </w:tcPr>
          <w:p w14:paraId="23D6521A" w14:textId="77777777" w:rsidR="00832E17" w:rsidRPr="00E86687" w:rsidRDefault="00832E17" w:rsidP="00970743">
            <w:pPr>
              <w:tabs>
                <w:tab w:val="decimal" w:pos="504"/>
              </w:tabs>
              <w:spacing w:before="0" w:after="0"/>
              <w:ind w:left="0" w:firstLine="0"/>
              <w:jc w:val="right"/>
              <w:rPr>
                <w:noProof/>
                <w:sz w:val="18"/>
                <w:szCs w:val="18"/>
              </w:rPr>
            </w:pPr>
            <w:r w:rsidRPr="00E86687">
              <w:rPr>
                <w:noProof/>
                <w:sz w:val="18"/>
                <w:szCs w:val="18"/>
              </w:rPr>
              <w:t>+0,2</w:t>
            </w:r>
          </w:p>
        </w:tc>
      </w:tr>
    </w:tbl>
    <w:p w14:paraId="3CB0AFF6" w14:textId="0C903BFE" w:rsidR="007870D7" w:rsidRDefault="007870D7" w:rsidP="00D96773">
      <w:pPr>
        <w:pStyle w:val="H2"/>
        <w:spacing w:before="480" w:after="360"/>
      </w:pPr>
      <w:r w:rsidRPr="006E395D">
        <w:t>3.2. Kopbudžeta nodokļu ieņēmumi</w:t>
      </w:r>
      <w:r w:rsidR="00D942CF">
        <w:rPr>
          <w:rStyle w:val="FootnoteReference"/>
        </w:rPr>
        <w:footnoteReference w:id="1"/>
      </w:r>
    </w:p>
    <w:p w14:paraId="62E31D70" w14:textId="77777777" w:rsidR="00D96773" w:rsidRPr="00BD1F97" w:rsidRDefault="00D96773" w:rsidP="002309D6">
      <w:pPr>
        <w:ind w:firstLine="720"/>
        <w:rPr>
          <w:i/>
          <w:iCs/>
        </w:rPr>
      </w:pPr>
      <w:bookmarkStart w:id="7" w:name="_Hlk82094544"/>
      <w:r w:rsidRPr="00FE6F7D">
        <w:rPr>
          <w:rFonts w:eastAsia="Calibri"/>
          <w:szCs w:val="28"/>
          <w:lang w:eastAsia="lv-LV"/>
        </w:rPr>
        <w:t>2021</w:t>
      </w:r>
      <w:r>
        <w:rPr>
          <w:rFonts w:eastAsia="Calibri"/>
          <w:szCs w:val="28"/>
          <w:lang w:eastAsia="lv-LV"/>
        </w:rPr>
        <w:t>. gad</w:t>
      </w:r>
      <w:r w:rsidRPr="00FE6F7D">
        <w:rPr>
          <w:rFonts w:eastAsia="Calibri"/>
          <w:szCs w:val="28"/>
          <w:lang w:eastAsia="lv-LV"/>
        </w:rPr>
        <w:t>a pirmajā pusgadā kopbudžeta nodokļu ieņēmumi bija 4 639,1</w:t>
      </w:r>
      <w:r>
        <w:rPr>
          <w:rFonts w:eastAsia="Calibri"/>
          <w:szCs w:val="28"/>
          <w:lang w:eastAsia="lv-LV"/>
        </w:rPr>
        <w:t> milj. </w:t>
      </w:r>
      <w:proofErr w:type="spellStart"/>
      <w:r w:rsidRPr="00D705E7">
        <w:rPr>
          <w:rFonts w:eastAsia="Calibri"/>
          <w:i/>
          <w:szCs w:val="28"/>
          <w:lang w:eastAsia="lv-LV"/>
        </w:rPr>
        <w:t>euro</w:t>
      </w:r>
      <w:proofErr w:type="spellEnd"/>
      <w:r w:rsidRPr="00FE6F7D">
        <w:rPr>
          <w:rFonts w:eastAsia="Calibri"/>
          <w:szCs w:val="28"/>
          <w:lang w:eastAsia="lv-LV"/>
        </w:rPr>
        <w:t>, kas</w:t>
      </w:r>
      <w:r>
        <w:rPr>
          <w:rFonts w:eastAsia="Calibri"/>
          <w:szCs w:val="28"/>
          <w:lang w:eastAsia="lv-LV"/>
        </w:rPr>
        <w:t>,</w:t>
      </w:r>
      <w:r w:rsidRPr="00FE6F7D">
        <w:rPr>
          <w:rFonts w:eastAsia="Calibri"/>
          <w:szCs w:val="28"/>
          <w:lang w:eastAsia="lv-LV"/>
        </w:rPr>
        <w:t xml:space="preserve"> salīdzinot ar likumā “Par valsts budžetu 2021</w:t>
      </w:r>
      <w:r>
        <w:rPr>
          <w:rFonts w:eastAsia="Calibri"/>
          <w:szCs w:val="28"/>
          <w:lang w:eastAsia="lv-LV"/>
        </w:rPr>
        <w:t>. gad</w:t>
      </w:r>
      <w:r w:rsidRPr="00FE6F7D">
        <w:rPr>
          <w:rFonts w:eastAsia="Calibri"/>
          <w:szCs w:val="28"/>
          <w:lang w:eastAsia="lv-LV"/>
        </w:rPr>
        <w:t>am” noteikto plānu, ir par 251,6</w:t>
      </w:r>
      <w:r>
        <w:rPr>
          <w:rFonts w:eastAsia="Calibri"/>
          <w:szCs w:val="28"/>
          <w:lang w:eastAsia="lv-LV"/>
        </w:rPr>
        <w:t> milj. </w:t>
      </w:r>
      <w:proofErr w:type="spellStart"/>
      <w:r w:rsidRPr="00D705E7">
        <w:rPr>
          <w:rFonts w:eastAsia="Calibri"/>
          <w:i/>
          <w:szCs w:val="28"/>
          <w:lang w:eastAsia="lv-LV"/>
        </w:rPr>
        <w:t>euro</w:t>
      </w:r>
      <w:proofErr w:type="spellEnd"/>
      <w:r w:rsidRPr="00FE6F7D">
        <w:rPr>
          <w:rFonts w:eastAsia="Calibri"/>
          <w:szCs w:val="28"/>
          <w:lang w:eastAsia="lv-LV"/>
        </w:rPr>
        <w:t xml:space="preserve"> jeb 5,7% vairāk, </w:t>
      </w:r>
      <w:r w:rsidRPr="00FE6F7D">
        <w:t>taču izpilde pa nodokļu veidiem vērtējama piesardzīgi, jo, lai mazinātu administratīvo slogu nodokļu maksātājiem, ar 2021</w:t>
      </w:r>
      <w:r>
        <w:t>. gad</w:t>
      </w:r>
      <w:r w:rsidRPr="00FE6F7D">
        <w:t xml:space="preserve">a </w:t>
      </w:r>
      <w:r>
        <w:t>1. janv</w:t>
      </w:r>
      <w:r w:rsidRPr="00FE6F7D">
        <w:t xml:space="preserve">āri stājās spēkā vienotais nodokļu konts, VID vienotajā kontā iemaksāto naudas summu sadalot nodokļu maksātāja saistību segšanai pa nodokļu veidiem. </w:t>
      </w:r>
      <w:r w:rsidRPr="00FE6F7D">
        <w:rPr>
          <w:rFonts w:eastAsia="Calibri"/>
          <w:szCs w:val="28"/>
          <w:lang w:eastAsia="lv-LV"/>
        </w:rPr>
        <w:t xml:space="preserve">Pirmajā pusgadā </w:t>
      </w:r>
      <w:r w:rsidRPr="00FE6F7D">
        <w:t>ir radusies situācija, ka valsts pamatbudžeta ieņēmumos palika nesadalīti nodokļu ieņēmumi 264,4</w:t>
      </w:r>
      <w:r>
        <w:t> milj. </w:t>
      </w:r>
      <w:proofErr w:type="spellStart"/>
      <w:r w:rsidRPr="00D705E7">
        <w:rPr>
          <w:i/>
        </w:rPr>
        <w:t>euro</w:t>
      </w:r>
      <w:proofErr w:type="spellEnd"/>
      <w:r w:rsidRPr="00FE6F7D">
        <w:t xml:space="preserve">, kas tiks attiecināti uz konkrētajiem nodokļu veidiem un attiecīgajiem budžeta līmeņiem tikai turpmākajos mēnešos, rodoties atbilstošām nodokļu saistībām. </w:t>
      </w:r>
      <w:r w:rsidRPr="00FE6F7D">
        <w:rPr>
          <w:rFonts w:eastAsia="Calibri"/>
          <w:szCs w:val="28"/>
          <w:lang w:eastAsia="lv-LV"/>
        </w:rPr>
        <w:t xml:space="preserve">Plāna </w:t>
      </w:r>
      <w:proofErr w:type="spellStart"/>
      <w:r w:rsidRPr="00FE6F7D">
        <w:rPr>
          <w:rFonts w:eastAsia="Calibri"/>
          <w:szCs w:val="28"/>
          <w:lang w:eastAsia="lv-LV"/>
        </w:rPr>
        <w:t>pārpilde</w:t>
      </w:r>
      <w:proofErr w:type="spellEnd"/>
      <w:r w:rsidRPr="00FE6F7D">
        <w:rPr>
          <w:rFonts w:eastAsia="Calibri"/>
          <w:szCs w:val="28"/>
          <w:lang w:eastAsia="lv-LV"/>
        </w:rPr>
        <w:t xml:space="preserve"> apliecina tautsaimniecības pakāpenisku atkopšanos no</w:t>
      </w:r>
      <w:r>
        <w:rPr>
          <w:rFonts w:eastAsia="Calibri"/>
          <w:szCs w:val="28"/>
          <w:lang w:eastAsia="lv-LV"/>
        </w:rPr>
        <w:t xml:space="preserve"> </w:t>
      </w:r>
      <w:r w:rsidRPr="00FE6F7D">
        <w:rPr>
          <w:rFonts w:eastAsia="Calibri"/>
          <w:szCs w:val="28"/>
          <w:lang w:eastAsia="lv-LV"/>
        </w:rPr>
        <w:t>Covid-19 izraisītās krīzes.</w:t>
      </w:r>
      <w:r>
        <w:rPr>
          <w:rFonts w:eastAsia="Calibri"/>
          <w:szCs w:val="28"/>
          <w:lang w:eastAsia="lv-LV"/>
        </w:rPr>
        <w:t xml:space="preserve"> </w:t>
      </w:r>
    </w:p>
    <w:p w14:paraId="3DED4BAC" w14:textId="7CF41F7F" w:rsidR="00D96773" w:rsidRPr="00FE6F7D" w:rsidRDefault="00D96773" w:rsidP="002309D6">
      <w:pPr>
        <w:ind w:firstLine="720"/>
        <w:rPr>
          <w:bCs/>
          <w:szCs w:val="24"/>
        </w:rPr>
      </w:pPr>
      <w:r w:rsidRPr="00FE6F7D">
        <w:rPr>
          <w:rFonts w:eastAsia="Calibri"/>
          <w:szCs w:val="28"/>
          <w:lang w:eastAsia="lv-LV"/>
        </w:rPr>
        <w:t>Salīdzinot ar 2020</w:t>
      </w:r>
      <w:r>
        <w:rPr>
          <w:rFonts w:eastAsia="Calibri"/>
          <w:szCs w:val="28"/>
          <w:lang w:eastAsia="lv-LV"/>
        </w:rPr>
        <w:t>. gad</w:t>
      </w:r>
      <w:r w:rsidRPr="00FE6F7D">
        <w:rPr>
          <w:rFonts w:eastAsia="Calibri"/>
          <w:szCs w:val="28"/>
          <w:lang w:eastAsia="lv-LV"/>
        </w:rPr>
        <w:t>a pirmo pusgadu, kopbudžeta nodokļu ieņēmumi 2021</w:t>
      </w:r>
      <w:r>
        <w:rPr>
          <w:rFonts w:eastAsia="Calibri"/>
          <w:szCs w:val="28"/>
          <w:lang w:eastAsia="lv-LV"/>
        </w:rPr>
        <w:t>. gad</w:t>
      </w:r>
      <w:r w:rsidRPr="00FE6F7D">
        <w:rPr>
          <w:rFonts w:eastAsia="Calibri"/>
          <w:szCs w:val="28"/>
          <w:lang w:eastAsia="lv-LV"/>
        </w:rPr>
        <w:t>a pirmajā pusgadā tika iekasēti par 467,</w:t>
      </w:r>
      <w:r>
        <w:rPr>
          <w:rFonts w:eastAsia="Calibri"/>
          <w:szCs w:val="28"/>
          <w:lang w:eastAsia="lv-LV"/>
        </w:rPr>
        <w:t>9 milj. </w:t>
      </w:r>
      <w:proofErr w:type="spellStart"/>
      <w:r w:rsidRPr="00D705E7">
        <w:rPr>
          <w:rFonts w:eastAsia="Calibri"/>
          <w:i/>
          <w:szCs w:val="28"/>
          <w:lang w:eastAsia="lv-LV"/>
        </w:rPr>
        <w:t>euro</w:t>
      </w:r>
      <w:proofErr w:type="spellEnd"/>
      <w:r w:rsidRPr="00FE6F7D">
        <w:rPr>
          <w:rFonts w:eastAsia="Calibri"/>
          <w:szCs w:val="28"/>
          <w:lang w:eastAsia="lv-LV"/>
        </w:rPr>
        <w:t xml:space="preserve"> jeb 11,2% vairāk. Jāņem vērā, ka šogad ekonomika ir pakāpeniski pielāgojusies krīzes apstākļiem, kā rezultātā šā gada otrajā ceturksnī vērojama salīdzinoši strauja atkopšanās no krīzes, savukārt 2020</w:t>
      </w:r>
      <w:r>
        <w:rPr>
          <w:rFonts w:eastAsia="Calibri"/>
          <w:szCs w:val="28"/>
          <w:lang w:eastAsia="lv-LV"/>
        </w:rPr>
        <w:t>. gad</w:t>
      </w:r>
      <w:r w:rsidRPr="00FE6F7D">
        <w:rPr>
          <w:rFonts w:eastAsia="Calibri"/>
          <w:szCs w:val="28"/>
          <w:lang w:eastAsia="lv-LV"/>
        </w:rPr>
        <w:t xml:space="preserve">a otrais ceturksnis iezīmēja krīzes sākumu, vienlaikus būtiski samazinoties nodokļu ieņēmumiem. </w:t>
      </w:r>
      <w:r w:rsidRPr="00FE6F7D">
        <w:t>Ņemot vērā makroekonomisko rādītāju prognozes un pirmā pusgada izpildi, 2021</w:t>
      </w:r>
      <w:r>
        <w:t>. gad</w:t>
      </w:r>
      <w:r w:rsidRPr="00FE6F7D">
        <w:t>a</w:t>
      </w:r>
      <w:r w:rsidRPr="00FE6F7D">
        <w:rPr>
          <w:rFonts w:eastAsia="Calibri"/>
          <w:szCs w:val="28"/>
          <w:lang w:eastAsia="lv-LV"/>
        </w:rPr>
        <w:t xml:space="preserve"> kopbudžeta nodokļu ieņēmumu</w:t>
      </w:r>
      <w:r w:rsidRPr="00FE6F7D">
        <w:t xml:space="preserve"> prognoze tika samazināta vien par 13,7</w:t>
      </w:r>
      <w:r>
        <w:t> milj. </w:t>
      </w:r>
      <w:proofErr w:type="spellStart"/>
      <w:r w:rsidRPr="00D705E7">
        <w:rPr>
          <w:i/>
        </w:rPr>
        <w:t>euro</w:t>
      </w:r>
      <w:proofErr w:type="spellEnd"/>
      <w:r w:rsidRPr="00FE6F7D">
        <w:t xml:space="preserve"> jeb par 0,1%, salīdzinot ar plānu</w:t>
      </w:r>
      <w:bookmarkEnd w:id="7"/>
      <w:r w:rsidRPr="00FE6F7D">
        <w:t>.</w:t>
      </w:r>
    </w:p>
    <w:p w14:paraId="537CD43C" w14:textId="2E485CAE" w:rsidR="00D96773" w:rsidRPr="00FE6F7D" w:rsidRDefault="00D96773" w:rsidP="002309D6">
      <w:pPr>
        <w:ind w:firstLine="720"/>
      </w:pPr>
      <w:r w:rsidRPr="00FE6F7D">
        <w:t>Saskaņā ar likumprojektu „Par valsts budžetu 2022</w:t>
      </w:r>
      <w:r>
        <w:t>. gad</w:t>
      </w:r>
      <w:r w:rsidRPr="00FE6F7D">
        <w:t xml:space="preserve">am” kopbudžeta nodokļu ieņēmumi tiek plānoti </w:t>
      </w:r>
      <w:r w:rsidRPr="00FE6F7D">
        <w:rPr>
          <w:szCs w:val="24"/>
        </w:rPr>
        <w:t>10</w:t>
      </w:r>
      <w:r>
        <w:rPr>
          <w:szCs w:val="24"/>
        </w:rPr>
        <w:t> 181,2 milj. </w:t>
      </w:r>
      <w:proofErr w:type="spellStart"/>
      <w:r w:rsidRPr="00D705E7">
        <w:rPr>
          <w:i/>
          <w:szCs w:val="24"/>
        </w:rPr>
        <w:t>euro</w:t>
      </w:r>
      <w:proofErr w:type="spellEnd"/>
      <w:r w:rsidRPr="00FE6F7D">
        <w:t xml:space="preserve"> apmērā, kas ir par </w:t>
      </w:r>
      <w:r>
        <w:t>853</w:t>
      </w:r>
      <w:r w:rsidRPr="00FE6F7D">
        <w:t>,</w:t>
      </w:r>
      <w:r>
        <w:t>4 milj. </w:t>
      </w:r>
      <w:proofErr w:type="spellStart"/>
      <w:r w:rsidRPr="00D705E7">
        <w:rPr>
          <w:i/>
        </w:rPr>
        <w:t>euro</w:t>
      </w:r>
      <w:proofErr w:type="spellEnd"/>
      <w:r w:rsidRPr="00FE6F7D">
        <w:t xml:space="preserve"> jeb 9,</w:t>
      </w:r>
      <w:r>
        <w:t>1</w:t>
      </w:r>
      <w:r w:rsidRPr="00FE6F7D">
        <w:t xml:space="preserve">% vairāk </w:t>
      </w:r>
      <w:r>
        <w:t>ne</w:t>
      </w:r>
      <w:r w:rsidRPr="00FE6F7D">
        <w:t>kā 2021</w:t>
      </w:r>
      <w:r>
        <w:t>. gad</w:t>
      </w:r>
      <w:r w:rsidRPr="00FE6F7D">
        <w:t>am prognozētie nodokļu ieņēmumi.</w:t>
      </w:r>
    </w:p>
    <w:p w14:paraId="76E6D7F6" w14:textId="77777777" w:rsidR="00D96773" w:rsidRPr="00E86687" w:rsidRDefault="00D96773" w:rsidP="00D96773">
      <w:pPr>
        <w:keepNext/>
        <w:spacing w:before="240" w:after="240"/>
        <w:ind w:firstLine="0"/>
        <w:jc w:val="center"/>
        <w:rPr>
          <w:b/>
          <w:i/>
          <w:szCs w:val="24"/>
        </w:rPr>
      </w:pPr>
      <w:r w:rsidRPr="00E86687">
        <w:rPr>
          <w:b/>
          <w:i/>
          <w:szCs w:val="24"/>
        </w:rPr>
        <w:lastRenderedPageBreak/>
        <w:t>3.2</w:t>
      </w:r>
      <w:r>
        <w:rPr>
          <w:b/>
          <w:i/>
          <w:szCs w:val="24"/>
        </w:rPr>
        <w:t>. tab</w:t>
      </w:r>
      <w:r w:rsidRPr="00E86687">
        <w:rPr>
          <w:b/>
          <w:i/>
          <w:szCs w:val="24"/>
        </w:rPr>
        <w:t>ula. Kopbudžeta nodokļu ieņēmumi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6"/>
        <w:gridCol w:w="832"/>
        <w:gridCol w:w="832"/>
        <w:gridCol w:w="832"/>
        <w:gridCol w:w="765"/>
        <w:gridCol w:w="901"/>
        <w:gridCol w:w="799"/>
        <w:gridCol w:w="864"/>
        <w:gridCol w:w="830"/>
      </w:tblGrid>
      <w:tr w:rsidR="00D96773" w:rsidRPr="00E86687" w14:paraId="5229FAF7" w14:textId="77777777" w:rsidTr="00193ACF">
        <w:trPr>
          <w:cantSplit/>
          <w:trHeight w:val="20"/>
        </w:trPr>
        <w:tc>
          <w:tcPr>
            <w:tcW w:w="1328" w:type="pct"/>
            <w:vMerge w:val="restart"/>
            <w:shd w:val="clear" w:color="auto" w:fill="B8CCE4" w:themeFill="accent1" w:themeFillTint="66"/>
            <w:vAlign w:val="center"/>
            <w:hideMark/>
          </w:tcPr>
          <w:p w14:paraId="10F7F43A" w14:textId="77777777" w:rsidR="00D96773" w:rsidRPr="00E86687" w:rsidRDefault="00D96773" w:rsidP="00970743">
            <w:pPr>
              <w:keepNext/>
              <w:keepLines/>
              <w:spacing w:after="0"/>
              <w:ind w:firstLine="0"/>
              <w:jc w:val="center"/>
              <w:rPr>
                <w:b/>
                <w:bCs/>
                <w:sz w:val="18"/>
                <w:szCs w:val="18"/>
                <w:lang w:eastAsia="lv-LV"/>
              </w:rPr>
            </w:pPr>
          </w:p>
        </w:tc>
        <w:tc>
          <w:tcPr>
            <w:tcW w:w="918" w:type="pct"/>
            <w:gridSpan w:val="2"/>
            <w:shd w:val="clear" w:color="auto" w:fill="B8CCE4" w:themeFill="accent1" w:themeFillTint="66"/>
            <w:hideMark/>
          </w:tcPr>
          <w:p w14:paraId="1361124A" w14:textId="77777777" w:rsidR="00D96773" w:rsidRPr="00AC3042" w:rsidRDefault="00D96773" w:rsidP="00970743">
            <w:pPr>
              <w:keepNext/>
              <w:keepLines/>
              <w:spacing w:after="0"/>
              <w:ind w:firstLine="0"/>
              <w:jc w:val="center"/>
              <w:rPr>
                <w:b/>
                <w:bCs/>
                <w:sz w:val="18"/>
                <w:szCs w:val="18"/>
                <w:lang w:eastAsia="lv-LV"/>
              </w:rPr>
            </w:pPr>
            <w:r w:rsidRPr="00120F96">
              <w:rPr>
                <w:b/>
                <w:sz w:val="18"/>
                <w:szCs w:val="18"/>
              </w:rPr>
              <w:t>2019</w:t>
            </w:r>
          </w:p>
        </w:tc>
        <w:tc>
          <w:tcPr>
            <w:tcW w:w="881" w:type="pct"/>
            <w:gridSpan w:val="2"/>
            <w:shd w:val="clear" w:color="auto" w:fill="B8CCE4" w:themeFill="accent1" w:themeFillTint="66"/>
            <w:hideMark/>
          </w:tcPr>
          <w:p w14:paraId="0E0763B9" w14:textId="77777777" w:rsidR="00D96773" w:rsidRPr="00E86687" w:rsidRDefault="00D96773" w:rsidP="00970743">
            <w:pPr>
              <w:keepNext/>
              <w:keepLines/>
              <w:spacing w:after="0"/>
              <w:ind w:firstLine="0"/>
              <w:jc w:val="center"/>
              <w:rPr>
                <w:b/>
                <w:bCs/>
                <w:sz w:val="18"/>
                <w:szCs w:val="18"/>
                <w:lang w:eastAsia="lv-LV"/>
              </w:rPr>
            </w:pPr>
            <w:r w:rsidRPr="00E86687">
              <w:rPr>
                <w:b/>
                <w:bCs/>
                <w:sz w:val="18"/>
                <w:szCs w:val="18"/>
                <w:lang w:eastAsia="lv-LV"/>
              </w:rPr>
              <w:t>2020</w:t>
            </w:r>
          </w:p>
        </w:tc>
        <w:tc>
          <w:tcPr>
            <w:tcW w:w="938" w:type="pct"/>
            <w:gridSpan w:val="2"/>
            <w:shd w:val="clear" w:color="auto" w:fill="B8CCE4" w:themeFill="accent1" w:themeFillTint="66"/>
            <w:hideMark/>
          </w:tcPr>
          <w:p w14:paraId="4C896495" w14:textId="77777777" w:rsidR="00D96773" w:rsidRPr="00E86687" w:rsidRDefault="00D96773" w:rsidP="00970743">
            <w:pPr>
              <w:keepNext/>
              <w:keepLines/>
              <w:spacing w:after="0"/>
              <w:ind w:firstLine="0"/>
              <w:jc w:val="center"/>
              <w:rPr>
                <w:b/>
                <w:bCs/>
                <w:sz w:val="18"/>
                <w:szCs w:val="18"/>
                <w:lang w:eastAsia="lv-LV"/>
              </w:rPr>
            </w:pPr>
            <w:r w:rsidRPr="00E86687">
              <w:rPr>
                <w:b/>
                <w:sz w:val="18"/>
                <w:szCs w:val="18"/>
              </w:rPr>
              <w:t>2021</w:t>
            </w:r>
          </w:p>
        </w:tc>
        <w:tc>
          <w:tcPr>
            <w:tcW w:w="935" w:type="pct"/>
            <w:gridSpan w:val="2"/>
            <w:shd w:val="clear" w:color="auto" w:fill="B8CCE4" w:themeFill="accent1" w:themeFillTint="66"/>
            <w:hideMark/>
          </w:tcPr>
          <w:p w14:paraId="4DE480B2" w14:textId="77777777" w:rsidR="00D96773" w:rsidRPr="00E86687" w:rsidRDefault="00D96773" w:rsidP="00970743">
            <w:pPr>
              <w:keepNext/>
              <w:keepLines/>
              <w:spacing w:after="0"/>
              <w:ind w:firstLine="0"/>
              <w:jc w:val="center"/>
              <w:rPr>
                <w:b/>
                <w:bCs/>
                <w:sz w:val="18"/>
                <w:szCs w:val="18"/>
                <w:lang w:eastAsia="lv-LV"/>
              </w:rPr>
            </w:pPr>
            <w:r w:rsidRPr="00E86687">
              <w:rPr>
                <w:b/>
                <w:bCs/>
                <w:sz w:val="18"/>
                <w:szCs w:val="18"/>
                <w:lang w:eastAsia="lv-LV"/>
              </w:rPr>
              <w:t>2022</w:t>
            </w:r>
          </w:p>
        </w:tc>
      </w:tr>
      <w:tr w:rsidR="00D96773" w:rsidRPr="00E86687" w14:paraId="4F4DB195" w14:textId="77777777" w:rsidTr="00193ACF">
        <w:trPr>
          <w:cantSplit/>
          <w:trHeight w:val="20"/>
        </w:trPr>
        <w:tc>
          <w:tcPr>
            <w:tcW w:w="1328" w:type="pct"/>
            <w:vMerge/>
            <w:shd w:val="clear" w:color="auto" w:fill="B8CCE4" w:themeFill="accent1" w:themeFillTint="66"/>
            <w:vAlign w:val="center"/>
            <w:hideMark/>
          </w:tcPr>
          <w:p w14:paraId="2F8DA874" w14:textId="77777777" w:rsidR="00D96773" w:rsidRPr="00E86687" w:rsidRDefault="00D96773" w:rsidP="00970743">
            <w:pPr>
              <w:keepNext/>
              <w:keepLines/>
              <w:spacing w:after="0"/>
              <w:ind w:firstLine="0"/>
              <w:jc w:val="left"/>
              <w:rPr>
                <w:b/>
                <w:bCs/>
                <w:sz w:val="18"/>
                <w:szCs w:val="18"/>
                <w:lang w:eastAsia="lv-LV"/>
              </w:rPr>
            </w:pPr>
          </w:p>
        </w:tc>
        <w:tc>
          <w:tcPr>
            <w:tcW w:w="459" w:type="pct"/>
            <w:shd w:val="clear" w:color="auto" w:fill="B8CCE4" w:themeFill="accent1" w:themeFillTint="66"/>
            <w:hideMark/>
          </w:tcPr>
          <w:p w14:paraId="688431FF" w14:textId="77777777" w:rsidR="00D96773" w:rsidRPr="008E0375" w:rsidRDefault="00D96773" w:rsidP="00970743">
            <w:pPr>
              <w:keepNext/>
              <w:keepLines/>
              <w:spacing w:after="0"/>
              <w:ind w:firstLine="0"/>
              <w:jc w:val="center"/>
              <w:rPr>
                <w:bCs/>
                <w:sz w:val="18"/>
                <w:szCs w:val="18"/>
                <w:lang w:eastAsia="lv-LV"/>
              </w:rPr>
            </w:pPr>
            <w:r w:rsidRPr="008E0375">
              <w:rPr>
                <w:sz w:val="18"/>
                <w:szCs w:val="18"/>
              </w:rPr>
              <w:t>milj.</w:t>
            </w:r>
            <w:r w:rsidRPr="008E0375">
              <w:rPr>
                <w:sz w:val="18"/>
                <w:szCs w:val="18"/>
              </w:rPr>
              <w:br/>
            </w:r>
            <w:proofErr w:type="spellStart"/>
            <w:r w:rsidRPr="008E0375">
              <w:rPr>
                <w:i/>
                <w:sz w:val="18"/>
                <w:szCs w:val="18"/>
              </w:rPr>
              <w:t>euro</w:t>
            </w:r>
            <w:proofErr w:type="spellEnd"/>
          </w:p>
        </w:tc>
        <w:tc>
          <w:tcPr>
            <w:tcW w:w="459" w:type="pct"/>
            <w:shd w:val="clear" w:color="auto" w:fill="B8CCE4" w:themeFill="accent1" w:themeFillTint="66"/>
            <w:hideMark/>
          </w:tcPr>
          <w:p w14:paraId="327EE4E5" w14:textId="77777777" w:rsidR="00D96773" w:rsidRPr="008E0375" w:rsidRDefault="00D96773" w:rsidP="00970743">
            <w:pPr>
              <w:keepNext/>
              <w:keepLines/>
              <w:spacing w:after="0"/>
              <w:ind w:firstLine="0"/>
              <w:jc w:val="center"/>
              <w:rPr>
                <w:bCs/>
                <w:sz w:val="18"/>
                <w:szCs w:val="18"/>
                <w:lang w:eastAsia="lv-LV"/>
              </w:rPr>
            </w:pPr>
            <w:r w:rsidRPr="008E0375">
              <w:rPr>
                <w:sz w:val="18"/>
                <w:szCs w:val="18"/>
              </w:rPr>
              <w:t>% no IKP</w:t>
            </w:r>
          </w:p>
        </w:tc>
        <w:tc>
          <w:tcPr>
            <w:tcW w:w="459" w:type="pct"/>
            <w:shd w:val="clear" w:color="auto" w:fill="B8CCE4" w:themeFill="accent1" w:themeFillTint="66"/>
            <w:hideMark/>
          </w:tcPr>
          <w:p w14:paraId="491FF630" w14:textId="77777777" w:rsidR="00D96773" w:rsidRPr="008E0375" w:rsidRDefault="00D96773" w:rsidP="00970743">
            <w:pPr>
              <w:keepNext/>
              <w:keepLines/>
              <w:spacing w:after="0"/>
              <w:ind w:firstLine="0"/>
              <w:jc w:val="center"/>
              <w:rPr>
                <w:bCs/>
                <w:sz w:val="18"/>
                <w:szCs w:val="18"/>
                <w:lang w:eastAsia="lv-LV"/>
              </w:rPr>
            </w:pPr>
            <w:r w:rsidRPr="008E0375">
              <w:rPr>
                <w:sz w:val="18"/>
                <w:szCs w:val="18"/>
              </w:rPr>
              <w:t>milj.</w:t>
            </w:r>
            <w:r w:rsidRPr="008E0375">
              <w:rPr>
                <w:sz w:val="18"/>
                <w:szCs w:val="18"/>
              </w:rPr>
              <w:br/>
            </w:r>
            <w:proofErr w:type="spellStart"/>
            <w:r w:rsidRPr="008E0375">
              <w:rPr>
                <w:i/>
                <w:sz w:val="18"/>
                <w:szCs w:val="18"/>
              </w:rPr>
              <w:t>euro</w:t>
            </w:r>
            <w:proofErr w:type="spellEnd"/>
          </w:p>
        </w:tc>
        <w:tc>
          <w:tcPr>
            <w:tcW w:w="422" w:type="pct"/>
            <w:shd w:val="clear" w:color="auto" w:fill="B8CCE4" w:themeFill="accent1" w:themeFillTint="66"/>
            <w:hideMark/>
          </w:tcPr>
          <w:p w14:paraId="6A3476D6" w14:textId="77777777" w:rsidR="00D96773" w:rsidRPr="008E0375" w:rsidRDefault="00D96773" w:rsidP="00970743">
            <w:pPr>
              <w:keepNext/>
              <w:keepLines/>
              <w:spacing w:after="0"/>
              <w:ind w:firstLine="0"/>
              <w:jc w:val="center"/>
              <w:rPr>
                <w:bCs/>
                <w:sz w:val="18"/>
                <w:szCs w:val="18"/>
                <w:lang w:eastAsia="lv-LV"/>
              </w:rPr>
            </w:pPr>
            <w:r w:rsidRPr="008E0375">
              <w:rPr>
                <w:sz w:val="18"/>
                <w:szCs w:val="18"/>
              </w:rPr>
              <w:t>% no IKP</w:t>
            </w:r>
          </w:p>
        </w:tc>
        <w:tc>
          <w:tcPr>
            <w:tcW w:w="497" w:type="pct"/>
            <w:shd w:val="clear" w:color="auto" w:fill="B8CCE4" w:themeFill="accent1" w:themeFillTint="66"/>
            <w:hideMark/>
          </w:tcPr>
          <w:p w14:paraId="79BFE30E" w14:textId="77777777" w:rsidR="00D96773" w:rsidRPr="008E0375" w:rsidRDefault="00D96773" w:rsidP="00970743">
            <w:pPr>
              <w:keepNext/>
              <w:keepLines/>
              <w:spacing w:after="0"/>
              <w:ind w:firstLine="0"/>
              <w:jc w:val="center"/>
              <w:rPr>
                <w:bCs/>
                <w:sz w:val="18"/>
                <w:szCs w:val="18"/>
                <w:lang w:eastAsia="lv-LV"/>
              </w:rPr>
            </w:pPr>
            <w:r w:rsidRPr="008E0375">
              <w:rPr>
                <w:sz w:val="18"/>
                <w:szCs w:val="18"/>
              </w:rPr>
              <w:t>milj.</w:t>
            </w:r>
            <w:r w:rsidRPr="008E0375">
              <w:rPr>
                <w:sz w:val="18"/>
                <w:szCs w:val="18"/>
              </w:rPr>
              <w:br/>
            </w:r>
            <w:proofErr w:type="spellStart"/>
            <w:r w:rsidRPr="008E0375">
              <w:rPr>
                <w:i/>
                <w:sz w:val="18"/>
                <w:szCs w:val="18"/>
              </w:rPr>
              <w:t>euro</w:t>
            </w:r>
            <w:proofErr w:type="spellEnd"/>
          </w:p>
        </w:tc>
        <w:tc>
          <w:tcPr>
            <w:tcW w:w="441" w:type="pct"/>
            <w:shd w:val="clear" w:color="auto" w:fill="B8CCE4" w:themeFill="accent1" w:themeFillTint="66"/>
            <w:hideMark/>
          </w:tcPr>
          <w:p w14:paraId="51767ED4" w14:textId="77777777" w:rsidR="00D96773" w:rsidRPr="008E0375" w:rsidRDefault="00D96773" w:rsidP="00970743">
            <w:pPr>
              <w:keepNext/>
              <w:keepLines/>
              <w:spacing w:after="0"/>
              <w:ind w:firstLine="0"/>
              <w:jc w:val="center"/>
              <w:rPr>
                <w:bCs/>
                <w:sz w:val="18"/>
                <w:szCs w:val="18"/>
                <w:lang w:eastAsia="lv-LV"/>
              </w:rPr>
            </w:pPr>
            <w:r w:rsidRPr="008E0375">
              <w:rPr>
                <w:sz w:val="18"/>
                <w:szCs w:val="18"/>
              </w:rPr>
              <w:t>% no IKP</w:t>
            </w:r>
          </w:p>
        </w:tc>
        <w:tc>
          <w:tcPr>
            <w:tcW w:w="477" w:type="pct"/>
            <w:shd w:val="clear" w:color="auto" w:fill="B8CCE4" w:themeFill="accent1" w:themeFillTint="66"/>
            <w:hideMark/>
          </w:tcPr>
          <w:p w14:paraId="49EC76D6" w14:textId="77777777" w:rsidR="00D96773" w:rsidRPr="008E0375" w:rsidRDefault="00D96773" w:rsidP="00970743">
            <w:pPr>
              <w:keepNext/>
              <w:keepLines/>
              <w:spacing w:after="0"/>
              <w:ind w:firstLine="0"/>
              <w:jc w:val="center"/>
              <w:rPr>
                <w:bCs/>
                <w:sz w:val="18"/>
                <w:szCs w:val="18"/>
                <w:lang w:eastAsia="lv-LV"/>
              </w:rPr>
            </w:pPr>
            <w:r w:rsidRPr="008E0375">
              <w:rPr>
                <w:sz w:val="18"/>
                <w:szCs w:val="18"/>
              </w:rPr>
              <w:t>milj.</w:t>
            </w:r>
            <w:r w:rsidRPr="008E0375">
              <w:rPr>
                <w:sz w:val="18"/>
                <w:szCs w:val="18"/>
              </w:rPr>
              <w:br/>
            </w:r>
            <w:proofErr w:type="spellStart"/>
            <w:r w:rsidRPr="008E0375">
              <w:rPr>
                <w:i/>
                <w:sz w:val="18"/>
                <w:szCs w:val="18"/>
              </w:rPr>
              <w:t>euro</w:t>
            </w:r>
            <w:proofErr w:type="spellEnd"/>
          </w:p>
        </w:tc>
        <w:tc>
          <w:tcPr>
            <w:tcW w:w="458" w:type="pct"/>
            <w:shd w:val="clear" w:color="auto" w:fill="B8CCE4" w:themeFill="accent1" w:themeFillTint="66"/>
            <w:hideMark/>
          </w:tcPr>
          <w:p w14:paraId="0F97D832" w14:textId="77777777" w:rsidR="00D96773" w:rsidRPr="008E0375" w:rsidRDefault="00D96773" w:rsidP="00970743">
            <w:pPr>
              <w:keepNext/>
              <w:keepLines/>
              <w:spacing w:after="0"/>
              <w:ind w:firstLine="0"/>
              <w:jc w:val="center"/>
              <w:rPr>
                <w:bCs/>
                <w:sz w:val="18"/>
                <w:szCs w:val="18"/>
                <w:lang w:eastAsia="lv-LV"/>
              </w:rPr>
            </w:pPr>
            <w:r w:rsidRPr="008E0375">
              <w:rPr>
                <w:sz w:val="18"/>
                <w:szCs w:val="18"/>
              </w:rPr>
              <w:t>% no IKP</w:t>
            </w:r>
          </w:p>
        </w:tc>
      </w:tr>
      <w:tr w:rsidR="00D96773" w:rsidRPr="00E86687" w14:paraId="2AEC8FF5" w14:textId="77777777" w:rsidTr="00193ACF">
        <w:trPr>
          <w:cantSplit/>
          <w:trHeight w:val="20"/>
        </w:trPr>
        <w:tc>
          <w:tcPr>
            <w:tcW w:w="1328" w:type="pct"/>
            <w:vMerge/>
            <w:shd w:val="clear" w:color="auto" w:fill="B8CCE4" w:themeFill="accent1" w:themeFillTint="66"/>
            <w:vAlign w:val="center"/>
          </w:tcPr>
          <w:p w14:paraId="72A27C8A" w14:textId="77777777" w:rsidR="00D96773" w:rsidRPr="00E86687" w:rsidRDefault="00D96773" w:rsidP="00970743">
            <w:pPr>
              <w:keepNext/>
              <w:keepLines/>
              <w:spacing w:after="0"/>
              <w:ind w:firstLine="0"/>
              <w:jc w:val="left"/>
              <w:rPr>
                <w:b/>
                <w:bCs/>
                <w:sz w:val="18"/>
                <w:szCs w:val="18"/>
                <w:lang w:eastAsia="lv-LV"/>
              </w:rPr>
            </w:pPr>
          </w:p>
        </w:tc>
        <w:tc>
          <w:tcPr>
            <w:tcW w:w="1799" w:type="pct"/>
            <w:gridSpan w:val="4"/>
            <w:shd w:val="clear" w:color="auto" w:fill="B8CCE4" w:themeFill="accent1" w:themeFillTint="66"/>
          </w:tcPr>
          <w:p w14:paraId="5E90AB0C" w14:textId="77777777" w:rsidR="00D96773" w:rsidRPr="00AC3042" w:rsidRDefault="00D96773" w:rsidP="00970743">
            <w:pPr>
              <w:keepNext/>
              <w:keepLines/>
              <w:spacing w:after="0"/>
              <w:ind w:firstLine="0"/>
              <w:jc w:val="center"/>
              <w:rPr>
                <w:bCs/>
                <w:sz w:val="18"/>
                <w:szCs w:val="18"/>
                <w:lang w:eastAsia="lv-LV"/>
              </w:rPr>
            </w:pPr>
            <w:r w:rsidRPr="00120F96">
              <w:rPr>
                <w:sz w:val="18"/>
                <w:szCs w:val="18"/>
              </w:rPr>
              <w:t>fakts</w:t>
            </w:r>
          </w:p>
        </w:tc>
        <w:tc>
          <w:tcPr>
            <w:tcW w:w="938" w:type="pct"/>
            <w:gridSpan w:val="2"/>
            <w:shd w:val="clear" w:color="auto" w:fill="B8CCE4" w:themeFill="accent1" w:themeFillTint="66"/>
          </w:tcPr>
          <w:p w14:paraId="6EFEE15E" w14:textId="77777777" w:rsidR="00D96773" w:rsidRPr="00E86687" w:rsidRDefault="00D96773" w:rsidP="00970743">
            <w:pPr>
              <w:keepNext/>
              <w:keepLines/>
              <w:spacing w:after="0"/>
              <w:ind w:firstLine="0"/>
              <w:jc w:val="center"/>
              <w:rPr>
                <w:bCs/>
                <w:sz w:val="18"/>
                <w:szCs w:val="18"/>
                <w:lang w:eastAsia="lv-LV"/>
              </w:rPr>
            </w:pPr>
            <w:r w:rsidRPr="00E86687">
              <w:rPr>
                <w:bCs/>
                <w:sz w:val="18"/>
                <w:szCs w:val="18"/>
                <w:lang w:eastAsia="lv-LV"/>
              </w:rPr>
              <w:t>prognoze</w:t>
            </w:r>
          </w:p>
        </w:tc>
        <w:tc>
          <w:tcPr>
            <w:tcW w:w="935" w:type="pct"/>
            <w:gridSpan w:val="2"/>
            <w:shd w:val="clear" w:color="auto" w:fill="B8CCE4" w:themeFill="accent1" w:themeFillTint="66"/>
          </w:tcPr>
          <w:p w14:paraId="4318D693" w14:textId="77777777" w:rsidR="00D96773" w:rsidRPr="00AC3042" w:rsidRDefault="00D96773" w:rsidP="00970743">
            <w:pPr>
              <w:keepNext/>
              <w:keepLines/>
              <w:spacing w:after="0"/>
              <w:ind w:firstLine="0"/>
              <w:jc w:val="center"/>
              <w:rPr>
                <w:bCs/>
                <w:sz w:val="18"/>
                <w:szCs w:val="18"/>
                <w:lang w:eastAsia="lv-LV"/>
              </w:rPr>
            </w:pPr>
            <w:r w:rsidRPr="00E86687">
              <w:rPr>
                <w:bCs/>
                <w:sz w:val="18"/>
                <w:szCs w:val="18"/>
                <w:lang w:eastAsia="lv-LV"/>
              </w:rPr>
              <w:t>plāns</w:t>
            </w:r>
            <w:r w:rsidRPr="00120F96">
              <w:rPr>
                <w:bCs/>
                <w:sz w:val="18"/>
                <w:szCs w:val="18"/>
                <w:vertAlign w:val="superscript"/>
                <w:lang w:eastAsia="lv-LV"/>
              </w:rPr>
              <w:t>4</w:t>
            </w:r>
          </w:p>
        </w:tc>
      </w:tr>
      <w:tr w:rsidR="00D96773" w:rsidRPr="00E86687" w14:paraId="41FF36C0" w14:textId="77777777" w:rsidTr="00970743">
        <w:trPr>
          <w:cantSplit/>
          <w:trHeight w:val="20"/>
        </w:trPr>
        <w:tc>
          <w:tcPr>
            <w:tcW w:w="1328" w:type="pct"/>
            <w:shd w:val="clear" w:color="auto" w:fill="auto"/>
            <w:vAlign w:val="center"/>
            <w:hideMark/>
          </w:tcPr>
          <w:p w14:paraId="505B7994" w14:textId="77777777" w:rsidR="00D96773" w:rsidRPr="009F4A71" w:rsidRDefault="00D96773" w:rsidP="00970743">
            <w:pPr>
              <w:keepNext/>
              <w:keepLines/>
              <w:spacing w:after="0"/>
              <w:ind w:firstLine="0"/>
              <w:jc w:val="left"/>
              <w:rPr>
                <w:bCs/>
                <w:sz w:val="18"/>
                <w:szCs w:val="18"/>
                <w:lang w:eastAsia="lv-LV"/>
              </w:rPr>
            </w:pPr>
            <w:r w:rsidRPr="009F4A71">
              <w:rPr>
                <w:bCs/>
                <w:sz w:val="18"/>
                <w:szCs w:val="18"/>
                <w:lang w:eastAsia="lv-LV"/>
              </w:rPr>
              <w:t>Kopā</w:t>
            </w:r>
            <w:r w:rsidRPr="009F4A71">
              <w:rPr>
                <w:sz w:val="18"/>
                <w:szCs w:val="18"/>
                <w:lang w:eastAsia="lv-LV"/>
              </w:rPr>
              <w:t>, t. sk.:</w:t>
            </w:r>
          </w:p>
        </w:tc>
        <w:tc>
          <w:tcPr>
            <w:tcW w:w="459" w:type="pct"/>
            <w:shd w:val="clear" w:color="auto" w:fill="auto"/>
            <w:hideMark/>
          </w:tcPr>
          <w:p w14:paraId="6053F8DB" w14:textId="77777777" w:rsidR="00D96773" w:rsidRPr="009F4A71" w:rsidRDefault="00D96773" w:rsidP="00970743">
            <w:pPr>
              <w:keepNext/>
              <w:keepLines/>
              <w:tabs>
                <w:tab w:val="decimal" w:pos="596"/>
              </w:tabs>
              <w:spacing w:after="0"/>
              <w:ind w:firstLine="0"/>
              <w:jc w:val="right"/>
              <w:rPr>
                <w:sz w:val="18"/>
                <w:szCs w:val="18"/>
              </w:rPr>
            </w:pPr>
            <w:r w:rsidRPr="009F4A71">
              <w:rPr>
                <w:sz w:val="18"/>
                <w:szCs w:val="18"/>
              </w:rPr>
              <w:t>9 057,3</w:t>
            </w:r>
          </w:p>
        </w:tc>
        <w:tc>
          <w:tcPr>
            <w:tcW w:w="459" w:type="pct"/>
            <w:shd w:val="clear" w:color="auto" w:fill="auto"/>
            <w:hideMark/>
          </w:tcPr>
          <w:p w14:paraId="107EDE73" w14:textId="77777777" w:rsidR="00D96773" w:rsidRPr="009F4A71" w:rsidRDefault="00D96773" w:rsidP="00970743">
            <w:pPr>
              <w:keepNext/>
              <w:keepLines/>
              <w:tabs>
                <w:tab w:val="decimal" w:pos="315"/>
              </w:tabs>
              <w:spacing w:after="0"/>
              <w:ind w:firstLine="0"/>
              <w:jc w:val="right"/>
              <w:rPr>
                <w:sz w:val="18"/>
                <w:szCs w:val="18"/>
              </w:rPr>
            </w:pPr>
            <w:r w:rsidRPr="009F4A71">
              <w:rPr>
                <w:sz w:val="18"/>
                <w:szCs w:val="18"/>
              </w:rPr>
              <w:t>29,8</w:t>
            </w:r>
          </w:p>
        </w:tc>
        <w:tc>
          <w:tcPr>
            <w:tcW w:w="459" w:type="pct"/>
            <w:shd w:val="clear" w:color="auto" w:fill="auto"/>
            <w:hideMark/>
          </w:tcPr>
          <w:p w14:paraId="6E28A30A" w14:textId="77777777" w:rsidR="00D96773" w:rsidRPr="009F4A71" w:rsidRDefault="00D96773" w:rsidP="00970743">
            <w:pPr>
              <w:keepNext/>
              <w:keepLines/>
              <w:tabs>
                <w:tab w:val="decimal" w:pos="596"/>
              </w:tabs>
              <w:spacing w:after="0"/>
              <w:ind w:firstLine="0"/>
              <w:jc w:val="right"/>
              <w:rPr>
                <w:sz w:val="18"/>
                <w:szCs w:val="18"/>
              </w:rPr>
            </w:pPr>
            <w:r w:rsidRPr="009F4A71">
              <w:rPr>
                <w:sz w:val="18"/>
                <w:szCs w:val="18"/>
              </w:rPr>
              <w:t>9 006,5</w:t>
            </w:r>
          </w:p>
        </w:tc>
        <w:tc>
          <w:tcPr>
            <w:tcW w:w="422" w:type="pct"/>
            <w:shd w:val="clear" w:color="auto" w:fill="auto"/>
            <w:hideMark/>
          </w:tcPr>
          <w:p w14:paraId="2803987E" w14:textId="77777777" w:rsidR="00D96773" w:rsidRPr="009F4A71" w:rsidRDefault="00D96773" w:rsidP="00970743">
            <w:pPr>
              <w:keepNext/>
              <w:keepLines/>
              <w:tabs>
                <w:tab w:val="decimal" w:pos="315"/>
              </w:tabs>
              <w:spacing w:after="0"/>
              <w:ind w:firstLine="0"/>
              <w:jc w:val="right"/>
              <w:rPr>
                <w:sz w:val="18"/>
                <w:szCs w:val="18"/>
              </w:rPr>
            </w:pPr>
            <w:r w:rsidRPr="009F4A71">
              <w:rPr>
                <w:sz w:val="18"/>
                <w:szCs w:val="18"/>
              </w:rPr>
              <w:t>30,7</w:t>
            </w:r>
          </w:p>
        </w:tc>
        <w:tc>
          <w:tcPr>
            <w:tcW w:w="497" w:type="pct"/>
            <w:shd w:val="clear" w:color="auto" w:fill="auto"/>
            <w:hideMark/>
          </w:tcPr>
          <w:p w14:paraId="2CFDD5F1" w14:textId="77777777" w:rsidR="00D96773" w:rsidRPr="009F4A71" w:rsidRDefault="00D96773" w:rsidP="00970743">
            <w:pPr>
              <w:keepNext/>
              <w:keepLines/>
              <w:tabs>
                <w:tab w:val="decimal" w:pos="596"/>
              </w:tabs>
              <w:spacing w:after="0"/>
              <w:ind w:firstLine="0"/>
              <w:jc w:val="right"/>
              <w:rPr>
                <w:sz w:val="18"/>
                <w:szCs w:val="18"/>
              </w:rPr>
            </w:pPr>
            <w:r w:rsidRPr="009F4A71">
              <w:rPr>
                <w:sz w:val="18"/>
                <w:szCs w:val="18"/>
              </w:rPr>
              <w:t>9 327,8</w:t>
            </w:r>
          </w:p>
        </w:tc>
        <w:tc>
          <w:tcPr>
            <w:tcW w:w="441" w:type="pct"/>
            <w:shd w:val="clear" w:color="auto" w:fill="auto"/>
            <w:hideMark/>
          </w:tcPr>
          <w:p w14:paraId="210552EC" w14:textId="77777777" w:rsidR="00D96773" w:rsidRPr="009F4A71" w:rsidRDefault="00D96773" w:rsidP="00970743">
            <w:pPr>
              <w:keepNext/>
              <w:keepLines/>
              <w:tabs>
                <w:tab w:val="decimal" w:pos="315"/>
              </w:tabs>
              <w:spacing w:after="0"/>
              <w:ind w:firstLine="0"/>
              <w:jc w:val="right"/>
              <w:rPr>
                <w:sz w:val="18"/>
                <w:szCs w:val="18"/>
              </w:rPr>
            </w:pPr>
            <w:r w:rsidRPr="009F4A71">
              <w:rPr>
                <w:sz w:val="18"/>
                <w:szCs w:val="18"/>
              </w:rPr>
              <w:t>29,7</w:t>
            </w:r>
          </w:p>
        </w:tc>
        <w:tc>
          <w:tcPr>
            <w:tcW w:w="477" w:type="pct"/>
            <w:shd w:val="clear" w:color="auto" w:fill="auto"/>
            <w:hideMark/>
          </w:tcPr>
          <w:p w14:paraId="644AEF70" w14:textId="77777777" w:rsidR="00D96773" w:rsidRPr="009F4A71" w:rsidRDefault="00D96773" w:rsidP="00970743">
            <w:pPr>
              <w:keepNext/>
              <w:keepLines/>
              <w:tabs>
                <w:tab w:val="decimal" w:pos="596"/>
              </w:tabs>
              <w:spacing w:after="0"/>
              <w:ind w:firstLine="0"/>
              <w:jc w:val="right"/>
              <w:rPr>
                <w:bCs/>
                <w:sz w:val="18"/>
                <w:szCs w:val="18"/>
              </w:rPr>
            </w:pPr>
            <w:r w:rsidRPr="009F4A71">
              <w:rPr>
                <w:sz w:val="18"/>
                <w:szCs w:val="18"/>
              </w:rPr>
              <w:t>10 181,2</w:t>
            </w:r>
          </w:p>
        </w:tc>
        <w:tc>
          <w:tcPr>
            <w:tcW w:w="458" w:type="pct"/>
            <w:shd w:val="clear" w:color="auto" w:fill="auto"/>
            <w:hideMark/>
          </w:tcPr>
          <w:p w14:paraId="29D0955F" w14:textId="77777777" w:rsidR="00D96773" w:rsidRPr="009F4A71" w:rsidRDefault="00D96773" w:rsidP="00970743">
            <w:pPr>
              <w:keepNext/>
              <w:keepLines/>
              <w:tabs>
                <w:tab w:val="decimal" w:pos="315"/>
              </w:tabs>
              <w:spacing w:after="0"/>
              <w:ind w:firstLine="0"/>
              <w:jc w:val="right"/>
              <w:rPr>
                <w:bCs/>
                <w:sz w:val="18"/>
                <w:szCs w:val="18"/>
              </w:rPr>
            </w:pPr>
            <w:r w:rsidRPr="009F4A71">
              <w:rPr>
                <w:sz w:val="18"/>
                <w:szCs w:val="18"/>
              </w:rPr>
              <w:t>29,9</w:t>
            </w:r>
          </w:p>
        </w:tc>
      </w:tr>
      <w:tr w:rsidR="00D96773" w:rsidRPr="00E86687" w14:paraId="74C051B2" w14:textId="77777777" w:rsidTr="00970743">
        <w:trPr>
          <w:cantSplit/>
          <w:trHeight w:val="20"/>
        </w:trPr>
        <w:tc>
          <w:tcPr>
            <w:tcW w:w="1328" w:type="pct"/>
            <w:shd w:val="clear" w:color="auto" w:fill="auto"/>
            <w:vAlign w:val="center"/>
            <w:hideMark/>
          </w:tcPr>
          <w:p w14:paraId="76E44A66" w14:textId="77777777" w:rsidR="00D96773" w:rsidRPr="00120F96" w:rsidRDefault="00D96773" w:rsidP="00970743">
            <w:pPr>
              <w:keepNext/>
              <w:keepLines/>
              <w:spacing w:after="0"/>
              <w:ind w:firstLine="454"/>
              <w:jc w:val="left"/>
              <w:rPr>
                <w:i/>
                <w:sz w:val="18"/>
                <w:szCs w:val="18"/>
                <w:lang w:eastAsia="lv-LV"/>
              </w:rPr>
            </w:pPr>
            <w:r w:rsidRPr="00120F96">
              <w:rPr>
                <w:i/>
                <w:sz w:val="18"/>
                <w:szCs w:val="18"/>
                <w:lang w:eastAsia="lv-LV"/>
              </w:rPr>
              <w:t>Tiešie nodokļi</w:t>
            </w:r>
            <w:r w:rsidRPr="00E86687">
              <w:rPr>
                <w:i/>
                <w:sz w:val="18"/>
                <w:szCs w:val="18"/>
                <w:vertAlign w:val="superscript"/>
                <w:lang w:eastAsia="lv-LV"/>
              </w:rPr>
              <w:t>1</w:t>
            </w:r>
          </w:p>
        </w:tc>
        <w:tc>
          <w:tcPr>
            <w:tcW w:w="459" w:type="pct"/>
            <w:shd w:val="clear" w:color="auto" w:fill="auto"/>
            <w:hideMark/>
          </w:tcPr>
          <w:p w14:paraId="2F07256A" w14:textId="77777777" w:rsidR="00D96773" w:rsidRPr="00E86687" w:rsidRDefault="00D96773" w:rsidP="00970743">
            <w:pPr>
              <w:keepNext/>
              <w:keepLines/>
              <w:tabs>
                <w:tab w:val="decimal" w:pos="596"/>
              </w:tabs>
              <w:spacing w:after="0"/>
              <w:ind w:firstLine="0"/>
              <w:jc w:val="right"/>
              <w:rPr>
                <w:i/>
                <w:iCs/>
                <w:sz w:val="18"/>
                <w:szCs w:val="18"/>
              </w:rPr>
            </w:pPr>
            <w:r w:rsidRPr="00AC3042">
              <w:rPr>
                <w:i/>
                <w:iCs/>
                <w:sz w:val="18"/>
                <w:szCs w:val="18"/>
              </w:rPr>
              <w:t>5 096,5</w:t>
            </w:r>
          </w:p>
        </w:tc>
        <w:tc>
          <w:tcPr>
            <w:tcW w:w="459" w:type="pct"/>
            <w:shd w:val="clear" w:color="auto" w:fill="auto"/>
            <w:hideMark/>
          </w:tcPr>
          <w:p w14:paraId="40331ED0" w14:textId="77777777" w:rsidR="00D96773" w:rsidRPr="00E86687" w:rsidRDefault="00D96773" w:rsidP="00970743">
            <w:pPr>
              <w:keepNext/>
              <w:keepLines/>
              <w:tabs>
                <w:tab w:val="decimal" w:pos="315"/>
              </w:tabs>
              <w:spacing w:after="0"/>
              <w:ind w:firstLine="0"/>
              <w:jc w:val="right"/>
              <w:rPr>
                <w:i/>
                <w:iCs/>
                <w:sz w:val="18"/>
                <w:szCs w:val="18"/>
              </w:rPr>
            </w:pPr>
            <w:r w:rsidRPr="00E86687">
              <w:rPr>
                <w:i/>
                <w:iCs/>
                <w:sz w:val="18"/>
                <w:szCs w:val="18"/>
              </w:rPr>
              <w:t>16,8</w:t>
            </w:r>
          </w:p>
        </w:tc>
        <w:tc>
          <w:tcPr>
            <w:tcW w:w="459" w:type="pct"/>
            <w:shd w:val="clear" w:color="auto" w:fill="auto"/>
            <w:hideMark/>
          </w:tcPr>
          <w:p w14:paraId="0431DA19" w14:textId="77777777" w:rsidR="00D96773" w:rsidRPr="00E86687" w:rsidRDefault="00D96773" w:rsidP="00970743">
            <w:pPr>
              <w:keepNext/>
              <w:keepLines/>
              <w:tabs>
                <w:tab w:val="decimal" w:pos="596"/>
              </w:tabs>
              <w:spacing w:after="0"/>
              <w:ind w:firstLine="0"/>
              <w:jc w:val="right"/>
              <w:rPr>
                <w:i/>
                <w:iCs/>
                <w:sz w:val="18"/>
                <w:szCs w:val="18"/>
              </w:rPr>
            </w:pPr>
            <w:r w:rsidRPr="00E86687">
              <w:rPr>
                <w:i/>
                <w:iCs/>
                <w:sz w:val="18"/>
                <w:szCs w:val="18"/>
              </w:rPr>
              <w:t>5 162,5</w:t>
            </w:r>
          </w:p>
        </w:tc>
        <w:tc>
          <w:tcPr>
            <w:tcW w:w="422" w:type="pct"/>
            <w:shd w:val="clear" w:color="auto" w:fill="auto"/>
            <w:hideMark/>
          </w:tcPr>
          <w:p w14:paraId="07889DF8" w14:textId="77777777" w:rsidR="00D96773" w:rsidRPr="00E86687" w:rsidRDefault="00D96773" w:rsidP="00970743">
            <w:pPr>
              <w:keepNext/>
              <w:keepLines/>
              <w:tabs>
                <w:tab w:val="decimal" w:pos="315"/>
              </w:tabs>
              <w:spacing w:after="0"/>
              <w:ind w:firstLine="0"/>
              <w:jc w:val="right"/>
              <w:rPr>
                <w:i/>
                <w:iCs/>
                <w:sz w:val="18"/>
                <w:szCs w:val="18"/>
              </w:rPr>
            </w:pPr>
            <w:r w:rsidRPr="00E86687">
              <w:rPr>
                <w:i/>
                <w:iCs/>
                <w:sz w:val="18"/>
                <w:szCs w:val="18"/>
              </w:rPr>
              <w:t>17,6</w:t>
            </w:r>
          </w:p>
        </w:tc>
        <w:tc>
          <w:tcPr>
            <w:tcW w:w="497" w:type="pct"/>
            <w:shd w:val="clear" w:color="auto" w:fill="auto"/>
            <w:hideMark/>
          </w:tcPr>
          <w:p w14:paraId="1F20DF01" w14:textId="77777777" w:rsidR="00D96773" w:rsidRPr="00E86687" w:rsidRDefault="00D96773" w:rsidP="00970743">
            <w:pPr>
              <w:keepNext/>
              <w:keepLines/>
              <w:tabs>
                <w:tab w:val="decimal" w:pos="596"/>
              </w:tabs>
              <w:spacing w:after="0"/>
              <w:ind w:firstLine="0"/>
              <w:jc w:val="right"/>
              <w:rPr>
                <w:i/>
                <w:iCs/>
                <w:sz w:val="18"/>
                <w:szCs w:val="18"/>
              </w:rPr>
            </w:pPr>
            <w:r w:rsidRPr="00E86687">
              <w:rPr>
                <w:i/>
                <w:iCs/>
                <w:sz w:val="18"/>
                <w:szCs w:val="18"/>
              </w:rPr>
              <w:t>5 146,8</w:t>
            </w:r>
          </w:p>
        </w:tc>
        <w:tc>
          <w:tcPr>
            <w:tcW w:w="441" w:type="pct"/>
            <w:shd w:val="clear" w:color="auto" w:fill="auto"/>
            <w:hideMark/>
          </w:tcPr>
          <w:p w14:paraId="4B17EDC6" w14:textId="77777777" w:rsidR="00D96773" w:rsidRPr="00E86687" w:rsidRDefault="00D96773" w:rsidP="00970743">
            <w:pPr>
              <w:keepNext/>
              <w:keepLines/>
              <w:tabs>
                <w:tab w:val="decimal" w:pos="315"/>
              </w:tabs>
              <w:spacing w:after="0"/>
              <w:ind w:firstLine="0"/>
              <w:jc w:val="right"/>
              <w:rPr>
                <w:i/>
                <w:iCs/>
                <w:sz w:val="18"/>
                <w:szCs w:val="18"/>
              </w:rPr>
            </w:pPr>
            <w:r w:rsidRPr="00E86687">
              <w:rPr>
                <w:i/>
                <w:iCs/>
                <w:sz w:val="18"/>
                <w:szCs w:val="18"/>
              </w:rPr>
              <w:t>16,4</w:t>
            </w:r>
          </w:p>
        </w:tc>
        <w:tc>
          <w:tcPr>
            <w:tcW w:w="477" w:type="pct"/>
            <w:shd w:val="clear" w:color="auto" w:fill="auto"/>
            <w:hideMark/>
          </w:tcPr>
          <w:p w14:paraId="7009988C" w14:textId="77777777" w:rsidR="00D96773" w:rsidRPr="00EB2728" w:rsidRDefault="00D96773" w:rsidP="00970743">
            <w:pPr>
              <w:keepNext/>
              <w:keepLines/>
              <w:tabs>
                <w:tab w:val="decimal" w:pos="596"/>
              </w:tabs>
              <w:spacing w:after="0"/>
              <w:ind w:firstLine="0"/>
              <w:jc w:val="right"/>
              <w:rPr>
                <w:i/>
                <w:iCs/>
                <w:sz w:val="18"/>
                <w:szCs w:val="18"/>
              </w:rPr>
            </w:pPr>
            <w:r w:rsidRPr="00EB2728">
              <w:rPr>
                <w:i/>
                <w:sz w:val="18"/>
                <w:szCs w:val="18"/>
              </w:rPr>
              <w:t>5 658,6</w:t>
            </w:r>
          </w:p>
        </w:tc>
        <w:tc>
          <w:tcPr>
            <w:tcW w:w="458" w:type="pct"/>
            <w:shd w:val="clear" w:color="auto" w:fill="auto"/>
            <w:hideMark/>
          </w:tcPr>
          <w:p w14:paraId="3B2E27F9" w14:textId="77777777" w:rsidR="00D96773" w:rsidRPr="00EB2728" w:rsidRDefault="00D96773" w:rsidP="00970743">
            <w:pPr>
              <w:keepNext/>
              <w:keepLines/>
              <w:tabs>
                <w:tab w:val="decimal" w:pos="315"/>
              </w:tabs>
              <w:spacing w:after="0"/>
              <w:ind w:firstLine="0"/>
              <w:jc w:val="right"/>
              <w:rPr>
                <w:i/>
                <w:iCs/>
                <w:sz w:val="18"/>
                <w:szCs w:val="18"/>
              </w:rPr>
            </w:pPr>
            <w:r w:rsidRPr="00EB2728">
              <w:rPr>
                <w:i/>
                <w:sz w:val="18"/>
                <w:szCs w:val="18"/>
              </w:rPr>
              <w:t>16,6</w:t>
            </w:r>
          </w:p>
        </w:tc>
      </w:tr>
      <w:tr w:rsidR="00D96773" w:rsidRPr="00E86687" w14:paraId="1A2C56E6" w14:textId="77777777" w:rsidTr="00970743">
        <w:trPr>
          <w:cantSplit/>
          <w:trHeight w:val="20"/>
        </w:trPr>
        <w:tc>
          <w:tcPr>
            <w:tcW w:w="1328" w:type="pct"/>
            <w:shd w:val="clear" w:color="auto" w:fill="auto"/>
            <w:vAlign w:val="center"/>
            <w:hideMark/>
          </w:tcPr>
          <w:p w14:paraId="110B1C7E" w14:textId="77777777" w:rsidR="00D96773" w:rsidRPr="00AC3042" w:rsidRDefault="00D96773" w:rsidP="00970743">
            <w:pPr>
              <w:keepNext/>
              <w:keepLines/>
              <w:spacing w:after="0"/>
              <w:ind w:firstLine="454"/>
              <w:jc w:val="left"/>
              <w:rPr>
                <w:i/>
                <w:sz w:val="18"/>
                <w:szCs w:val="18"/>
                <w:lang w:eastAsia="lv-LV"/>
              </w:rPr>
            </w:pPr>
            <w:r w:rsidRPr="00120F96">
              <w:rPr>
                <w:i/>
                <w:sz w:val="18"/>
                <w:szCs w:val="18"/>
                <w:lang w:eastAsia="lv-LV"/>
              </w:rPr>
              <w:t>Netiešie nodokļi</w:t>
            </w:r>
            <w:r w:rsidRPr="00E86687">
              <w:rPr>
                <w:i/>
                <w:sz w:val="18"/>
                <w:szCs w:val="18"/>
                <w:vertAlign w:val="superscript"/>
                <w:lang w:eastAsia="lv-LV"/>
              </w:rPr>
              <w:t>2</w:t>
            </w:r>
          </w:p>
        </w:tc>
        <w:tc>
          <w:tcPr>
            <w:tcW w:w="459" w:type="pct"/>
            <w:shd w:val="clear" w:color="auto" w:fill="auto"/>
            <w:hideMark/>
          </w:tcPr>
          <w:p w14:paraId="7250C6F1" w14:textId="77777777" w:rsidR="00D96773" w:rsidRPr="00E86687" w:rsidRDefault="00D96773" w:rsidP="00970743">
            <w:pPr>
              <w:keepNext/>
              <w:keepLines/>
              <w:tabs>
                <w:tab w:val="decimal" w:pos="596"/>
              </w:tabs>
              <w:spacing w:after="0"/>
              <w:ind w:firstLine="0"/>
              <w:jc w:val="right"/>
              <w:rPr>
                <w:i/>
                <w:iCs/>
                <w:sz w:val="18"/>
                <w:szCs w:val="18"/>
              </w:rPr>
            </w:pPr>
            <w:r w:rsidRPr="00E86687">
              <w:rPr>
                <w:i/>
                <w:iCs/>
                <w:sz w:val="18"/>
                <w:szCs w:val="18"/>
              </w:rPr>
              <w:t>3 883,5</w:t>
            </w:r>
          </w:p>
        </w:tc>
        <w:tc>
          <w:tcPr>
            <w:tcW w:w="459" w:type="pct"/>
            <w:shd w:val="clear" w:color="auto" w:fill="auto"/>
            <w:hideMark/>
          </w:tcPr>
          <w:p w14:paraId="1FECFC18" w14:textId="77777777" w:rsidR="00D96773" w:rsidRPr="00E86687" w:rsidRDefault="00D96773" w:rsidP="00970743">
            <w:pPr>
              <w:keepNext/>
              <w:keepLines/>
              <w:tabs>
                <w:tab w:val="decimal" w:pos="315"/>
              </w:tabs>
              <w:spacing w:after="0"/>
              <w:ind w:firstLine="0"/>
              <w:jc w:val="right"/>
              <w:rPr>
                <w:i/>
                <w:iCs/>
                <w:sz w:val="18"/>
                <w:szCs w:val="18"/>
              </w:rPr>
            </w:pPr>
            <w:r w:rsidRPr="00E86687">
              <w:rPr>
                <w:i/>
                <w:iCs/>
                <w:sz w:val="18"/>
                <w:szCs w:val="18"/>
              </w:rPr>
              <w:t>12,8</w:t>
            </w:r>
          </w:p>
        </w:tc>
        <w:tc>
          <w:tcPr>
            <w:tcW w:w="459" w:type="pct"/>
            <w:shd w:val="clear" w:color="auto" w:fill="auto"/>
            <w:hideMark/>
          </w:tcPr>
          <w:p w14:paraId="618FF7F6" w14:textId="77777777" w:rsidR="00D96773" w:rsidRPr="00E86687" w:rsidRDefault="00D96773" w:rsidP="00970743">
            <w:pPr>
              <w:keepNext/>
              <w:keepLines/>
              <w:tabs>
                <w:tab w:val="decimal" w:pos="596"/>
              </w:tabs>
              <w:spacing w:after="0"/>
              <w:ind w:firstLine="0"/>
              <w:jc w:val="right"/>
              <w:rPr>
                <w:i/>
                <w:iCs/>
                <w:sz w:val="18"/>
                <w:szCs w:val="18"/>
              </w:rPr>
            </w:pPr>
            <w:r w:rsidRPr="00E86687">
              <w:rPr>
                <w:i/>
                <w:iCs/>
                <w:sz w:val="18"/>
                <w:szCs w:val="18"/>
              </w:rPr>
              <w:t>3 776,1</w:t>
            </w:r>
          </w:p>
        </w:tc>
        <w:tc>
          <w:tcPr>
            <w:tcW w:w="422" w:type="pct"/>
            <w:shd w:val="clear" w:color="auto" w:fill="auto"/>
            <w:hideMark/>
          </w:tcPr>
          <w:p w14:paraId="6B289100" w14:textId="77777777" w:rsidR="00D96773" w:rsidRPr="00E86687" w:rsidRDefault="00D96773" w:rsidP="00970743">
            <w:pPr>
              <w:keepNext/>
              <w:keepLines/>
              <w:tabs>
                <w:tab w:val="decimal" w:pos="315"/>
              </w:tabs>
              <w:spacing w:after="0"/>
              <w:ind w:firstLine="0"/>
              <w:jc w:val="right"/>
              <w:rPr>
                <w:i/>
                <w:iCs/>
                <w:sz w:val="18"/>
                <w:szCs w:val="18"/>
              </w:rPr>
            </w:pPr>
            <w:r w:rsidRPr="00E86687">
              <w:rPr>
                <w:i/>
                <w:iCs/>
                <w:sz w:val="18"/>
                <w:szCs w:val="18"/>
              </w:rPr>
              <w:t>12,9</w:t>
            </w:r>
          </w:p>
        </w:tc>
        <w:tc>
          <w:tcPr>
            <w:tcW w:w="497" w:type="pct"/>
            <w:shd w:val="clear" w:color="auto" w:fill="auto"/>
            <w:hideMark/>
          </w:tcPr>
          <w:p w14:paraId="0E4F97C7" w14:textId="77777777" w:rsidR="00D96773" w:rsidRPr="00E86687" w:rsidRDefault="00D96773" w:rsidP="00970743">
            <w:pPr>
              <w:keepNext/>
              <w:keepLines/>
              <w:tabs>
                <w:tab w:val="decimal" w:pos="596"/>
              </w:tabs>
              <w:spacing w:after="0"/>
              <w:ind w:firstLine="0"/>
              <w:jc w:val="right"/>
              <w:rPr>
                <w:i/>
                <w:iCs/>
                <w:sz w:val="18"/>
                <w:szCs w:val="18"/>
              </w:rPr>
            </w:pPr>
            <w:r w:rsidRPr="00E86687">
              <w:rPr>
                <w:i/>
                <w:iCs/>
                <w:sz w:val="18"/>
                <w:szCs w:val="18"/>
              </w:rPr>
              <w:t>4 116,9</w:t>
            </w:r>
          </w:p>
        </w:tc>
        <w:tc>
          <w:tcPr>
            <w:tcW w:w="441" w:type="pct"/>
            <w:shd w:val="clear" w:color="auto" w:fill="auto"/>
            <w:hideMark/>
          </w:tcPr>
          <w:p w14:paraId="1E7E5AA1" w14:textId="77777777" w:rsidR="00D96773" w:rsidRPr="00E86687" w:rsidRDefault="00D96773" w:rsidP="00970743">
            <w:pPr>
              <w:keepNext/>
              <w:keepLines/>
              <w:tabs>
                <w:tab w:val="decimal" w:pos="315"/>
              </w:tabs>
              <w:spacing w:after="0"/>
              <w:ind w:firstLine="0"/>
              <w:jc w:val="right"/>
              <w:rPr>
                <w:i/>
                <w:iCs/>
                <w:sz w:val="18"/>
                <w:szCs w:val="18"/>
              </w:rPr>
            </w:pPr>
            <w:r w:rsidRPr="00E86687">
              <w:rPr>
                <w:i/>
                <w:iCs/>
                <w:sz w:val="18"/>
                <w:szCs w:val="18"/>
              </w:rPr>
              <w:t>13,1</w:t>
            </w:r>
          </w:p>
        </w:tc>
        <w:tc>
          <w:tcPr>
            <w:tcW w:w="477" w:type="pct"/>
            <w:shd w:val="clear" w:color="auto" w:fill="auto"/>
            <w:hideMark/>
          </w:tcPr>
          <w:p w14:paraId="706781D7" w14:textId="77777777" w:rsidR="00D96773" w:rsidRPr="00EB2728" w:rsidRDefault="00D96773" w:rsidP="00970743">
            <w:pPr>
              <w:keepNext/>
              <w:keepLines/>
              <w:tabs>
                <w:tab w:val="decimal" w:pos="596"/>
              </w:tabs>
              <w:spacing w:after="0"/>
              <w:ind w:firstLine="0"/>
              <w:jc w:val="right"/>
              <w:rPr>
                <w:i/>
                <w:iCs/>
                <w:sz w:val="18"/>
                <w:szCs w:val="18"/>
              </w:rPr>
            </w:pPr>
            <w:r w:rsidRPr="00EB2728">
              <w:rPr>
                <w:i/>
                <w:sz w:val="18"/>
                <w:szCs w:val="18"/>
              </w:rPr>
              <w:t>4 430,1</w:t>
            </w:r>
          </w:p>
        </w:tc>
        <w:tc>
          <w:tcPr>
            <w:tcW w:w="458" w:type="pct"/>
            <w:shd w:val="clear" w:color="auto" w:fill="auto"/>
            <w:hideMark/>
          </w:tcPr>
          <w:p w14:paraId="4DED0D84" w14:textId="77777777" w:rsidR="00D96773" w:rsidRPr="00EB2728" w:rsidRDefault="00D96773" w:rsidP="00970743">
            <w:pPr>
              <w:keepNext/>
              <w:keepLines/>
              <w:tabs>
                <w:tab w:val="decimal" w:pos="315"/>
              </w:tabs>
              <w:spacing w:after="0"/>
              <w:ind w:firstLine="0"/>
              <w:jc w:val="right"/>
              <w:rPr>
                <w:i/>
                <w:iCs/>
                <w:sz w:val="18"/>
                <w:szCs w:val="18"/>
              </w:rPr>
            </w:pPr>
            <w:r w:rsidRPr="00EB2728">
              <w:rPr>
                <w:i/>
                <w:sz w:val="18"/>
                <w:szCs w:val="18"/>
              </w:rPr>
              <w:t>13,0</w:t>
            </w:r>
          </w:p>
        </w:tc>
      </w:tr>
      <w:tr w:rsidR="00D96773" w:rsidRPr="00E86687" w14:paraId="421D24C8" w14:textId="77777777" w:rsidTr="00970743">
        <w:trPr>
          <w:cantSplit/>
          <w:trHeight w:val="20"/>
        </w:trPr>
        <w:tc>
          <w:tcPr>
            <w:tcW w:w="1328" w:type="pct"/>
            <w:shd w:val="clear" w:color="auto" w:fill="auto"/>
            <w:vAlign w:val="center"/>
            <w:hideMark/>
          </w:tcPr>
          <w:p w14:paraId="320E7625" w14:textId="77777777" w:rsidR="00D96773" w:rsidRPr="00AC3042" w:rsidRDefault="00D96773" w:rsidP="00970743">
            <w:pPr>
              <w:keepNext/>
              <w:keepLines/>
              <w:spacing w:after="0"/>
              <w:ind w:firstLine="454"/>
              <w:jc w:val="left"/>
              <w:rPr>
                <w:i/>
                <w:sz w:val="18"/>
                <w:szCs w:val="18"/>
                <w:lang w:eastAsia="lv-LV"/>
              </w:rPr>
            </w:pPr>
            <w:r w:rsidRPr="00120F96">
              <w:rPr>
                <w:i/>
                <w:sz w:val="18"/>
                <w:szCs w:val="18"/>
                <w:lang w:eastAsia="lv-LV"/>
              </w:rPr>
              <w:t>Pārējie nodokļi</w:t>
            </w:r>
            <w:r w:rsidRPr="00E86687">
              <w:rPr>
                <w:i/>
                <w:sz w:val="18"/>
                <w:szCs w:val="18"/>
                <w:vertAlign w:val="superscript"/>
                <w:lang w:eastAsia="lv-LV"/>
              </w:rPr>
              <w:t>3</w:t>
            </w:r>
          </w:p>
        </w:tc>
        <w:tc>
          <w:tcPr>
            <w:tcW w:w="459" w:type="pct"/>
            <w:shd w:val="clear" w:color="auto" w:fill="auto"/>
            <w:hideMark/>
          </w:tcPr>
          <w:p w14:paraId="6FD732F2" w14:textId="77777777" w:rsidR="00D96773" w:rsidRPr="00E86687" w:rsidRDefault="00D96773" w:rsidP="00970743">
            <w:pPr>
              <w:keepNext/>
              <w:keepLines/>
              <w:tabs>
                <w:tab w:val="decimal" w:pos="596"/>
              </w:tabs>
              <w:spacing w:after="0"/>
              <w:ind w:firstLine="0"/>
              <w:jc w:val="right"/>
              <w:rPr>
                <w:i/>
                <w:iCs/>
                <w:sz w:val="18"/>
                <w:szCs w:val="18"/>
              </w:rPr>
            </w:pPr>
            <w:r w:rsidRPr="00E86687">
              <w:rPr>
                <w:i/>
                <w:iCs/>
                <w:sz w:val="18"/>
                <w:szCs w:val="18"/>
              </w:rPr>
              <w:t>77,3</w:t>
            </w:r>
          </w:p>
        </w:tc>
        <w:tc>
          <w:tcPr>
            <w:tcW w:w="459" w:type="pct"/>
            <w:shd w:val="clear" w:color="auto" w:fill="auto"/>
            <w:hideMark/>
          </w:tcPr>
          <w:p w14:paraId="2DCA4F06" w14:textId="77777777" w:rsidR="00D96773" w:rsidRPr="00E86687" w:rsidRDefault="00D96773" w:rsidP="00970743">
            <w:pPr>
              <w:keepNext/>
              <w:keepLines/>
              <w:tabs>
                <w:tab w:val="decimal" w:pos="315"/>
              </w:tabs>
              <w:spacing w:after="0"/>
              <w:ind w:firstLine="0"/>
              <w:jc w:val="right"/>
              <w:rPr>
                <w:i/>
                <w:iCs/>
                <w:sz w:val="18"/>
                <w:szCs w:val="18"/>
              </w:rPr>
            </w:pPr>
            <w:r w:rsidRPr="00E86687">
              <w:rPr>
                <w:i/>
                <w:iCs/>
                <w:sz w:val="18"/>
                <w:szCs w:val="18"/>
              </w:rPr>
              <w:t>0,3</w:t>
            </w:r>
          </w:p>
        </w:tc>
        <w:tc>
          <w:tcPr>
            <w:tcW w:w="459" w:type="pct"/>
            <w:shd w:val="clear" w:color="auto" w:fill="auto"/>
            <w:hideMark/>
          </w:tcPr>
          <w:p w14:paraId="45465C3E" w14:textId="77777777" w:rsidR="00D96773" w:rsidRPr="00E86687" w:rsidRDefault="00D96773" w:rsidP="00970743">
            <w:pPr>
              <w:keepNext/>
              <w:keepLines/>
              <w:tabs>
                <w:tab w:val="decimal" w:pos="596"/>
              </w:tabs>
              <w:spacing w:after="0"/>
              <w:ind w:firstLine="0"/>
              <w:jc w:val="right"/>
              <w:rPr>
                <w:i/>
                <w:iCs/>
                <w:sz w:val="18"/>
                <w:szCs w:val="18"/>
              </w:rPr>
            </w:pPr>
            <w:r w:rsidRPr="00E86687">
              <w:rPr>
                <w:i/>
                <w:iCs/>
                <w:sz w:val="18"/>
                <w:szCs w:val="18"/>
              </w:rPr>
              <w:t>68,0</w:t>
            </w:r>
          </w:p>
        </w:tc>
        <w:tc>
          <w:tcPr>
            <w:tcW w:w="422" w:type="pct"/>
            <w:shd w:val="clear" w:color="auto" w:fill="auto"/>
            <w:hideMark/>
          </w:tcPr>
          <w:p w14:paraId="374D7FCE" w14:textId="77777777" w:rsidR="00D96773" w:rsidRPr="00E86687" w:rsidRDefault="00D96773" w:rsidP="00970743">
            <w:pPr>
              <w:keepNext/>
              <w:keepLines/>
              <w:tabs>
                <w:tab w:val="decimal" w:pos="315"/>
              </w:tabs>
              <w:spacing w:after="0"/>
              <w:ind w:firstLine="0"/>
              <w:jc w:val="right"/>
              <w:rPr>
                <w:i/>
                <w:iCs/>
                <w:sz w:val="18"/>
                <w:szCs w:val="18"/>
              </w:rPr>
            </w:pPr>
            <w:r w:rsidRPr="00E86687">
              <w:rPr>
                <w:i/>
                <w:iCs/>
                <w:sz w:val="18"/>
                <w:szCs w:val="18"/>
              </w:rPr>
              <w:t>0,2</w:t>
            </w:r>
          </w:p>
        </w:tc>
        <w:tc>
          <w:tcPr>
            <w:tcW w:w="497" w:type="pct"/>
            <w:shd w:val="clear" w:color="auto" w:fill="auto"/>
            <w:hideMark/>
          </w:tcPr>
          <w:p w14:paraId="332CCE0A" w14:textId="77777777" w:rsidR="00D96773" w:rsidRPr="00E86687" w:rsidRDefault="00D96773" w:rsidP="00970743">
            <w:pPr>
              <w:keepNext/>
              <w:keepLines/>
              <w:tabs>
                <w:tab w:val="decimal" w:pos="596"/>
              </w:tabs>
              <w:spacing w:after="0"/>
              <w:ind w:firstLine="0"/>
              <w:jc w:val="right"/>
              <w:rPr>
                <w:i/>
                <w:iCs/>
                <w:sz w:val="18"/>
                <w:szCs w:val="18"/>
              </w:rPr>
            </w:pPr>
            <w:r w:rsidRPr="00E86687">
              <w:rPr>
                <w:i/>
                <w:iCs/>
                <w:sz w:val="18"/>
                <w:szCs w:val="18"/>
              </w:rPr>
              <w:t>64,1</w:t>
            </w:r>
          </w:p>
        </w:tc>
        <w:tc>
          <w:tcPr>
            <w:tcW w:w="441" w:type="pct"/>
            <w:shd w:val="clear" w:color="auto" w:fill="auto"/>
            <w:hideMark/>
          </w:tcPr>
          <w:p w14:paraId="58E9250E" w14:textId="77777777" w:rsidR="00D96773" w:rsidRPr="00E86687" w:rsidRDefault="00D96773" w:rsidP="00970743">
            <w:pPr>
              <w:keepNext/>
              <w:keepLines/>
              <w:tabs>
                <w:tab w:val="decimal" w:pos="315"/>
              </w:tabs>
              <w:spacing w:after="0"/>
              <w:ind w:firstLine="0"/>
              <w:jc w:val="right"/>
              <w:rPr>
                <w:i/>
                <w:iCs/>
                <w:sz w:val="18"/>
                <w:szCs w:val="18"/>
              </w:rPr>
            </w:pPr>
            <w:r w:rsidRPr="00E86687">
              <w:rPr>
                <w:i/>
                <w:iCs/>
                <w:sz w:val="18"/>
                <w:szCs w:val="18"/>
              </w:rPr>
              <w:t>0,2</w:t>
            </w:r>
          </w:p>
        </w:tc>
        <w:tc>
          <w:tcPr>
            <w:tcW w:w="477" w:type="pct"/>
            <w:shd w:val="clear" w:color="auto" w:fill="auto"/>
            <w:hideMark/>
          </w:tcPr>
          <w:p w14:paraId="033F789C" w14:textId="77777777" w:rsidR="00D96773" w:rsidRPr="00EB2728" w:rsidRDefault="00D96773" w:rsidP="00970743">
            <w:pPr>
              <w:keepNext/>
              <w:keepLines/>
              <w:tabs>
                <w:tab w:val="decimal" w:pos="596"/>
              </w:tabs>
              <w:spacing w:after="0"/>
              <w:ind w:firstLine="0"/>
              <w:jc w:val="right"/>
              <w:rPr>
                <w:i/>
                <w:iCs/>
                <w:sz w:val="18"/>
                <w:szCs w:val="18"/>
              </w:rPr>
            </w:pPr>
            <w:r w:rsidRPr="00EB2728">
              <w:rPr>
                <w:i/>
                <w:sz w:val="18"/>
                <w:szCs w:val="18"/>
              </w:rPr>
              <w:t>92,4</w:t>
            </w:r>
          </w:p>
        </w:tc>
        <w:tc>
          <w:tcPr>
            <w:tcW w:w="458" w:type="pct"/>
            <w:shd w:val="clear" w:color="auto" w:fill="auto"/>
            <w:hideMark/>
          </w:tcPr>
          <w:p w14:paraId="3502A914" w14:textId="77777777" w:rsidR="00D96773" w:rsidRPr="00EB2728" w:rsidRDefault="00D96773" w:rsidP="00970743">
            <w:pPr>
              <w:keepNext/>
              <w:keepLines/>
              <w:tabs>
                <w:tab w:val="decimal" w:pos="315"/>
              </w:tabs>
              <w:spacing w:after="0"/>
              <w:ind w:firstLine="0"/>
              <w:jc w:val="right"/>
              <w:rPr>
                <w:i/>
                <w:iCs/>
                <w:sz w:val="18"/>
                <w:szCs w:val="18"/>
              </w:rPr>
            </w:pPr>
            <w:r w:rsidRPr="00EB2728">
              <w:rPr>
                <w:i/>
                <w:sz w:val="18"/>
                <w:szCs w:val="18"/>
              </w:rPr>
              <w:t>0,3</w:t>
            </w:r>
          </w:p>
        </w:tc>
      </w:tr>
    </w:tbl>
    <w:p w14:paraId="7318E631" w14:textId="46172E20" w:rsidR="00D96773" w:rsidRPr="0097446C" w:rsidRDefault="00D96773" w:rsidP="009607BB">
      <w:pPr>
        <w:keepNext/>
        <w:keepLines/>
        <w:spacing w:before="120" w:after="0"/>
        <w:ind w:firstLine="425"/>
        <w:rPr>
          <w:sz w:val="18"/>
          <w:szCs w:val="18"/>
        </w:rPr>
      </w:pPr>
      <w:r w:rsidRPr="00E86687">
        <w:rPr>
          <w:sz w:val="18"/>
          <w:szCs w:val="18"/>
          <w:vertAlign w:val="superscript"/>
        </w:rPr>
        <w:t>1</w:t>
      </w:r>
      <w:r w:rsidRPr="0097446C">
        <w:rPr>
          <w:sz w:val="18"/>
          <w:szCs w:val="18"/>
        </w:rPr>
        <w:t xml:space="preserve"> </w:t>
      </w:r>
      <w:r>
        <w:rPr>
          <w:sz w:val="18"/>
          <w:szCs w:val="18"/>
        </w:rPr>
        <w:t>I</w:t>
      </w:r>
      <w:r w:rsidRPr="0097446C">
        <w:rPr>
          <w:sz w:val="18"/>
          <w:szCs w:val="18"/>
        </w:rPr>
        <w:t>edzīvotāju ienākuma nodoklis, sociālās apdrošināšanas iemaksas, uzņēmumu ienākuma nodoklis, nekustamā īpašuma nodoklis, solidaritātes nodoklis valsts pamatbudžetā, veselības aprūpes maksājums (2016</w:t>
      </w:r>
      <w:r>
        <w:rPr>
          <w:sz w:val="18"/>
          <w:szCs w:val="18"/>
        </w:rPr>
        <w:t>. gad</w:t>
      </w:r>
      <w:r w:rsidRPr="0097446C">
        <w:rPr>
          <w:sz w:val="18"/>
          <w:szCs w:val="18"/>
        </w:rPr>
        <w:t>ā tika ieviests solidaritātes nodoklis, 2018</w:t>
      </w:r>
      <w:r>
        <w:rPr>
          <w:sz w:val="18"/>
          <w:szCs w:val="18"/>
        </w:rPr>
        <w:t>. gad</w:t>
      </w:r>
      <w:r w:rsidRPr="0097446C">
        <w:rPr>
          <w:sz w:val="18"/>
          <w:szCs w:val="18"/>
        </w:rPr>
        <w:t>ā veselības aprūpes maksājums).</w:t>
      </w:r>
    </w:p>
    <w:p w14:paraId="1D43E854" w14:textId="77777777" w:rsidR="00D96773" w:rsidRPr="0097446C" w:rsidRDefault="00D96773" w:rsidP="009607BB">
      <w:pPr>
        <w:keepNext/>
        <w:keepLines/>
        <w:spacing w:after="0"/>
        <w:ind w:firstLine="425"/>
        <w:rPr>
          <w:sz w:val="18"/>
          <w:szCs w:val="18"/>
        </w:rPr>
      </w:pPr>
      <w:r w:rsidRPr="00E86687">
        <w:rPr>
          <w:sz w:val="18"/>
          <w:szCs w:val="18"/>
          <w:vertAlign w:val="superscript"/>
        </w:rPr>
        <w:t>2</w:t>
      </w:r>
      <w:r w:rsidRPr="0097446C">
        <w:rPr>
          <w:sz w:val="18"/>
          <w:szCs w:val="18"/>
        </w:rPr>
        <w:t xml:space="preserve"> </w:t>
      </w:r>
      <w:r>
        <w:rPr>
          <w:sz w:val="18"/>
          <w:szCs w:val="18"/>
        </w:rPr>
        <w:t>P</w:t>
      </w:r>
      <w:r w:rsidRPr="0097446C">
        <w:rPr>
          <w:sz w:val="18"/>
          <w:szCs w:val="18"/>
        </w:rPr>
        <w:t>ievienotās vērtības nodoklis, akcīzes nodoklis, vieglo automobiļu un motociklu nodoklis, transportlīdzekļu ekspluatācijas nodoklis, uzņēmumu vieglo transportlīdzekļu nodoklis, elektroenerģijas nodoklis, muitas nodoklis.</w:t>
      </w:r>
    </w:p>
    <w:p w14:paraId="5134A22D" w14:textId="77777777" w:rsidR="00D96773" w:rsidRPr="0097446C" w:rsidRDefault="00D96773" w:rsidP="009607BB">
      <w:pPr>
        <w:keepNext/>
        <w:keepLines/>
        <w:spacing w:after="0"/>
        <w:ind w:firstLine="425"/>
        <w:rPr>
          <w:sz w:val="18"/>
          <w:szCs w:val="18"/>
        </w:rPr>
      </w:pPr>
      <w:r w:rsidRPr="00E86687">
        <w:rPr>
          <w:sz w:val="18"/>
          <w:szCs w:val="18"/>
          <w:vertAlign w:val="superscript"/>
        </w:rPr>
        <w:t>3</w:t>
      </w:r>
      <w:r w:rsidRPr="0097446C">
        <w:rPr>
          <w:sz w:val="18"/>
          <w:szCs w:val="18"/>
        </w:rPr>
        <w:t xml:space="preserve"> </w:t>
      </w:r>
      <w:r>
        <w:rPr>
          <w:sz w:val="18"/>
          <w:szCs w:val="18"/>
        </w:rPr>
        <w:t>D</w:t>
      </w:r>
      <w:r w:rsidRPr="0097446C">
        <w:rPr>
          <w:sz w:val="18"/>
          <w:szCs w:val="18"/>
        </w:rPr>
        <w:t>abas resursu nodoklis, izložu un azartspēļu nodoklis, subsidētās enerģijas nodoklis (līdz 2018</w:t>
      </w:r>
      <w:r>
        <w:rPr>
          <w:sz w:val="18"/>
          <w:szCs w:val="18"/>
        </w:rPr>
        <w:t>. gad</w:t>
      </w:r>
      <w:r w:rsidRPr="0097446C">
        <w:rPr>
          <w:sz w:val="18"/>
          <w:szCs w:val="18"/>
        </w:rPr>
        <w:t>am).</w:t>
      </w:r>
    </w:p>
    <w:p w14:paraId="6B3E7302" w14:textId="77777777" w:rsidR="00D96773" w:rsidRPr="008701B1" w:rsidRDefault="00D96773" w:rsidP="009607BB">
      <w:pPr>
        <w:spacing w:after="240"/>
        <w:ind w:firstLine="425"/>
        <w:rPr>
          <w:sz w:val="18"/>
          <w:szCs w:val="18"/>
        </w:rPr>
      </w:pPr>
      <w:r w:rsidRPr="008701B1">
        <w:rPr>
          <w:sz w:val="18"/>
          <w:szCs w:val="18"/>
          <w:vertAlign w:val="superscript"/>
        </w:rPr>
        <w:t>4</w:t>
      </w:r>
      <w:r w:rsidRPr="008701B1">
        <w:rPr>
          <w:sz w:val="18"/>
          <w:szCs w:val="18"/>
        </w:rPr>
        <w:t xml:space="preserve"> </w:t>
      </w:r>
      <w:r>
        <w:rPr>
          <w:sz w:val="18"/>
          <w:szCs w:val="18"/>
        </w:rPr>
        <w:t>S</w:t>
      </w:r>
      <w:r w:rsidRPr="008701B1">
        <w:rPr>
          <w:sz w:val="18"/>
          <w:szCs w:val="18"/>
        </w:rPr>
        <w:t>askaņā ar likumprojektu „Par valsts budžetu 2022. gadam”.</w:t>
      </w:r>
    </w:p>
    <w:p w14:paraId="55CF0BB0" w14:textId="11978061" w:rsidR="00D96773" w:rsidRPr="0097446C" w:rsidRDefault="00D96773" w:rsidP="00D96773">
      <w:pPr>
        <w:spacing w:after="0"/>
        <w:ind w:firstLine="720"/>
      </w:pPr>
      <w:r w:rsidRPr="0097446C">
        <w:t>Nodokļu ieņēmumu struktūrā lielāko daļu veido tiešie nodokļi, lai arī pakāpeniska nodokļu sloga pārnešana no tiešajiem uz netiešajiem nodokļiem ir noteikta kā viena no nodokļu politikas prioritātēm</w:t>
      </w:r>
      <w:r w:rsidR="009607BB">
        <w:t>, j</w:t>
      </w:r>
      <w:r w:rsidRPr="0097446C">
        <w:t>āpiebilst, ka 2021</w:t>
      </w:r>
      <w:r>
        <w:t>. gad</w:t>
      </w:r>
      <w:r w:rsidRPr="0097446C">
        <w:t>ā tiešo nodokļu proporcija ir nedaudz samazinājusies, ko ietekmē gan Covid-19 krīzes radītās izmaiņas nodokļu ieņēmumu struktūrā, gan pēdējo gadu likumdošanas izmaiņas.</w:t>
      </w:r>
    </w:p>
    <w:p w14:paraId="19DCCAE5" w14:textId="6D31A9B9" w:rsidR="003613E3" w:rsidRDefault="003613E3" w:rsidP="009607BB">
      <w:pPr>
        <w:pStyle w:val="H3"/>
        <w:spacing w:before="480" w:after="360"/>
      </w:pPr>
      <w:bookmarkStart w:id="8" w:name="_Toc150840174"/>
      <w:bookmarkStart w:id="9" w:name="_Toc150941364"/>
      <w:bookmarkStart w:id="10" w:name="_Toc40591664"/>
      <w:r w:rsidRPr="00221972">
        <w:t>3.</w:t>
      </w:r>
      <w:r w:rsidR="00BE4104">
        <w:t>2</w:t>
      </w:r>
      <w:r w:rsidRPr="00221972">
        <w:t>.1. Tiešie nodokļi</w:t>
      </w:r>
    </w:p>
    <w:p w14:paraId="5AB16A4A" w14:textId="3156297F" w:rsidR="009607BB" w:rsidRPr="00A23D8B" w:rsidRDefault="009607BB" w:rsidP="009607BB">
      <w:pPr>
        <w:spacing w:after="0"/>
        <w:ind w:firstLine="720"/>
      </w:pPr>
      <w:r w:rsidRPr="00A23D8B">
        <w:t xml:space="preserve">Lielāko daļu no tiešo nodokļu ieņēmumiem veido </w:t>
      </w:r>
      <w:r>
        <w:t>VSAOI</w:t>
      </w:r>
      <w:r w:rsidRPr="00A23D8B">
        <w:t xml:space="preserve"> un iedzīvotāju ienākuma nodokļa ieņēmumi.</w:t>
      </w:r>
    </w:p>
    <w:p w14:paraId="63476E00" w14:textId="77777777" w:rsidR="009607BB" w:rsidRPr="00E86687" w:rsidRDefault="009607BB" w:rsidP="009607BB">
      <w:pPr>
        <w:keepNext/>
        <w:spacing w:before="240" w:after="240"/>
        <w:ind w:firstLine="0"/>
        <w:jc w:val="center"/>
        <w:rPr>
          <w:b/>
          <w:i/>
          <w:szCs w:val="24"/>
        </w:rPr>
      </w:pPr>
      <w:r w:rsidRPr="00E86687">
        <w:rPr>
          <w:b/>
          <w:i/>
          <w:szCs w:val="24"/>
        </w:rPr>
        <w:t>3.3</w:t>
      </w:r>
      <w:r>
        <w:rPr>
          <w:b/>
          <w:i/>
          <w:szCs w:val="24"/>
        </w:rPr>
        <w:t>. tab</w:t>
      </w:r>
      <w:r w:rsidRPr="00E86687">
        <w:rPr>
          <w:b/>
          <w:i/>
          <w:szCs w:val="24"/>
        </w:rPr>
        <w:t>ula. Tiešo nodokļu ieņēmumi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4"/>
        <w:gridCol w:w="831"/>
        <w:gridCol w:w="832"/>
        <w:gridCol w:w="832"/>
        <w:gridCol w:w="767"/>
        <w:gridCol w:w="899"/>
        <w:gridCol w:w="803"/>
        <w:gridCol w:w="861"/>
        <w:gridCol w:w="832"/>
      </w:tblGrid>
      <w:tr w:rsidR="009607BB" w:rsidRPr="00E86687" w14:paraId="27055996" w14:textId="77777777" w:rsidTr="00193ACF">
        <w:trPr>
          <w:cantSplit/>
          <w:trHeight w:val="20"/>
        </w:trPr>
        <w:tc>
          <w:tcPr>
            <w:tcW w:w="1327" w:type="pct"/>
            <w:vMerge w:val="restart"/>
            <w:shd w:val="clear" w:color="auto" w:fill="B8CCE4" w:themeFill="accent1" w:themeFillTint="66"/>
            <w:vAlign w:val="center"/>
            <w:hideMark/>
          </w:tcPr>
          <w:p w14:paraId="4653DD07" w14:textId="77777777" w:rsidR="009607BB" w:rsidRPr="00E86687" w:rsidRDefault="009607BB" w:rsidP="00970743">
            <w:pPr>
              <w:keepNext/>
              <w:keepLines/>
              <w:spacing w:after="0"/>
              <w:ind w:firstLine="0"/>
              <w:jc w:val="center"/>
              <w:rPr>
                <w:b/>
                <w:bCs/>
                <w:sz w:val="18"/>
                <w:szCs w:val="18"/>
                <w:lang w:eastAsia="lv-LV"/>
              </w:rPr>
            </w:pPr>
          </w:p>
        </w:tc>
        <w:tc>
          <w:tcPr>
            <w:tcW w:w="918" w:type="pct"/>
            <w:gridSpan w:val="2"/>
            <w:shd w:val="clear" w:color="auto" w:fill="B8CCE4" w:themeFill="accent1" w:themeFillTint="66"/>
            <w:vAlign w:val="center"/>
            <w:hideMark/>
          </w:tcPr>
          <w:p w14:paraId="1A532605" w14:textId="77777777" w:rsidR="009607BB" w:rsidRPr="00E86687" w:rsidRDefault="009607BB" w:rsidP="00970743">
            <w:pPr>
              <w:keepNext/>
              <w:keepLines/>
              <w:spacing w:after="0"/>
              <w:ind w:firstLine="0"/>
              <w:jc w:val="center"/>
              <w:rPr>
                <w:b/>
                <w:bCs/>
                <w:sz w:val="18"/>
                <w:szCs w:val="18"/>
                <w:lang w:eastAsia="lv-LV"/>
              </w:rPr>
            </w:pPr>
            <w:r w:rsidRPr="00E86687">
              <w:rPr>
                <w:b/>
                <w:bCs/>
                <w:sz w:val="18"/>
                <w:szCs w:val="18"/>
                <w:lang w:eastAsia="lv-LV"/>
              </w:rPr>
              <w:t>2019</w:t>
            </w:r>
          </w:p>
        </w:tc>
        <w:tc>
          <w:tcPr>
            <w:tcW w:w="882" w:type="pct"/>
            <w:gridSpan w:val="2"/>
            <w:shd w:val="clear" w:color="auto" w:fill="B8CCE4" w:themeFill="accent1" w:themeFillTint="66"/>
            <w:vAlign w:val="center"/>
            <w:hideMark/>
          </w:tcPr>
          <w:p w14:paraId="02E64471" w14:textId="77777777" w:rsidR="009607BB" w:rsidRPr="00E86687" w:rsidRDefault="009607BB" w:rsidP="00970743">
            <w:pPr>
              <w:keepNext/>
              <w:keepLines/>
              <w:spacing w:after="0"/>
              <w:ind w:firstLine="0"/>
              <w:jc w:val="center"/>
              <w:rPr>
                <w:b/>
                <w:bCs/>
                <w:sz w:val="18"/>
                <w:szCs w:val="18"/>
                <w:lang w:eastAsia="lv-LV"/>
              </w:rPr>
            </w:pPr>
            <w:r w:rsidRPr="00E86687">
              <w:rPr>
                <w:b/>
                <w:bCs/>
                <w:sz w:val="18"/>
                <w:szCs w:val="18"/>
                <w:lang w:eastAsia="lv-LV"/>
              </w:rPr>
              <w:t>2020</w:t>
            </w:r>
          </w:p>
        </w:tc>
        <w:tc>
          <w:tcPr>
            <w:tcW w:w="939" w:type="pct"/>
            <w:gridSpan w:val="2"/>
            <w:shd w:val="clear" w:color="auto" w:fill="B8CCE4" w:themeFill="accent1" w:themeFillTint="66"/>
            <w:vAlign w:val="center"/>
            <w:hideMark/>
          </w:tcPr>
          <w:p w14:paraId="56DC667C" w14:textId="77777777" w:rsidR="009607BB" w:rsidRPr="00E86687" w:rsidRDefault="009607BB" w:rsidP="00970743">
            <w:pPr>
              <w:keepNext/>
              <w:keepLines/>
              <w:spacing w:after="0"/>
              <w:ind w:firstLine="0"/>
              <w:jc w:val="center"/>
              <w:rPr>
                <w:b/>
                <w:bCs/>
                <w:sz w:val="18"/>
                <w:szCs w:val="18"/>
                <w:lang w:eastAsia="lv-LV"/>
              </w:rPr>
            </w:pPr>
            <w:r w:rsidRPr="00E86687">
              <w:rPr>
                <w:b/>
                <w:bCs/>
                <w:sz w:val="18"/>
                <w:szCs w:val="18"/>
                <w:lang w:eastAsia="lv-LV"/>
              </w:rPr>
              <w:t>2021</w:t>
            </w:r>
          </w:p>
        </w:tc>
        <w:tc>
          <w:tcPr>
            <w:tcW w:w="934" w:type="pct"/>
            <w:gridSpan w:val="2"/>
            <w:shd w:val="clear" w:color="auto" w:fill="B8CCE4" w:themeFill="accent1" w:themeFillTint="66"/>
            <w:vAlign w:val="center"/>
            <w:hideMark/>
          </w:tcPr>
          <w:p w14:paraId="60548F2B" w14:textId="77777777" w:rsidR="009607BB" w:rsidRPr="00E86687" w:rsidRDefault="009607BB" w:rsidP="00970743">
            <w:pPr>
              <w:keepNext/>
              <w:keepLines/>
              <w:spacing w:after="0"/>
              <w:ind w:firstLine="0"/>
              <w:jc w:val="center"/>
              <w:rPr>
                <w:b/>
                <w:bCs/>
                <w:sz w:val="18"/>
                <w:szCs w:val="18"/>
                <w:lang w:eastAsia="lv-LV"/>
              </w:rPr>
            </w:pPr>
            <w:r w:rsidRPr="00E86687">
              <w:rPr>
                <w:b/>
                <w:bCs/>
                <w:sz w:val="18"/>
                <w:szCs w:val="18"/>
                <w:lang w:eastAsia="lv-LV"/>
              </w:rPr>
              <w:t>2022</w:t>
            </w:r>
          </w:p>
        </w:tc>
      </w:tr>
      <w:tr w:rsidR="009607BB" w:rsidRPr="00E86687" w14:paraId="36C2A754" w14:textId="77777777" w:rsidTr="00193ACF">
        <w:trPr>
          <w:cantSplit/>
          <w:trHeight w:val="20"/>
        </w:trPr>
        <w:tc>
          <w:tcPr>
            <w:tcW w:w="1327" w:type="pct"/>
            <w:vMerge/>
            <w:shd w:val="clear" w:color="auto" w:fill="B8CCE4" w:themeFill="accent1" w:themeFillTint="66"/>
            <w:vAlign w:val="center"/>
            <w:hideMark/>
          </w:tcPr>
          <w:p w14:paraId="134A97BA" w14:textId="77777777" w:rsidR="009607BB" w:rsidRPr="00E86687" w:rsidRDefault="009607BB" w:rsidP="00970743">
            <w:pPr>
              <w:keepNext/>
              <w:keepLines/>
              <w:spacing w:after="0"/>
              <w:ind w:firstLine="0"/>
              <w:jc w:val="left"/>
              <w:rPr>
                <w:b/>
                <w:bCs/>
                <w:sz w:val="18"/>
                <w:szCs w:val="18"/>
                <w:lang w:eastAsia="lv-LV"/>
              </w:rPr>
            </w:pPr>
          </w:p>
        </w:tc>
        <w:tc>
          <w:tcPr>
            <w:tcW w:w="459" w:type="pct"/>
            <w:shd w:val="clear" w:color="auto" w:fill="B8CCE4" w:themeFill="accent1" w:themeFillTint="66"/>
            <w:vAlign w:val="center"/>
            <w:hideMark/>
          </w:tcPr>
          <w:p w14:paraId="2FAB71F2" w14:textId="77777777" w:rsidR="009607BB" w:rsidRPr="008E0375" w:rsidRDefault="009607BB" w:rsidP="00970743">
            <w:pPr>
              <w:keepNext/>
              <w:keepLines/>
              <w:spacing w:after="0"/>
              <w:ind w:firstLine="0"/>
              <w:jc w:val="center"/>
              <w:rPr>
                <w:bCs/>
                <w:sz w:val="18"/>
                <w:szCs w:val="18"/>
                <w:lang w:eastAsia="lv-LV"/>
              </w:rPr>
            </w:pPr>
            <w:r w:rsidRPr="008E0375">
              <w:rPr>
                <w:bCs/>
                <w:sz w:val="18"/>
                <w:szCs w:val="18"/>
                <w:lang w:eastAsia="lv-LV"/>
              </w:rPr>
              <w:t>milj.</w:t>
            </w:r>
            <w:r w:rsidRPr="008E0375">
              <w:rPr>
                <w:bCs/>
                <w:sz w:val="18"/>
                <w:szCs w:val="18"/>
                <w:lang w:eastAsia="lv-LV"/>
              </w:rPr>
              <w:br/>
            </w:r>
            <w:proofErr w:type="spellStart"/>
            <w:r w:rsidRPr="008E0375">
              <w:rPr>
                <w:bCs/>
                <w:i/>
                <w:sz w:val="18"/>
                <w:szCs w:val="18"/>
                <w:lang w:eastAsia="lv-LV"/>
              </w:rPr>
              <w:t>euro</w:t>
            </w:r>
            <w:proofErr w:type="spellEnd"/>
          </w:p>
        </w:tc>
        <w:tc>
          <w:tcPr>
            <w:tcW w:w="459" w:type="pct"/>
            <w:shd w:val="clear" w:color="auto" w:fill="B8CCE4" w:themeFill="accent1" w:themeFillTint="66"/>
            <w:vAlign w:val="center"/>
            <w:hideMark/>
          </w:tcPr>
          <w:p w14:paraId="5F3F0D4E" w14:textId="77777777" w:rsidR="009607BB" w:rsidRPr="008E0375" w:rsidRDefault="009607BB" w:rsidP="00970743">
            <w:pPr>
              <w:keepNext/>
              <w:keepLines/>
              <w:spacing w:after="0"/>
              <w:ind w:firstLine="0"/>
              <w:jc w:val="center"/>
              <w:rPr>
                <w:bCs/>
                <w:sz w:val="18"/>
                <w:szCs w:val="18"/>
                <w:lang w:eastAsia="lv-LV"/>
              </w:rPr>
            </w:pPr>
            <w:r w:rsidRPr="008E0375">
              <w:rPr>
                <w:bCs/>
                <w:sz w:val="18"/>
                <w:szCs w:val="18"/>
                <w:lang w:eastAsia="lv-LV"/>
              </w:rPr>
              <w:t>% no IKP</w:t>
            </w:r>
          </w:p>
        </w:tc>
        <w:tc>
          <w:tcPr>
            <w:tcW w:w="459" w:type="pct"/>
            <w:shd w:val="clear" w:color="auto" w:fill="B8CCE4" w:themeFill="accent1" w:themeFillTint="66"/>
            <w:vAlign w:val="center"/>
            <w:hideMark/>
          </w:tcPr>
          <w:p w14:paraId="10EE529D" w14:textId="77777777" w:rsidR="009607BB" w:rsidRPr="008E0375" w:rsidRDefault="009607BB" w:rsidP="00970743">
            <w:pPr>
              <w:keepNext/>
              <w:keepLines/>
              <w:spacing w:after="0"/>
              <w:ind w:firstLine="0"/>
              <w:jc w:val="center"/>
              <w:rPr>
                <w:bCs/>
                <w:sz w:val="18"/>
                <w:szCs w:val="18"/>
                <w:lang w:eastAsia="lv-LV"/>
              </w:rPr>
            </w:pPr>
            <w:r w:rsidRPr="008E0375">
              <w:rPr>
                <w:bCs/>
                <w:sz w:val="18"/>
                <w:szCs w:val="18"/>
                <w:lang w:eastAsia="lv-LV"/>
              </w:rPr>
              <w:t>milj.</w:t>
            </w:r>
            <w:r w:rsidRPr="008E0375">
              <w:rPr>
                <w:bCs/>
                <w:sz w:val="18"/>
                <w:szCs w:val="18"/>
                <w:lang w:eastAsia="lv-LV"/>
              </w:rPr>
              <w:br/>
            </w:r>
            <w:proofErr w:type="spellStart"/>
            <w:r w:rsidRPr="008E0375">
              <w:rPr>
                <w:bCs/>
                <w:i/>
                <w:sz w:val="18"/>
                <w:szCs w:val="18"/>
                <w:lang w:eastAsia="lv-LV"/>
              </w:rPr>
              <w:t>euro</w:t>
            </w:r>
            <w:proofErr w:type="spellEnd"/>
          </w:p>
        </w:tc>
        <w:tc>
          <w:tcPr>
            <w:tcW w:w="423" w:type="pct"/>
            <w:shd w:val="clear" w:color="auto" w:fill="B8CCE4" w:themeFill="accent1" w:themeFillTint="66"/>
            <w:vAlign w:val="center"/>
            <w:hideMark/>
          </w:tcPr>
          <w:p w14:paraId="21E40C61" w14:textId="77777777" w:rsidR="009607BB" w:rsidRPr="008E0375" w:rsidRDefault="009607BB" w:rsidP="00970743">
            <w:pPr>
              <w:keepNext/>
              <w:keepLines/>
              <w:spacing w:after="0"/>
              <w:ind w:firstLine="0"/>
              <w:jc w:val="center"/>
              <w:rPr>
                <w:bCs/>
                <w:sz w:val="18"/>
                <w:szCs w:val="18"/>
                <w:lang w:eastAsia="lv-LV"/>
              </w:rPr>
            </w:pPr>
            <w:r w:rsidRPr="008E0375">
              <w:rPr>
                <w:bCs/>
                <w:sz w:val="18"/>
                <w:szCs w:val="18"/>
                <w:lang w:eastAsia="lv-LV"/>
              </w:rPr>
              <w:t>% no IKP</w:t>
            </w:r>
          </w:p>
        </w:tc>
        <w:tc>
          <w:tcPr>
            <w:tcW w:w="496" w:type="pct"/>
            <w:shd w:val="clear" w:color="auto" w:fill="B8CCE4" w:themeFill="accent1" w:themeFillTint="66"/>
            <w:vAlign w:val="center"/>
            <w:hideMark/>
          </w:tcPr>
          <w:p w14:paraId="44BBB9AF" w14:textId="77777777" w:rsidR="009607BB" w:rsidRPr="008E0375" w:rsidRDefault="009607BB" w:rsidP="00970743">
            <w:pPr>
              <w:keepNext/>
              <w:keepLines/>
              <w:spacing w:after="0"/>
              <w:ind w:firstLine="0"/>
              <w:jc w:val="center"/>
              <w:rPr>
                <w:bCs/>
                <w:sz w:val="18"/>
                <w:szCs w:val="18"/>
                <w:lang w:eastAsia="lv-LV"/>
              </w:rPr>
            </w:pPr>
            <w:r w:rsidRPr="008E0375">
              <w:rPr>
                <w:bCs/>
                <w:sz w:val="18"/>
                <w:szCs w:val="18"/>
                <w:lang w:eastAsia="lv-LV"/>
              </w:rPr>
              <w:t>milj.</w:t>
            </w:r>
            <w:r w:rsidRPr="008E0375">
              <w:rPr>
                <w:bCs/>
                <w:sz w:val="18"/>
                <w:szCs w:val="18"/>
                <w:lang w:eastAsia="lv-LV"/>
              </w:rPr>
              <w:br/>
            </w:r>
            <w:proofErr w:type="spellStart"/>
            <w:r w:rsidRPr="008E0375">
              <w:rPr>
                <w:bCs/>
                <w:i/>
                <w:sz w:val="18"/>
                <w:szCs w:val="18"/>
                <w:lang w:eastAsia="lv-LV"/>
              </w:rPr>
              <w:t>euro</w:t>
            </w:r>
            <w:proofErr w:type="spellEnd"/>
          </w:p>
        </w:tc>
        <w:tc>
          <w:tcPr>
            <w:tcW w:w="443" w:type="pct"/>
            <w:shd w:val="clear" w:color="auto" w:fill="B8CCE4" w:themeFill="accent1" w:themeFillTint="66"/>
            <w:vAlign w:val="center"/>
            <w:hideMark/>
          </w:tcPr>
          <w:p w14:paraId="70CF3D3F" w14:textId="77777777" w:rsidR="009607BB" w:rsidRPr="008E0375" w:rsidRDefault="009607BB" w:rsidP="00970743">
            <w:pPr>
              <w:keepNext/>
              <w:keepLines/>
              <w:spacing w:after="0"/>
              <w:ind w:firstLine="0"/>
              <w:jc w:val="center"/>
              <w:rPr>
                <w:bCs/>
                <w:sz w:val="18"/>
                <w:szCs w:val="18"/>
                <w:lang w:eastAsia="lv-LV"/>
              </w:rPr>
            </w:pPr>
            <w:r w:rsidRPr="008E0375">
              <w:rPr>
                <w:bCs/>
                <w:sz w:val="18"/>
                <w:szCs w:val="18"/>
                <w:lang w:eastAsia="lv-LV"/>
              </w:rPr>
              <w:t>% no IKP</w:t>
            </w:r>
          </w:p>
        </w:tc>
        <w:tc>
          <w:tcPr>
            <w:tcW w:w="475" w:type="pct"/>
            <w:shd w:val="clear" w:color="auto" w:fill="B8CCE4" w:themeFill="accent1" w:themeFillTint="66"/>
            <w:vAlign w:val="center"/>
            <w:hideMark/>
          </w:tcPr>
          <w:p w14:paraId="596D8F73" w14:textId="77777777" w:rsidR="009607BB" w:rsidRPr="008E0375" w:rsidRDefault="009607BB" w:rsidP="00970743">
            <w:pPr>
              <w:keepNext/>
              <w:keepLines/>
              <w:spacing w:after="0"/>
              <w:ind w:firstLine="0"/>
              <w:jc w:val="center"/>
              <w:rPr>
                <w:bCs/>
                <w:sz w:val="18"/>
                <w:szCs w:val="18"/>
                <w:lang w:eastAsia="lv-LV"/>
              </w:rPr>
            </w:pPr>
            <w:r w:rsidRPr="008E0375">
              <w:rPr>
                <w:bCs/>
                <w:sz w:val="18"/>
                <w:szCs w:val="18"/>
                <w:lang w:eastAsia="lv-LV"/>
              </w:rPr>
              <w:t>milj.</w:t>
            </w:r>
            <w:r w:rsidRPr="008E0375">
              <w:rPr>
                <w:bCs/>
                <w:i/>
                <w:sz w:val="18"/>
                <w:szCs w:val="18"/>
                <w:lang w:eastAsia="lv-LV"/>
              </w:rPr>
              <w:br/>
            </w:r>
            <w:proofErr w:type="spellStart"/>
            <w:r w:rsidRPr="008E0375">
              <w:rPr>
                <w:bCs/>
                <w:i/>
                <w:sz w:val="18"/>
                <w:szCs w:val="18"/>
                <w:lang w:eastAsia="lv-LV"/>
              </w:rPr>
              <w:t>euro</w:t>
            </w:r>
            <w:proofErr w:type="spellEnd"/>
          </w:p>
        </w:tc>
        <w:tc>
          <w:tcPr>
            <w:tcW w:w="459" w:type="pct"/>
            <w:shd w:val="clear" w:color="auto" w:fill="B8CCE4" w:themeFill="accent1" w:themeFillTint="66"/>
            <w:vAlign w:val="center"/>
            <w:hideMark/>
          </w:tcPr>
          <w:p w14:paraId="5B250877" w14:textId="77777777" w:rsidR="009607BB" w:rsidRPr="008E0375" w:rsidRDefault="009607BB" w:rsidP="00970743">
            <w:pPr>
              <w:keepNext/>
              <w:keepLines/>
              <w:spacing w:after="0"/>
              <w:ind w:firstLine="0"/>
              <w:jc w:val="center"/>
              <w:rPr>
                <w:bCs/>
                <w:sz w:val="18"/>
                <w:szCs w:val="18"/>
                <w:lang w:eastAsia="lv-LV"/>
              </w:rPr>
            </w:pPr>
            <w:r w:rsidRPr="008E0375">
              <w:rPr>
                <w:bCs/>
                <w:sz w:val="18"/>
                <w:szCs w:val="18"/>
                <w:lang w:eastAsia="lv-LV"/>
              </w:rPr>
              <w:t>% no IKP</w:t>
            </w:r>
          </w:p>
        </w:tc>
      </w:tr>
      <w:tr w:rsidR="009607BB" w:rsidRPr="00E86687" w14:paraId="155DBF5F" w14:textId="77777777" w:rsidTr="00193ACF">
        <w:trPr>
          <w:cantSplit/>
          <w:trHeight w:val="20"/>
        </w:trPr>
        <w:tc>
          <w:tcPr>
            <w:tcW w:w="1327" w:type="pct"/>
            <w:vMerge/>
            <w:shd w:val="clear" w:color="auto" w:fill="B8CCE4" w:themeFill="accent1" w:themeFillTint="66"/>
            <w:vAlign w:val="center"/>
          </w:tcPr>
          <w:p w14:paraId="649A2325" w14:textId="77777777" w:rsidR="009607BB" w:rsidRPr="00E86687" w:rsidRDefault="009607BB" w:rsidP="00970743">
            <w:pPr>
              <w:keepNext/>
              <w:keepLines/>
              <w:spacing w:after="0"/>
              <w:ind w:firstLine="0"/>
              <w:jc w:val="left"/>
              <w:rPr>
                <w:b/>
                <w:bCs/>
                <w:sz w:val="18"/>
                <w:szCs w:val="18"/>
                <w:lang w:eastAsia="lv-LV"/>
              </w:rPr>
            </w:pPr>
          </w:p>
        </w:tc>
        <w:tc>
          <w:tcPr>
            <w:tcW w:w="1800" w:type="pct"/>
            <w:gridSpan w:val="4"/>
            <w:shd w:val="clear" w:color="auto" w:fill="B8CCE4" w:themeFill="accent1" w:themeFillTint="66"/>
            <w:vAlign w:val="center"/>
          </w:tcPr>
          <w:p w14:paraId="08433649" w14:textId="77777777" w:rsidR="009607BB" w:rsidRPr="00120F96" w:rsidRDefault="009607BB" w:rsidP="00970743">
            <w:pPr>
              <w:keepNext/>
              <w:keepLines/>
              <w:spacing w:after="0"/>
              <w:ind w:firstLine="0"/>
              <w:jc w:val="center"/>
              <w:rPr>
                <w:b/>
                <w:bCs/>
                <w:sz w:val="18"/>
                <w:szCs w:val="18"/>
                <w:lang w:eastAsia="lv-LV"/>
              </w:rPr>
            </w:pPr>
            <w:r w:rsidRPr="00120F96">
              <w:rPr>
                <w:sz w:val="18"/>
                <w:szCs w:val="18"/>
                <w:lang w:eastAsia="lv-LV"/>
              </w:rPr>
              <w:t>fakts</w:t>
            </w:r>
          </w:p>
        </w:tc>
        <w:tc>
          <w:tcPr>
            <w:tcW w:w="939" w:type="pct"/>
            <w:gridSpan w:val="2"/>
            <w:shd w:val="clear" w:color="auto" w:fill="B8CCE4" w:themeFill="accent1" w:themeFillTint="66"/>
            <w:vAlign w:val="center"/>
          </w:tcPr>
          <w:p w14:paraId="15863AF4" w14:textId="77777777" w:rsidR="009607BB" w:rsidRPr="00E86687" w:rsidRDefault="009607BB" w:rsidP="00970743">
            <w:pPr>
              <w:keepNext/>
              <w:keepLines/>
              <w:spacing w:after="0"/>
              <w:ind w:firstLine="0"/>
              <w:jc w:val="center"/>
              <w:rPr>
                <w:b/>
                <w:bCs/>
                <w:sz w:val="18"/>
                <w:szCs w:val="18"/>
                <w:lang w:eastAsia="lv-LV"/>
              </w:rPr>
            </w:pPr>
            <w:r w:rsidRPr="00AC3042">
              <w:rPr>
                <w:sz w:val="18"/>
                <w:szCs w:val="18"/>
                <w:lang w:eastAsia="lv-LV"/>
              </w:rPr>
              <w:t>prognoze</w:t>
            </w:r>
          </w:p>
        </w:tc>
        <w:tc>
          <w:tcPr>
            <w:tcW w:w="934" w:type="pct"/>
            <w:gridSpan w:val="2"/>
            <w:shd w:val="clear" w:color="auto" w:fill="B8CCE4" w:themeFill="accent1" w:themeFillTint="66"/>
            <w:vAlign w:val="center"/>
          </w:tcPr>
          <w:p w14:paraId="59907177" w14:textId="77777777" w:rsidR="009607BB" w:rsidRPr="00120F96" w:rsidRDefault="009607BB" w:rsidP="00970743">
            <w:pPr>
              <w:keepNext/>
              <w:keepLines/>
              <w:spacing w:after="0"/>
              <w:ind w:firstLine="0"/>
              <w:jc w:val="center"/>
              <w:rPr>
                <w:b/>
                <w:bCs/>
                <w:sz w:val="18"/>
                <w:szCs w:val="18"/>
                <w:lang w:eastAsia="lv-LV"/>
              </w:rPr>
            </w:pPr>
            <w:r w:rsidRPr="00E86687">
              <w:rPr>
                <w:sz w:val="18"/>
                <w:szCs w:val="18"/>
                <w:lang w:eastAsia="lv-LV"/>
              </w:rPr>
              <w:t>plāns</w:t>
            </w:r>
            <w:r w:rsidRPr="00E86687">
              <w:rPr>
                <w:sz w:val="18"/>
                <w:szCs w:val="18"/>
                <w:vertAlign w:val="superscript"/>
                <w:lang w:eastAsia="lv-LV"/>
              </w:rPr>
              <w:t>1</w:t>
            </w:r>
          </w:p>
        </w:tc>
      </w:tr>
      <w:tr w:rsidR="009607BB" w:rsidRPr="00E86687" w14:paraId="5F1DD07D" w14:textId="77777777" w:rsidTr="00970743">
        <w:trPr>
          <w:cantSplit/>
          <w:trHeight w:val="20"/>
        </w:trPr>
        <w:tc>
          <w:tcPr>
            <w:tcW w:w="1327" w:type="pct"/>
            <w:shd w:val="clear" w:color="auto" w:fill="auto"/>
            <w:vAlign w:val="center"/>
            <w:hideMark/>
          </w:tcPr>
          <w:p w14:paraId="48834A85" w14:textId="77777777" w:rsidR="009607BB" w:rsidRPr="009F4A71" w:rsidRDefault="009607BB" w:rsidP="00970743">
            <w:pPr>
              <w:keepNext/>
              <w:keepLines/>
              <w:spacing w:after="0"/>
              <w:ind w:firstLine="0"/>
              <w:jc w:val="left"/>
              <w:rPr>
                <w:bCs/>
                <w:sz w:val="18"/>
                <w:szCs w:val="18"/>
                <w:lang w:eastAsia="lv-LV"/>
              </w:rPr>
            </w:pPr>
            <w:r w:rsidRPr="009F4A71">
              <w:rPr>
                <w:bCs/>
                <w:sz w:val="18"/>
                <w:szCs w:val="18"/>
                <w:lang w:eastAsia="lv-LV"/>
              </w:rPr>
              <w:t xml:space="preserve">Kopā, </w:t>
            </w:r>
            <w:r w:rsidRPr="009F4A71">
              <w:rPr>
                <w:sz w:val="18"/>
                <w:szCs w:val="18"/>
                <w:lang w:eastAsia="lv-LV"/>
              </w:rPr>
              <w:t>t. sk.:</w:t>
            </w:r>
          </w:p>
        </w:tc>
        <w:tc>
          <w:tcPr>
            <w:tcW w:w="459" w:type="pct"/>
            <w:shd w:val="clear" w:color="auto" w:fill="auto"/>
            <w:hideMark/>
          </w:tcPr>
          <w:p w14:paraId="6FCEB431" w14:textId="77777777" w:rsidR="009607BB" w:rsidRPr="009F4A71" w:rsidRDefault="009607BB" w:rsidP="00970743">
            <w:pPr>
              <w:keepNext/>
              <w:keepLines/>
              <w:spacing w:after="0"/>
              <w:ind w:firstLine="23"/>
              <w:jc w:val="right"/>
              <w:rPr>
                <w:sz w:val="18"/>
                <w:szCs w:val="18"/>
              </w:rPr>
            </w:pPr>
            <w:r w:rsidRPr="009F4A71">
              <w:rPr>
                <w:sz w:val="18"/>
                <w:szCs w:val="18"/>
              </w:rPr>
              <w:t>5 096,5</w:t>
            </w:r>
          </w:p>
        </w:tc>
        <w:tc>
          <w:tcPr>
            <w:tcW w:w="459" w:type="pct"/>
            <w:shd w:val="clear" w:color="auto" w:fill="auto"/>
            <w:hideMark/>
          </w:tcPr>
          <w:p w14:paraId="67E3C0DF" w14:textId="77777777" w:rsidR="009607BB" w:rsidRPr="009F4A71" w:rsidRDefault="009607BB" w:rsidP="00970743">
            <w:pPr>
              <w:keepNext/>
              <w:keepLines/>
              <w:spacing w:after="0"/>
              <w:ind w:firstLine="23"/>
              <w:jc w:val="right"/>
              <w:rPr>
                <w:sz w:val="18"/>
                <w:szCs w:val="18"/>
              </w:rPr>
            </w:pPr>
            <w:r w:rsidRPr="009F4A71">
              <w:rPr>
                <w:sz w:val="18"/>
                <w:szCs w:val="18"/>
              </w:rPr>
              <w:t>16,8</w:t>
            </w:r>
          </w:p>
        </w:tc>
        <w:tc>
          <w:tcPr>
            <w:tcW w:w="459" w:type="pct"/>
            <w:shd w:val="clear" w:color="auto" w:fill="auto"/>
            <w:hideMark/>
          </w:tcPr>
          <w:p w14:paraId="276B1BA1" w14:textId="77777777" w:rsidR="009607BB" w:rsidRPr="009F4A71" w:rsidRDefault="009607BB" w:rsidP="00970743">
            <w:pPr>
              <w:keepNext/>
              <w:keepLines/>
              <w:spacing w:after="0"/>
              <w:ind w:firstLine="23"/>
              <w:jc w:val="right"/>
              <w:rPr>
                <w:sz w:val="18"/>
                <w:szCs w:val="18"/>
              </w:rPr>
            </w:pPr>
            <w:r w:rsidRPr="009F4A71">
              <w:rPr>
                <w:sz w:val="18"/>
                <w:szCs w:val="18"/>
              </w:rPr>
              <w:t>5 162,5</w:t>
            </w:r>
          </w:p>
        </w:tc>
        <w:tc>
          <w:tcPr>
            <w:tcW w:w="423" w:type="pct"/>
            <w:shd w:val="clear" w:color="auto" w:fill="auto"/>
            <w:hideMark/>
          </w:tcPr>
          <w:p w14:paraId="530FC98D" w14:textId="77777777" w:rsidR="009607BB" w:rsidRPr="009F4A71" w:rsidRDefault="009607BB" w:rsidP="00970743">
            <w:pPr>
              <w:keepNext/>
              <w:keepLines/>
              <w:spacing w:after="0"/>
              <w:ind w:firstLine="23"/>
              <w:jc w:val="right"/>
              <w:rPr>
                <w:sz w:val="18"/>
                <w:szCs w:val="18"/>
              </w:rPr>
            </w:pPr>
            <w:r w:rsidRPr="009F4A71">
              <w:rPr>
                <w:sz w:val="18"/>
                <w:szCs w:val="18"/>
              </w:rPr>
              <w:t>17,6</w:t>
            </w:r>
          </w:p>
        </w:tc>
        <w:tc>
          <w:tcPr>
            <w:tcW w:w="496" w:type="pct"/>
            <w:shd w:val="clear" w:color="auto" w:fill="auto"/>
            <w:hideMark/>
          </w:tcPr>
          <w:p w14:paraId="1FB40CCD" w14:textId="77777777" w:rsidR="009607BB" w:rsidRPr="009F4A71" w:rsidRDefault="009607BB" w:rsidP="00970743">
            <w:pPr>
              <w:keepNext/>
              <w:keepLines/>
              <w:spacing w:after="0"/>
              <w:ind w:firstLine="23"/>
              <w:jc w:val="right"/>
              <w:rPr>
                <w:sz w:val="18"/>
                <w:szCs w:val="18"/>
              </w:rPr>
            </w:pPr>
            <w:r w:rsidRPr="009F4A71">
              <w:rPr>
                <w:sz w:val="18"/>
                <w:szCs w:val="18"/>
              </w:rPr>
              <w:t>5 146,8</w:t>
            </w:r>
          </w:p>
        </w:tc>
        <w:tc>
          <w:tcPr>
            <w:tcW w:w="443" w:type="pct"/>
            <w:shd w:val="clear" w:color="auto" w:fill="auto"/>
            <w:hideMark/>
          </w:tcPr>
          <w:p w14:paraId="595BE17F" w14:textId="77777777" w:rsidR="009607BB" w:rsidRPr="009F4A71" w:rsidRDefault="009607BB" w:rsidP="00970743">
            <w:pPr>
              <w:keepNext/>
              <w:keepLines/>
              <w:spacing w:after="0"/>
              <w:ind w:firstLine="23"/>
              <w:jc w:val="right"/>
              <w:rPr>
                <w:sz w:val="18"/>
                <w:szCs w:val="18"/>
              </w:rPr>
            </w:pPr>
            <w:r w:rsidRPr="009F4A71">
              <w:rPr>
                <w:sz w:val="18"/>
                <w:szCs w:val="18"/>
              </w:rPr>
              <w:t>16,4</w:t>
            </w:r>
          </w:p>
        </w:tc>
        <w:tc>
          <w:tcPr>
            <w:tcW w:w="475" w:type="pct"/>
            <w:shd w:val="clear" w:color="auto" w:fill="auto"/>
            <w:hideMark/>
          </w:tcPr>
          <w:p w14:paraId="34E6BADA" w14:textId="77777777" w:rsidR="009607BB" w:rsidRPr="009F4A71" w:rsidRDefault="009607BB" w:rsidP="00970743">
            <w:pPr>
              <w:keepNext/>
              <w:keepLines/>
              <w:spacing w:after="0"/>
              <w:ind w:firstLine="23"/>
              <w:jc w:val="right"/>
              <w:rPr>
                <w:bCs/>
                <w:sz w:val="18"/>
                <w:szCs w:val="18"/>
              </w:rPr>
            </w:pPr>
            <w:r w:rsidRPr="009F4A71">
              <w:rPr>
                <w:sz w:val="18"/>
                <w:szCs w:val="18"/>
              </w:rPr>
              <w:t>5 658,6</w:t>
            </w:r>
          </w:p>
        </w:tc>
        <w:tc>
          <w:tcPr>
            <w:tcW w:w="459" w:type="pct"/>
            <w:shd w:val="clear" w:color="auto" w:fill="auto"/>
            <w:hideMark/>
          </w:tcPr>
          <w:p w14:paraId="129AFE63" w14:textId="77777777" w:rsidR="009607BB" w:rsidRPr="009F4A71" w:rsidRDefault="009607BB" w:rsidP="00970743">
            <w:pPr>
              <w:keepNext/>
              <w:keepLines/>
              <w:spacing w:after="0"/>
              <w:ind w:firstLine="23"/>
              <w:jc w:val="right"/>
              <w:rPr>
                <w:bCs/>
                <w:sz w:val="18"/>
                <w:szCs w:val="18"/>
              </w:rPr>
            </w:pPr>
            <w:r w:rsidRPr="009F4A71">
              <w:rPr>
                <w:sz w:val="18"/>
                <w:szCs w:val="18"/>
              </w:rPr>
              <w:t>16,6</w:t>
            </w:r>
          </w:p>
        </w:tc>
      </w:tr>
      <w:tr w:rsidR="009607BB" w:rsidRPr="00E86687" w14:paraId="0B12C42E" w14:textId="77777777" w:rsidTr="00970743">
        <w:trPr>
          <w:cantSplit/>
          <w:trHeight w:val="20"/>
        </w:trPr>
        <w:tc>
          <w:tcPr>
            <w:tcW w:w="1327" w:type="pct"/>
            <w:shd w:val="clear" w:color="auto" w:fill="auto"/>
            <w:vAlign w:val="center"/>
            <w:hideMark/>
          </w:tcPr>
          <w:p w14:paraId="15D431EA" w14:textId="77777777" w:rsidR="009607BB" w:rsidRPr="00120F96" w:rsidRDefault="009607BB" w:rsidP="009607BB">
            <w:pPr>
              <w:keepNext/>
              <w:keepLines/>
              <w:spacing w:after="0"/>
              <w:ind w:left="171" w:firstLine="0"/>
              <w:rPr>
                <w:i/>
                <w:sz w:val="18"/>
                <w:szCs w:val="18"/>
                <w:lang w:eastAsia="lv-LV"/>
              </w:rPr>
            </w:pPr>
            <w:r w:rsidRPr="00120F96">
              <w:rPr>
                <w:i/>
                <w:sz w:val="18"/>
                <w:szCs w:val="18"/>
                <w:lang w:eastAsia="lv-LV"/>
              </w:rPr>
              <w:t>Iedzīvotāju ienākuma nodoklis</w:t>
            </w:r>
          </w:p>
        </w:tc>
        <w:tc>
          <w:tcPr>
            <w:tcW w:w="459" w:type="pct"/>
            <w:shd w:val="clear" w:color="auto" w:fill="auto"/>
            <w:hideMark/>
          </w:tcPr>
          <w:p w14:paraId="088BA412" w14:textId="77777777" w:rsidR="009607BB" w:rsidRPr="00E86687" w:rsidRDefault="009607BB" w:rsidP="00970743">
            <w:pPr>
              <w:keepNext/>
              <w:keepLines/>
              <w:spacing w:after="0"/>
              <w:ind w:firstLine="23"/>
              <w:jc w:val="right"/>
              <w:rPr>
                <w:i/>
                <w:sz w:val="18"/>
                <w:szCs w:val="18"/>
              </w:rPr>
            </w:pPr>
            <w:r w:rsidRPr="00AC3042">
              <w:rPr>
                <w:i/>
                <w:sz w:val="18"/>
                <w:szCs w:val="18"/>
              </w:rPr>
              <w:t>1 929,6</w:t>
            </w:r>
          </w:p>
        </w:tc>
        <w:tc>
          <w:tcPr>
            <w:tcW w:w="459" w:type="pct"/>
            <w:shd w:val="clear" w:color="auto" w:fill="auto"/>
            <w:hideMark/>
          </w:tcPr>
          <w:p w14:paraId="7021F3A5" w14:textId="77777777" w:rsidR="009607BB" w:rsidRPr="00E86687" w:rsidRDefault="009607BB" w:rsidP="00970743">
            <w:pPr>
              <w:keepNext/>
              <w:keepLines/>
              <w:spacing w:after="0"/>
              <w:ind w:firstLine="23"/>
              <w:jc w:val="right"/>
              <w:rPr>
                <w:i/>
                <w:sz w:val="18"/>
                <w:szCs w:val="18"/>
              </w:rPr>
            </w:pPr>
            <w:r w:rsidRPr="00E86687">
              <w:rPr>
                <w:i/>
                <w:sz w:val="18"/>
                <w:szCs w:val="18"/>
              </w:rPr>
              <w:t>6,3</w:t>
            </w:r>
          </w:p>
        </w:tc>
        <w:tc>
          <w:tcPr>
            <w:tcW w:w="459" w:type="pct"/>
            <w:shd w:val="clear" w:color="auto" w:fill="auto"/>
            <w:hideMark/>
          </w:tcPr>
          <w:p w14:paraId="618CE81E" w14:textId="77777777" w:rsidR="009607BB" w:rsidRPr="00E86687" w:rsidRDefault="009607BB" w:rsidP="00970743">
            <w:pPr>
              <w:keepNext/>
              <w:keepLines/>
              <w:spacing w:after="0"/>
              <w:ind w:firstLine="23"/>
              <w:jc w:val="right"/>
              <w:rPr>
                <w:i/>
                <w:sz w:val="18"/>
                <w:szCs w:val="18"/>
              </w:rPr>
            </w:pPr>
            <w:r w:rsidRPr="00E86687">
              <w:rPr>
                <w:i/>
                <w:sz w:val="18"/>
                <w:szCs w:val="18"/>
              </w:rPr>
              <w:t>1 819,7</w:t>
            </w:r>
          </w:p>
        </w:tc>
        <w:tc>
          <w:tcPr>
            <w:tcW w:w="423" w:type="pct"/>
            <w:shd w:val="clear" w:color="auto" w:fill="auto"/>
            <w:hideMark/>
          </w:tcPr>
          <w:p w14:paraId="75B1A561" w14:textId="77777777" w:rsidR="009607BB" w:rsidRPr="00E86687" w:rsidRDefault="009607BB" w:rsidP="00970743">
            <w:pPr>
              <w:keepNext/>
              <w:keepLines/>
              <w:spacing w:after="0"/>
              <w:ind w:firstLine="23"/>
              <w:jc w:val="right"/>
              <w:rPr>
                <w:i/>
                <w:sz w:val="18"/>
                <w:szCs w:val="18"/>
              </w:rPr>
            </w:pPr>
            <w:r w:rsidRPr="00E86687">
              <w:rPr>
                <w:i/>
                <w:sz w:val="18"/>
                <w:szCs w:val="18"/>
              </w:rPr>
              <w:t>6,2</w:t>
            </w:r>
          </w:p>
        </w:tc>
        <w:tc>
          <w:tcPr>
            <w:tcW w:w="496" w:type="pct"/>
            <w:shd w:val="clear" w:color="auto" w:fill="auto"/>
            <w:hideMark/>
          </w:tcPr>
          <w:p w14:paraId="3B227C50" w14:textId="77777777" w:rsidR="009607BB" w:rsidRPr="00E86687" w:rsidRDefault="009607BB" w:rsidP="00970743">
            <w:pPr>
              <w:keepNext/>
              <w:keepLines/>
              <w:spacing w:after="0"/>
              <w:ind w:firstLine="23"/>
              <w:jc w:val="right"/>
              <w:rPr>
                <w:i/>
                <w:sz w:val="18"/>
                <w:szCs w:val="18"/>
              </w:rPr>
            </w:pPr>
            <w:r w:rsidRPr="00E86687">
              <w:rPr>
                <w:i/>
                <w:sz w:val="18"/>
                <w:szCs w:val="18"/>
              </w:rPr>
              <w:t>1 746,0</w:t>
            </w:r>
          </w:p>
        </w:tc>
        <w:tc>
          <w:tcPr>
            <w:tcW w:w="443" w:type="pct"/>
            <w:shd w:val="clear" w:color="auto" w:fill="auto"/>
            <w:hideMark/>
          </w:tcPr>
          <w:p w14:paraId="3507EF7E" w14:textId="77777777" w:rsidR="009607BB" w:rsidRPr="00E86687" w:rsidRDefault="009607BB" w:rsidP="00970743">
            <w:pPr>
              <w:keepNext/>
              <w:keepLines/>
              <w:spacing w:after="0"/>
              <w:ind w:firstLine="23"/>
              <w:jc w:val="right"/>
              <w:rPr>
                <w:i/>
                <w:sz w:val="18"/>
                <w:szCs w:val="18"/>
              </w:rPr>
            </w:pPr>
            <w:r w:rsidRPr="00E86687">
              <w:rPr>
                <w:i/>
                <w:sz w:val="18"/>
                <w:szCs w:val="18"/>
              </w:rPr>
              <w:t>5,6</w:t>
            </w:r>
          </w:p>
        </w:tc>
        <w:tc>
          <w:tcPr>
            <w:tcW w:w="475" w:type="pct"/>
            <w:shd w:val="clear" w:color="auto" w:fill="auto"/>
            <w:hideMark/>
          </w:tcPr>
          <w:p w14:paraId="0C7B73DE" w14:textId="77777777" w:rsidR="009607BB" w:rsidRPr="00EB2728" w:rsidRDefault="009607BB" w:rsidP="00970743">
            <w:pPr>
              <w:keepNext/>
              <w:keepLines/>
              <w:spacing w:after="0"/>
              <w:ind w:firstLine="23"/>
              <w:jc w:val="right"/>
              <w:rPr>
                <w:i/>
                <w:iCs/>
                <w:sz w:val="18"/>
                <w:szCs w:val="18"/>
              </w:rPr>
            </w:pPr>
            <w:r w:rsidRPr="00EB2728">
              <w:rPr>
                <w:i/>
                <w:sz w:val="18"/>
                <w:szCs w:val="18"/>
              </w:rPr>
              <w:t>1 862,0</w:t>
            </w:r>
          </w:p>
        </w:tc>
        <w:tc>
          <w:tcPr>
            <w:tcW w:w="459" w:type="pct"/>
            <w:shd w:val="clear" w:color="auto" w:fill="auto"/>
            <w:hideMark/>
          </w:tcPr>
          <w:p w14:paraId="7718BCE0" w14:textId="77777777" w:rsidR="009607BB" w:rsidRPr="00EB2728" w:rsidRDefault="009607BB" w:rsidP="00970743">
            <w:pPr>
              <w:keepNext/>
              <w:keepLines/>
              <w:spacing w:after="0"/>
              <w:ind w:firstLine="23"/>
              <w:jc w:val="right"/>
              <w:rPr>
                <w:i/>
                <w:iCs/>
                <w:sz w:val="18"/>
                <w:szCs w:val="18"/>
              </w:rPr>
            </w:pPr>
            <w:r w:rsidRPr="00EB2728">
              <w:rPr>
                <w:i/>
                <w:sz w:val="18"/>
                <w:szCs w:val="18"/>
              </w:rPr>
              <w:t>5,5</w:t>
            </w:r>
          </w:p>
        </w:tc>
      </w:tr>
      <w:tr w:rsidR="009607BB" w:rsidRPr="00E86687" w14:paraId="4294CB75" w14:textId="77777777" w:rsidTr="00970743">
        <w:trPr>
          <w:cantSplit/>
          <w:trHeight w:val="20"/>
        </w:trPr>
        <w:tc>
          <w:tcPr>
            <w:tcW w:w="1327" w:type="pct"/>
            <w:shd w:val="clear" w:color="auto" w:fill="auto"/>
            <w:vAlign w:val="center"/>
            <w:hideMark/>
          </w:tcPr>
          <w:p w14:paraId="69FCD447" w14:textId="77777777" w:rsidR="009607BB" w:rsidRPr="00120F96" w:rsidRDefault="009607BB" w:rsidP="009607BB">
            <w:pPr>
              <w:keepNext/>
              <w:keepLines/>
              <w:spacing w:after="0"/>
              <w:ind w:left="171" w:firstLine="0"/>
              <w:rPr>
                <w:i/>
                <w:sz w:val="18"/>
                <w:szCs w:val="18"/>
                <w:lang w:eastAsia="lv-LV"/>
              </w:rPr>
            </w:pPr>
            <w:r w:rsidRPr="00120F96">
              <w:rPr>
                <w:i/>
                <w:sz w:val="18"/>
                <w:szCs w:val="18"/>
                <w:lang w:eastAsia="lv-LV"/>
              </w:rPr>
              <w:t>Sociālās apdrošināšanas iemaksas</w:t>
            </w:r>
          </w:p>
        </w:tc>
        <w:tc>
          <w:tcPr>
            <w:tcW w:w="459" w:type="pct"/>
            <w:shd w:val="clear" w:color="auto" w:fill="auto"/>
            <w:hideMark/>
          </w:tcPr>
          <w:p w14:paraId="23689125" w14:textId="77777777" w:rsidR="009607BB" w:rsidRPr="00E86687" w:rsidRDefault="009607BB" w:rsidP="00970743">
            <w:pPr>
              <w:keepNext/>
              <w:keepLines/>
              <w:spacing w:after="0"/>
              <w:ind w:firstLine="23"/>
              <w:jc w:val="right"/>
              <w:rPr>
                <w:i/>
                <w:sz w:val="18"/>
                <w:szCs w:val="18"/>
              </w:rPr>
            </w:pPr>
            <w:r w:rsidRPr="00AC3042">
              <w:rPr>
                <w:i/>
                <w:sz w:val="18"/>
                <w:szCs w:val="18"/>
              </w:rPr>
              <w:t>2 795,0</w:t>
            </w:r>
          </w:p>
        </w:tc>
        <w:tc>
          <w:tcPr>
            <w:tcW w:w="459" w:type="pct"/>
            <w:shd w:val="clear" w:color="auto" w:fill="auto"/>
            <w:hideMark/>
          </w:tcPr>
          <w:p w14:paraId="7D94FAC0" w14:textId="77777777" w:rsidR="009607BB" w:rsidRPr="00E86687" w:rsidRDefault="009607BB" w:rsidP="00970743">
            <w:pPr>
              <w:keepNext/>
              <w:keepLines/>
              <w:spacing w:after="0"/>
              <w:ind w:firstLine="23"/>
              <w:jc w:val="right"/>
              <w:rPr>
                <w:i/>
                <w:sz w:val="18"/>
                <w:szCs w:val="18"/>
              </w:rPr>
            </w:pPr>
            <w:r w:rsidRPr="00E86687">
              <w:rPr>
                <w:i/>
                <w:sz w:val="18"/>
                <w:szCs w:val="18"/>
              </w:rPr>
              <w:t>9,2</w:t>
            </w:r>
          </w:p>
        </w:tc>
        <w:tc>
          <w:tcPr>
            <w:tcW w:w="459" w:type="pct"/>
            <w:shd w:val="clear" w:color="auto" w:fill="auto"/>
            <w:hideMark/>
          </w:tcPr>
          <w:p w14:paraId="57648E6F" w14:textId="77777777" w:rsidR="009607BB" w:rsidRPr="00E86687" w:rsidRDefault="009607BB" w:rsidP="00970743">
            <w:pPr>
              <w:keepNext/>
              <w:keepLines/>
              <w:spacing w:after="0"/>
              <w:ind w:firstLine="23"/>
              <w:jc w:val="right"/>
              <w:rPr>
                <w:i/>
                <w:sz w:val="18"/>
                <w:szCs w:val="18"/>
              </w:rPr>
            </w:pPr>
            <w:r w:rsidRPr="00E86687">
              <w:rPr>
                <w:i/>
                <w:sz w:val="18"/>
                <w:szCs w:val="18"/>
              </w:rPr>
              <w:t>2 815,9</w:t>
            </w:r>
          </w:p>
        </w:tc>
        <w:tc>
          <w:tcPr>
            <w:tcW w:w="423" w:type="pct"/>
            <w:shd w:val="clear" w:color="auto" w:fill="auto"/>
            <w:hideMark/>
          </w:tcPr>
          <w:p w14:paraId="47B92DBD" w14:textId="77777777" w:rsidR="009607BB" w:rsidRPr="00E86687" w:rsidRDefault="009607BB" w:rsidP="00970743">
            <w:pPr>
              <w:keepNext/>
              <w:keepLines/>
              <w:spacing w:after="0"/>
              <w:ind w:firstLine="23"/>
              <w:jc w:val="right"/>
              <w:rPr>
                <w:i/>
                <w:sz w:val="18"/>
                <w:szCs w:val="18"/>
              </w:rPr>
            </w:pPr>
            <w:r w:rsidRPr="00E86687">
              <w:rPr>
                <w:i/>
                <w:sz w:val="18"/>
                <w:szCs w:val="18"/>
              </w:rPr>
              <w:t>9,6</w:t>
            </w:r>
          </w:p>
        </w:tc>
        <w:tc>
          <w:tcPr>
            <w:tcW w:w="496" w:type="pct"/>
            <w:shd w:val="clear" w:color="auto" w:fill="auto"/>
            <w:hideMark/>
          </w:tcPr>
          <w:p w14:paraId="261C7757" w14:textId="77777777" w:rsidR="009607BB" w:rsidRPr="00E86687" w:rsidRDefault="009607BB" w:rsidP="00970743">
            <w:pPr>
              <w:keepNext/>
              <w:keepLines/>
              <w:spacing w:after="0"/>
              <w:ind w:firstLine="23"/>
              <w:jc w:val="right"/>
              <w:rPr>
                <w:i/>
                <w:sz w:val="18"/>
                <w:szCs w:val="18"/>
              </w:rPr>
            </w:pPr>
            <w:r w:rsidRPr="00E86687">
              <w:rPr>
                <w:i/>
                <w:sz w:val="18"/>
                <w:szCs w:val="18"/>
              </w:rPr>
              <w:t>2 794,8</w:t>
            </w:r>
          </w:p>
        </w:tc>
        <w:tc>
          <w:tcPr>
            <w:tcW w:w="443" w:type="pct"/>
            <w:shd w:val="clear" w:color="auto" w:fill="auto"/>
            <w:hideMark/>
          </w:tcPr>
          <w:p w14:paraId="2D1B099E" w14:textId="77777777" w:rsidR="009607BB" w:rsidRPr="00E86687" w:rsidRDefault="009607BB" w:rsidP="00970743">
            <w:pPr>
              <w:keepNext/>
              <w:keepLines/>
              <w:spacing w:after="0"/>
              <w:ind w:firstLine="23"/>
              <w:jc w:val="right"/>
              <w:rPr>
                <w:i/>
                <w:sz w:val="18"/>
                <w:szCs w:val="18"/>
              </w:rPr>
            </w:pPr>
            <w:r w:rsidRPr="00E86687">
              <w:rPr>
                <w:i/>
                <w:sz w:val="18"/>
                <w:szCs w:val="18"/>
              </w:rPr>
              <w:t>8,9</w:t>
            </w:r>
          </w:p>
        </w:tc>
        <w:tc>
          <w:tcPr>
            <w:tcW w:w="475" w:type="pct"/>
            <w:shd w:val="clear" w:color="auto" w:fill="auto"/>
            <w:hideMark/>
          </w:tcPr>
          <w:p w14:paraId="014CB10B" w14:textId="77777777" w:rsidR="009607BB" w:rsidRPr="00EB2728" w:rsidRDefault="009607BB" w:rsidP="00970743">
            <w:pPr>
              <w:keepNext/>
              <w:keepLines/>
              <w:spacing w:after="0"/>
              <w:ind w:firstLine="23"/>
              <w:jc w:val="right"/>
              <w:rPr>
                <w:i/>
                <w:iCs/>
                <w:sz w:val="18"/>
                <w:szCs w:val="18"/>
              </w:rPr>
            </w:pPr>
            <w:r w:rsidRPr="00EB2728">
              <w:rPr>
                <w:i/>
                <w:sz w:val="18"/>
                <w:szCs w:val="18"/>
              </w:rPr>
              <w:t>3 133,3</w:t>
            </w:r>
          </w:p>
        </w:tc>
        <w:tc>
          <w:tcPr>
            <w:tcW w:w="459" w:type="pct"/>
            <w:shd w:val="clear" w:color="auto" w:fill="auto"/>
            <w:hideMark/>
          </w:tcPr>
          <w:p w14:paraId="7630A0C6" w14:textId="77777777" w:rsidR="009607BB" w:rsidRPr="00EB2728" w:rsidRDefault="009607BB" w:rsidP="00970743">
            <w:pPr>
              <w:keepNext/>
              <w:keepLines/>
              <w:spacing w:after="0"/>
              <w:ind w:firstLine="23"/>
              <w:jc w:val="right"/>
              <w:rPr>
                <w:i/>
                <w:iCs/>
                <w:sz w:val="18"/>
                <w:szCs w:val="18"/>
              </w:rPr>
            </w:pPr>
            <w:r w:rsidRPr="00EB2728">
              <w:rPr>
                <w:i/>
                <w:sz w:val="18"/>
                <w:szCs w:val="18"/>
              </w:rPr>
              <w:t>9,2</w:t>
            </w:r>
          </w:p>
        </w:tc>
      </w:tr>
      <w:tr w:rsidR="009607BB" w:rsidRPr="00E86687" w14:paraId="0B5094D6" w14:textId="77777777" w:rsidTr="00970743">
        <w:trPr>
          <w:cantSplit/>
          <w:trHeight w:val="20"/>
        </w:trPr>
        <w:tc>
          <w:tcPr>
            <w:tcW w:w="1327" w:type="pct"/>
            <w:shd w:val="clear" w:color="auto" w:fill="auto"/>
            <w:vAlign w:val="center"/>
            <w:hideMark/>
          </w:tcPr>
          <w:p w14:paraId="614E32B9" w14:textId="77777777" w:rsidR="009607BB" w:rsidRPr="00120F96" w:rsidRDefault="009607BB" w:rsidP="009607BB">
            <w:pPr>
              <w:keepNext/>
              <w:keepLines/>
              <w:spacing w:after="0"/>
              <w:ind w:left="171" w:firstLine="0"/>
              <w:rPr>
                <w:i/>
                <w:sz w:val="18"/>
                <w:szCs w:val="18"/>
                <w:lang w:eastAsia="lv-LV"/>
              </w:rPr>
            </w:pPr>
            <w:r w:rsidRPr="00120F96">
              <w:rPr>
                <w:i/>
                <w:sz w:val="18"/>
                <w:szCs w:val="18"/>
                <w:lang w:eastAsia="lv-LV"/>
              </w:rPr>
              <w:t>Uzņēmumu ienākuma nodoklis</w:t>
            </w:r>
          </w:p>
        </w:tc>
        <w:tc>
          <w:tcPr>
            <w:tcW w:w="459" w:type="pct"/>
            <w:shd w:val="clear" w:color="auto" w:fill="auto"/>
            <w:hideMark/>
          </w:tcPr>
          <w:p w14:paraId="0FFCE0A4" w14:textId="77777777" w:rsidR="009607BB" w:rsidRPr="00E86687" w:rsidRDefault="009607BB" w:rsidP="00970743">
            <w:pPr>
              <w:keepNext/>
              <w:keepLines/>
              <w:spacing w:after="0"/>
              <w:ind w:firstLine="23"/>
              <w:jc w:val="right"/>
              <w:rPr>
                <w:i/>
                <w:sz w:val="18"/>
                <w:szCs w:val="18"/>
              </w:rPr>
            </w:pPr>
            <w:r w:rsidRPr="00AC3042">
              <w:rPr>
                <w:i/>
                <w:sz w:val="18"/>
                <w:szCs w:val="18"/>
              </w:rPr>
              <w:t>44,8</w:t>
            </w:r>
          </w:p>
        </w:tc>
        <w:tc>
          <w:tcPr>
            <w:tcW w:w="459" w:type="pct"/>
            <w:shd w:val="clear" w:color="auto" w:fill="auto"/>
            <w:hideMark/>
          </w:tcPr>
          <w:p w14:paraId="7342A999" w14:textId="77777777" w:rsidR="009607BB" w:rsidRPr="00E86687" w:rsidRDefault="009607BB" w:rsidP="00970743">
            <w:pPr>
              <w:keepNext/>
              <w:keepLines/>
              <w:spacing w:after="0"/>
              <w:ind w:firstLine="23"/>
              <w:jc w:val="right"/>
              <w:rPr>
                <w:i/>
                <w:sz w:val="18"/>
                <w:szCs w:val="18"/>
              </w:rPr>
            </w:pPr>
            <w:r w:rsidRPr="00E86687">
              <w:rPr>
                <w:i/>
                <w:sz w:val="18"/>
                <w:szCs w:val="18"/>
              </w:rPr>
              <w:t>0,1</w:t>
            </w:r>
          </w:p>
        </w:tc>
        <w:tc>
          <w:tcPr>
            <w:tcW w:w="459" w:type="pct"/>
            <w:shd w:val="clear" w:color="auto" w:fill="auto"/>
            <w:hideMark/>
          </w:tcPr>
          <w:p w14:paraId="5F71515C" w14:textId="77777777" w:rsidR="009607BB" w:rsidRPr="00E86687" w:rsidRDefault="009607BB" w:rsidP="00970743">
            <w:pPr>
              <w:keepNext/>
              <w:keepLines/>
              <w:spacing w:after="0"/>
              <w:ind w:firstLine="23"/>
              <w:jc w:val="right"/>
              <w:rPr>
                <w:i/>
                <w:sz w:val="18"/>
                <w:szCs w:val="18"/>
              </w:rPr>
            </w:pPr>
            <w:r w:rsidRPr="00E86687">
              <w:rPr>
                <w:i/>
                <w:sz w:val="18"/>
                <w:szCs w:val="18"/>
              </w:rPr>
              <w:t>207,5</w:t>
            </w:r>
          </w:p>
        </w:tc>
        <w:tc>
          <w:tcPr>
            <w:tcW w:w="423" w:type="pct"/>
            <w:shd w:val="clear" w:color="auto" w:fill="auto"/>
            <w:hideMark/>
          </w:tcPr>
          <w:p w14:paraId="194B1D27" w14:textId="77777777" w:rsidR="009607BB" w:rsidRPr="00E86687" w:rsidRDefault="009607BB" w:rsidP="00970743">
            <w:pPr>
              <w:keepNext/>
              <w:keepLines/>
              <w:spacing w:after="0"/>
              <w:ind w:firstLine="23"/>
              <w:jc w:val="right"/>
              <w:rPr>
                <w:i/>
                <w:sz w:val="18"/>
                <w:szCs w:val="18"/>
              </w:rPr>
            </w:pPr>
            <w:r w:rsidRPr="00E86687">
              <w:rPr>
                <w:i/>
                <w:sz w:val="18"/>
                <w:szCs w:val="18"/>
              </w:rPr>
              <w:t>0,7</w:t>
            </w:r>
          </w:p>
        </w:tc>
        <w:tc>
          <w:tcPr>
            <w:tcW w:w="496" w:type="pct"/>
            <w:shd w:val="clear" w:color="auto" w:fill="auto"/>
            <w:hideMark/>
          </w:tcPr>
          <w:p w14:paraId="71AA15C4" w14:textId="77777777" w:rsidR="009607BB" w:rsidRPr="00E86687" w:rsidRDefault="009607BB" w:rsidP="00970743">
            <w:pPr>
              <w:keepNext/>
              <w:keepLines/>
              <w:spacing w:after="0"/>
              <w:ind w:firstLine="23"/>
              <w:jc w:val="right"/>
              <w:rPr>
                <w:i/>
                <w:sz w:val="18"/>
                <w:szCs w:val="18"/>
              </w:rPr>
            </w:pPr>
            <w:r w:rsidRPr="00E86687">
              <w:rPr>
                <w:i/>
                <w:sz w:val="18"/>
                <w:szCs w:val="18"/>
              </w:rPr>
              <w:t>275,0</w:t>
            </w:r>
          </w:p>
        </w:tc>
        <w:tc>
          <w:tcPr>
            <w:tcW w:w="443" w:type="pct"/>
            <w:shd w:val="clear" w:color="auto" w:fill="auto"/>
            <w:hideMark/>
          </w:tcPr>
          <w:p w14:paraId="2511EDAD" w14:textId="77777777" w:rsidR="009607BB" w:rsidRPr="00E86687" w:rsidRDefault="009607BB" w:rsidP="00970743">
            <w:pPr>
              <w:keepNext/>
              <w:keepLines/>
              <w:spacing w:after="0"/>
              <w:ind w:firstLine="23"/>
              <w:jc w:val="right"/>
              <w:rPr>
                <w:i/>
                <w:sz w:val="18"/>
                <w:szCs w:val="18"/>
              </w:rPr>
            </w:pPr>
            <w:r w:rsidRPr="00E86687">
              <w:rPr>
                <w:i/>
                <w:sz w:val="18"/>
                <w:szCs w:val="18"/>
              </w:rPr>
              <w:t>0,9</w:t>
            </w:r>
          </w:p>
        </w:tc>
        <w:tc>
          <w:tcPr>
            <w:tcW w:w="475" w:type="pct"/>
            <w:shd w:val="clear" w:color="auto" w:fill="auto"/>
            <w:hideMark/>
          </w:tcPr>
          <w:p w14:paraId="3BD7C7DC" w14:textId="77777777" w:rsidR="009607BB" w:rsidRPr="00EB2728" w:rsidRDefault="009607BB" w:rsidP="00970743">
            <w:pPr>
              <w:keepNext/>
              <w:keepLines/>
              <w:spacing w:after="0"/>
              <w:ind w:firstLine="23"/>
              <w:jc w:val="right"/>
              <w:rPr>
                <w:i/>
                <w:iCs/>
                <w:sz w:val="18"/>
                <w:szCs w:val="18"/>
              </w:rPr>
            </w:pPr>
            <w:r w:rsidRPr="00EB2728">
              <w:rPr>
                <w:i/>
                <w:sz w:val="18"/>
                <w:szCs w:val="18"/>
              </w:rPr>
              <w:t>316,4</w:t>
            </w:r>
          </w:p>
        </w:tc>
        <w:tc>
          <w:tcPr>
            <w:tcW w:w="459" w:type="pct"/>
            <w:shd w:val="clear" w:color="auto" w:fill="auto"/>
            <w:hideMark/>
          </w:tcPr>
          <w:p w14:paraId="601B1DBC" w14:textId="77777777" w:rsidR="009607BB" w:rsidRPr="00EB2728" w:rsidRDefault="009607BB" w:rsidP="00970743">
            <w:pPr>
              <w:keepNext/>
              <w:keepLines/>
              <w:spacing w:after="0"/>
              <w:ind w:firstLine="23"/>
              <w:jc w:val="right"/>
              <w:rPr>
                <w:i/>
                <w:iCs/>
                <w:sz w:val="18"/>
                <w:szCs w:val="18"/>
              </w:rPr>
            </w:pPr>
            <w:r w:rsidRPr="00EB2728">
              <w:rPr>
                <w:i/>
                <w:sz w:val="18"/>
                <w:szCs w:val="18"/>
              </w:rPr>
              <w:t>0,9</w:t>
            </w:r>
          </w:p>
        </w:tc>
      </w:tr>
      <w:tr w:rsidR="009607BB" w:rsidRPr="00E86687" w14:paraId="2AD45466" w14:textId="77777777" w:rsidTr="00970743">
        <w:trPr>
          <w:cantSplit/>
          <w:trHeight w:val="20"/>
        </w:trPr>
        <w:tc>
          <w:tcPr>
            <w:tcW w:w="1327" w:type="pct"/>
            <w:shd w:val="clear" w:color="auto" w:fill="auto"/>
            <w:vAlign w:val="center"/>
            <w:hideMark/>
          </w:tcPr>
          <w:p w14:paraId="2D6A798F" w14:textId="77777777" w:rsidR="009607BB" w:rsidRPr="00120F96" w:rsidRDefault="009607BB" w:rsidP="009607BB">
            <w:pPr>
              <w:keepNext/>
              <w:keepLines/>
              <w:spacing w:after="0"/>
              <w:ind w:left="171" w:firstLine="0"/>
              <w:rPr>
                <w:i/>
                <w:sz w:val="18"/>
                <w:szCs w:val="18"/>
                <w:lang w:eastAsia="lv-LV"/>
              </w:rPr>
            </w:pPr>
            <w:r w:rsidRPr="00120F96">
              <w:rPr>
                <w:i/>
                <w:sz w:val="18"/>
                <w:szCs w:val="18"/>
                <w:lang w:eastAsia="lv-LV"/>
              </w:rPr>
              <w:t>Nekustamā īpašuma nodoklis</w:t>
            </w:r>
          </w:p>
        </w:tc>
        <w:tc>
          <w:tcPr>
            <w:tcW w:w="459" w:type="pct"/>
            <w:shd w:val="clear" w:color="auto" w:fill="auto"/>
            <w:hideMark/>
          </w:tcPr>
          <w:p w14:paraId="68C6360B" w14:textId="77777777" w:rsidR="009607BB" w:rsidRPr="00E86687" w:rsidRDefault="009607BB" w:rsidP="00970743">
            <w:pPr>
              <w:keepNext/>
              <w:keepLines/>
              <w:spacing w:after="0"/>
              <w:ind w:firstLine="23"/>
              <w:jc w:val="right"/>
              <w:rPr>
                <w:i/>
                <w:sz w:val="18"/>
                <w:szCs w:val="18"/>
              </w:rPr>
            </w:pPr>
            <w:r w:rsidRPr="00AC3042">
              <w:rPr>
                <w:i/>
                <w:sz w:val="18"/>
                <w:szCs w:val="18"/>
              </w:rPr>
              <w:t>226,4</w:t>
            </w:r>
          </w:p>
        </w:tc>
        <w:tc>
          <w:tcPr>
            <w:tcW w:w="459" w:type="pct"/>
            <w:shd w:val="clear" w:color="auto" w:fill="auto"/>
            <w:hideMark/>
          </w:tcPr>
          <w:p w14:paraId="17142EB2" w14:textId="77777777" w:rsidR="009607BB" w:rsidRPr="00E86687" w:rsidRDefault="009607BB" w:rsidP="00970743">
            <w:pPr>
              <w:keepNext/>
              <w:keepLines/>
              <w:spacing w:after="0"/>
              <w:ind w:firstLine="23"/>
              <w:jc w:val="right"/>
              <w:rPr>
                <w:i/>
                <w:sz w:val="18"/>
                <w:szCs w:val="18"/>
              </w:rPr>
            </w:pPr>
            <w:r w:rsidRPr="00E86687">
              <w:rPr>
                <w:i/>
                <w:sz w:val="18"/>
                <w:szCs w:val="18"/>
              </w:rPr>
              <w:t>0,7</w:t>
            </w:r>
          </w:p>
        </w:tc>
        <w:tc>
          <w:tcPr>
            <w:tcW w:w="459" w:type="pct"/>
            <w:shd w:val="clear" w:color="auto" w:fill="auto"/>
            <w:hideMark/>
          </w:tcPr>
          <w:p w14:paraId="7C502F50" w14:textId="77777777" w:rsidR="009607BB" w:rsidRPr="00E86687" w:rsidRDefault="009607BB" w:rsidP="00970743">
            <w:pPr>
              <w:keepNext/>
              <w:keepLines/>
              <w:spacing w:after="0"/>
              <w:ind w:firstLine="23"/>
              <w:jc w:val="right"/>
              <w:rPr>
                <w:i/>
                <w:sz w:val="18"/>
                <w:szCs w:val="18"/>
              </w:rPr>
            </w:pPr>
            <w:r w:rsidRPr="00E86687">
              <w:rPr>
                <w:i/>
                <w:sz w:val="18"/>
                <w:szCs w:val="18"/>
              </w:rPr>
              <w:t>222,2</w:t>
            </w:r>
          </w:p>
        </w:tc>
        <w:tc>
          <w:tcPr>
            <w:tcW w:w="423" w:type="pct"/>
            <w:shd w:val="clear" w:color="auto" w:fill="auto"/>
            <w:hideMark/>
          </w:tcPr>
          <w:p w14:paraId="2B34094C" w14:textId="77777777" w:rsidR="009607BB" w:rsidRPr="00E86687" w:rsidRDefault="009607BB" w:rsidP="00970743">
            <w:pPr>
              <w:keepNext/>
              <w:keepLines/>
              <w:spacing w:after="0"/>
              <w:ind w:firstLine="23"/>
              <w:jc w:val="right"/>
              <w:rPr>
                <w:i/>
                <w:sz w:val="18"/>
                <w:szCs w:val="18"/>
              </w:rPr>
            </w:pPr>
            <w:r w:rsidRPr="00E86687">
              <w:rPr>
                <w:i/>
                <w:sz w:val="18"/>
                <w:szCs w:val="18"/>
              </w:rPr>
              <w:t>0,8</w:t>
            </w:r>
          </w:p>
        </w:tc>
        <w:tc>
          <w:tcPr>
            <w:tcW w:w="496" w:type="pct"/>
            <w:shd w:val="clear" w:color="auto" w:fill="auto"/>
            <w:hideMark/>
          </w:tcPr>
          <w:p w14:paraId="06557E8E" w14:textId="77777777" w:rsidR="009607BB" w:rsidRPr="00E86687" w:rsidRDefault="009607BB" w:rsidP="00970743">
            <w:pPr>
              <w:keepNext/>
              <w:keepLines/>
              <w:spacing w:after="0"/>
              <w:ind w:firstLine="23"/>
              <w:jc w:val="right"/>
              <w:rPr>
                <w:i/>
                <w:sz w:val="18"/>
                <w:szCs w:val="18"/>
              </w:rPr>
            </w:pPr>
            <w:r w:rsidRPr="00E86687">
              <w:rPr>
                <w:i/>
                <w:sz w:val="18"/>
                <w:szCs w:val="18"/>
              </w:rPr>
              <w:t>230,7</w:t>
            </w:r>
          </w:p>
        </w:tc>
        <w:tc>
          <w:tcPr>
            <w:tcW w:w="443" w:type="pct"/>
            <w:shd w:val="clear" w:color="auto" w:fill="auto"/>
            <w:hideMark/>
          </w:tcPr>
          <w:p w14:paraId="18E4CE2D" w14:textId="77777777" w:rsidR="009607BB" w:rsidRPr="00E86687" w:rsidRDefault="009607BB" w:rsidP="00970743">
            <w:pPr>
              <w:keepNext/>
              <w:keepLines/>
              <w:spacing w:after="0"/>
              <w:ind w:firstLine="23"/>
              <w:jc w:val="right"/>
              <w:rPr>
                <w:i/>
                <w:sz w:val="18"/>
                <w:szCs w:val="18"/>
              </w:rPr>
            </w:pPr>
            <w:r w:rsidRPr="00E86687">
              <w:rPr>
                <w:i/>
                <w:sz w:val="18"/>
                <w:szCs w:val="18"/>
              </w:rPr>
              <w:t>0,7</w:t>
            </w:r>
          </w:p>
        </w:tc>
        <w:tc>
          <w:tcPr>
            <w:tcW w:w="475" w:type="pct"/>
            <w:shd w:val="clear" w:color="auto" w:fill="auto"/>
            <w:hideMark/>
          </w:tcPr>
          <w:p w14:paraId="1CC65DDB" w14:textId="77777777" w:rsidR="009607BB" w:rsidRPr="00EB2728" w:rsidRDefault="009607BB" w:rsidP="00970743">
            <w:pPr>
              <w:keepNext/>
              <w:keepLines/>
              <w:spacing w:after="0"/>
              <w:ind w:firstLine="23"/>
              <w:jc w:val="right"/>
              <w:rPr>
                <w:i/>
                <w:iCs/>
                <w:sz w:val="18"/>
                <w:szCs w:val="18"/>
              </w:rPr>
            </w:pPr>
            <w:r w:rsidRPr="00EB2728">
              <w:rPr>
                <w:i/>
                <w:sz w:val="18"/>
                <w:szCs w:val="18"/>
              </w:rPr>
              <w:t>234,2</w:t>
            </w:r>
          </w:p>
        </w:tc>
        <w:tc>
          <w:tcPr>
            <w:tcW w:w="459" w:type="pct"/>
            <w:shd w:val="clear" w:color="auto" w:fill="auto"/>
            <w:hideMark/>
          </w:tcPr>
          <w:p w14:paraId="010B554E" w14:textId="77777777" w:rsidR="009607BB" w:rsidRPr="00EB2728" w:rsidRDefault="009607BB" w:rsidP="00970743">
            <w:pPr>
              <w:keepNext/>
              <w:keepLines/>
              <w:spacing w:after="0"/>
              <w:ind w:firstLine="23"/>
              <w:jc w:val="right"/>
              <w:rPr>
                <w:i/>
                <w:iCs/>
                <w:sz w:val="18"/>
                <w:szCs w:val="18"/>
              </w:rPr>
            </w:pPr>
            <w:r w:rsidRPr="00EB2728">
              <w:rPr>
                <w:i/>
                <w:sz w:val="18"/>
                <w:szCs w:val="18"/>
              </w:rPr>
              <w:t>0,7</w:t>
            </w:r>
          </w:p>
        </w:tc>
      </w:tr>
      <w:tr w:rsidR="009607BB" w:rsidRPr="00E86687" w14:paraId="1DD480DB" w14:textId="77777777" w:rsidTr="00970743">
        <w:trPr>
          <w:cantSplit/>
          <w:trHeight w:val="20"/>
        </w:trPr>
        <w:tc>
          <w:tcPr>
            <w:tcW w:w="1327" w:type="pct"/>
            <w:shd w:val="clear" w:color="auto" w:fill="auto"/>
            <w:vAlign w:val="center"/>
            <w:hideMark/>
          </w:tcPr>
          <w:p w14:paraId="2EB69656" w14:textId="77777777" w:rsidR="009607BB" w:rsidRPr="00120F96" w:rsidRDefault="009607BB" w:rsidP="009607BB">
            <w:pPr>
              <w:keepNext/>
              <w:keepLines/>
              <w:spacing w:after="0"/>
              <w:ind w:left="171" w:firstLine="0"/>
              <w:rPr>
                <w:i/>
                <w:sz w:val="18"/>
                <w:szCs w:val="18"/>
                <w:lang w:eastAsia="lv-LV"/>
              </w:rPr>
            </w:pPr>
            <w:r w:rsidRPr="00120F96">
              <w:rPr>
                <w:i/>
                <w:sz w:val="18"/>
                <w:szCs w:val="18"/>
                <w:lang w:eastAsia="lv-LV"/>
              </w:rPr>
              <w:t>Solidaritātes nodoklis valsts pamatbudžetā</w:t>
            </w:r>
          </w:p>
        </w:tc>
        <w:tc>
          <w:tcPr>
            <w:tcW w:w="459" w:type="pct"/>
            <w:shd w:val="clear" w:color="auto" w:fill="auto"/>
            <w:hideMark/>
          </w:tcPr>
          <w:p w14:paraId="2DB238F2" w14:textId="77777777" w:rsidR="009607BB" w:rsidRPr="00E86687" w:rsidRDefault="009607BB" w:rsidP="00970743">
            <w:pPr>
              <w:keepNext/>
              <w:keepLines/>
              <w:spacing w:after="0"/>
              <w:ind w:firstLine="23"/>
              <w:jc w:val="right"/>
              <w:rPr>
                <w:i/>
                <w:sz w:val="18"/>
                <w:szCs w:val="18"/>
              </w:rPr>
            </w:pPr>
            <w:r w:rsidRPr="00AC3042">
              <w:rPr>
                <w:i/>
                <w:sz w:val="18"/>
                <w:szCs w:val="18"/>
              </w:rPr>
              <w:t>0,6</w:t>
            </w:r>
          </w:p>
        </w:tc>
        <w:tc>
          <w:tcPr>
            <w:tcW w:w="459" w:type="pct"/>
            <w:shd w:val="clear" w:color="auto" w:fill="auto"/>
            <w:hideMark/>
          </w:tcPr>
          <w:p w14:paraId="293F79FD" w14:textId="77777777" w:rsidR="009607BB" w:rsidRPr="00E86687" w:rsidRDefault="009607BB" w:rsidP="00970743">
            <w:pPr>
              <w:keepNext/>
              <w:keepLines/>
              <w:spacing w:after="0"/>
              <w:ind w:firstLine="23"/>
              <w:jc w:val="right"/>
              <w:rPr>
                <w:i/>
                <w:sz w:val="18"/>
                <w:szCs w:val="18"/>
              </w:rPr>
            </w:pPr>
            <w:r w:rsidRPr="00E86687">
              <w:rPr>
                <w:i/>
                <w:sz w:val="18"/>
                <w:szCs w:val="18"/>
              </w:rPr>
              <w:t>0,0</w:t>
            </w:r>
          </w:p>
        </w:tc>
        <w:tc>
          <w:tcPr>
            <w:tcW w:w="459" w:type="pct"/>
            <w:shd w:val="clear" w:color="auto" w:fill="auto"/>
            <w:hideMark/>
          </w:tcPr>
          <w:p w14:paraId="0337A77B" w14:textId="77777777" w:rsidR="009607BB" w:rsidRPr="00E86687" w:rsidRDefault="009607BB" w:rsidP="00970743">
            <w:pPr>
              <w:keepNext/>
              <w:keepLines/>
              <w:spacing w:after="0"/>
              <w:ind w:firstLine="23"/>
              <w:jc w:val="right"/>
              <w:rPr>
                <w:i/>
                <w:sz w:val="18"/>
                <w:szCs w:val="18"/>
              </w:rPr>
            </w:pPr>
            <w:r w:rsidRPr="00E86687">
              <w:rPr>
                <w:i/>
                <w:sz w:val="18"/>
                <w:szCs w:val="18"/>
              </w:rPr>
              <w:t>0,0</w:t>
            </w:r>
          </w:p>
        </w:tc>
        <w:tc>
          <w:tcPr>
            <w:tcW w:w="423" w:type="pct"/>
            <w:shd w:val="clear" w:color="auto" w:fill="auto"/>
            <w:hideMark/>
          </w:tcPr>
          <w:p w14:paraId="0920DD3C" w14:textId="77777777" w:rsidR="009607BB" w:rsidRPr="00E86687" w:rsidRDefault="009607BB" w:rsidP="00970743">
            <w:pPr>
              <w:keepNext/>
              <w:keepLines/>
              <w:spacing w:after="0"/>
              <w:ind w:firstLine="23"/>
              <w:jc w:val="right"/>
              <w:rPr>
                <w:i/>
                <w:sz w:val="18"/>
                <w:szCs w:val="18"/>
              </w:rPr>
            </w:pPr>
            <w:r w:rsidRPr="00E86687">
              <w:rPr>
                <w:i/>
                <w:sz w:val="18"/>
                <w:szCs w:val="18"/>
              </w:rPr>
              <w:t>0,0</w:t>
            </w:r>
          </w:p>
        </w:tc>
        <w:tc>
          <w:tcPr>
            <w:tcW w:w="496" w:type="pct"/>
            <w:shd w:val="clear" w:color="auto" w:fill="auto"/>
            <w:hideMark/>
          </w:tcPr>
          <w:p w14:paraId="4CD403D4" w14:textId="77777777" w:rsidR="009607BB" w:rsidRPr="00E86687" w:rsidRDefault="009607BB" w:rsidP="00970743">
            <w:pPr>
              <w:keepNext/>
              <w:keepLines/>
              <w:spacing w:after="0"/>
              <w:ind w:firstLine="23"/>
              <w:jc w:val="right"/>
              <w:rPr>
                <w:i/>
                <w:sz w:val="18"/>
                <w:szCs w:val="18"/>
              </w:rPr>
            </w:pPr>
            <w:r w:rsidRPr="00E86687">
              <w:rPr>
                <w:i/>
                <w:sz w:val="18"/>
                <w:szCs w:val="18"/>
              </w:rPr>
              <w:t>0,0</w:t>
            </w:r>
          </w:p>
        </w:tc>
        <w:tc>
          <w:tcPr>
            <w:tcW w:w="443" w:type="pct"/>
            <w:shd w:val="clear" w:color="auto" w:fill="auto"/>
            <w:hideMark/>
          </w:tcPr>
          <w:p w14:paraId="7CA3B79A" w14:textId="77777777" w:rsidR="009607BB" w:rsidRPr="00E86687" w:rsidRDefault="009607BB" w:rsidP="00970743">
            <w:pPr>
              <w:keepNext/>
              <w:keepLines/>
              <w:spacing w:after="0"/>
              <w:ind w:firstLine="23"/>
              <w:jc w:val="right"/>
              <w:rPr>
                <w:i/>
                <w:sz w:val="18"/>
                <w:szCs w:val="18"/>
              </w:rPr>
            </w:pPr>
            <w:r w:rsidRPr="00E86687">
              <w:rPr>
                <w:i/>
                <w:sz w:val="18"/>
                <w:szCs w:val="18"/>
              </w:rPr>
              <w:t>0,0</w:t>
            </w:r>
          </w:p>
        </w:tc>
        <w:tc>
          <w:tcPr>
            <w:tcW w:w="475" w:type="pct"/>
            <w:shd w:val="clear" w:color="auto" w:fill="auto"/>
            <w:hideMark/>
          </w:tcPr>
          <w:p w14:paraId="2FC79538" w14:textId="77777777" w:rsidR="009607BB" w:rsidRPr="00EB2728" w:rsidRDefault="009607BB" w:rsidP="00970743">
            <w:pPr>
              <w:keepNext/>
              <w:keepLines/>
              <w:spacing w:after="0"/>
              <w:ind w:firstLine="23"/>
              <w:jc w:val="right"/>
              <w:rPr>
                <w:i/>
                <w:iCs/>
                <w:sz w:val="18"/>
                <w:szCs w:val="18"/>
              </w:rPr>
            </w:pPr>
            <w:r w:rsidRPr="00EB2728">
              <w:rPr>
                <w:i/>
                <w:sz w:val="18"/>
                <w:szCs w:val="18"/>
              </w:rPr>
              <w:t>0,0</w:t>
            </w:r>
          </w:p>
        </w:tc>
        <w:tc>
          <w:tcPr>
            <w:tcW w:w="459" w:type="pct"/>
            <w:shd w:val="clear" w:color="auto" w:fill="auto"/>
            <w:hideMark/>
          </w:tcPr>
          <w:p w14:paraId="16B44C01" w14:textId="77777777" w:rsidR="009607BB" w:rsidRPr="00EB2728" w:rsidRDefault="009607BB" w:rsidP="00970743">
            <w:pPr>
              <w:keepNext/>
              <w:keepLines/>
              <w:spacing w:after="0"/>
              <w:ind w:firstLine="23"/>
              <w:jc w:val="right"/>
              <w:rPr>
                <w:i/>
                <w:iCs/>
                <w:sz w:val="18"/>
                <w:szCs w:val="18"/>
              </w:rPr>
            </w:pPr>
            <w:r w:rsidRPr="00EB2728">
              <w:rPr>
                <w:i/>
                <w:sz w:val="18"/>
                <w:szCs w:val="18"/>
              </w:rPr>
              <w:t>0,0</w:t>
            </w:r>
          </w:p>
        </w:tc>
      </w:tr>
      <w:tr w:rsidR="009607BB" w:rsidRPr="00E86687" w14:paraId="041E9FBF" w14:textId="77777777" w:rsidTr="00970743">
        <w:trPr>
          <w:cantSplit/>
          <w:trHeight w:val="20"/>
        </w:trPr>
        <w:tc>
          <w:tcPr>
            <w:tcW w:w="1327" w:type="pct"/>
            <w:shd w:val="clear" w:color="auto" w:fill="auto"/>
            <w:vAlign w:val="center"/>
            <w:hideMark/>
          </w:tcPr>
          <w:p w14:paraId="7C6017C3" w14:textId="77777777" w:rsidR="009607BB" w:rsidRPr="00120F96" w:rsidRDefault="009607BB" w:rsidP="009607BB">
            <w:pPr>
              <w:keepNext/>
              <w:keepLines/>
              <w:spacing w:after="0"/>
              <w:ind w:left="171" w:firstLine="0"/>
              <w:rPr>
                <w:i/>
                <w:sz w:val="18"/>
                <w:szCs w:val="18"/>
                <w:lang w:eastAsia="lv-LV"/>
              </w:rPr>
            </w:pPr>
            <w:r w:rsidRPr="00120F96">
              <w:rPr>
                <w:i/>
                <w:sz w:val="18"/>
                <w:szCs w:val="18"/>
                <w:lang w:eastAsia="lv-LV"/>
              </w:rPr>
              <w:t>Veselības aprūpes maksājums</w:t>
            </w:r>
          </w:p>
        </w:tc>
        <w:tc>
          <w:tcPr>
            <w:tcW w:w="459" w:type="pct"/>
            <w:shd w:val="clear" w:color="auto" w:fill="auto"/>
            <w:hideMark/>
          </w:tcPr>
          <w:p w14:paraId="0D7C9B9D" w14:textId="77777777" w:rsidR="009607BB" w:rsidRPr="00E86687" w:rsidRDefault="009607BB" w:rsidP="00970743">
            <w:pPr>
              <w:keepNext/>
              <w:keepLines/>
              <w:spacing w:after="0"/>
              <w:ind w:firstLine="23"/>
              <w:jc w:val="right"/>
              <w:rPr>
                <w:i/>
                <w:sz w:val="18"/>
                <w:szCs w:val="18"/>
              </w:rPr>
            </w:pPr>
            <w:r w:rsidRPr="00AC3042">
              <w:rPr>
                <w:i/>
                <w:sz w:val="18"/>
                <w:szCs w:val="18"/>
              </w:rPr>
              <w:t>100,0</w:t>
            </w:r>
          </w:p>
        </w:tc>
        <w:tc>
          <w:tcPr>
            <w:tcW w:w="459" w:type="pct"/>
            <w:shd w:val="clear" w:color="auto" w:fill="auto"/>
            <w:hideMark/>
          </w:tcPr>
          <w:p w14:paraId="006A8E9C" w14:textId="77777777" w:rsidR="009607BB" w:rsidRPr="00E86687" w:rsidRDefault="009607BB" w:rsidP="00970743">
            <w:pPr>
              <w:keepNext/>
              <w:keepLines/>
              <w:spacing w:after="0"/>
              <w:ind w:firstLine="23"/>
              <w:jc w:val="right"/>
              <w:rPr>
                <w:i/>
                <w:sz w:val="18"/>
                <w:szCs w:val="18"/>
              </w:rPr>
            </w:pPr>
            <w:r w:rsidRPr="00E86687">
              <w:rPr>
                <w:i/>
                <w:sz w:val="18"/>
                <w:szCs w:val="18"/>
              </w:rPr>
              <w:t>0,3</w:t>
            </w:r>
          </w:p>
        </w:tc>
        <w:tc>
          <w:tcPr>
            <w:tcW w:w="459" w:type="pct"/>
            <w:shd w:val="clear" w:color="auto" w:fill="auto"/>
            <w:hideMark/>
          </w:tcPr>
          <w:p w14:paraId="12EDAF78" w14:textId="77777777" w:rsidR="009607BB" w:rsidRPr="00E86687" w:rsidRDefault="009607BB" w:rsidP="00970743">
            <w:pPr>
              <w:keepNext/>
              <w:keepLines/>
              <w:spacing w:after="0"/>
              <w:ind w:firstLine="23"/>
              <w:jc w:val="right"/>
              <w:rPr>
                <w:i/>
                <w:sz w:val="18"/>
                <w:szCs w:val="18"/>
              </w:rPr>
            </w:pPr>
            <w:r w:rsidRPr="00E86687">
              <w:rPr>
                <w:i/>
                <w:sz w:val="18"/>
                <w:szCs w:val="18"/>
              </w:rPr>
              <w:t>97,3</w:t>
            </w:r>
          </w:p>
        </w:tc>
        <w:tc>
          <w:tcPr>
            <w:tcW w:w="423" w:type="pct"/>
            <w:shd w:val="clear" w:color="auto" w:fill="auto"/>
            <w:hideMark/>
          </w:tcPr>
          <w:p w14:paraId="43715C4C" w14:textId="77777777" w:rsidR="009607BB" w:rsidRPr="00E86687" w:rsidRDefault="009607BB" w:rsidP="00970743">
            <w:pPr>
              <w:keepNext/>
              <w:keepLines/>
              <w:spacing w:after="0"/>
              <w:ind w:firstLine="23"/>
              <w:jc w:val="right"/>
              <w:rPr>
                <w:i/>
                <w:sz w:val="18"/>
                <w:szCs w:val="18"/>
              </w:rPr>
            </w:pPr>
            <w:r w:rsidRPr="00E86687">
              <w:rPr>
                <w:i/>
                <w:sz w:val="18"/>
                <w:szCs w:val="18"/>
              </w:rPr>
              <w:t>0,3</w:t>
            </w:r>
          </w:p>
        </w:tc>
        <w:tc>
          <w:tcPr>
            <w:tcW w:w="496" w:type="pct"/>
            <w:shd w:val="clear" w:color="auto" w:fill="auto"/>
            <w:hideMark/>
          </w:tcPr>
          <w:p w14:paraId="6EEE9C72" w14:textId="77777777" w:rsidR="009607BB" w:rsidRPr="00E86687" w:rsidRDefault="009607BB" w:rsidP="00970743">
            <w:pPr>
              <w:keepNext/>
              <w:keepLines/>
              <w:spacing w:after="0"/>
              <w:ind w:firstLine="23"/>
              <w:jc w:val="right"/>
              <w:rPr>
                <w:i/>
                <w:sz w:val="18"/>
                <w:szCs w:val="18"/>
              </w:rPr>
            </w:pPr>
            <w:r w:rsidRPr="00E86687">
              <w:rPr>
                <w:i/>
                <w:sz w:val="18"/>
                <w:szCs w:val="18"/>
              </w:rPr>
              <w:t>100,3</w:t>
            </w:r>
          </w:p>
        </w:tc>
        <w:tc>
          <w:tcPr>
            <w:tcW w:w="443" w:type="pct"/>
            <w:shd w:val="clear" w:color="auto" w:fill="auto"/>
            <w:hideMark/>
          </w:tcPr>
          <w:p w14:paraId="52F4B8D9" w14:textId="77777777" w:rsidR="009607BB" w:rsidRPr="00E86687" w:rsidRDefault="009607BB" w:rsidP="00970743">
            <w:pPr>
              <w:keepNext/>
              <w:keepLines/>
              <w:spacing w:after="0"/>
              <w:ind w:firstLine="23"/>
              <w:jc w:val="right"/>
              <w:rPr>
                <w:i/>
                <w:sz w:val="18"/>
                <w:szCs w:val="18"/>
              </w:rPr>
            </w:pPr>
            <w:r w:rsidRPr="00E86687">
              <w:rPr>
                <w:i/>
                <w:sz w:val="18"/>
                <w:szCs w:val="18"/>
              </w:rPr>
              <w:t>0,3</w:t>
            </w:r>
          </w:p>
        </w:tc>
        <w:tc>
          <w:tcPr>
            <w:tcW w:w="475" w:type="pct"/>
            <w:shd w:val="clear" w:color="auto" w:fill="auto"/>
            <w:hideMark/>
          </w:tcPr>
          <w:p w14:paraId="11644B5B" w14:textId="77777777" w:rsidR="009607BB" w:rsidRPr="00EB2728" w:rsidRDefault="009607BB" w:rsidP="00970743">
            <w:pPr>
              <w:keepNext/>
              <w:keepLines/>
              <w:spacing w:after="0"/>
              <w:ind w:firstLine="23"/>
              <w:jc w:val="right"/>
              <w:rPr>
                <w:i/>
                <w:iCs/>
                <w:sz w:val="18"/>
                <w:szCs w:val="18"/>
              </w:rPr>
            </w:pPr>
            <w:r w:rsidRPr="00EB2728">
              <w:rPr>
                <w:i/>
                <w:sz w:val="18"/>
                <w:szCs w:val="18"/>
              </w:rPr>
              <w:t>112,8</w:t>
            </w:r>
          </w:p>
        </w:tc>
        <w:tc>
          <w:tcPr>
            <w:tcW w:w="459" w:type="pct"/>
            <w:shd w:val="clear" w:color="auto" w:fill="auto"/>
            <w:hideMark/>
          </w:tcPr>
          <w:p w14:paraId="4FAB9276" w14:textId="77777777" w:rsidR="009607BB" w:rsidRPr="00EB2728" w:rsidRDefault="009607BB" w:rsidP="00970743">
            <w:pPr>
              <w:keepNext/>
              <w:keepLines/>
              <w:spacing w:after="0"/>
              <w:ind w:firstLine="23"/>
              <w:jc w:val="right"/>
              <w:rPr>
                <w:i/>
                <w:iCs/>
                <w:sz w:val="18"/>
                <w:szCs w:val="18"/>
              </w:rPr>
            </w:pPr>
            <w:r w:rsidRPr="00EB2728">
              <w:rPr>
                <w:i/>
                <w:sz w:val="18"/>
                <w:szCs w:val="18"/>
              </w:rPr>
              <w:t>0,3</w:t>
            </w:r>
          </w:p>
        </w:tc>
      </w:tr>
    </w:tbl>
    <w:p w14:paraId="25E324ED" w14:textId="77777777" w:rsidR="009607BB" w:rsidRPr="00E86687" w:rsidRDefault="009607BB" w:rsidP="00E532C8">
      <w:pPr>
        <w:spacing w:before="120" w:after="240"/>
        <w:ind w:left="425" w:firstLine="0"/>
        <w:jc w:val="left"/>
        <w:rPr>
          <w:sz w:val="18"/>
          <w:szCs w:val="18"/>
        </w:rPr>
      </w:pPr>
      <w:r w:rsidRPr="00E86687">
        <w:rPr>
          <w:sz w:val="18"/>
          <w:szCs w:val="18"/>
          <w:vertAlign w:val="superscript"/>
        </w:rPr>
        <w:t>1</w:t>
      </w:r>
      <w:r>
        <w:rPr>
          <w:sz w:val="18"/>
          <w:szCs w:val="18"/>
        </w:rPr>
        <w:t xml:space="preserve"> S</w:t>
      </w:r>
      <w:r w:rsidRPr="00120F96">
        <w:rPr>
          <w:sz w:val="18"/>
          <w:szCs w:val="18"/>
        </w:rPr>
        <w:t xml:space="preserve">askaņā ar likumprojektu </w:t>
      </w:r>
      <w:r w:rsidRPr="00AC3042">
        <w:rPr>
          <w:sz w:val="18"/>
          <w:szCs w:val="18"/>
        </w:rPr>
        <w:t>„Par valsts budžetu 2022</w:t>
      </w:r>
      <w:r w:rsidRPr="00E86687">
        <w:rPr>
          <w:sz w:val="18"/>
          <w:szCs w:val="18"/>
        </w:rPr>
        <w:t>. gadam”.</w:t>
      </w:r>
    </w:p>
    <w:p w14:paraId="160C56F7" w14:textId="0284FAE2" w:rsidR="009607BB" w:rsidRPr="00A23D8B" w:rsidRDefault="009607BB" w:rsidP="009607BB">
      <w:pPr>
        <w:spacing w:after="0"/>
        <w:ind w:firstLine="720"/>
      </w:pPr>
      <w:r w:rsidRPr="00A23D8B">
        <w:t>202</w:t>
      </w:r>
      <w:r>
        <w:t>1</w:t>
      </w:r>
      <w:r w:rsidRPr="00A23D8B">
        <w:t>. un 202</w:t>
      </w:r>
      <w:r>
        <w:t>2. gad</w:t>
      </w:r>
      <w:r w:rsidRPr="00A23D8B">
        <w:t>ā tiešo nodokļu ieņēmumu īpatsvars iekšzemes kopproduktā tiek prognozēts 16,4% un 16,</w:t>
      </w:r>
      <w:r>
        <w:t>6</w:t>
      </w:r>
      <w:r w:rsidRPr="00A23D8B">
        <w:t xml:space="preserve">%, kas ir attiecīgi par 1,2 un </w:t>
      </w:r>
      <w:r>
        <w:t>1,0 procent</w:t>
      </w:r>
      <w:r w:rsidRPr="00A23D8B">
        <w:t xml:space="preserve">punktiem mazāk </w:t>
      </w:r>
      <w:r>
        <w:t>ne</w:t>
      </w:r>
      <w:r w:rsidRPr="00A23D8B">
        <w:t>kā 2020</w:t>
      </w:r>
      <w:r>
        <w:t>. gad</w:t>
      </w:r>
      <w:r w:rsidRPr="00A23D8B">
        <w:t>ā. To pamatā nosaka darbaspēka nodokļu īpatsvara samazinājums.</w:t>
      </w:r>
    </w:p>
    <w:p w14:paraId="7271046A" w14:textId="77777777" w:rsidR="009607BB" w:rsidRPr="00856ECF" w:rsidRDefault="009607BB" w:rsidP="009607BB">
      <w:pPr>
        <w:pStyle w:val="H4"/>
        <w:spacing w:before="240"/>
      </w:pPr>
      <w:bookmarkStart w:id="11" w:name="_Toc150840171"/>
      <w:bookmarkStart w:id="12" w:name="_Toc150941361"/>
      <w:r w:rsidRPr="00856ECF">
        <w:t>Iedzīvotāju ienākuma nodoklis</w:t>
      </w:r>
      <w:bookmarkEnd w:id="11"/>
      <w:bookmarkEnd w:id="12"/>
    </w:p>
    <w:p w14:paraId="74C349AB" w14:textId="798BBB13" w:rsidR="009607BB" w:rsidRPr="004066BC" w:rsidRDefault="009607BB" w:rsidP="00E532C8">
      <w:pPr>
        <w:ind w:firstLine="720"/>
        <w:rPr>
          <w:bCs/>
          <w:szCs w:val="24"/>
        </w:rPr>
      </w:pPr>
      <w:r w:rsidRPr="004066BC">
        <w:t xml:space="preserve">Iedzīvotāju ienākuma nodokļa </w:t>
      </w:r>
      <w:r w:rsidRPr="004066BC">
        <w:rPr>
          <w:szCs w:val="24"/>
        </w:rPr>
        <w:t xml:space="preserve">ieņēmumus galvenokārt ietekmē tautsaimniecībā nodarbināto skaits, nodarbināto ienākumi, atvieglojumu apmērs, kā arī minimālā darba alga. </w:t>
      </w:r>
      <w:r w:rsidRPr="004066BC">
        <w:rPr>
          <w:szCs w:val="24"/>
        </w:rPr>
        <w:lastRenderedPageBreak/>
        <w:t>Kopējie iedzīvotāju ienākuma nodokļa ieņēmumi 2021</w:t>
      </w:r>
      <w:r>
        <w:rPr>
          <w:szCs w:val="24"/>
        </w:rPr>
        <w:t>. gad</w:t>
      </w:r>
      <w:r w:rsidRPr="004066BC">
        <w:rPr>
          <w:szCs w:val="24"/>
        </w:rPr>
        <w:t xml:space="preserve">a </w:t>
      </w:r>
      <w:r>
        <w:rPr>
          <w:szCs w:val="24"/>
        </w:rPr>
        <w:t>1. pusga</w:t>
      </w:r>
      <w:r w:rsidRPr="004066BC">
        <w:rPr>
          <w:szCs w:val="24"/>
        </w:rPr>
        <w:t>dā bija 741,8</w:t>
      </w:r>
      <w:r>
        <w:rPr>
          <w:szCs w:val="24"/>
        </w:rPr>
        <w:t> milj. </w:t>
      </w:r>
      <w:proofErr w:type="spellStart"/>
      <w:r w:rsidRPr="00D705E7">
        <w:rPr>
          <w:i/>
          <w:szCs w:val="24"/>
        </w:rPr>
        <w:t>euro</w:t>
      </w:r>
      <w:proofErr w:type="spellEnd"/>
      <w:r w:rsidRPr="004066BC">
        <w:rPr>
          <w:szCs w:val="24"/>
        </w:rPr>
        <w:t>, par 95,5</w:t>
      </w:r>
      <w:r>
        <w:rPr>
          <w:szCs w:val="24"/>
        </w:rPr>
        <w:t> milj. </w:t>
      </w:r>
      <w:proofErr w:type="spellStart"/>
      <w:r w:rsidRPr="00D705E7">
        <w:rPr>
          <w:i/>
          <w:szCs w:val="24"/>
        </w:rPr>
        <w:t>euro</w:t>
      </w:r>
      <w:proofErr w:type="spellEnd"/>
      <w:r w:rsidRPr="004066BC">
        <w:rPr>
          <w:szCs w:val="24"/>
        </w:rPr>
        <w:t xml:space="preserve"> jeb 11,4% mazāk </w:t>
      </w:r>
      <w:r>
        <w:rPr>
          <w:szCs w:val="24"/>
        </w:rPr>
        <w:t>ne</w:t>
      </w:r>
      <w:r w:rsidRPr="004066BC">
        <w:rPr>
          <w:szCs w:val="24"/>
        </w:rPr>
        <w:t>kā 2020</w:t>
      </w:r>
      <w:r>
        <w:rPr>
          <w:szCs w:val="24"/>
        </w:rPr>
        <w:t>. gad</w:t>
      </w:r>
      <w:r w:rsidRPr="004066BC">
        <w:rPr>
          <w:szCs w:val="24"/>
        </w:rPr>
        <w:t xml:space="preserve">a attiecīgajā periodā. Ieņēmumu kritums pret iepriekšējo gadu pamatā saistās ar </w:t>
      </w:r>
      <w:r w:rsidRPr="004066BC">
        <w:rPr>
          <w:bCs/>
        </w:rPr>
        <w:t>būtisko atmaksu pieaugumu šā gada martā (atmaksas sasniedza 97,9</w:t>
      </w:r>
      <w:r>
        <w:rPr>
          <w:bCs/>
        </w:rPr>
        <w:t> milj. </w:t>
      </w:r>
      <w:proofErr w:type="spellStart"/>
      <w:r w:rsidRPr="00D705E7">
        <w:rPr>
          <w:bCs/>
          <w:i/>
        </w:rPr>
        <w:t>euro</w:t>
      </w:r>
      <w:proofErr w:type="spellEnd"/>
      <w:r w:rsidRPr="004066BC">
        <w:rPr>
          <w:bCs/>
        </w:rPr>
        <w:t xml:space="preserve"> jeb 53,9% vairāk kā pērn šajā mēnesī)</w:t>
      </w:r>
      <w:r w:rsidRPr="004066BC">
        <w:rPr>
          <w:szCs w:val="24"/>
        </w:rPr>
        <w:t xml:space="preserve">, tāpat to papildus ietekmēja arī atvieglojumu apmēru pieaugums. Nodarbināto skaits </w:t>
      </w:r>
      <w:r>
        <w:rPr>
          <w:szCs w:val="24"/>
        </w:rPr>
        <w:t xml:space="preserve">pēc informācijas no darba devēju ziņojumiem </w:t>
      </w:r>
      <w:r w:rsidRPr="004066BC">
        <w:rPr>
          <w:szCs w:val="24"/>
        </w:rPr>
        <w:t>saglabājas aptuveni pērnā gada līmenī (samazinājums par 0,6%), bet ir vērojams darba samaksas fonda apmēra pieaugums par 8,5</w:t>
      </w:r>
      <w:r>
        <w:rPr>
          <w:szCs w:val="24"/>
        </w:rPr>
        <w:t xml:space="preserve"> procentiem</w:t>
      </w:r>
      <w:r w:rsidRPr="004066BC">
        <w:rPr>
          <w:szCs w:val="24"/>
        </w:rPr>
        <w:t xml:space="preserve">. Savukārt </w:t>
      </w:r>
      <w:r w:rsidRPr="004066BC">
        <w:rPr>
          <w:bCs/>
          <w:szCs w:val="24"/>
        </w:rPr>
        <w:t xml:space="preserve">pusgada plāns ir neizpildīts par </w:t>
      </w:r>
      <w:r w:rsidRPr="004066BC">
        <w:rPr>
          <w:szCs w:val="24"/>
        </w:rPr>
        <w:t>64,7</w:t>
      </w:r>
      <w:r>
        <w:rPr>
          <w:szCs w:val="24"/>
        </w:rPr>
        <w:t> milj. </w:t>
      </w:r>
      <w:proofErr w:type="spellStart"/>
      <w:r w:rsidRPr="00D705E7">
        <w:rPr>
          <w:i/>
          <w:szCs w:val="24"/>
        </w:rPr>
        <w:t>euro</w:t>
      </w:r>
      <w:proofErr w:type="spellEnd"/>
      <w:r w:rsidRPr="004066BC">
        <w:rPr>
          <w:bCs/>
          <w:szCs w:val="24"/>
        </w:rPr>
        <w:t xml:space="preserve"> jeb 8,0%, kā galveno iemeslu minot atmaksu pieaugumu</w:t>
      </w:r>
      <w:r w:rsidRPr="004066BC">
        <w:rPr>
          <w:szCs w:val="24"/>
        </w:rPr>
        <w:t xml:space="preserve">. </w:t>
      </w:r>
      <w:r w:rsidRPr="004066BC">
        <w:t>Ņemot vērā iepriekšminēto atmaksu apmēra pieaugumu, kā arī aktuālās darba samaksas fonda makroekonomiskās prognozes, 2021</w:t>
      </w:r>
      <w:r>
        <w:t>. gad</w:t>
      </w:r>
      <w:r w:rsidRPr="004066BC">
        <w:t>a iedzīvotāju ienākuma nodokļa prognoze tika samazināta par 31,2</w:t>
      </w:r>
      <w:r>
        <w:t> milj. </w:t>
      </w:r>
      <w:proofErr w:type="spellStart"/>
      <w:r w:rsidRPr="00D705E7">
        <w:rPr>
          <w:i/>
        </w:rPr>
        <w:t>euro</w:t>
      </w:r>
      <w:proofErr w:type="spellEnd"/>
      <w:r w:rsidRPr="004066BC">
        <w:t xml:space="preserve"> jeb par 1,8%, salīdzinot ar plānu.</w:t>
      </w:r>
    </w:p>
    <w:p w14:paraId="02EE2C5F" w14:textId="0094AE8F" w:rsidR="009607BB" w:rsidRPr="0034655F" w:rsidRDefault="009607BB" w:rsidP="00E532C8">
      <w:pPr>
        <w:ind w:firstLine="720"/>
        <w:rPr>
          <w:szCs w:val="24"/>
        </w:rPr>
      </w:pPr>
      <w:r w:rsidRPr="0034655F">
        <w:rPr>
          <w:szCs w:val="24"/>
        </w:rPr>
        <w:t>Pēc Centrālās statistikas pārvaldes datiem</w:t>
      </w:r>
      <w:r>
        <w:rPr>
          <w:szCs w:val="24"/>
        </w:rPr>
        <w:t>,</w:t>
      </w:r>
      <w:r w:rsidRPr="0034655F">
        <w:rPr>
          <w:szCs w:val="24"/>
        </w:rPr>
        <w:t xml:space="preserve"> 2021</w:t>
      </w:r>
      <w:r>
        <w:rPr>
          <w:szCs w:val="24"/>
        </w:rPr>
        <w:t>. gad</w:t>
      </w:r>
      <w:r w:rsidRPr="0034655F">
        <w:rPr>
          <w:szCs w:val="24"/>
        </w:rPr>
        <w:t>a jūnijā strādājošo mēneša vidējā bruto darba samaksa bija 1 259</w:t>
      </w:r>
      <w:r w:rsidRPr="0034655F">
        <w:rPr>
          <w:i/>
          <w:szCs w:val="24"/>
        </w:rPr>
        <w:t> </w:t>
      </w:r>
      <w:proofErr w:type="spellStart"/>
      <w:r w:rsidRPr="00D705E7">
        <w:rPr>
          <w:i/>
          <w:szCs w:val="24"/>
        </w:rPr>
        <w:t>euro</w:t>
      </w:r>
      <w:proofErr w:type="spellEnd"/>
      <w:r w:rsidRPr="0034655F">
        <w:rPr>
          <w:szCs w:val="24"/>
        </w:rPr>
        <w:t xml:space="preserve"> jeb par 10,5% lielāka nekā 2020</w:t>
      </w:r>
      <w:r>
        <w:rPr>
          <w:szCs w:val="24"/>
        </w:rPr>
        <w:t>. gad</w:t>
      </w:r>
      <w:r w:rsidRPr="0034655F">
        <w:rPr>
          <w:szCs w:val="24"/>
        </w:rPr>
        <w:t>a attiecīgajā mēnesī. Saskaņā ar Nodarbinātības valsts aģentūras informāciju reģistrētā bezdarba līmenis 2021</w:t>
      </w:r>
      <w:r>
        <w:rPr>
          <w:szCs w:val="24"/>
        </w:rPr>
        <w:t>. gad</w:t>
      </w:r>
      <w:r w:rsidRPr="0034655F">
        <w:rPr>
          <w:szCs w:val="24"/>
        </w:rPr>
        <w:t>a jūnijā bija 7,4</w:t>
      </w:r>
      <w:r>
        <w:rPr>
          <w:szCs w:val="24"/>
        </w:rPr>
        <w:t> procent</w:t>
      </w:r>
      <w:r w:rsidRPr="0034655F">
        <w:rPr>
          <w:szCs w:val="24"/>
        </w:rPr>
        <w:t>i, kas salīdzinājumā ar iepriekšējā gada attiecīgo mēnesi ir par 1,2</w:t>
      </w:r>
      <w:r>
        <w:rPr>
          <w:szCs w:val="24"/>
        </w:rPr>
        <w:t> procent</w:t>
      </w:r>
      <w:r w:rsidRPr="0034655F">
        <w:rPr>
          <w:szCs w:val="24"/>
        </w:rPr>
        <w:t>punktiem mazāk. Pēc informācijas iesniegtajos darba devēju ziņojumos par valsts sociālās apdrošināšanas obligātajām iemaksām un iedzīvotāju ienākuma nodokli, 2021</w:t>
      </w:r>
      <w:r>
        <w:rPr>
          <w:szCs w:val="24"/>
        </w:rPr>
        <w:t>. gad</w:t>
      </w:r>
      <w:r w:rsidRPr="0034655F">
        <w:rPr>
          <w:szCs w:val="24"/>
        </w:rPr>
        <w:t xml:space="preserve">a </w:t>
      </w:r>
      <w:r>
        <w:rPr>
          <w:szCs w:val="24"/>
        </w:rPr>
        <w:t>1. pusga</w:t>
      </w:r>
      <w:r w:rsidRPr="0034655F">
        <w:rPr>
          <w:szCs w:val="24"/>
        </w:rPr>
        <w:t>dā ienākumus virs valstī noteiktās minimālās darba algas saņēma 74,6% darba ņēmēju un to īpatsvars, salīdzinot ar 2020</w:t>
      </w:r>
      <w:r>
        <w:rPr>
          <w:szCs w:val="24"/>
        </w:rPr>
        <w:t>. gad</w:t>
      </w:r>
      <w:r w:rsidRPr="0034655F">
        <w:rPr>
          <w:szCs w:val="24"/>
        </w:rPr>
        <w:t>a attiecīgo periodu, ir palielinājies par 0,</w:t>
      </w:r>
      <w:r>
        <w:rPr>
          <w:szCs w:val="24"/>
        </w:rPr>
        <w:t>7 procent</w:t>
      </w:r>
      <w:r w:rsidRPr="0034655F">
        <w:rPr>
          <w:szCs w:val="24"/>
        </w:rPr>
        <w:t>punktiem, taču jāņem vērā, ka 2020</w:t>
      </w:r>
      <w:r>
        <w:rPr>
          <w:szCs w:val="24"/>
        </w:rPr>
        <w:t>. gad</w:t>
      </w:r>
      <w:r w:rsidRPr="0034655F">
        <w:rPr>
          <w:szCs w:val="24"/>
        </w:rPr>
        <w:t>ā minimālā alga bija 43</w:t>
      </w:r>
      <w:r>
        <w:rPr>
          <w:szCs w:val="24"/>
        </w:rPr>
        <w:t>0 </w:t>
      </w:r>
      <w:proofErr w:type="spellStart"/>
      <w:r w:rsidRPr="00E532C8">
        <w:rPr>
          <w:i/>
          <w:iCs/>
          <w:szCs w:val="24"/>
        </w:rPr>
        <w:t>euro</w:t>
      </w:r>
      <w:proofErr w:type="spellEnd"/>
      <w:r w:rsidRPr="0034655F">
        <w:rPr>
          <w:szCs w:val="24"/>
        </w:rPr>
        <w:t xml:space="preserve"> mēnesī.</w:t>
      </w:r>
    </w:p>
    <w:p w14:paraId="0628E6BF" w14:textId="77777777" w:rsidR="009607BB" w:rsidRPr="000345A6" w:rsidRDefault="009607BB" w:rsidP="00E532C8">
      <w:pPr>
        <w:ind w:firstLine="720"/>
        <w:rPr>
          <w:szCs w:val="24"/>
          <w:highlight w:val="yellow"/>
        </w:rPr>
      </w:pPr>
      <w:r w:rsidRPr="0034655F">
        <w:t>Saskaņā ar likumprojektu</w:t>
      </w:r>
      <w:r>
        <w:t xml:space="preserve"> </w:t>
      </w:r>
      <w:r w:rsidRPr="0034655F">
        <w:t>„Par valsts budžetu 2022</w:t>
      </w:r>
      <w:r>
        <w:t>. gad</w:t>
      </w:r>
      <w:r w:rsidRPr="0034655F">
        <w:t>am” iedzīvotāju ienākuma nodokļa ieņēmumi 2022</w:t>
      </w:r>
      <w:r>
        <w:t>. gad</w:t>
      </w:r>
      <w:r w:rsidRPr="0034655F">
        <w:t>ā tiek plānoti 1</w:t>
      </w:r>
      <w:r>
        <w:t> 862,0 milj. </w:t>
      </w:r>
      <w:proofErr w:type="spellStart"/>
      <w:r w:rsidRPr="00D705E7">
        <w:rPr>
          <w:i/>
        </w:rPr>
        <w:t>euro</w:t>
      </w:r>
      <w:proofErr w:type="spellEnd"/>
      <w:r>
        <w:rPr>
          <w:i/>
        </w:rPr>
        <w:t xml:space="preserve"> </w:t>
      </w:r>
      <w:r w:rsidRPr="00E97916">
        <w:t>apmērā</w:t>
      </w:r>
      <w:r w:rsidRPr="0034655F">
        <w:t>, kas salīdzinājumā ar 2021</w:t>
      </w:r>
      <w:r>
        <w:t>. gad</w:t>
      </w:r>
      <w:r w:rsidRPr="0034655F">
        <w:t xml:space="preserve">a prognozētajiem ieņēmumiem ir par </w:t>
      </w:r>
      <w:r>
        <w:t>116,0 milj. </w:t>
      </w:r>
      <w:proofErr w:type="spellStart"/>
      <w:r w:rsidRPr="00D705E7">
        <w:rPr>
          <w:i/>
        </w:rPr>
        <w:t>euro</w:t>
      </w:r>
      <w:proofErr w:type="spellEnd"/>
      <w:r w:rsidRPr="0034655F">
        <w:t xml:space="preserve"> jeb</w:t>
      </w:r>
      <w:r>
        <w:t xml:space="preserve"> par</w:t>
      </w:r>
      <w:r w:rsidRPr="0034655F">
        <w:t xml:space="preserve"> </w:t>
      </w:r>
      <w:r>
        <w:t>6,6</w:t>
      </w:r>
      <w:r w:rsidRPr="0034655F">
        <w:t xml:space="preserve">% vairāk. </w:t>
      </w:r>
      <w:r w:rsidRPr="0034655F">
        <w:rPr>
          <w:szCs w:val="24"/>
        </w:rPr>
        <w:t>Iedzīvotāju ienākuma nodokļa 2022</w:t>
      </w:r>
      <w:r>
        <w:rPr>
          <w:szCs w:val="24"/>
        </w:rPr>
        <w:t>. gad</w:t>
      </w:r>
      <w:r w:rsidRPr="0034655F">
        <w:rPr>
          <w:szCs w:val="24"/>
        </w:rPr>
        <w:t>am ieņēmumu plānu ietekmēs prognozētais darba samaksas fonda pieauguma temps, 2021</w:t>
      </w:r>
      <w:r>
        <w:rPr>
          <w:szCs w:val="24"/>
        </w:rPr>
        <w:t>. gad</w:t>
      </w:r>
      <w:r w:rsidRPr="0034655F">
        <w:rPr>
          <w:szCs w:val="24"/>
        </w:rPr>
        <w:t>a pirmā pusgada izpilde</w:t>
      </w:r>
      <w:r w:rsidRPr="00904BDC">
        <w:rPr>
          <w:szCs w:val="24"/>
        </w:rPr>
        <w:t>, kā arī</w:t>
      </w:r>
      <w:r w:rsidRPr="00904BDC">
        <w:rPr>
          <w:szCs w:val="24"/>
          <w:lang w:eastAsia="lv-LV"/>
        </w:rPr>
        <w:t xml:space="preserve"> 3.1</w:t>
      </w:r>
      <w:r>
        <w:rPr>
          <w:szCs w:val="24"/>
          <w:lang w:eastAsia="lv-LV"/>
        </w:rPr>
        <w:t>. sad</w:t>
      </w:r>
      <w:r w:rsidRPr="00904BDC">
        <w:rPr>
          <w:szCs w:val="24"/>
          <w:lang w:eastAsia="lv-LV"/>
        </w:rPr>
        <w:t>aļā minētie pasākumi</w:t>
      </w:r>
      <w:r w:rsidRPr="00904BDC">
        <w:rPr>
          <w:szCs w:val="24"/>
        </w:rPr>
        <w:t>.</w:t>
      </w:r>
    </w:p>
    <w:p w14:paraId="6A28E3A3" w14:textId="77777777" w:rsidR="009607BB" w:rsidRPr="00E86687" w:rsidRDefault="009607BB" w:rsidP="009607BB">
      <w:pPr>
        <w:keepNext/>
        <w:spacing w:before="240" w:after="240"/>
        <w:ind w:firstLine="0"/>
        <w:jc w:val="center"/>
        <w:rPr>
          <w:b/>
          <w:i/>
          <w:szCs w:val="24"/>
        </w:rPr>
      </w:pPr>
      <w:r w:rsidRPr="00E86687">
        <w:rPr>
          <w:b/>
          <w:i/>
          <w:szCs w:val="24"/>
        </w:rPr>
        <w:t>3.4</w:t>
      </w:r>
      <w:r>
        <w:rPr>
          <w:b/>
          <w:i/>
          <w:szCs w:val="24"/>
        </w:rPr>
        <w:t>. tab</w:t>
      </w:r>
      <w:r w:rsidRPr="00E86687">
        <w:rPr>
          <w:b/>
          <w:i/>
          <w:szCs w:val="24"/>
        </w:rPr>
        <w:t>ula. Iedzīvotāju ienākuma nodokļa ieņēmumi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4701"/>
        <w:gridCol w:w="1067"/>
        <w:gridCol w:w="1067"/>
        <w:gridCol w:w="1037"/>
        <w:gridCol w:w="1189"/>
      </w:tblGrid>
      <w:tr w:rsidR="009607BB" w:rsidRPr="00E86687" w14:paraId="006E76D9" w14:textId="77777777" w:rsidTr="00193ACF">
        <w:trPr>
          <w:jc w:val="center"/>
        </w:trPr>
        <w:tc>
          <w:tcPr>
            <w:tcW w:w="2594" w:type="pct"/>
            <w:vMerge w:val="restart"/>
            <w:shd w:val="clear" w:color="auto" w:fill="B8CCE4" w:themeFill="accent1" w:themeFillTint="66"/>
          </w:tcPr>
          <w:p w14:paraId="3DB1C22B" w14:textId="77777777" w:rsidR="009607BB" w:rsidRPr="00E86687" w:rsidRDefault="009607BB" w:rsidP="00970743">
            <w:pPr>
              <w:keepNext/>
              <w:keepLines/>
              <w:spacing w:after="0"/>
              <w:ind w:firstLine="0"/>
              <w:jc w:val="center"/>
              <w:rPr>
                <w:b/>
                <w:snapToGrid w:val="0"/>
                <w:sz w:val="18"/>
                <w:szCs w:val="18"/>
              </w:rPr>
            </w:pPr>
          </w:p>
        </w:tc>
        <w:tc>
          <w:tcPr>
            <w:tcW w:w="589" w:type="pct"/>
            <w:shd w:val="clear" w:color="auto" w:fill="B8CCE4" w:themeFill="accent1" w:themeFillTint="66"/>
          </w:tcPr>
          <w:p w14:paraId="6772ADA1" w14:textId="77777777" w:rsidR="009607BB" w:rsidRPr="00E86687" w:rsidRDefault="009607BB" w:rsidP="00970743">
            <w:pPr>
              <w:keepNext/>
              <w:keepLines/>
              <w:spacing w:after="0"/>
              <w:ind w:firstLine="0"/>
              <w:jc w:val="center"/>
              <w:rPr>
                <w:b/>
                <w:snapToGrid w:val="0"/>
                <w:sz w:val="18"/>
                <w:szCs w:val="18"/>
              </w:rPr>
            </w:pPr>
            <w:r w:rsidRPr="00E86687">
              <w:rPr>
                <w:b/>
                <w:snapToGrid w:val="0"/>
                <w:sz w:val="18"/>
                <w:szCs w:val="18"/>
              </w:rPr>
              <w:t>2019</w:t>
            </w:r>
          </w:p>
        </w:tc>
        <w:tc>
          <w:tcPr>
            <w:tcW w:w="589" w:type="pct"/>
            <w:shd w:val="clear" w:color="auto" w:fill="B8CCE4" w:themeFill="accent1" w:themeFillTint="66"/>
          </w:tcPr>
          <w:p w14:paraId="357BFAAA" w14:textId="77777777" w:rsidR="009607BB" w:rsidRPr="00E86687" w:rsidRDefault="009607BB" w:rsidP="00970743">
            <w:pPr>
              <w:keepNext/>
              <w:keepLines/>
              <w:spacing w:after="0"/>
              <w:ind w:firstLine="0"/>
              <w:jc w:val="center"/>
              <w:rPr>
                <w:b/>
                <w:snapToGrid w:val="0"/>
                <w:sz w:val="18"/>
                <w:szCs w:val="18"/>
              </w:rPr>
            </w:pPr>
            <w:r w:rsidRPr="00E86687">
              <w:rPr>
                <w:b/>
                <w:snapToGrid w:val="0"/>
                <w:sz w:val="18"/>
                <w:szCs w:val="18"/>
              </w:rPr>
              <w:t>2020</w:t>
            </w:r>
          </w:p>
        </w:tc>
        <w:tc>
          <w:tcPr>
            <w:tcW w:w="572" w:type="pct"/>
            <w:shd w:val="clear" w:color="auto" w:fill="B8CCE4" w:themeFill="accent1" w:themeFillTint="66"/>
          </w:tcPr>
          <w:p w14:paraId="704C2B4A" w14:textId="77777777" w:rsidR="009607BB" w:rsidRPr="00E86687" w:rsidRDefault="009607BB" w:rsidP="00970743">
            <w:pPr>
              <w:keepNext/>
              <w:keepLines/>
              <w:spacing w:after="0"/>
              <w:ind w:firstLine="0"/>
              <w:jc w:val="center"/>
              <w:rPr>
                <w:b/>
                <w:snapToGrid w:val="0"/>
                <w:sz w:val="18"/>
                <w:szCs w:val="18"/>
              </w:rPr>
            </w:pPr>
            <w:r w:rsidRPr="00E86687">
              <w:rPr>
                <w:b/>
                <w:snapToGrid w:val="0"/>
                <w:sz w:val="18"/>
                <w:szCs w:val="18"/>
              </w:rPr>
              <w:t>2021</w:t>
            </w:r>
          </w:p>
        </w:tc>
        <w:tc>
          <w:tcPr>
            <w:tcW w:w="656" w:type="pct"/>
            <w:shd w:val="clear" w:color="auto" w:fill="B8CCE4" w:themeFill="accent1" w:themeFillTint="66"/>
          </w:tcPr>
          <w:p w14:paraId="3525A66D" w14:textId="77777777" w:rsidR="009607BB" w:rsidRPr="00E86687" w:rsidRDefault="009607BB" w:rsidP="00970743">
            <w:pPr>
              <w:keepNext/>
              <w:keepLines/>
              <w:spacing w:after="0"/>
              <w:ind w:firstLine="0"/>
              <w:jc w:val="center"/>
              <w:rPr>
                <w:b/>
                <w:snapToGrid w:val="0"/>
                <w:sz w:val="18"/>
                <w:szCs w:val="18"/>
              </w:rPr>
            </w:pPr>
            <w:r w:rsidRPr="00E86687">
              <w:rPr>
                <w:b/>
                <w:snapToGrid w:val="0"/>
                <w:sz w:val="18"/>
                <w:szCs w:val="18"/>
              </w:rPr>
              <w:t>2022</w:t>
            </w:r>
          </w:p>
        </w:tc>
      </w:tr>
      <w:tr w:rsidR="009607BB" w:rsidRPr="00E86687" w14:paraId="55F5D424" w14:textId="77777777" w:rsidTr="00193ACF">
        <w:trPr>
          <w:jc w:val="center"/>
        </w:trPr>
        <w:tc>
          <w:tcPr>
            <w:tcW w:w="2594" w:type="pct"/>
            <w:vMerge/>
            <w:shd w:val="clear" w:color="auto" w:fill="B8CCE4" w:themeFill="accent1" w:themeFillTint="66"/>
          </w:tcPr>
          <w:p w14:paraId="28D20EBE" w14:textId="77777777" w:rsidR="009607BB" w:rsidRPr="00E86687" w:rsidRDefault="009607BB" w:rsidP="00970743">
            <w:pPr>
              <w:keepNext/>
              <w:keepLines/>
              <w:spacing w:after="0"/>
              <w:ind w:firstLine="0"/>
              <w:jc w:val="center"/>
              <w:rPr>
                <w:b/>
                <w:snapToGrid w:val="0"/>
                <w:sz w:val="18"/>
                <w:szCs w:val="18"/>
              </w:rPr>
            </w:pPr>
          </w:p>
        </w:tc>
        <w:tc>
          <w:tcPr>
            <w:tcW w:w="1178" w:type="pct"/>
            <w:gridSpan w:val="2"/>
            <w:shd w:val="clear" w:color="auto" w:fill="B8CCE4" w:themeFill="accent1" w:themeFillTint="66"/>
          </w:tcPr>
          <w:p w14:paraId="1D8C5370" w14:textId="77777777" w:rsidR="009607BB" w:rsidRPr="00120F96" w:rsidRDefault="009607BB" w:rsidP="00970743">
            <w:pPr>
              <w:keepNext/>
              <w:keepLines/>
              <w:spacing w:after="0"/>
              <w:ind w:firstLine="0"/>
              <w:jc w:val="center"/>
              <w:rPr>
                <w:snapToGrid w:val="0"/>
                <w:sz w:val="18"/>
                <w:szCs w:val="18"/>
              </w:rPr>
            </w:pPr>
            <w:r w:rsidRPr="00120F96">
              <w:rPr>
                <w:snapToGrid w:val="0"/>
                <w:sz w:val="18"/>
                <w:szCs w:val="18"/>
              </w:rPr>
              <w:t>fakts</w:t>
            </w:r>
          </w:p>
        </w:tc>
        <w:tc>
          <w:tcPr>
            <w:tcW w:w="572" w:type="pct"/>
            <w:shd w:val="clear" w:color="auto" w:fill="B8CCE4" w:themeFill="accent1" w:themeFillTint="66"/>
          </w:tcPr>
          <w:p w14:paraId="2B69A873" w14:textId="77777777" w:rsidR="009607BB" w:rsidRPr="00AC3042" w:rsidRDefault="009607BB" w:rsidP="00970743">
            <w:pPr>
              <w:keepNext/>
              <w:keepLines/>
              <w:spacing w:after="0"/>
              <w:ind w:firstLine="0"/>
              <w:jc w:val="center"/>
              <w:rPr>
                <w:snapToGrid w:val="0"/>
                <w:sz w:val="18"/>
                <w:szCs w:val="18"/>
              </w:rPr>
            </w:pPr>
            <w:r w:rsidRPr="00AC3042">
              <w:rPr>
                <w:snapToGrid w:val="0"/>
                <w:sz w:val="18"/>
                <w:szCs w:val="18"/>
              </w:rPr>
              <w:t>prognoze</w:t>
            </w:r>
          </w:p>
        </w:tc>
        <w:tc>
          <w:tcPr>
            <w:tcW w:w="656" w:type="pct"/>
            <w:shd w:val="clear" w:color="auto" w:fill="B8CCE4" w:themeFill="accent1" w:themeFillTint="66"/>
          </w:tcPr>
          <w:p w14:paraId="0F6FFAD1" w14:textId="77777777" w:rsidR="009607BB" w:rsidRPr="00120F96" w:rsidRDefault="009607BB" w:rsidP="00970743">
            <w:pPr>
              <w:keepNext/>
              <w:keepLines/>
              <w:spacing w:after="0"/>
              <w:ind w:firstLine="0"/>
              <w:jc w:val="center"/>
              <w:rPr>
                <w:snapToGrid w:val="0"/>
                <w:sz w:val="18"/>
                <w:szCs w:val="18"/>
              </w:rPr>
            </w:pPr>
            <w:r w:rsidRPr="00AC3042">
              <w:rPr>
                <w:snapToGrid w:val="0"/>
                <w:sz w:val="18"/>
                <w:szCs w:val="18"/>
              </w:rPr>
              <w:t>plāns</w:t>
            </w:r>
            <w:r w:rsidRPr="00E86687">
              <w:rPr>
                <w:snapToGrid w:val="0"/>
                <w:sz w:val="18"/>
                <w:szCs w:val="18"/>
                <w:vertAlign w:val="superscript"/>
              </w:rPr>
              <w:t>1</w:t>
            </w:r>
          </w:p>
        </w:tc>
      </w:tr>
      <w:tr w:rsidR="009607BB" w:rsidRPr="00E86687" w14:paraId="65A58645" w14:textId="77777777" w:rsidTr="00970743">
        <w:trPr>
          <w:jc w:val="center"/>
        </w:trPr>
        <w:tc>
          <w:tcPr>
            <w:tcW w:w="2594" w:type="pct"/>
            <w:vAlign w:val="center"/>
          </w:tcPr>
          <w:p w14:paraId="52D851B7" w14:textId="77777777" w:rsidR="009607BB" w:rsidRPr="00120F96" w:rsidRDefault="009607BB" w:rsidP="00970743">
            <w:pPr>
              <w:keepNext/>
              <w:keepLines/>
              <w:spacing w:after="0"/>
              <w:ind w:firstLine="0"/>
              <w:jc w:val="left"/>
              <w:rPr>
                <w:snapToGrid w:val="0"/>
                <w:sz w:val="18"/>
                <w:szCs w:val="18"/>
              </w:rPr>
            </w:pPr>
            <w:r w:rsidRPr="00120F96">
              <w:rPr>
                <w:snapToGrid w:val="0"/>
                <w:sz w:val="18"/>
                <w:szCs w:val="18"/>
              </w:rPr>
              <w:t>milj</w:t>
            </w:r>
            <w:r>
              <w:rPr>
                <w:snapToGrid w:val="0"/>
                <w:sz w:val="18"/>
                <w:szCs w:val="18"/>
              </w:rPr>
              <w:t>. </w:t>
            </w:r>
            <w:proofErr w:type="spellStart"/>
            <w:r w:rsidRPr="00D705E7">
              <w:rPr>
                <w:i/>
                <w:snapToGrid w:val="0"/>
                <w:sz w:val="18"/>
                <w:szCs w:val="18"/>
              </w:rPr>
              <w:t>euro</w:t>
            </w:r>
            <w:proofErr w:type="spellEnd"/>
          </w:p>
        </w:tc>
        <w:tc>
          <w:tcPr>
            <w:tcW w:w="589" w:type="pct"/>
          </w:tcPr>
          <w:p w14:paraId="4FC3B98A" w14:textId="77777777" w:rsidR="009607BB" w:rsidRPr="00E86687" w:rsidRDefault="009607BB" w:rsidP="00970743">
            <w:pPr>
              <w:keepNext/>
              <w:keepLines/>
              <w:tabs>
                <w:tab w:val="decimal" w:pos="547"/>
              </w:tabs>
              <w:spacing w:after="0"/>
              <w:ind w:firstLine="0"/>
              <w:jc w:val="right"/>
              <w:rPr>
                <w:sz w:val="18"/>
                <w:szCs w:val="18"/>
              </w:rPr>
            </w:pPr>
            <w:r w:rsidRPr="00E86687">
              <w:rPr>
                <w:sz w:val="18"/>
                <w:szCs w:val="18"/>
              </w:rPr>
              <w:t>1 929,6</w:t>
            </w:r>
          </w:p>
        </w:tc>
        <w:tc>
          <w:tcPr>
            <w:tcW w:w="589" w:type="pct"/>
          </w:tcPr>
          <w:p w14:paraId="22B1B7BB" w14:textId="77777777" w:rsidR="009607BB" w:rsidRPr="00E86687" w:rsidRDefault="009607BB" w:rsidP="00970743">
            <w:pPr>
              <w:keepNext/>
              <w:keepLines/>
              <w:tabs>
                <w:tab w:val="decimal" w:pos="547"/>
              </w:tabs>
              <w:spacing w:after="0"/>
              <w:ind w:firstLine="0"/>
              <w:jc w:val="right"/>
              <w:rPr>
                <w:sz w:val="18"/>
                <w:szCs w:val="18"/>
              </w:rPr>
            </w:pPr>
            <w:r w:rsidRPr="00E86687">
              <w:rPr>
                <w:sz w:val="18"/>
                <w:szCs w:val="18"/>
              </w:rPr>
              <w:t>1 819,7</w:t>
            </w:r>
          </w:p>
        </w:tc>
        <w:tc>
          <w:tcPr>
            <w:tcW w:w="572" w:type="pct"/>
          </w:tcPr>
          <w:p w14:paraId="16E2372F" w14:textId="77777777" w:rsidR="009607BB" w:rsidRPr="00E86687" w:rsidRDefault="009607BB" w:rsidP="00970743">
            <w:pPr>
              <w:keepNext/>
              <w:keepLines/>
              <w:tabs>
                <w:tab w:val="decimal" w:pos="547"/>
              </w:tabs>
              <w:spacing w:after="0"/>
              <w:ind w:firstLine="0"/>
              <w:jc w:val="right"/>
              <w:rPr>
                <w:sz w:val="18"/>
                <w:szCs w:val="18"/>
              </w:rPr>
            </w:pPr>
            <w:r w:rsidRPr="00E86687">
              <w:rPr>
                <w:sz w:val="18"/>
                <w:szCs w:val="18"/>
              </w:rPr>
              <w:t>1 746,0</w:t>
            </w:r>
          </w:p>
        </w:tc>
        <w:tc>
          <w:tcPr>
            <w:tcW w:w="656" w:type="pct"/>
          </w:tcPr>
          <w:p w14:paraId="7F6BCD07" w14:textId="77777777" w:rsidR="009607BB" w:rsidRPr="00EB2728" w:rsidRDefault="009607BB" w:rsidP="00970743">
            <w:pPr>
              <w:keepNext/>
              <w:keepLines/>
              <w:tabs>
                <w:tab w:val="decimal" w:pos="547"/>
              </w:tabs>
              <w:spacing w:after="0"/>
              <w:ind w:firstLine="0"/>
              <w:jc w:val="right"/>
              <w:rPr>
                <w:sz w:val="18"/>
                <w:szCs w:val="18"/>
              </w:rPr>
            </w:pPr>
            <w:r w:rsidRPr="00EB2728">
              <w:rPr>
                <w:sz w:val="18"/>
                <w:szCs w:val="18"/>
              </w:rPr>
              <w:t>1 862,0</w:t>
            </w:r>
          </w:p>
        </w:tc>
      </w:tr>
      <w:tr w:rsidR="009607BB" w:rsidRPr="00E86687" w14:paraId="34410ECB" w14:textId="77777777" w:rsidTr="00970743">
        <w:trPr>
          <w:jc w:val="center"/>
        </w:trPr>
        <w:tc>
          <w:tcPr>
            <w:tcW w:w="2594" w:type="pct"/>
            <w:vAlign w:val="center"/>
          </w:tcPr>
          <w:p w14:paraId="1A1CE14E" w14:textId="77777777" w:rsidR="009607BB" w:rsidRPr="00120F96" w:rsidRDefault="009607BB" w:rsidP="00970743">
            <w:pPr>
              <w:keepNext/>
              <w:keepLines/>
              <w:spacing w:after="0"/>
              <w:ind w:firstLine="0"/>
              <w:jc w:val="left"/>
              <w:rPr>
                <w:i/>
                <w:snapToGrid w:val="0"/>
                <w:sz w:val="18"/>
                <w:szCs w:val="18"/>
              </w:rPr>
            </w:pPr>
            <w:r w:rsidRPr="00120F96">
              <w:rPr>
                <w:i/>
                <w:snapToGrid w:val="0"/>
                <w:sz w:val="18"/>
                <w:szCs w:val="18"/>
              </w:rPr>
              <w:t>pieauguma tempi faktiskās cenās, %</w:t>
            </w:r>
          </w:p>
        </w:tc>
        <w:tc>
          <w:tcPr>
            <w:tcW w:w="589" w:type="pct"/>
          </w:tcPr>
          <w:p w14:paraId="60FC37D0" w14:textId="77777777" w:rsidR="009607BB" w:rsidRPr="00120F96" w:rsidRDefault="009607BB" w:rsidP="00970743">
            <w:pPr>
              <w:keepNext/>
              <w:keepLines/>
              <w:tabs>
                <w:tab w:val="decimal" w:pos="547"/>
              </w:tabs>
              <w:spacing w:after="0"/>
              <w:ind w:firstLine="0"/>
              <w:jc w:val="right"/>
              <w:rPr>
                <w:i/>
                <w:iCs/>
                <w:sz w:val="18"/>
                <w:szCs w:val="18"/>
              </w:rPr>
            </w:pPr>
            <w:r w:rsidRPr="00120F96">
              <w:rPr>
                <w:i/>
                <w:iCs/>
                <w:sz w:val="18"/>
                <w:szCs w:val="18"/>
              </w:rPr>
              <w:t>11,6</w:t>
            </w:r>
          </w:p>
        </w:tc>
        <w:tc>
          <w:tcPr>
            <w:tcW w:w="589" w:type="pct"/>
          </w:tcPr>
          <w:p w14:paraId="46F61588" w14:textId="77777777" w:rsidR="009607BB" w:rsidRPr="00AC3042" w:rsidRDefault="009607BB" w:rsidP="00970743">
            <w:pPr>
              <w:keepNext/>
              <w:keepLines/>
              <w:tabs>
                <w:tab w:val="decimal" w:pos="547"/>
              </w:tabs>
              <w:spacing w:after="0"/>
              <w:ind w:firstLine="0"/>
              <w:jc w:val="right"/>
              <w:rPr>
                <w:i/>
                <w:iCs/>
                <w:sz w:val="18"/>
                <w:szCs w:val="18"/>
              </w:rPr>
            </w:pPr>
            <w:r w:rsidRPr="00AC3042">
              <w:rPr>
                <w:i/>
                <w:iCs/>
                <w:sz w:val="18"/>
                <w:szCs w:val="18"/>
              </w:rPr>
              <w:t>-5,7</w:t>
            </w:r>
          </w:p>
        </w:tc>
        <w:tc>
          <w:tcPr>
            <w:tcW w:w="572" w:type="pct"/>
          </w:tcPr>
          <w:p w14:paraId="69A4DC9E" w14:textId="77777777" w:rsidR="009607BB" w:rsidRPr="00E86687" w:rsidRDefault="009607BB" w:rsidP="00970743">
            <w:pPr>
              <w:keepNext/>
              <w:keepLines/>
              <w:tabs>
                <w:tab w:val="decimal" w:pos="547"/>
              </w:tabs>
              <w:spacing w:after="0"/>
              <w:ind w:firstLine="0"/>
              <w:jc w:val="right"/>
              <w:rPr>
                <w:i/>
                <w:iCs/>
                <w:sz w:val="18"/>
                <w:szCs w:val="18"/>
              </w:rPr>
            </w:pPr>
            <w:r w:rsidRPr="00E86687">
              <w:rPr>
                <w:i/>
                <w:iCs/>
                <w:sz w:val="18"/>
                <w:szCs w:val="18"/>
              </w:rPr>
              <w:t>-4,0</w:t>
            </w:r>
          </w:p>
        </w:tc>
        <w:tc>
          <w:tcPr>
            <w:tcW w:w="656" w:type="pct"/>
          </w:tcPr>
          <w:p w14:paraId="74B08DE9" w14:textId="77777777" w:rsidR="009607BB" w:rsidRPr="00EB2728" w:rsidRDefault="009607BB" w:rsidP="00970743">
            <w:pPr>
              <w:keepNext/>
              <w:keepLines/>
              <w:tabs>
                <w:tab w:val="decimal" w:pos="547"/>
              </w:tabs>
              <w:spacing w:after="0"/>
              <w:ind w:firstLine="0"/>
              <w:jc w:val="right"/>
              <w:rPr>
                <w:i/>
                <w:iCs/>
                <w:sz w:val="18"/>
                <w:szCs w:val="18"/>
              </w:rPr>
            </w:pPr>
            <w:r w:rsidRPr="00EB2728">
              <w:rPr>
                <w:i/>
                <w:sz w:val="18"/>
                <w:szCs w:val="18"/>
              </w:rPr>
              <w:t>6,6</w:t>
            </w:r>
          </w:p>
        </w:tc>
      </w:tr>
      <w:tr w:rsidR="009607BB" w:rsidRPr="00E86687" w14:paraId="361272EC" w14:textId="77777777" w:rsidTr="00970743">
        <w:trPr>
          <w:jc w:val="center"/>
        </w:trPr>
        <w:tc>
          <w:tcPr>
            <w:tcW w:w="2594" w:type="pct"/>
            <w:vAlign w:val="center"/>
          </w:tcPr>
          <w:p w14:paraId="3EE151FF" w14:textId="77777777" w:rsidR="009607BB" w:rsidRPr="00120F96" w:rsidRDefault="009607BB" w:rsidP="00970743">
            <w:pPr>
              <w:keepNext/>
              <w:keepLines/>
              <w:spacing w:after="0"/>
              <w:ind w:firstLine="0"/>
              <w:jc w:val="left"/>
              <w:rPr>
                <w:i/>
                <w:snapToGrid w:val="0"/>
                <w:sz w:val="18"/>
                <w:szCs w:val="18"/>
              </w:rPr>
            </w:pPr>
            <w:r w:rsidRPr="00120F96">
              <w:rPr>
                <w:i/>
                <w:sz w:val="18"/>
                <w:szCs w:val="18"/>
              </w:rPr>
              <w:t>% no IKP</w:t>
            </w:r>
          </w:p>
        </w:tc>
        <w:tc>
          <w:tcPr>
            <w:tcW w:w="589" w:type="pct"/>
          </w:tcPr>
          <w:p w14:paraId="65136BB7" w14:textId="77777777" w:rsidR="009607BB" w:rsidRPr="00120F96" w:rsidRDefault="009607BB" w:rsidP="00970743">
            <w:pPr>
              <w:keepNext/>
              <w:keepLines/>
              <w:tabs>
                <w:tab w:val="decimal" w:pos="547"/>
              </w:tabs>
              <w:spacing w:after="0"/>
              <w:ind w:firstLine="0"/>
              <w:jc w:val="right"/>
              <w:rPr>
                <w:i/>
                <w:iCs/>
                <w:sz w:val="18"/>
                <w:szCs w:val="18"/>
              </w:rPr>
            </w:pPr>
            <w:r w:rsidRPr="00120F96">
              <w:rPr>
                <w:i/>
                <w:iCs/>
                <w:sz w:val="18"/>
                <w:szCs w:val="18"/>
              </w:rPr>
              <w:t>6,3</w:t>
            </w:r>
          </w:p>
        </w:tc>
        <w:tc>
          <w:tcPr>
            <w:tcW w:w="589" w:type="pct"/>
          </w:tcPr>
          <w:p w14:paraId="351841A5" w14:textId="77777777" w:rsidR="009607BB" w:rsidRPr="00AC3042" w:rsidRDefault="009607BB" w:rsidP="00970743">
            <w:pPr>
              <w:keepNext/>
              <w:keepLines/>
              <w:tabs>
                <w:tab w:val="decimal" w:pos="547"/>
              </w:tabs>
              <w:spacing w:after="0"/>
              <w:ind w:firstLine="0"/>
              <w:jc w:val="right"/>
              <w:rPr>
                <w:i/>
                <w:iCs/>
                <w:sz w:val="18"/>
                <w:szCs w:val="18"/>
              </w:rPr>
            </w:pPr>
            <w:r w:rsidRPr="00AC3042">
              <w:rPr>
                <w:i/>
                <w:iCs/>
                <w:sz w:val="18"/>
                <w:szCs w:val="18"/>
              </w:rPr>
              <w:t>6,2</w:t>
            </w:r>
          </w:p>
        </w:tc>
        <w:tc>
          <w:tcPr>
            <w:tcW w:w="572" w:type="pct"/>
          </w:tcPr>
          <w:p w14:paraId="7E9B1B92" w14:textId="77777777" w:rsidR="009607BB" w:rsidRPr="00E86687" w:rsidRDefault="009607BB" w:rsidP="00970743">
            <w:pPr>
              <w:keepNext/>
              <w:keepLines/>
              <w:tabs>
                <w:tab w:val="decimal" w:pos="547"/>
              </w:tabs>
              <w:spacing w:after="0"/>
              <w:ind w:firstLine="0"/>
              <w:jc w:val="right"/>
              <w:rPr>
                <w:i/>
                <w:iCs/>
                <w:sz w:val="18"/>
                <w:szCs w:val="18"/>
              </w:rPr>
            </w:pPr>
            <w:r w:rsidRPr="00E86687">
              <w:rPr>
                <w:i/>
                <w:iCs/>
                <w:sz w:val="18"/>
                <w:szCs w:val="18"/>
              </w:rPr>
              <w:t>5,6</w:t>
            </w:r>
          </w:p>
        </w:tc>
        <w:tc>
          <w:tcPr>
            <w:tcW w:w="656" w:type="pct"/>
          </w:tcPr>
          <w:p w14:paraId="1F7DBEEE" w14:textId="77777777" w:rsidR="009607BB" w:rsidRPr="00EB2728" w:rsidRDefault="009607BB" w:rsidP="00970743">
            <w:pPr>
              <w:keepNext/>
              <w:keepLines/>
              <w:tabs>
                <w:tab w:val="decimal" w:pos="547"/>
              </w:tabs>
              <w:spacing w:after="0"/>
              <w:ind w:firstLine="0"/>
              <w:jc w:val="right"/>
              <w:rPr>
                <w:i/>
                <w:iCs/>
                <w:sz w:val="18"/>
                <w:szCs w:val="18"/>
              </w:rPr>
            </w:pPr>
            <w:r w:rsidRPr="00EB2728">
              <w:rPr>
                <w:i/>
                <w:sz w:val="18"/>
                <w:szCs w:val="18"/>
              </w:rPr>
              <w:t>5,4</w:t>
            </w:r>
          </w:p>
        </w:tc>
      </w:tr>
    </w:tbl>
    <w:p w14:paraId="7CCFA5FE" w14:textId="77777777" w:rsidR="009607BB" w:rsidRPr="00120F96" w:rsidRDefault="009607BB" w:rsidP="00E532C8">
      <w:pPr>
        <w:spacing w:before="120" w:after="240"/>
        <w:ind w:left="425" w:firstLine="0"/>
        <w:jc w:val="left"/>
        <w:rPr>
          <w:sz w:val="18"/>
          <w:szCs w:val="18"/>
        </w:rPr>
      </w:pPr>
      <w:r w:rsidRPr="00E86687">
        <w:rPr>
          <w:sz w:val="18"/>
          <w:szCs w:val="18"/>
          <w:vertAlign w:val="superscript"/>
        </w:rPr>
        <w:t>1</w:t>
      </w:r>
      <w:r>
        <w:rPr>
          <w:sz w:val="18"/>
          <w:szCs w:val="18"/>
        </w:rPr>
        <w:t xml:space="preserve"> S</w:t>
      </w:r>
      <w:r w:rsidRPr="00120F96">
        <w:rPr>
          <w:sz w:val="18"/>
          <w:szCs w:val="18"/>
        </w:rPr>
        <w:t>askaņā ar likumprojektu „Par valsts budžetu 2022. gadam”.</w:t>
      </w:r>
    </w:p>
    <w:p w14:paraId="451FEE72" w14:textId="77777777" w:rsidR="009607BB" w:rsidRPr="00E86687" w:rsidRDefault="009607BB" w:rsidP="00E532C8">
      <w:pPr>
        <w:pStyle w:val="H4"/>
        <w:spacing w:before="240" w:after="240"/>
      </w:pPr>
      <w:r w:rsidRPr="00E86687">
        <w:t xml:space="preserve">Valsts sociālās apdrošināšanas </w:t>
      </w:r>
      <w:r>
        <w:t xml:space="preserve">obligātās </w:t>
      </w:r>
      <w:r w:rsidRPr="00E86687">
        <w:t>iemaksas, ieskaitot solidaritātes nodokļa daļu valsts speciālajā budžetā</w:t>
      </w:r>
      <w:r>
        <w:rPr>
          <w:rStyle w:val="FootnoteReference"/>
        </w:rPr>
        <w:footnoteReference w:id="2"/>
      </w:r>
    </w:p>
    <w:p w14:paraId="750B57EA" w14:textId="77777777" w:rsidR="009607BB" w:rsidRDefault="009607BB" w:rsidP="002309D6">
      <w:pPr>
        <w:ind w:firstLine="720"/>
      </w:pPr>
      <w:r w:rsidRPr="009E6BB6">
        <w:t xml:space="preserve">Tā pat kā iedzīvotāju ienākuma nodokļa </w:t>
      </w:r>
      <w:r w:rsidRPr="009E6BB6">
        <w:rPr>
          <w:szCs w:val="24"/>
        </w:rPr>
        <w:t xml:space="preserve">ieņēmumus arī </w:t>
      </w:r>
      <w:r w:rsidRPr="009E6BB6">
        <w:t>sociālās apdrošināšanas iemaksas</w:t>
      </w:r>
      <w:r w:rsidRPr="004066BC">
        <w:rPr>
          <w:szCs w:val="24"/>
        </w:rPr>
        <w:t xml:space="preserve"> galvenokārt ietekmē tautsaimniecībā nodarbināto skaits, nodarbināto ienākumi</w:t>
      </w:r>
      <w:r>
        <w:rPr>
          <w:szCs w:val="24"/>
        </w:rPr>
        <w:t xml:space="preserve"> un</w:t>
      </w:r>
      <w:r w:rsidRPr="004066BC">
        <w:rPr>
          <w:szCs w:val="24"/>
        </w:rPr>
        <w:t xml:space="preserve"> minimālā darba alga</w:t>
      </w:r>
      <w:r>
        <w:rPr>
          <w:szCs w:val="24"/>
        </w:rPr>
        <w:t xml:space="preserve">. </w:t>
      </w:r>
      <w:r w:rsidRPr="009E6BB6">
        <w:t>Sociālās apdrošināšanas iemaksas 2021</w:t>
      </w:r>
      <w:r>
        <w:t>. gad</w:t>
      </w:r>
      <w:r w:rsidRPr="009E6BB6">
        <w:t xml:space="preserve">a </w:t>
      </w:r>
      <w:r>
        <w:t>pirmajā pusgadā</w:t>
      </w:r>
      <w:r w:rsidRPr="009E6BB6">
        <w:t xml:space="preserve"> veidoja 30,2% no kopbudžeta nodokļu ieņēmumiem, </w:t>
      </w:r>
      <w:r w:rsidRPr="00381784">
        <w:t>un tās valsts speciālajā budžetā bija 1 320,4</w:t>
      </w:r>
      <w:r>
        <w:t> milj. </w:t>
      </w:r>
      <w:proofErr w:type="spellStart"/>
      <w:r w:rsidRPr="00D705E7">
        <w:rPr>
          <w:i/>
        </w:rPr>
        <w:t>euro</w:t>
      </w:r>
      <w:proofErr w:type="spellEnd"/>
      <w:r>
        <w:rPr>
          <w:i/>
          <w:iCs/>
        </w:rPr>
        <w:t>.</w:t>
      </w:r>
      <w:r w:rsidRPr="00381784">
        <w:t xml:space="preserve"> </w:t>
      </w:r>
    </w:p>
    <w:p w14:paraId="4F38974E" w14:textId="77777777" w:rsidR="009607BB" w:rsidRDefault="009607BB" w:rsidP="002309D6">
      <w:pPr>
        <w:ind w:firstLine="720"/>
      </w:pPr>
      <w:r w:rsidRPr="00381784">
        <w:t>N</w:t>
      </w:r>
      <w:r>
        <w:t xml:space="preserve">eskatoties uz to, ka, </w:t>
      </w:r>
      <w:r w:rsidRPr="00381784">
        <w:t>ieviešot vienoto nodokļu kontu</w:t>
      </w:r>
      <w:r>
        <w:t>, gada sākumā bija n</w:t>
      </w:r>
      <w:r w:rsidRPr="00381784">
        <w:t xml:space="preserve">audas plūsmas izmaiņas un </w:t>
      </w:r>
      <w:r w:rsidRPr="00086E6A">
        <w:t>atšķirīga ekonomiskā situācija, jo pērn janvārī un februārī Latvijā vēl nebija sākusies infekcijas izplatīšanās, sociālās apdrošināšanas iemaksas valsts specialajā budžetā salīdzinājumā ar 202</w:t>
      </w:r>
      <w:r>
        <w:t>0. gad</w:t>
      </w:r>
      <w:r w:rsidRPr="00086E6A">
        <w:t>a pirmo pusgadu ir par 13,9</w:t>
      </w:r>
      <w:r>
        <w:t> milj. </w:t>
      </w:r>
      <w:proofErr w:type="spellStart"/>
      <w:r w:rsidRPr="00D705E7">
        <w:rPr>
          <w:i/>
        </w:rPr>
        <w:t>euro</w:t>
      </w:r>
      <w:proofErr w:type="spellEnd"/>
      <w:r w:rsidRPr="00086E6A">
        <w:t xml:space="preserve"> jeb 1,1% vairāk.</w:t>
      </w:r>
      <w:r w:rsidRPr="00381784">
        <w:t xml:space="preserve"> </w:t>
      </w:r>
      <w:r>
        <w:t xml:space="preserve">Iemaksu pieaugumu ietekmēja </w:t>
      </w:r>
      <w:r w:rsidRPr="00AD22FB">
        <w:t>ekonomikas atgūšanās no Covid-19 radītās krīzes</w:t>
      </w:r>
      <w:r>
        <w:t xml:space="preserve"> un straujš vidējās neto </w:t>
      </w:r>
      <w:r>
        <w:lastRenderedPageBreak/>
        <w:t xml:space="preserve">darba samaksas pieaugums. </w:t>
      </w:r>
      <w:r w:rsidRPr="00381784">
        <w:t>2021</w:t>
      </w:r>
      <w:r>
        <w:t>. gad</w:t>
      </w:r>
      <w:r w:rsidRPr="00381784">
        <w:t xml:space="preserve">a </w:t>
      </w:r>
      <w:r>
        <w:t>pirmajā pusgadā</w:t>
      </w:r>
      <w:r w:rsidRPr="009E6BB6">
        <w:t xml:space="preserve"> </w:t>
      </w:r>
      <w:r w:rsidRPr="00381784">
        <w:t>valsts sociālās apdrošināšanas iemaksu ieņēmumi valsts pamatbudžetā veselības finansēšanai bija 46,1</w:t>
      </w:r>
      <w:r>
        <w:t> milj. </w:t>
      </w:r>
      <w:proofErr w:type="spellStart"/>
      <w:r w:rsidRPr="00D705E7">
        <w:rPr>
          <w:i/>
        </w:rPr>
        <w:t>euro</w:t>
      </w:r>
      <w:proofErr w:type="spellEnd"/>
      <w:r w:rsidRPr="00381784">
        <w:t>, kas ir par 0,1</w:t>
      </w:r>
      <w:r>
        <w:t> milj. </w:t>
      </w:r>
      <w:proofErr w:type="spellStart"/>
      <w:r w:rsidRPr="00D705E7">
        <w:rPr>
          <w:i/>
        </w:rPr>
        <w:t>euro</w:t>
      </w:r>
      <w:proofErr w:type="spellEnd"/>
      <w:r w:rsidRPr="00381784">
        <w:t xml:space="preserve"> jeb 0,2% vairāk nekā pērn attiecīgajā periodā.</w:t>
      </w:r>
      <w:r>
        <w:t xml:space="preserve"> </w:t>
      </w:r>
    </w:p>
    <w:p w14:paraId="4911695F" w14:textId="77777777" w:rsidR="009607BB" w:rsidRPr="00856ECF" w:rsidRDefault="009607BB" w:rsidP="002309D6">
      <w:pPr>
        <w:ind w:firstLine="720"/>
        <w:rPr>
          <w:rFonts w:eastAsiaTheme="minorHAnsi"/>
          <w:szCs w:val="24"/>
        </w:rPr>
      </w:pPr>
      <w:r w:rsidRPr="007C5C4A">
        <w:t>202</w:t>
      </w:r>
      <w:r>
        <w:t>1. gad</w:t>
      </w:r>
      <w:r w:rsidRPr="007C5C4A">
        <w:t xml:space="preserve">a </w:t>
      </w:r>
      <w:r>
        <w:t>pirmajā pusgadā</w:t>
      </w:r>
      <w:r w:rsidRPr="009E6BB6">
        <w:t xml:space="preserve"> </w:t>
      </w:r>
      <w:r w:rsidRPr="007C5C4A">
        <w:t>sociālās apdrošināšanas iemaksas nesasniedza plānu par 14,5</w:t>
      </w:r>
      <w:r>
        <w:t> milj. </w:t>
      </w:r>
      <w:proofErr w:type="spellStart"/>
      <w:r w:rsidRPr="00D705E7">
        <w:rPr>
          <w:i/>
        </w:rPr>
        <w:t>euro</w:t>
      </w:r>
      <w:proofErr w:type="spellEnd"/>
      <w:r w:rsidRPr="007C5C4A">
        <w:t xml:space="preserve"> jeb plāna izpilde bija 98,9</w:t>
      </w:r>
      <w:r>
        <w:t xml:space="preserve">%, ko lielākoties ietekmēja </w:t>
      </w:r>
      <w:r w:rsidRPr="007C5C4A">
        <w:t>vienotā nodokļa konta ieviešana</w:t>
      </w:r>
      <w:r>
        <w:t>.</w:t>
      </w:r>
    </w:p>
    <w:p w14:paraId="3C0439C7" w14:textId="77777777" w:rsidR="009607BB" w:rsidRDefault="009607BB" w:rsidP="002309D6">
      <w:pPr>
        <w:ind w:firstLine="720"/>
        <w:rPr>
          <w:highlight w:val="yellow"/>
        </w:rPr>
      </w:pPr>
      <w:r w:rsidRPr="004066BC">
        <w:t xml:space="preserve">Ņemot vērā </w:t>
      </w:r>
      <w:r>
        <w:t xml:space="preserve">ieviestā </w:t>
      </w:r>
      <w:r w:rsidRPr="00381784">
        <w:t>vienot</w:t>
      </w:r>
      <w:r>
        <w:t>ā</w:t>
      </w:r>
      <w:r w:rsidRPr="00381784">
        <w:t xml:space="preserve"> nodokļu kont</w:t>
      </w:r>
      <w:r>
        <w:t>a ietekmi uz iemaksu n</w:t>
      </w:r>
      <w:r w:rsidRPr="00381784">
        <w:t>audas plūsm</w:t>
      </w:r>
      <w:r>
        <w:t>u</w:t>
      </w:r>
      <w:r w:rsidRPr="004066BC">
        <w:t>, kā arī aktuālās darba samaksas fonda makroekonomiskās prognozes, 2021</w:t>
      </w:r>
      <w:r>
        <w:t>. gad</w:t>
      </w:r>
      <w:r w:rsidRPr="004066BC">
        <w:t xml:space="preserve">a </w:t>
      </w:r>
      <w:r w:rsidRPr="001B0704">
        <w:t>sociāl</w:t>
      </w:r>
      <w:r>
        <w:t>ās</w:t>
      </w:r>
      <w:r w:rsidRPr="001B0704">
        <w:t xml:space="preserve"> apdrošināšanas iemaks</w:t>
      </w:r>
      <w:r>
        <w:t>u</w:t>
      </w:r>
      <w:r w:rsidRPr="004066BC">
        <w:t xml:space="preserve"> prognoze tika samazināta par </w:t>
      </w:r>
      <w:r>
        <w:t>45,5 milj. </w:t>
      </w:r>
      <w:proofErr w:type="spellStart"/>
      <w:r w:rsidRPr="00D705E7">
        <w:rPr>
          <w:i/>
        </w:rPr>
        <w:t>euro</w:t>
      </w:r>
      <w:proofErr w:type="spellEnd"/>
      <w:r w:rsidRPr="004066BC">
        <w:t xml:space="preserve"> jeb par 1,</w:t>
      </w:r>
      <w:r>
        <w:t>6</w:t>
      </w:r>
      <w:r w:rsidRPr="004066BC">
        <w:t>%, salīdzinot ar plānu.</w:t>
      </w:r>
    </w:p>
    <w:p w14:paraId="09296016" w14:textId="77777777" w:rsidR="009607BB" w:rsidRPr="001B0704" w:rsidRDefault="009607BB" w:rsidP="002309D6">
      <w:pPr>
        <w:ind w:firstLine="720"/>
      </w:pPr>
      <w:r w:rsidRPr="001B0704">
        <w:t>Saskaņā ar likumprojektu</w:t>
      </w:r>
      <w:r>
        <w:t xml:space="preserve"> </w:t>
      </w:r>
      <w:r w:rsidRPr="001B0704">
        <w:t>„Par valsts budžetu 2022</w:t>
      </w:r>
      <w:r>
        <w:t>. gad</w:t>
      </w:r>
      <w:r w:rsidRPr="001B0704">
        <w:t>am” 2022</w:t>
      </w:r>
      <w:r>
        <w:t>. gad</w:t>
      </w:r>
      <w:r w:rsidRPr="001B0704">
        <w:t>ā sociālās apdrošināšanas iemaksas tiek plānotas 3</w:t>
      </w:r>
      <w:r>
        <w:t> </w:t>
      </w:r>
      <w:r w:rsidRPr="001B0704">
        <w:t>1</w:t>
      </w:r>
      <w:r>
        <w:t>33,3 milj. </w:t>
      </w:r>
      <w:proofErr w:type="spellStart"/>
      <w:r w:rsidRPr="00D705E7">
        <w:rPr>
          <w:i/>
        </w:rPr>
        <w:t>euro</w:t>
      </w:r>
      <w:proofErr w:type="spellEnd"/>
      <w:r w:rsidRPr="001B0704">
        <w:t xml:space="preserve"> apmērā, kas salīdzinājumā ar 2021</w:t>
      </w:r>
      <w:r>
        <w:t>. gad</w:t>
      </w:r>
      <w:r w:rsidRPr="001B0704">
        <w:t xml:space="preserve">a prognozi ir par </w:t>
      </w:r>
      <w:r>
        <w:t>338,5 milj. </w:t>
      </w:r>
      <w:proofErr w:type="spellStart"/>
      <w:r w:rsidRPr="00D705E7">
        <w:rPr>
          <w:i/>
        </w:rPr>
        <w:t>euro</w:t>
      </w:r>
      <w:proofErr w:type="spellEnd"/>
      <w:r w:rsidRPr="001B0704">
        <w:t xml:space="preserve"> jeb </w:t>
      </w:r>
      <w:r>
        <w:t>12,1</w:t>
      </w:r>
      <w:r w:rsidRPr="001B0704">
        <w:t>% vairāk. Sociālo apdrošināšanas iemaksu</w:t>
      </w:r>
      <w:r w:rsidRPr="001B0704">
        <w:rPr>
          <w:szCs w:val="24"/>
        </w:rPr>
        <w:t xml:space="preserve"> plānu ietekmēs prognozētais darba samaksas fonda pieauguma temps, 2021</w:t>
      </w:r>
      <w:r>
        <w:rPr>
          <w:szCs w:val="24"/>
        </w:rPr>
        <w:t>. gad</w:t>
      </w:r>
      <w:r w:rsidRPr="001B0704">
        <w:rPr>
          <w:szCs w:val="24"/>
        </w:rPr>
        <w:t>a pirmā pusgada izpilde, kā arī</w:t>
      </w:r>
      <w:r w:rsidRPr="001B0704">
        <w:rPr>
          <w:szCs w:val="24"/>
          <w:lang w:eastAsia="lv-LV"/>
        </w:rPr>
        <w:t xml:space="preserve"> 3.1</w:t>
      </w:r>
      <w:r>
        <w:rPr>
          <w:szCs w:val="24"/>
          <w:lang w:eastAsia="lv-LV"/>
        </w:rPr>
        <w:t>. sad</w:t>
      </w:r>
      <w:r w:rsidRPr="001B0704">
        <w:rPr>
          <w:szCs w:val="24"/>
          <w:lang w:eastAsia="lv-LV"/>
        </w:rPr>
        <w:t>aļā minētie pasākumi</w:t>
      </w:r>
      <w:r w:rsidRPr="001B0704">
        <w:rPr>
          <w:szCs w:val="24"/>
        </w:rPr>
        <w:t>.</w:t>
      </w:r>
    </w:p>
    <w:p w14:paraId="1357E8D6" w14:textId="77777777" w:rsidR="009607BB" w:rsidRPr="00AC3042" w:rsidRDefault="009607BB" w:rsidP="009607BB">
      <w:pPr>
        <w:keepNext/>
        <w:spacing w:before="240" w:after="240"/>
        <w:ind w:firstLine="0"/>
        <w:jc w:val="center"/>
        <w:rPr>
          <w:b/>
          <w:i/>
          <w:szCs w:val="24"/>
        </w:rPr>
      </w:pPr>
      <w:r w:rsidRPr="00120F96">
        <w:rPr>
          <w:b/>
          <w:i/>
          <w:szCs w:val="24"/>
        </w:rPr>
        <w:t>3.5. tab</w:t>
      </w:r>
      <w:r w:rsidRPr="00AC3042">
        <w:rPr>
          <w:b/>
          <w:i/>
          <w:szCs w:val="24"/>
        </w:rPr>
        <w:t xml:space="preserve">ula. Valsts sociālās apdrošināšanas </w:t>
      </w:r>
      <w:r>
        <w:rPr>
          <w:b/>
          <w:i/>
          <w:szCs w:val="24"/>
        </w:rPr>
        <w:t xml:space="preserve">obligātās </w:t>
      </w:r>
      <w:r w:rsidRPr="00AC3042">
        <w:rPr>
          <w:b/>
          <w:i/>
          <w:szCs w:val="24"/>
        </w:rPr>
        <w:t>iemaksas speciālajā budžetā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8"/>
        <w:gridCol w:w="1058"/>
        <w:gridCol w:w="1058"/>
        <w:gridCol w:w="1249"/>
        <w:gridCol w:w="1058"/>
      </w:tblGrid>
      <w:tr w:rsidR="009607BB" w:rsidRPr="00E86687" w14:paraId="47732E59" w14:textId="77777777" w:rsidTr="00193ACF">
        <w:trPr>
          <w:cantSplit/>
          <w:trHeight w:val="20"/>
        </w:trPr>
        <w:tc>
          <w:tcPr>
            <w:tcW w:w="2559" w:type="pct"/>
            <w:vMerge w:val="restart"/>
            <w:shd w:val="clear" w:color="auto" w:fill="B8CCE4" w:themeFill="accent1" w:themeFillTint="66"/>
            <w:vAlign w:val="center"/>
            <w:hideMark/>
          </w:tcPr>
          <w:p w14:paraId="2E8C201A" w14:textId="77777777" w:rsidR="009607BB" w:rsidRPr="00E86687" w:rsidRDefault="009607BB" w:rsidP="00970743">
            <w:pPr>
              <w:keepNext/>
              <w:keepLines/>
              <w:spacing w:after="0"/>
              <w:ind w:firstLine="0"/>
              <w:rPr>
                <w:b/>
                <w:bCs/>
                <w:sz w:val="18"/>
                <w:szCs w:val="18"/>
                <w:lang w:eastAsia="lv-LV"/>
              </w:rPr>
            </w:pPr>
          </w:p>
        </w:tc>
        <w:tc>
          <w:tcPr>
            <w:tcW w:w="584" w:type="pct"/>
            <w:shd w:val="clear" w:color="auto" w:fill="B8CCE4" w:themeFill="accent1" w:themeFillTint="66"/>
            <w:vAlign w:val="center"/>
            <w:hideMark/>
          </w:tcPr>
          <w:p w14:paraId="50B84E6D" w14:textId="77777777" w:rsidR="009607BB" w:rsidRPr="00E86687" w:rsidRDefault="009607BB" w:rsidP="00970743">
            <w:pPr>
              <w:keepNext/>
              <w:keepLines/>
              <w:spacing w:after="0"/>
              <w:ind w:firstLine="0"/>
              <w:jc w:val="center"/>
              <w:rPr>
                <w:b/>
                <w:bCs/>
                <w:sz w:val="18"/>
                <w:szCs w:val="18"/>
                <w:lang w:eastAsia="lv-LV"/>
              </w:rPr>
            </w:pPr>
            <w:r w:rsidRPr="00E86687">
              <w:rPr>
                <w:b/>
                <w:bCs/>
                <w:snapToGrid w:val="0"/>
                <w:sz w:val="18"/>
                <w:szCs w:val="18"/>
                <w:lang w:eastAsia="lv-LV"/>
              </w:rPr>
              <w:t>2019</w:t>
            </w:r>
          </w:p>
        </w:tc>
        <w:tc>
          <w:tcPr>
            <w:tcW w:w="584" w:type="pct"/>
            <w:shd w:val="clear" w:color="auto" w:fill="B8CCE4" w:themeFill="accent1" w:themeFillTint="66"/>
            <w:vAlign w:val="center"/>
            <w:hideMark/>
          </w:tcPr>
          <w:p w14:paraId="49A5824A" w14:textId="77777777" w:rsidR="009607BB" w:rsidRPr="00E86687" w:rsidRDefault="009607BB" w:rsidP="00970743">
            <w:pPr>
              <w:keepNext/>
              <w:keepLines/>
              <w:spacing w:after="0"/>
              <w:ind w:firstLine="0"/>
              <w:jc w:val="center"/>
              <w:rPr>
                <w:b/>
                <w:bCs/>
                <w:sz w:val="18"/>
                <w:szCs w:val="18"/>
                <w:lang w:eastAsia="lv-LV"/>
              </w:rPr>
            </w:pPr>
            <w:r w:rsidRPr="00E86687">
              <w:rPr>
                <w:b/>
                <w:bCs/>
                <w:snapToGrid w:val="0"/>
                <w:sz w:val="18"/>
                <w:szCs w:val="18"/>
                <w:lang w:eastAsia="lv-LV"/>
              </w:rPr>
              <w:t>2020</w:t>
            </w:r>
          </w:p>
        </w:tc>
        <w:tc>
          <w:tcPr>
            <w:tcW w:w="689" w:type="pct"/>
            <w:shd w:val="clear" w:color="auto" w:fill="B8CCE4" w:themeFill="accent1" w:themeFillTint="66"/>
            <w:vAlign w:val="center"/>
            <w:hideMark/>
          </w:tcPr>
          <w:p w14:paraId="6D8430CA" w14:textId="77777777" w:rsidR="009607BB" w:rsidRPr="00E86687" w:rsidRDefault="009607BB" w:rsidP="00970743">
            <w:pPr>
              <w:keepNext/>
              <w:keepLines/>
              <w:spacing w:after="0"/>
              <w:ind w:firstLine="0"/>
              <w:jc w:val="center"/>
              <w:rPr>
                <w:b/>
                <w:bCs/>
                <w:sz w:val="18"/>
                <w:szCs w:val="18"/>
                <w:lang w:eastAsia="lv-LV"/>
              </w:rPr>
            </w:pPr>
            <w:r w:rsidRPr="00E86687">
              <w:rPr>
                <w:b/>
                <w:bCs/>
                <w:snapToGrid w:val="0"/>
                <w:sz w:val="18"/>
                <w:szCs w:val="18"/>
                <w:lang w:eastAsia="lv-LV"/>
              </w:rPr>
              <w:t>2021</w:t>
            </w:r>
          </w:p>
        </w:tc>
        <w:tc>
          <w:tcPr>
            <w:tcW w:w="584" w:type="pct"/>
            <w:shd w:val="clear" w:color="auto" w:fill="B8CCE4" w:themeFill="accent1" w:themeFillTint="66"/>
            <w:vAlign w:val="center"/>
            <w:hideMark/>
          </w:tcPr>
          <w:p w14:paraId="0350A268" w14:textId="77777777" w:rsidR="009607BB" w:rsidRPr="00E86687" w:rsidRDefault="009607BB" w:rsidP="00970743">
            <w:pPr>
              <w:keepNext/>
              <w:keepLines/>
              <w:spacing w:after="0"/>
              <w:ind w:firstLine="0"/>
              <w:jc w:val="center"/>
              <w:rPr>
                <w:b/>
                <w:bCs/>
                <w:sz w:val="18"/>
                <w:szCs w:val="18"/>
                <w:lang w:eastAsia="lv-LV"/>
              </w:rPr>
            </w:pPr>
            <w:r w:rsidRPr="00E86687">
              <w:rPr>
                <w:b/>
                <w:bCs/>
                <w:sz w:val="18"/>
                <w:szCs w:val="18"/>
                <w:lang w:eastAsia="lv-LV"/>
              </w:rPr>
              <w:t>2022</w:t>
            </w:r>
          </w:p>
        </w:tc>
      </w:tr>
      <w:tr w:rsidR="009607BB" w:rsidRPr="00E86687" w14:paraId="1956ED83" w14:textId="77777777" w:rsidTr="00193ACF">
        <w:trPr>
          <w:cantSplit/>
          <w:trHeight w:val="20"/>
        </w:trPr>
        <w:tc>
          <w:tcPr>
            <w:tcW w:w="2559" w:type="pct"/>
            <w:vMerge/>
            <w:shd w:val="clear" w:color="auto" w:fill="B8CCE4" w:themeFill="accent1" w:themeFillTint="66"/>
            <w:vAlign w:val="center"/>
          </w:tcPr>
          <w:p w14:paraId="28C5D983" w14:textId="77777777" w:rsidR="009607BB" w:rsidRPr="00E86687" w:rsidRDefault="009607BB" w:rsidP="00970743">
            <w:pPr>
              <w:keepNext/>
              <w:keepLines/>
              <w:spacing w:after="0"/>
              <w:ind w:firstLine="0"/>
              <w:rPr>
                <w:b/>
                <w:bCs/>
                <w:sz w:val="18"/>
                <w:szCs w:val="18"/>
                <w:lang w:eastAsia="lv-LV"/>
              </w:rPr>
            </w:pPr>
          </w:p>
        </w:tc>
        <w:tc>
          <w:tcPr>
            <w:tcW w:w="1168" w:type="pct"/>
            <w:gridSpan w:val="2"/>
            <w:tcBorders>
              <w:bottom w:val="single" w:sz="4" w:space="0" w:color="auto"/>
            </w:tcBorders>
            <w:shd w:val="clear" w:color="auto" w:fill="B8CCE4" w:themeFill="accent1" w:themeFillTint="66"/>
            <w:vAlign w:val="center"/>
          </w:tcPr>
          <w:p w14:paraId="49364484" w14:textId="77777777" w:rsidR="009607BB" w:rsidRPr="00E86687" w:rsidRDefault="009607BB" w:rsidP="00970743">
            <w:pPr>
              <w:keepNext/>
              <w:keepLines/>
              <w:spacing w:after="0"/>
              <w:ind w:firstLine="0"/>
              <w:jc w:val="center"/>
              <w:rPr>
                <w:b/>
                <w:bCs/>
                <w:snapToGrid w:val="0"/>
                <w:sz w:val="18"/>
                <w:szCs w:val="18"/>
                <w:lang w:eastAsia="lv-LV"/>
              </w:rPr>
            </w:pPr>
            <w:r w:rsidRPr="00120F96">
              <w:rPr>
                <w:snapToGrid w:val="0"/>
                <w:sz w:val="18"/>
                <w:szCs w:val="18"/>
                <w:lang w:eastAsia="lv-LV"/>
              </w:rPr>
              <w:t>fakts</w:t>
            </w:r>
          </w:p>
        </w:tc>
        <w:tc>
          <w:tcPr>
            <w:tcW w:w="689" w:type="pct"/>
            <w:tcBorders>
              <w:bottom w:val="single" w:sz="4" w:space="0" w:color="auto"/>
            </w:tcBorders>
            <w:shd w:val="clear" w:color="auto" w:fill="B8CCE4" w:themeFill="accent1" w:themeFillTint="66"/>
            <w:vAlign w:val="center"/>
          </w:tcPr>
          <w:p w14:paraId="41EF5232" w14:textId="77777777" w:rsidR="009607BB" w:rsidRPr="00E86687" w:rsidRDefault="009607BB" w:rsidP="00970743">
            <w:pPr>
              <w:keepNext/>
              <w:keepLines/>
              <w:spacing w:after="0"/>
              <w:ind w:firstLine="0"/>
              <w:jc w:val="center"/>
              <w:rPr>
                <w:b/>
                <w:bCs/>
                <w:snapToGrid w:val="0"/>
                <w:sz w:val="18"/>
                <w:szCs w:val="18"/>
                <w:lang w:eastAsia="lv-LV"/>
              </w:rPr>
            </w:pPr>
            <w:r w:rsidRPr="00120F96">
              <w:rPr>
                <w:snapToGrid w:val="0"/>
                <w:sz w:val="18"/>
                <w:szCs w:val="18"/>
                <w:lang w:eastAsia="lv-LV"/>
              </w:rPr>
              <w:t>prognoze</w:t>
            </w:r>
          </w:p>
        </w:tc>
        <w:tc>
          <w:tcPr>
            <w:tcW w:w="584" w:type="pct"/>
            <w:tcBorders>
              <w:bottom w:val="single" w:sz="4" w:space="0" w:color="auto"/>
            </w:tcBorders>
            <w:shd w:val="clear" w:color="auto" w:fill="B8CCE4" w:themeFill="accent1" w:themeFillTint="66"/>
            <w:vAlign w:val="center"/>
          </w:tcPr>
          <w:p w14:paraId="153124A1" w14:textId="77777777" w:rsidR="009607BB" w:rsidRPr="00E86687" w:rsidRDefault="009607BB" w:rsidP="00970743">
            <w:pPr>
              <w:keepNext/>
              <w:keepLines/>
              <w:spacing w:after="0"/>
              <w:ind w:firstLine="0"/>
              <w:jc w:val="center"/>
              <w:rPr>
                <w:b/>
                <w:bCs/>
                <w:sz w:val="18"/>
                <w:szCs w:val="18"/>
                <w:lang w:eastAsia="lv-LV"/>
              </w:rPr>
            </w:pPr>
            <w:r w:rsidRPr="00120F96">
              <w:rPr>
                <w:sz w:val="18"/>
                <w:szCs w:val="18"/>
                <w:lang w:eastAsia="lv-LV"/>
              </w:rPr>
              <w:t>plāns</w:t>
            </w:r>
            <w:r w:rsidRPr="00FE519F">
              <w:rPr>
                <w:snapToGrid w:val="0"/>
                <w:sz w:val="18"/>
                <w:szCs w:val="18"/>
                <w:vertAlign w:val="superscript"/>
              </w:rPr>
              <w:t>1</w:t>
            </w:r>
          </w:p>
        </w:tc>
      </w:tr>
      <w:tr w:rsidR="009607BB" w:rsidRPr="00E86687" w14:paraId="2D1DCAAB" w14:textId="77777777" w:rsidTr="00970743">
        <w:trPr>
          <w:cantSplit/>
          <w:trHeight w:val="20"/>
        </w:trPr>
        <w:tc>
          <w:tcPr>
            <w:tcW w:w="2559" w:type="pct"/>
            <w:shd w:val="clear" w:color="auto" w:fill="auto"/>
            <w:vAlign w:val="center"/>
            <w:hideMark/>
          </w:tcPr>
          <w:p w14:paraId="36E276D5" w14:textId="77777777" w:rsidR="009607BB" w:rsidRPr="00120F96" w:rsidRDefault="009607BB" w:rsidP="00970743">
            <w:pPr>
              <w:keepNext/>
              <w:keepLines/>
              <w:spacing w:after="0"/>
              <w:ind w:firstLine="0"/>
              <w:jc w:val="left"/>
              <w:rPr>
                <w:b/>
                <w:bCs/>
                <w:sz w:val="18"/>
                <w:szCs w:val="18"/>
                <w:lang w:eastAsia="lv-LV"/>
              </w:rPr>
            </w:pPr>
            <w:r w:rsidRPr="00120F96">
              <w:rPr>
                <w:snapToGrid w:val="0"/>
                <w:sz w:val="18"/>
                <w:szCs w:val="18"/>
                <w:lang w:eastAsia="lv-LV"/>
              </w:rPr>
              <w:t>milj</w:t>
            </w:r>
            <w:r>
              <w:rPr>
                <w:snapToGrid w:val="0"/>
                <w:sz w:val="18"/>
                <w:szCs w:val="18"/>
                <w:lang w:eastAsia="lv-LV"/>
              </w:rPr>
              <w:t>. </w:t>
            </w:r>
            <w:proofErr w:type="spellStart"/>
            <w:r w:rsidRPr="00D705E7">
              <w:rPr>
                <w:i/>
                <w:snapToGrid w:val="0"/>
                <w:sz w:val="18"/>
                <w:szCs w:val="18"/>
                <w:lang w:eastAsia="lv-LV"/>
              </w:rPr>
              <w:t>euro</w:t>
            </w:r>
            <w:proofErr w:type="spellEnd"/>
          </w:p>
        </w:tc>
        <w:tc>
          <w:tcPr>
            <w:tcW w:w="584" w:type="pct"/>
            <w:tcBorders>
              <w:top w:val="single" w:sz="4" w:space="0" w:color="auto"/>
              <w:left w:val="nil"/>
              <w:bottom w:val="single" w:sz="4" w:space="0" w:color="auto"/>
              <w:right w:val="single" w:sz="4" w:space="0" w:color="auto"/>
            </w:tcBorders>
            <w:shd w:val="clear" w:color="auto" w:fill="auto"/>
          </w:tcPr>
          <w:p w14:paraId="28F5A4B8" w14:textId="77777777" w:rsidR="009607BB" w:rsidRPr="00E86687" w:rsidRDefault="009607BB" w:rsidP="00970743">
            <w:pPr>
              <w:keepNext/>
              <w:keepLines/>
              <w:tabs>
                <w:tab w:val="decimal" w:pos="547"/>
              </w:tabs>
              <w:spacing w:after="0"/>
              <w:ind w:firstLine="0"/>
              <w:jc w:val="right"/>
              <w:rPr>
                <w:bCs/>
                <w:sz w:val="18"/>
                <w:szCs w:val="18"/>
              </w:rPr>
            </w:pPr>
            <w:r w:rsidRPr="00E86687">
              <w:rPr>
                <w:bCs/>
                <w:sz w:val="18"/>
                <w:szCs w:val="18"/>
              </w:rPr>
              <w:t>2 795,0</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72BCEA6D" w14:textId="77777777" w:rsidR="009607BB" w:rsidRPr="00E86687" w:rsidRDefault="009607BB" w:rsidP="00970743">
            <w:pPr>
              <w:keepNext/>
              <w:keepLines/>
              <w:tabs>
                <w:tab w:val="decimal" w:pos="547"/>
              </w:tabs>
              <w:spacing w:after="0"/>
              <w:ind w:firstLine="0"/>
              <w:jc w:val="right"/>
              <w:rPr>
                <w:bCs/>
                <w:sz w:val="18"/>
                <w:szCs w:val="18"/>
              </w:rPr>
            </w:pPr>
            <w:r w:rsidRPr="00E86687">
              <w:rPr>
                <w:bCs/>
                <w:sz w:val="18"/>
                <w:szCs w:val="18"/>
              </w:rPr>
              <w:t>2 815,9</w:t>
            </w:r>
          </w:p>
        </w:tc>
        <w:tc>
          <w:tcPr>
            <w:tcW w:w="689" w:type="pct"/>
            <w:tcBorders>
              <w:top w:val="single" w:sz="4" w:space="0" w:color="auto"/>
              <w:left w:val="single" w:sz="4" w:space="0" w:color="auto"/>
              <w:bottom w:val="single" w:sz="4" w:space="0" w:color="auto"/>
              <w:right w:val="single" w:sz="4" w:space="0" w:color="auto"/>
            </w:tcBorders>
            <w:shd w:val="clear" w:color="auto" w:fill="auto"/>
          </w:tcPr>
          <w:p w14:paraId="547A51A8" w14:textId="77777777" w:rsidR="009607BB" w:rsidRPr="00E86687" w:rsidRDefault="009607BB" w:rsidP="00970743">
            <w:pPr>
              <w:keepNext/>
              <w:keepLines/>
              <w:tabs>
                <w:tab w:val="decimal" w:pos="547"/>
              </w:tabs>
              <w:spacing w:after="0"/>
              <w:ind w:firstLine="0"/>
              <w:jc w:val="right"/>
              <w:rPr>
                <w:bCs/>
                <w:sz w:val="18"/>
                <w:szCs w:val="18"/>
              </w:rPr>
            </w:pPr>
            <w:r w:rsidRPr="00E86687">
              <w:rPr>
                <w:bCs/>
                <w:sz w:val="18"/>
                <w:szCs w:val="18"/>
              </w:rPr>
              <w:t>2 794,8</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739B6FD2" w14:textId="77777777" w:rsidR="009607BB" w:rsidRPr="00E86687" w:rsidRDefault="009607BB" w:rsidP="00970743">
            <w:pPr>
              <w:keepNext/>
              <w:keepLines/>
              <w:tabs>
                <w:tab w:val="decimal" w:pos="547"/>
              </w:tabs>
              <w:spacing w:after="0"/>
              <w:ind w:firstLine="0"/>
              <w:jc w:val="right"/>
              <w:rPr>
                <w:bCs/>
                <w:sz w:val="18"/>
                <w:szCs w:val="18"/>
              </w:rPr>
            </w:pPr>
            <w:r w:rsidRPr="00E86687">
              <w:rPr>
                <w:bCs/>
                <w:sz w:val="18"/>
                <w:szCs w:val="18"/>
              </w:rPr>
              <w:t>3 133,3</w:t>
            </w:r>
          </w:p>
        </w:tc>
      </w:tr>
      <w:tr w:rsidR="009607BB" w:rsidRPr="00E86687" w14:paraId="26426600" w14:textId="77777777" w:rsidTr="00970743">
        <w:trPr>
          <w:cantSplit/>
          <w:trHeight w:val="143"/>
        </w:trPr>
        <w:tc>
          <w:tcPr>
            <w:tcW w:w="2559" w:type="pct"/>
            <w:shd w:val="clear" w:color="auto" w:fill="auto"/>
            <w:vAlign w:val="center"/>
            <w:hideMark/>
          </w:tcPr>
          <w:p w14:paraId="6AF4D3DE" w14:textId="77777777" w:rsidR="009607BB" w:rsidRPr="00120F96" w:rsidRDefault="009607BB" w:rsidP="00970743">
            <w:pPr>
              <w:keepNext/>
              <w:keepLines/>
              <w:spacing w:after="0"/>
              <w:ind w:firstLine="0"/>
              <w:jc w:val="left"/>
              <w:rPr>
                <w:i/>
                <w:iCs/>
                <w:sz w:val="18"/>
                <w:szCs w:val="18"/>
                <w:lang w:eastAsia="lv-LV"/>
              </w:rPr>
            </w:pPr>
            <w:r w:rsidRPr="00120F96">
              <w:rPr>
                <w:i/>
                <w:iCs/>
                <w:snapToGrid w:val="0"/>
                <w:sz w:val="18"/>
                <w:szCs w:val="18"/>
                <w:lang w:eastAsia="lv-LV"/>
              </w:rPr>
              <w:t>pieauguma tempi, faktiskās cenās, %</w:t>
            </w:r>
          </w:p>
        </w:tc>
        <w:tc>
          <w:tcPr>
            <w:tcW w:w="584" w:type="pct"/>
            <w:tcBorders>
              <w:top w:val="single" w:sz="4" w:space="0" w:color="auto"/>
              <w:left w:val="nil"/>
              <w:bottom w:val="single" w:sz="4" w:space="0" w:color="auto"/>
              <w:right w:val="single" w:sz="4" w:space="0" w:color="auto"/>
            </w:tcBorders>
            <w:shd w:val="clear" w:color="auto" w:fill="auto"/>
          </w:tcPr>
          <w:p w14:paraId="4D70CC01" w14:textId="77777777" w:rsidR="009607BB" w:rsidRPr="00120F96" w:rsidRDefault="009607BB" w:rsidP="00970743">
            <w:pPr>
              <w:keepNext/>
              <w:keepLines/>
              <w:tabs>
                <w:tab w:val="decimal" w:pos="547"/>
              </w:tabs>
              <w:spacing w:after="0"/>
              <w:ind w:firstLine="0"/>
              <w:jc w:val="right"/>
              <w:rPr>
                <w:i/>
                <w:iCs/>
                <w:sz w:val="18"/>
                <w:szCs w:val="18"/>
              </w:rPr>
            </w:pPr>
            <w:r w:rsidRPr="00120F96">
              <w:rPr>
                <w:i/>
                <w:iCs/>
                <w:sz w:val="18"/>
                <w:szCs w:val="18"/>
              </w:rPr>
              <w:t>9,9</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7B4F32FA" w14:textId="77777777" w:rsidR="009607BB" w:rsidRPr="00AC3042" w:rsidRDefault="009607BB" w:rsidP="00970743">
            <w:pPr>
              <w:keepNext/>
              <w:keepLines/>
              <w:tabs>
                <w:tab w:val="decimal" w:pos="547"/>
              </w:tabs>
              <w:spacing w:after="0"/>
              <w:ind w:firstLine="0"/>
              <w:jc w:val="right"/>
              <w:rPr>
                <w:i/>
                <w:iCs/>
                <w:sz w:val="18"/>
                <w:szCs w:val="18"/>
              </w:rPr>
            </w:pPr>
            <w:r w:rsidRPr="00AC3042">
              <w:rPr>
                <w:i/>
                <w:iCs/>
                <w:sz w:val="18"/>
                <w:szCs w:val="18"/>
              </w:rPr>
              <w:t>0,7</w:t>
            </w:r>
          </w:p>
        </w:tc>
        <w:tc>
          <w:tcPr>
            <w:tcW w:w="689" w:type="pct"/>
            <w:tcBorders>
              <w:top w:val="single" w:sz="4" w:space="0" w:color="auto"/>
              <w:left w:val="single" w:sz="4" w:space="0" w:color="auto"/>
              <w:bottom w:val="single" w:sz="4" w:space="0" w:color="auto"/>
              <w:right w:val="single" w:sz="4" w:space="0" w:color="auto"/>
            </w:tcBorders>
            <w:shd w:val="clear" w:color="auto" w:fill="auto"/>
          </w:tcPr>
          <w:p w14:paraId="2863A140" w14:textId="77777777" w:rsidR="009607BB" w:rsidRPr="00E86687" w:rsidRDefault="009607BB" w:rsidP="00970743">
            <w:pPr>
              <w:keepNext/>
              <w:keepLines/>
              <w:tabs>
                <w:tab w:val="decimal" w:pos="547"/>
              </w:tabs>
              <w:spacing w:after="0"/>
              <w:ind w:firstLine="0"/>
              <w:jc w:val="right"/>
              <w:rPr>
                <w:i/>
                <w:iCs/>
                <w:sz w:val="18"/>
                <w:szCs w:val="18"/>
              </w:rPr>
            </w:pPr>
            <w:r w:rsidRPr="00E86687">
              <w:rPr>
                <w:i/>
                <w:iCs/>
                <w:sz w:val="18"/>
                <w:szCs w:val="18"/>
              </w:rPr>
              <w:t>-0,7</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112DD49E" w14:textId="77777777" w:rsidR="009607BB" w:rsidRPr="00E86687" w:rsidRDefault="009607BB" w:rsidP="00970743">
            <w:pPr>
              <w:keepNext/>
              <w:keepLines/>
              <w:tabs>
                <w:tab w:val="decimal" w:pos="547"/>
              </w:tabs>
              <w:spacing w:after="0"/>
              <w:ind w:firstLine="0"/>
              <w:jc w:val="right"/>
              <w:rPr>
                <w:i/>
                <w:iCs/>
                <w:sz w:val="18"/>
                <w:szCs w:val="18"/>
              </w:rPr>
            </w:pPr>
            <w:r w:rsidRPr="00E86687">
              <w:rPr>
                <w:i/>
                <w:iCs/>
                <w:sz w:val="18"/>
                <w:szCs w:val="18"/>
              </w:rPr>
              <w:t>12,1</w:t>
            </w:r>
          </w:p>
        </w:tc>
      </w:tr>
      <w:tr w:rsidR="009607BB" w:rsidRPr="00E86687" w14:paraId="67228E54" w14:textId="77777777" w:rsidTr="00970743">
        <w:trPr>
          <w:cantSplit/>
          <w:trHeight w:val="20"/>
        </w:trPr>
        <w:tc>
          <w:tcPr>
            <w:tcW w:w="2559" w:type="pct"/>
            <w:shd w:val="clear" w:color="auto" w:fill="auto"/>
            <w:vAlign w:val="center"/>
            <w:hideMark/>
          </w:tcPr>
          <w:p w14:paraId="5C4FD51B" w14:textId="77777777" w:rsidR="009607BB" w:rsidRPr="00120F96" w:rsidRDefault="009607BB" w:rsidP="00970743">
            <w:pPr>
              <w:keepNext/>
              <w:keepLines/>
              <w:spacing w:after="0"/>
              <w:ind w:firstLine="0"/>
              <w:jc w:val="left"/>
              <w:rPr>
                <w:i/>
                <w:iCs/>
                <w:sz w:val="18"/>
                <w:szCs w:val="18"/>
                <w:lang w:eastAsia="lv-LV"/>
              </w:rPr>
            </w:pPr>
            <w:r w:rsidRPr="00120F96">
              <w:rPr>
                <w:i/>
                <w:sz w:val="18"/>
                <w:szCs w:val="18"/>
              </w:rPr>
              <w:t>% no IKP</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7DAF551B" w14:textId="77777777" w:rsidR="009607BB" w:rsidRPr="00120F96" w:rsidRDefault="009607BB" w:rsidP="00970743">
            <w:pPr>
              <w:keepNext/>
              <w:keepLines/>
              <w:tabs>
                <w:tab w:val="decimal" w:pos="547"/>
              </w:tabs>
              <w:spacing w:after="0"/>
              <w:ind w:firstLine="0"/>
              <w:jc w:val="right"/>
              <w:rPr>
                <w:i/>
                <w:iCs/>
                <w:sz w:val="18"/>
                <w:szCs w:val="18"/>
              </w:rPr>
            </w:pPr>
            <w:r w:rsidRPr="00120F96">
              <w:rPr>
                <w:i/>
                <w:iCs/>
                <w:sz w:val="18"/>
                <w:szCs w:val="18"/>
              </w:rPr>
              <w:t>9,2</w:t>
            </w:r>
          </w:p>
        </w:tc>
        <w:tc>
          <w:tcPr>
            <w:tcW w:w="584" w:type="pct"/>
            <w:tcBorders>
              <w:top w:val="single" w:sz="4" w:space="0" w:color="auto"/>
              <w:left w:val="nil"/>
              <w:bottom w:val="single" w:sz="4" w:space="0" w:color="auto"/>
              <w:right w:val="single" w:sz="4" w:space="0" w:color="auto"/>
            </w:tcBorders>
            <w:shd w:val="clear" w:color="auto" w:fill="auto"/>
          </w:tcPr>
          <w:p w14:paraId="4A60E704" w14:textId="77777777" w:rsidR="009607BB" w:rsidRPr="00AC3042" w:rsidRDefault="009607BB" w:rsidP="00970743">
            <w:pPr>
              <w:keepNext/>
              <w:keepLines/>
              <w:tabs>
                <w:tab w:val="decimal" w:pos="547"/>
              </w:tabs>
              <w:spacing w:after="0"/>
              <w:ind w:firstLine="0"/>
              <w:jc w:val="right"/>
              <w:rPr>
                <w:i/>
                <w:iCs/>
                <w:sz w:val="18"/>
                <w:szCs w:val="18"/>
              </w:rPr>
            </w:pPr>
            <w:r w:rsidRPr="00AC3042">
              <w:rPr>
                <w:i/>
                <w:iCs/>
                <w:sz w:val="18"/>
                <w:szCs w:val="18"/>
              </w:rPr>
              <w:t>9,6</w:t>
            </w:r>
          </w:p>
        </w:tc>
        <w:tc>
          <w:tcPr>
            <w:tcW w:w="689" w:type="pct"/>
            <w:tcBorders>
              <w:top w:val="single" w:sz="4" w:space="0" w:color="auto"/>
              <w:left w:val="nil"/>
              <w:bottom w:val="single" w:sz="4" w:space="0" w:color="auto"/>
              <w:right w:val="single" w:sz="4" w:space="0" w:color="auto"/>
            </w:tcBorders>
            <w:shd w:val="clear" w:color="auto" w:fill="auto"/>
          </w:tcPr>
          <w:p w14:paraId="028B6830" w14:textId="77777777" w:rsidR="009607BB" w:rsidRPr="00E86687" w:rsidRDefault="009607BB" w:rsidP="00970743">
            <w:pPr>
              <w:keepNext/>
              <w:keepLines/>
              <w:tabs>
                <w:tab w:val="decimal" w:pos="547"/>
              </w:tabs>
              <w:spacing w:after="0"/>
              <w:ind w:firstLine="0"/>
              <w:jc w:val="right"/>
              <w:rPr>
                <w:i/>
                <w:iCs/>
                <w:sz w:val="18"/>
                <w:szCs w:val="18"/>
              </w:rPr>
            </w:pPr>
            <w:r w:rsidRPr="00E86687">
              <w:rPr>
                <w:i/>
                <w:iCs/>
                <w:sz w:val="18"/>
                <w:szCs w:val="18"/>
              </w:rPr>
              <w:t>8,9</w:t>
            </w:r>
          </w:p>
        </w:tc>
        <w:tc>
          <w:tcPr>
            <w:tcW w:w="584" w:type="pct"/>
            <w:tcBorders>
              <w:top w:val="single" w:sz="4" w:space="0" w:color="auto"/>
              <w:left w:val="nil"/>
              <w:bottom w:val="single" w:sz="4" w:space="0" w:color="auto"/>
              <w:right w:val="single" w:sz="4" w:space="0" w:color="auto"/>
            </w:tcBorders>
            <w:shd w:val="clear" w:color="auto" w:fill="auto"/>
          </w:tcPr>
          <w:p w14:paraId="3928A3D9" w14:textId="77777777" w:rsidR="009607BB" w:rsidRPr="00E86687" w:rsidRDefault="009607BB" w:rsidP="00970743">
            <w:pPr>
              <w:keepNext/>
              <w:keepLines/>
              <w:tabs>
                <w:tab w:val="decimal" w:pos="547"/>
              </w:tabs>
              <w:spacing w:after="0"/>
              <w:ind w:firstLine="0"/>
              <w:jc w:val="right"/>
              <w:rPr>
                <w:i/>
                <w:iCs/>
                <w:sz w:val="18"/>
                <w:szCs w:val="18"/>
              </w:rPr>
            </w:pPr>
            <w:r w:rsidRPr="00E86687">
              <w:rPr>
                <w:i/>
                <w:iCs/>
                <w:sz w:val="18"/>
                <w:szCs w:val="18"/>
              </w:rPr>
              <w:t>9,2</w:t>
            </w:r>
          </w:p>
        </w:tc>
      </w:tr>
    </w:tbl>
    <w:p w14:paraId="33BB1CD6" w14:textId="77777777" w:rsidR="009607BB" w:rsidRPr="00FE519F" w:rsidRDefault="009607BB" w:rsidP="002309D6">
      <w:pPr>
        <w:spacing w:before="120" w:after="240"/>
        <w:ind w:left="425" w:firstLine="0"/>
        <w:jc w:val="left"/>
        <w:rPr>
          <w:sz w:val="18"/>
          <w:szCs w:val="18"/>
        </w:rPr>
      </w:pPr>
      <w:r w:rsidRPr="00FE519F">
        <w:rPr>
          <w:sz w:val="18"/>
          <w:szCs w:val="18"/>
          <w:vertAlign w:val="superscript"/>
        </w:rPr>
        <w:t>1</w:t>
      </w:r>
      <w:r>
        <w:rPr>
          <w:sz w:val="18"/>
          <w:szCs w:val="18"/>
        </w:rPr>
        <w:t xml:space="preserve"> S</w:t>
      </w:r>
      <w:r w:rsidRPr="00FE519F">
        <w:rPr>
          <w:sz w:val="18"/>
          <w:szCs w:val="18"/>
        </w:rPr>
        <w:t>askaņā ar likumprojektu „Par valsts budžetu 2022. gadam”.</w:t>
      </w:r>
    </w:p>
    <w:p w14:paraId="2C4DFBEF" w14:textId="77777777" w:rsidR="009607BB" w:rsidRPr="000345A6" w:rsidRDefault="009607BB" w:rsidP="009607BB">
      <w:pPr>
        <w:spacing w:after="0"/>
        <w:ind w:firstLine="720"/>
        <w:rPr>
          <w:highlight w:val="yellow"/>
        </w:rPr>
      </w:pPr>
      <w:r>
        <w:t>S</w:t>
      </w:r>
      <w:r w:rsidRPr="00F71904">
        <w:t>ociālās apdrošināšanas iemaksas pamatbudžetā veselības finansēšanai 2022</w:t>
      </w:r>
      <w:r>
        <w:t>. gad</w:t>
      </w:r>
      <w:r w:rsidRPr="00F71904">
        <w:t>ā tiek plānotas 11</w:t>
      </w:r>
      <w:r>
        <w:t>2,8 milj. </w:t>
      </w:r>
      <w:proofErr w:type="spellStart"/>
      <w:r w:rsidRPr="00D705E7">
        <w:rPr>
          <w:i/>
        </w:rPr>
        <w:t>euro</w:t>
      </w:r>
      <w:proofErr w:type="spellEnd"/>
      <w:r w:rsidRPr="00F71904">
        <w:rPr>
          <w:i/>
        </w:rPr>
        <w:t xml:space="preserve"> </w:t>
      </w:r>
      <w:r w:rsidRPr="00F71904">
        <w:t>apmērā, kas salīdzinājumā ar 2021</w:t>
      </w:r>
      <w:r>
        <w:t>. gad</w:t>
      </w:r>
      <w:r w:rsidRPr="00F71904">
        <w:t xml:space="preserve">a prognozi ir par </w:t>
      </w:r>
      <w:r>
        <w:t>12,5 milj. </w:t>
      </w:r>
      <w:proofErr w:type="spellStart"/>
      <w:r w:rsidRPr="00D705E7">
        <w:rPr>
          <w:i/>
        </w:rPr>
        <w:t>euro</w:t>
      </w:r>
      <w:proofErr w:type="spellEnd"/>
      <w:r w:rsidRPr="00F71904">
        <w:t xml:space="preserve"> jeb </w:t>
      </w:r>
      <w:r>
        <w:t>12,5</w:t>
      </w:r>
      <w:r w:rsidRPr="00F71904">
        <w:t>% vairāk.</w:t>
      </w:r>
    </w:p>
    <w:p w14:paraId="46C6D086" w14:textId="77777777" w:rsidR="009607BB" w:rsidRPr="00856ECF" w:rsidRDefault="009607BB" w:rsidP="002309D6">
      <w:pPr>
        <w:pStyle w:val="H4"/>
        <w:spacing w:before="240" w:after="240"/>
      </w:pPr>
      <w:r w:rsidRPr="00856ECF">
        <w:t>Uzņēmumu ienākuma nodoklis</w:t>
      </w:r>
    </w:p>
    <w:p w14:paraId="543A7035" w14:textId="77777777" w:rsidR="009607BB" w:rsidRPr="008C1377" w:rsidRDefault="009607BB" w:rsidP="002309D6">
      <w:pPr>
        <w:ind w:firstLine="720"/>
        <w:rPr>
          <w:szCs w:val="24"/>
        </w:rPr>
      </w:pPr>
      <w:r w:rsidRPr="008C1377">
        <w:rPr>
          <w:szCs w:val="24"/>
        </w:rPr>
        <w:t>Uzņēmumu ienākuma nodokļa ieņēmumi 2021</w:t>
      </w:r>
      <w:r>
        <w:rPr>
          <w:szCs w:val="24"/>
        </w:rPr>
        <w:t>. gad</w:t>
      </w:r>
      <w:r w:rsidRPr="008C1377">
        <w:rPr>
          <w:szCs w:val="24"/>
        </w:rPr>
        <w:t xml:space="preserve">a </w:t>
      </w:r>
      <w:r>
        <w:rPr>
          <w:szCs w:val="24"/>
        </w:rPr>
        <w:t>1. pusga</w:t>
      </w:r>
      <w:r w:rsidRPr="008C1377">
        <w:rPr>
          <w:szCs w:val="24"/>
        </w:rPr>
        <w:t>dā bija 170,5</w:t>
      </w:r>
      <w:r>
        <w:rPr>
          <w:szCs w:val="24"/>
        </w:rPr>
        <w:t> milj. </w:t>
      </w:r>
      <w:proofErr w:type="spellStart"/>
      <w:r w:rsidRPr="00D705E7">
        <w:rPr>
          <w:i/>
          <w:szCs w:val="24"/>
        </w:rPr>
        <w:t>euro</w:t>
      </w:r>
      <w:proofErr w:type="spellEnd"/>
      <w:r w:rsidRPr="008C1377">
        <w:rPr>
          <w:szCs w:val="24"/>
        </w:rPr>
        <w:t>, kas salīdzinājumā ar 2020</w:t>
      </w:r>
      <w:r>
        <w:rPr>
          <w:szCs w:val="24"/>
        </w:rPr>
        <w:t>. gad</w:t>
      </w:r>
      <w:r w:rsidRPr="008C1377">
        <w:rPr>
          <w:szCs w:val="24"/>
        </w:rPr>
        <w:t>a attiecīgo periodu ir palielinājušies par 60,2</w:t>
      </w:r>
      <w:r>
        <w:rPr>
          <w:szCs w:val="24"/>
        </w:rPr>
        <w:t> milj. </w:t>
      </w:r>
      <w:proofErr w:type="spellStart"/>
      <w:r w:rsidRPr="00D705E7">
        <w:rPr>
          <w:i/>
          <w:szCs w:val="24"/>
        </w:rPr>
        <w:t>euro</w:t>
      </w:r>
      <w:proofErr w:type="spellEnd"/>
      <w:r w:rsidRPr="008C1377">
        <w:rPr>
          <w:szCs w:val="24"/>
        </w:rPr>
        <w:t xml:space="preserve"> jeb par 54,5</w:t>
      </w:r>
      <w:r>
        <w:rPr>
          <w:szCs w:val="24"/>
        </w:rPr>
        <w:t> procentiem</w:t>
      </w:r>
      <w:r w:rsidRPr="008C1377">
        <w:rPr>
          <w:szCs w:val="24"/>
        </w:rPr>
        <w:t xml:space="preserve">. Ieņēmumu palielinājums </w:t>
      </w:r>
      <w:r w:rsidRPr="008C1377">
        <w:rPr>
          <w:bCs/>
          <w:szCs w:val="24"/>
        </w:rPr>
        <w:t xml:space="preserve">skaidrojams ar </w:t>
      </w:r>
      <w:r w:rsidRPr="008C1377">
        <w:t xml:space="preserve">sadalītās pelņas apmēra pieaugumu, vienlaikus </w:t>
      </w:r>
      <w:r w:rsidRPr="008C1377">
        <w:rPr>
          <w:bCs/>
          <w:szCs w:val="24"/>
        </w:rPr>
        <w:t>būtiski samazinoties nodokļa atmaksu apmēram (</w:t>
      </w:r>
      <w:r w:rsidRPr="008C1377">
        <w:rPr>
          <w:szCs w:val="24"/>
        </w:rPr>
        <w:t>2021</w:t>
      </w:r>
      <w:r>
        <w:rPr>
          <w:szCs w:val="24"/>
        </w:rPr>
        <w:t>. gad</w:t>
      </w:r>
      <w:r w:rsidRPr="008C1377">
        <w:rPr>
          <w:szCs w:val="24"/>
        </w:rPr>
        <w:t xml:space="preserve">a </w:t>
      </w:r>
      <w:r>
        <w:rPr>
          <w:szCs w:val="24"/>
        </w:rPr>
        <w:t>1. pusga</w:t>
      </w:r>
      <w:r w:rsidRPr="008C1377">
        <w:rPr>
          <w:szCs w:val="24"/>
        </w:rPr>
        <w:t xml:space="preserve">dā </w:t>
      </w:r>
      <w:r w:rsidRPr="008C1377">
        <w:rPr>
          <w:bCs/>
          <w:szCs w:val="24"/>
        </w:rPr>
        <w:t>atmaksas veidoja vien 4,7</w:t>
      </w:r>
      <w:r>
        <w:rPr>
          <w:bCs/>
          <w:szCs w:val="24"/>
        </w:rPr>
        <w:t> milj. </w:t>
      </w:r>
      <w:proofErr w:type="spellStart"/>
      <w:r w:rsidRPr="00D705E7">
        <w:rPr>
          <w:bCs/>
          <w:i/>
          <w:szCs w:val="24"/>
        </w:rPr>
        <w:t>euro</w:t>
      </w:r>
      <w:proofErr w:type="spellEnd"/>
      <w:r w:rsidRPr="008C1377">
        <w:rPr>
          <w:bCs/>
          <w:szCs w:val="24"/>
        </w:rPr>
        <w:t xml:space="preserve">). Pusgada plāns pārpildīts par </w:t>
      </w:r>
      <w:r w:rsidRPr="008C1377">
        <w:rPr>
          <w:szCs w:val="24"/>
        </w:rPr>
        <w:t>24,9</w:t>
      </w:r>
      <w:r>
        <w:rPr>
          <w:szCs w:val="24"/>
        </w:rPr>
        <w:t> milj. </w:t>
      </w:r>
      <w:proofErr w:type="spellStart"/>
      <w:r w:rsidRPr="00D705E7">
        <w:rPr>
          <w:i/>
          <w:szCs w:val="24"/>
        </w:rPr>
        <w:t>euro</w:t>
      </w:r>
      <w:proofErr w:type="spellEnd"/>
      <w:r w:rsidRPr="008C1377">
        <w:rPr>
          <w:bCs/>
          <w:szCs w:val="24"/>
        </w:rPr>
        <w:t xml:space="preserve"> jeb 17,1</w:t>
      </w:r>
      <w:r w:rsidRPr="008C1377">
        <w:rPr>
          <w:noProof/>
          <w:szCs w:val="24"/>
        </w:rPr>
        <w:t>%</w:t>
      </w:r>
      <w:r w:rsidRPr="008C1377">
        <w:rPr>
          <w:bCs/>
          <w:szCs w:val="24"/>
        </w:rPr>
        <w:t xml:space="preserve">, kā iemeslu minot </w:t>
      </w:r>
      <w:r w:rsidRPr="008C1377">
        <w:t>sadalītās pelņas apmēra pieaugumu, kas pieaug straujāk par iepriekš prognozēto</w:t>
      </w:r>
      <w:r w:rsidRPr="008C1377">
        <w:rPr>
          <w:szCs w:val="24"/>
        </w:rPr>
        <w:t xml:space="preserve">. </w:t>
      </w:r>
      <w:r w:rsidRPr="008C1377">
        <w:t>Ņemot vērā pirmā pusgada izpildi un makroekonomisko rādītāju izmaiņas, 2021</w:t>
      </w:r>
      <w:r>
        <w:t>. gad</w:t>
      </w:r>
      <w:r w:rsidRPr="008C1377">
        <w:t>a uzņēmumu ienākuma nodokļa prognoze tika palielināta par 11,1</w:t>
      </w:r>
      <w:r>
        <w:t> milj. </w:t>
      </w:r>
      <w:proofErr w:type="spellStart"/>
      <w:r w:rsidRPr="00D705E7">
        <w:rPr>
          <w:i/>
        </w:rPr>
        <w:t>euro</w:t>
      </w:r>
      <w:proofErr w:type="spellEnd"/>
      <w:r w:rsidRPr="008C1377">
        <w:t xml:space="preserve"> jeb par 4,2%, salīdzinot ar plānu.</w:t>
      </w:r>
    </w:p>
    <w:p w14:paraId="60EF7EB0" w14:textId="77777777" w:rsidR="009607BB" w:rsidRPr="008C1377" w:rsidRDefault="009607BB" w:rsidP="002309D6">
      <w:pPr>
        <w:ind w:firstLine="720"/>
      </w:pPr>
      <w:r w:rsidRPr="008C1377">
        <w:rPr>
          <w:szCs w:val="24"/>
        </w:rPr>
        <w:t>Kopš 2018</w:t>
      </w:r>
      <w:r>
        <w:rPr>
          <w:szCs w:val="24"/>
        </w:rPr>
        <w:t>. gad</w:t>
      </w:r>
      <w:r w:rsidRPr="008C1377">
        <w:rPr>
          <w:szCs w:val="24"/>
        </w:rPr>
        <w:t xml:space="preserve">a uzņēmumu ienākuma nodoklis piedzīvoja būtiskas pārmaiņas </w:t>
      </w:r>
      <w:r>
        <w:t>–</w:t>
      </w:r>
      <w:r w:rsidRPr="008C1377">
        <w:rPr>
          <w:szCs w:val="24"/>
        </w:rPr>
        <w:t xml:space="preserve"> nodoklis tiek maksāts peļņas sadales un tai pielīdzināmos gadījumos. S</w:t>
      </w:r>
      <w:r w:rsidRPr="008C1377">
        <w:t>ākot ar 2018</w:t>
      </w:r>
      <w:r>
        <w:t>. gad</w:t>
      </w:r>
      <w:r w:rsidRPr="008C1377">
        <w:t xml:space="preserve">a jūliju, ir būtiski mainījusies deklarācijas iesniegšanas kārtība – tā ir jāiesniedz par katru mēnesi, ja tajā ir izveidojušies ar nodokli apliekami ienākumi. </w:t>
      </w:r>
      <w:r w:rsidRPr="008C1377">
        <w:rPr>
          <w:bCs/>
        </w:rPr>
        <w:t>2021</w:t>
      </w:r>
      <w:r>
        <w:rPr>
          <w:bCs/>
        </w:rPr>
        <w:t>. gad</w:t>
      </w:r>
      <w:r w:rsidRPr="008C1377">
        <w:rPr>
          <w:bCs/>
        </w:rPr>
        <w:t xml:space="preserve">a pirmajā pusgadā </w:t>
      </w:r>
      <w:r w:rsidRPr="008C1377">
        <w:t>visvairāk deklarētas dividendes vai dividendēm pielīdzinātas izmaksas 1 098,3</w:t>
      </w:r>
      <w:r>
        <w:t> milj. </w:t>
      </w:r>
      <w:proofErr w:type="spellStart"/>
      <w:r w:rsidRPr="00D705E7">
        <w:rPr>
          <w:i/>
        </w:rPr>
        <w:t>euro</w:t>
      </w:r>
      <w:proofErr w:type="spellEnd"/>
      <w:r w:rsidRPr="008C1377">
        <w:t>, bet nosacīti sadalītā peļņa 32,5</w:t>
      </w:r>
      <w:r>
        <w:t> milj. </w:t>
      </w:r>
      <w:proofErr w:type="spellStart"/>
      <w:r w:rsidRPr="00D705E7">
        <w:rPr>
          <w:i/>
        </w:rPr>
        <w:t>euro</w:t>
      </w:r>
      <w:proofErr w:type="spellEnd"/>
      <w:r w:rsidRPr="008C1377">
        <w:rPr>
          <w:bCs/>
          <w:i/>
        </w:rPr>
        <w:t xml:space="preserve"> </w:t>
      </w:r>
      <w:r w:rsidRPr="008C1377">
        <w:rPr>
          <w:bCs/>
        </w:rPr>
        <w:t>apmērā</w:t>
      </w:r>
      <w:r w:rsidRPr="008C1377">
        <w:t>. Jāpiebilst, ka, salīdzinot ar 2020</w:t>
      </w:r>
      <w:r>
        <w:t>. gad</w:t>
      </w:r>
      <w:r w:rsidRPr="008C1377">
        <w:t xml:space="preserve">a </w:t>
      </w:r>
      <w:r w:rsidRPr="008C1377">
        <w:rPr>
          <w:bCs/>
        </w:rPr>
        <w:t>pirmo pusgadu</w:t>
      </w:r>
      <w:r w:rsidRPr="008C1377">
        <w:t>, dividenžu izmaksas pieaugušas 40,3</w:t>
      </w:r>
      <w:r w:rsidRPr="008C1377">
        <w:rPr>
          <w:noProof/>
        </w:rPr>
        <w:t>%</w:t>
      </w:r>
      <w:r w:rsidRPr="008C1377">
        <w:t>, bet nosacīti sadalītā peļņa ir samazinājusies par 23,5</w:t>
      </w:r>
      <w:r>
        <w:rPr>
          <w:noProof/>
        </w:rPr>
        <w:t> procent</w:t>
      </w:r>
      <w:r w:rsidRPr="008C1377">
        <w:rPr>
          <w:noProof/>
        </w:rPr>
        <w:t>iem</w:t>
      </w:r>
      <w:r w:rsidRPr="008C1377">
        <w:t xml:space="preserve">. Šajā periodā deklarēto dividenžu vai tām pielīdzinātās izmaksas visbūtiskāk pieaugušas </w:t>
      </w:r>
      <w:r w:rsidRPr="008C1377">
        <w:rPr>
          <w:i/>
        </w:rPr>
        <w:t xml:space="preserve">Finanšu pakalpojumu darbību, izņemot apdrošināšanu un pensiju uzkrāšanu, Datoru, elektronisko un optisko iekārtu ražošanas </w:t>
      </w:r>
      <w:r w:rsidRPr="008C1377">
        <w:t>un</w:t>
      </w:r>
      <w:r w:rsidRPr="008C1377">
        <w:rPr>
          <w:i/>
        </w:rPr>
        <w:t xml:space="preserve"> Telekomunikācijas</w:t>
      </w:r>
      <w:r w:rsidRPr="008C1377">
        <w:t xml:space="preserve"> nozarēs – attiecīgi par 83,5</w:t>
      </w:r>
      <w:r>
        <w:t> milj. </w:t>
      </w:r>
      <w:proofErr w:type="spellStart"/>
      <w:r w:rsidRPr="00D705E7">
        <w:rPr>
          <w:i/>
        </w:rPr>
        <w:t>euro</w:t>
      </w:r>
      <w:proofErr w:type="spellEnd"/>
      <w:r w:rsidRPr="008C1377">
        <w:rPr>
          <w:i/>
        </w:rPr>
        <w:t xml:space="preserve">, </w:t>
      </w:r>
      <w:r w:rsidRPr="008C1377">
        <w:t>73,7</w:t>
      </w:r>
      <w:r>
        <w:t> milj. </w:t>
      </w:r>
      <w:proofErr w:type="spellStart"/>
      <w:r w:rsidRPr="00D705E7">
        <w:rPr>
          <w:i/>
        </w:rPr>
        <w:t>euro</w:t>
      </w:r>
      <w:proofErr w:type="spellEnd"/>
      <w:r w:rsidRPr="008C1377">
        <w:rPr>
          <w:i/>
        </w:rPr>
        <w:t xml:space="preserve"> </w:t>
      </w:r>
      <w:r w:rsidRPr="008C1377">
        <w:t>un 26,7</w:t>
      </w:r>
      <w:r>
        <w:t> milj. </w:t>
      </w:r>
      <w:proofErr w:type="spellStart"/>
      <w:r w:rsidRPr="00D705E7">
        <w:rPr>
          <w:i/>
        </w:rPr>
        <w:t>euro</w:t>
      </w:r>
      <w:proofErr w:type="spellEnd"/>
      <w:r w:rsidRPr="008C1377">
        <w:rPr>
          <w:i/>
        </w:rPr>
        <w:t>.</w:t>
      </w:r>
      <w:r w:rsidRPr="008C1377">
        <w:t xml:space="preserve"> </w:t>
      </w:r>
    </w:p>
    <w:p w14:paraId="5EDC132E" w14:textId="77777777" w:rsidR="009607BB" w:rsidRPr="008C1377" w:rsidRDefault="009607BB" w:rsidP="009607BB">
      <w:pPr>
        <w:spacing w:after="0"/>
        <w:ind w:firstLine="720"/>
        <w:rPr>
          <w:szCs w:val="24"/>
        </w:rPr>
      </w:pPr>
      <w:r>
        <w:lastRenderedPageBreak/>
        <w:t>Saskaņā ar likumprojektu</w:t>
      </w:r>
      <w:r w:rsidRPr="008C1377">
        <w:t xml:space="preserve"> „Par valsts budžetu 2022</w:t>
      </w:r>
      <w:r>
        <w:t>. gad</w:t>
      </w:r>
      <w:r w:rsidRPr="008C1377">
        <w:t>am” uzņēmumu ienākuma nodokļa ieņēmumi 2022</w:t>
      </w:r>
      <w:r>
        <w:t>. gad</w:t>
      </w:r>
      <w:r w:rsidRPr="008C1377">
        <w:t>ā tiek plānoti 31</w:t>
      </w:r>
      <w:r>
        <w:t>6</w:t>
      </w:r>
      <w:r w:rsidRPr="008C1377">
        <w:t>,</w:t>
      </w:r>
      <w:r>
        <w:t>4 milj. </w:t>
      </w:r>
      <w:proofErr w:type="spellStart"/>
      <w:r w:rsidRPr="00D705E7">
        <w:rPr>
          <w:i/>
        </w:rPr>
        <w:t>euro</w:t>
      </w:r>
      <w:proofErr w:type="spellEnd"/>
      <w:r w:rsidRPr="008C1377">
        <w:t>, kas salīdzinājumā ar 2021</w:t>
      </w:r>
      <w:r>
        <w:t>. gad</w:t>
      </w:r>
      <w:r w:rsidRPr="008C1377">
        <w:t xml:space="preserve">a prognozētajiem ieņēmumiem ir par </w:t>
      </w:r>
      <w:r>
        <w:t>41</w:t>
      </w:r>
      <w:r w:rsidRPr="008C1377">
        <w:t>,</w:t>
      </w:r>
      <w:r>
        <w:t>4 milj. </w:t>
      </w:r>
      <w:proofErr w:type="spellStart"/>
      <w:r w:rsidRPr="00D705E7">
        <w:rPr>
          <w:i/>
        </w:rPr>
        <w:t>euro</w:t>
      </w:r>
      <w:proofErr w:type="spellEnd"/>
      <w:r w:rsidRPr="008C1377">
        <w:t xml:space="preserve"> jeb par 1</w:t>
      </w:r>
      <w:r>
        <w:t>5,1</w:t>
      </w:r>
      <w:r w:rsidRPr="008C1377">
        <w:t>% vairāk. Uzņēmumu ienākuma nodokļa 2022</w:t>
      </w:r>
      <w:r>
        <w:t>. gad</w:t>
      </w:r>
      <w:r w:rsidRPr="008C1377">
        <w:t xml:space="preserve">a ieņēmumu plānu </w:t>
      </w:r>
      <w:r w:rsidRPr="008C1377">
        <w:rPr>
          <w:szCs w:val="24"/>
        </w:rPr>
        <w:t>galvenokārt ietekmēs nodokļa apmēra par peļņas sadali pieauguma tendences, 2021</w:t>
      </w:r>
      <w:r>
        <w:rPr>
          <w:szCs w:val="24"/>
        </w:rPr>
        <w:t>. gad</w:t>
      </w:r>
      <w:r w:rsidRPr="008C1377">
        <w:rPr>
          <w:szCs w:val="24"/>
        </w:rPr>
        <w:t xml:space="preserve">a pirmā pusgada izpilde, </w:t>
      </w:r>
      <w:r w:rsidRPr="00904BDC">
        <w:rPr>
          <w:szCs w:val="24"/>
        </w:rPr>
        <w:t>kā arī</w:t>
      </w:r>
      <w:r w:rsidRPr="00904BDC">
        <w:rPr>
          <w:szCs w:val="24"/>
          <w:lang w:eastAsia="lv-LV"/>
        </w:rPr>
        <w:t xml:space="preserve"> 3.1</w:t>
      </w:r>
      <w:r>
        <w:rPr>
          <w:szCs w:val="24"/>
          <w:lang w:eastAsia="lv-LV"/>
        </w:rPr>
        <w:t>. sad</w:t>
      </w:r>
      <w:r w:rsidRPr="00904BDC">
        <w:rPr>
          <w:szCs w:val="24"/>
          <w:lang w:eastAsia="lv-LV"/>
        </w:rPr>
        <w:t>aļā minētie pasākumi</w:t>
      </w:r>
      <w:r w:rsidRPr="00904BDC">
        <w:rPr>
          <w:szCs w:val="24"/>
        </w:rPr>
        <w:t>.</w:t>
      </w:r>
    </w:p>
    <w:p w14:paraId="3BD8C578" w14:textId="77777777" w:rsidR="009607BB" w:rsidRPr="00E86687" w:rsidRDefault="009607BB" w:rsidP="009607BB">
      <w:pPr>
        <w:keepNext/>
        <w:spacing w:before="240" w:after="240"/>
        <w:ind w:firstLine="0"/>
        <w:jc w:val="center"/>
        <w:rPr>
          <w:b/>
          <w:i/>
          <w:szCs w:val="24"/>
        </w:rPr>
      </w:pPr>
      <w:r w:rsidRPr="00120F96">
        <w:rPr>
          <w:b/>
          <w:i/>
          <w:szCs w:val="24"/>
        </w:rPr>
        <w:t>3.6.</w:t>
      </w:r>
      <w:r w:rsidRPr="00AC3042">
        <w:rPr>
          <w:b/>
          <w:i/>
          <w:szCs w:val="24"/>
        </w:rPr>
        <w:t> </w:t>
      </w:r>
      <w:r w:rsidRPr="00E86687">
        <w:rPr>
          <w:b/>
          <w:i/>
          <w:szCs w:val="24"/>
        </w:rPr>
        <w:t>tabula. Uzņēmumu ienākuma nodokļa ieņēmumi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4701"/>
        <w:gridCol w:w="1067"/>
        <w:gridCol w:w="1067"/>
        <w:gridCol w:w="1037"/>
        <w:gridCol w:w="1189"/>
      </w:tblGrid>
      <w:tr w:rsidR="009607BB" w:rsidRPr="00855D3E" w14:paraId="394684D1" w14:textId="77777777" w:rsidTr="00193ACF">
        <w:trPr>
          <w:cantSplit/>
          <w:jc w:val="center"/>
        </w:trPr>
        <w:tc>
          <w:tcPr>
            <w:tcW w:w="2594" w:type="pct"/>
            <w:vMerge w:val="restart"/>
            <w:shd w:val="clear" w:color="auto" w:fill="B8CCE4" w:themeFill="accent1" w:themeFillTint="66"/>
          </w:tcPr>
          <w:p w14:paraId="061C6CCE" w14:textId="77777777" w:rsidR="009607BB" w:rsidRPr="00855D3E" w:rsidRDefault="009607BB" w:rsidP="00970743">
            <w:pPr>
              <w:keepNext/>
              <w:keepLines/>
              <w:spacing w:after="0"/>
              <w:ind w:firstLine="0"/>
              <w:jc w:val="center"/>
              <w:rPr>
                <w:b/>
                <w:snapToGrid w:val="0"/>
                <w:sz w:val="20"/>
              </w:rPr>
            </w:pPr>
          </w:p>
        </w:tc>
        <w:tc>
          <w:tcPr>
            <w:tcW w:w="589" w:type="pct"/>
            <w:shd w:val="clear" w:color="auto" w:fill="B8CCE4" w:themeFill="accent1" w:themeFillTint="66"/>
          </w:tcPr>
          <w:p w14:paraId="0B86D702" w14:textId="77777777" w:rsidR="009607BB" w:rsidRPr="00EB2728" w:rsidRDefault="009607BB" w:rsidP="00970743">
            <w:pPr>
              <w:spacing w:after="0"/>
              <w:ind w:firstLine="0"/>
              <w:jc w:val="center"/>
              <w:rPr>
                <w:b/>
                <w:bCs/>
                <w:snapToGrid w:val="0"/>
                <w:sz w:val="18"/>
              </w:rPr>
            </w:pPr>
            <w:r w:rsidRPr="00EB2728">
              <w:rPr>
                <w:b/>
                <w:bCs/>
                <w:snapToGrid w:val="0"/>
                <w:sz w:val="18"/>
              </w:rPr>
              <w:t>2019</w:t>
            </w:r>
          </w:p>
        </w:tc>
        <w:tc>
          <w:tcPr>
            <w:tcW w:w="589" w:type="pct"/>
            <w:shd w:val="clear" w:color="auto" w:fill="B8CCE4" w:themeFill="accent1" w:themeFillTint="66"/>
          </w:tcPr>
          <w:p w14:paraId="4EF315BB" w14:textId="77777777" w:rsidR="009607BB" w:rsidRPr="00EB2728" w:rsidRDefault="009607BB" w:rsidP="00970743">
            <w:pPr>
              <w:spacing w:after="0"/>
              <w:ind w:firstLine="0"/>
              <w:jc w:val="center"/>
              <w:rPr>
                <w:b/>
                <w:bCs/>
                <w:snapToGrid w:val="0"/>
                <w:sz w:val="18"/>
              </w:rPr>
            </w:pPr>
            <w:r w:rsidRPr="00EB2728">
              <w:rPr>
                <w:b/>
                <w:bCs/>
                <w:snapToGrid w:val="0"/>
                <w:sz w:val="18"/>
              </w:rPr>
              <w:t>2020</w:t>
            </w:r>
          </w:p>
        </w:tc>
        <w:tc>
          <w:tcPr>
            <w:tcW w:w="572" w:type="pct"/>
            <w:shd w:val="clear" w:color="auto" w:fill="B8CCE4" w:themeFill="accent1" w:themeFillTint="66"/>
          </w:tcPr>
          <w:p w14:paraId="5E959500" w14:textId="77777777" w:rsidR="009607BB" w:rsidRPr="00EB2728" w:rsidRDefault="009607BB" w:rsidP="00970743">
            <w:pPr>
              <w:spacing w:after="0"/>
              <w:ind w:firstLine="0"/>
              <w:jc w:val="center"/>
              <w:rPr>
                <w:b/>
                <w:bCs/>
                <w:snapToGrid w:val="0"/>
                <w:sz w:val="18"/>
              </w:rPr>
            </w:pPr>
            <w:r w:rsidRPr="00EB2728">
              <w:rPr>
                <w:b/>
                <w:bCs/>
                <w:snapToGrid w:val="0"/>
                <w:sz w:val="18"/>
              </w:rPr>
              <w:t>2021</w:t>
            </w:r>
          </w:p>
        </w:tc>
        <w:tc>
          <w:tcPr>
            <w:tcW w:w="656" w:type="pct"/>
            <w:shd w:val="clear" w:color="auto" w:fill="B8CCE4" w:themeFill="accent1" w:themeFillTint="66"/>
          </w:tcPr>
          <w:p w14:paraId="2B821AAF" w14:textId="77777777" w:rsidR="009607BB" w:rsidRPr="00EB2728" w:rsidRDefault="009607BB" w:rsidP="00970743">
            <w:pPr>
              <w:spacing w:after="0"/>
              <w:ind w:firstLine="0"/>
              <w:jc w:val="center"/>
              <w:rPr>
                <w:b/>
                <w:bCs/>
                <w:snapToGrid w:val="0"/>
                <w:sz w:val="18"/>
              </w:rPr>
            </w:pPr>
            <w:r w:rsidRPr="00EB2728">
              <w:rPr>
                <w:b/>
                <w:bCs/>
                <w:snapToGrid w:val="0"/>
                <w:sz w:val="18"/>
              </w:rPr>
              <w:t>2022</w:t>
            </w:r>
          </w:p>
        </w:tc>
      </w:tr>
      <w:tr w:rsidR="009607BB" w:rsidRPr="00855D3E" w14:paraId="027938E4" w14:textId="77777777" w:rsidTr="00193ACF">
        <w:trPr>
          <w:cantSplit/>
          <w:jc w:val="center"/>
        </w:trPr>
        <w:tc>
          <w:tcPr>
            <w:tcW w:w="2594" w:type="pct"/>
            <w:vMerge/>
            <w:shd w:val="clear" w:color="auto" w:fill="B8CCE4" w:themeFill="accent1" w:themeFillTint="66"/>
          </w:tcPr>
          <w:p w14:paraId="61620636" w14:textId="77777777" w:rsidR="009607BB" w:rsidRPr="00855D3E" w:rsidRDefault="009607BB" w:rsidP="00970743">
            <w:pPr>
              <w:keepNext/>
              <w:keepLines/>
              <w:spacing w:after="0"/>
              <w:ind w:firstLine="0"/>
              <w:jc w:val="center"/>
              <w:rPr>
                <w:b/>
                <w:snapToGrid w:val="0"/>
                <w:sz w:val="20"/>
              </w:rPr>
            </w:pPr>
          </w:p>
        </w:tc>
        <w:tc>
          <w:tcPr>
            <w:tcW w:w="1178" w:type="pct"/>
            <w:gridSpan w:val="2"/>
            <w:shd w:val="clear" w:color="auto" w:fill="B8CCE4" w:themeFill="accent1" w:themeFillTint="66"/>
          </w:tcPr>
          <w:p w14:paraId="08953FFB" w14:textId="77777777" w:rsidR="009607BB" w:rsidRPr="00855D3E" w:rsidRDefault="009607BB" w:rsidP="00970743">
            <w:pPr>
              <w:keepNext/>
              <w:keepLines/>
              <w:spacing w:after="0"/>
              <w:ind w:firstLine="0"/>
              <w:jc w:val="center"/>
              <w:rPr>
                <w:snapToGrid w:val="0"/>
                <w:sz w:val="18"/>
              </w:rPr>
            </w:pPr>
            <w:r w:rsidRPr="00855D3E">
              <w:rPr>
                <w:snapToGrid w:val="0"/>
                <w:sz w:val="18"/>
              </w:rPr>
              <w:t>fakts</w:t>
            </w:r>
          </w:p>
        </w:tc>
        <w:tc>
          <w:tcPr>
            <w:tcW w:w="572" w:type="pct"/>
            <w:shd w:val="clear" w:color="auto" w:fill="B8CCE4" w:themeFill="accent1" w:themeFillTint="66"/>
          </w:tcPr>
          <w:p w14:paraId="60C4250C" w14:textId="77777777" w:rsidR="009607BB" w:rsidRPr="00855D3E" w:rsidRDefault="009607BB" w:rsidP="00970743">
            <w:pPr>
              <w:keepNext/>
              <w:keepLines/>
              <w:spacing w:after="0"/>
              <w:ind w:firstLine="0"/>
              <w:jc w:val="center"/>
              <w:rPr>
                <w:snapToGrid w:val="0"/>
                <w:sz w:val="18"/>
              </w:rPr>
            </w:pPr>
            <w:r w:rsidRPr="00855D3E">
              <w:rPr>
                <w:snapToGrid w:val="0"/>
                <w:sz w:val="18"/>
              </w:rPr>
              <w:t>prognoze</w:t>
            </w:r>
          </w:p>
        </w:tc>
        <w:tc>
          <w:tcPr>
            <w:tcW w:w="656" w:type="pct"/>
            <w:shd w:val="clear" w:color="auto" w:fill="B8CCE4" w:themeFill="accent1" w:themeFillTint="66"/>
          </w:tcPr>
          <w:p w14:paraId="5FCE2549" w14:textId="77777777" w:rsidR="009607BB" w:rsidRPr="00855D3E" w:rsidRDefault="009607BB" w:rsidP="00970743">
            <w:pPr>
              <w:keepNext/>
              <w:keepLines/>
              <w:spacing w:after="0"/>
              <w:ind w:firstLine="0"/>
              <w:jc w:val="center"/>
              <w:rPr>
                <w:snapToGrid w:val="0"/>
                <w:sz w:val="18"/>
              </w:rPr>
            </w:pPr>
            <w:r w:rsidRPr="00855D3E">
              <w:rPr>
                <w:snapToGrid w:val="0"/>
                <w:sz w:val="18"/>
              </w:rPr>
              <w:t>plāns</w:t>
            </w:r>
            <w:r w:rsidRPr="00FE519F">
              <w:rPr>
                <w:snapToGrid w:val="0"/>
                <w:sz w:val="18"/>
                <w:szCs w:val="18"/>
                <w:vertAlign w:val="superscript"/>
              </w:rPr>
              <w:t>1</w:t>
            </w:r>
          </w:p>
        </w:tc>
      </w:tr>
      <w:tr w:rsidR="009607BB" w:rsidRPr="00855D3E" w14:paraId="2AD44D96" w14:textId="77777777" w:rsidTr="00970743">
        <w:trPr>
          <w:cantSplit/>
          <w:jc w:val="center"/>
        </w:trPr>
        <w:tc>
          <w:tcPr>
            <w:tcW w:w="2594" w:type="pct"/>
            <w:vAlign w:val="center"/>
          </w:tcPr>
          <w:p w14:paraId="7F882E5C" w14:textId="77777777" w:rsidR="009607BB" w:rsidRPr="00855D3E" w:rsidRDefault="009607BB" w:rsidP="00970743">
            <w:pPr>
              <w:keepNext/>
              <w:keepLines/>
              <w:spacing w:after="0"/>
              <w:ind w:firstLine="0"/>
              <w:jc w:val="left"/>
              <w:rPr>
                <w:snapToGrid w:val="0"/>
                <w:sz w:val="18"/>
              </w:rPr>
            </w:pPr>
            <w:r>
              <w:rPr>
                <w:snapToGrid w:val="0"/>
                <w:sz w:val="18"/>
              </w:rPr>
              <w:t>milj. </w:t>
            </w:r>
            <w:proofErr w:type="spellStart"/>
            <w:r w:rsidRPr="00D705E7">
              <w:rPr>
                <w:i/>
                <w:snapToGrid w:val="0"/>
                <w:sz w:val="18"/>
              </w:rPr>
              <w:t>euro</w:t>
            </w:r>
            <w:proofErr w:type="spellEnd"/>
          </w:p>
        </w:tc>
        <w:tc>
          <w:tcPr>
            <w:tcW w:w="589" w:type="pct"/>
          </w:tcPr>
          <w:p w14:paraId="26676DB8" w14:textId="77777777" w:rsidR="009607BB" w:rsidRPr="00E86687" w:rsidRDefault="009607BB" w:rsidP="00970743">
            <w:pPr>
              <w:keepNext/>
              <w:keepLines/>
              <w:spacing w:after="0"/>
              <w:ind w:firstLine="0"/>
              <w:jc w:val="right"/>
              <w:rPr>
                <w:sz w:val="18"/>
                <w:szCs w:val="18"/>
              </w:rPr>
            </w:pPr>
            <w:r w:rsidRPr="00E86687">
              <w:rPr>
                <w:sz w:val="18"/>
                <w:szCs w:val="18"/>
              </w:rPr>
              <w:t>44,8</w:t>
            </w:r>
          </w:p>
        </w:tc>
        <w:tc>
          <w:tcPr>
            <w:tcW w:w="589" w:type="pct"/>
          </w:tcPr>
          <w:p w14:paraId="68E904C8" w14:textId="77777777" w:rsidR="009607BB" w:rsidRPr="00E86687" w:rsidRDefault="009607BB" w:rsidP="00970743">
            <w:pPr>
              <w:keepNext/>
              <w:keepLines/>
              <w:spacing w:after="0"/>
              <w:ind w:firstLine="0"/>
              <w:jc w:val="right"/>
              <w:rPr>
                <w:sz w:val="18"/>
                <w:szCs w:val="18"/>
              </w:rPr>
            </w:pPr>
            <w:r w:rsidRPr="00E86687">
              <w:rPr>
                <w:sz w:val="18"/>
                <w:szCs w:val="18"/>
              </w:rPr>
              <w:t>207,5</w:t>
            </w:r>
          </w:p>
        </w:tc>
        <w:tc>
          <w:tcPr>
            <w:tcW w:w="572" w:type="pct"/>
          </w:tcPr>
          <w:p w14:paraId="4E695DCC" w14:textId="77777777" w:rsidR="009607BB" w:rsidRPr="00E86687" w:rsidRDefault="009607BB" w:rsidP="00970743">
            <w:pPr>
              <w:keepNext/>
              <w:keepLines/>
              <w:spacing w:after="0"/>
              <w:ind w:firstLine="0"/>
              <w:jc w:val="right"/>
              <w:rPr>
                <w:sz w:val="18"/>
                <w:szCs w:val="18"/>
              </w:rPr>
            </w:pPr>
            <w:r w:rsidRPr="00E86687">
              <w:rPr>
                <w:sz w:val="18"/>
                <w:szCs w:val="18"/>
              </w:rPr>
              <w:t>275,0</w:t>
            </w:r>
          </w:p>
        </w:tc>
        <w:tc>
          <w:tcPr>
            <w:tcW w:w="656" w:type="pct"/>
          </w:tcPr>
          <w:p w14:paraId="3B403F97" w14:textId="77777777" w:rsidR="009607BB" w:rsidRPr="00E86687" w:rsidRDefault="009607BB" w:rsidP="00970743">
            <w:pPr>
              <w:keepNext/>
              <w:keepLines/>
              <w:spacing w:after="0"/>
              <w:ind w:firstLine="0"/>
              <w:jc w:val="right"/>
              <w:rPr>
                <w:sz w:val="18"/>
                <w:szCs w:val="18"/>
              </w:rPr>
            </w:pPr>
            <w:r w:rsidRPr="00E86687">
              <w:rPr>
                <w:sz w:val="18"/>
                <w:szCs w:val="18"/>
              </w:rPr>
              <w:t>316,4</w:t>
            </w:r>
          </w:p>
        </w:tc>
      </w:tr>
      <w:tr w:rsidR="009607BB" w:rsidRPr="00855D3E" w14:paraId="0DBD6D6C" w14:textId="77777777" w:rsidTr="00970743">
        <w:trPr>
          <w:cantSplit/>
          <w:jc w:val="center"/>
        </w:trPr>
        <w:tc>
          <w:tcPr>
            <w:tcW w:w="2594" w:type="pct"/>
            <w:vAlign w:val="center"/>
          </w:tcPr>
          <w:p w14:paraId="2DB14324" w14:textId="77777777" w:rsidR="009607BB" w:rsidRPr="00855D3E" w:rsidRDefault="009607BB" w:rsidP="00970743">
            <w:pPr>
              <w:keepNext/>
              <w:keepLines/>
              <w:spacing w:after="0"/>
              <w:ind w:firstLine="0"/>
              <w:jc w:val="left"/>
              <w:rPr>
                <w:i/>
                <w:snapToGrid w:val="0"/>
                <w:sz w:val="18"/>
              </w:rPr>
            </w:pPr>
            <w:r w:rsidRPr="00855D3E">
              <w:rPr>
                <w:i/>
                <w:snapToGrid w:val="0"/>
                <w:sz w:val="18"/>
              </w:rPr>
              <w:t>pieauguma tempi faktiskās cenās, %</w:t>
            </w:r>
          </w:p>
        </w:tc>
        <w:tc>
          <w:tcPr>
            <w:tcW w:w="589" w:type="pct"/>
          </w:tcPr>
          <w:p w14:paraId="04699925" w14:textId="77777777" w:rsidR="009607BB" w:rsidRPr="00332582" w:rsidRDefault="009607BB" w:rsidP="00970743">
            <w:pPr>
              <w:keepNext/>
              <w:keepLines/>
              <w:spacing w:after="0"/>
              <w:ind w:firstLine="0"/>
              <w:jc w:val="right"/>
              <w:rPr>
                <w:i/>
                <w:sz w:val="18"/>
                <w:szCs w:val="18"/>
              </w:rPr>
            </w:pPr>
            <w:r w:rsidRPr="00332582">
              <w:rPr>
                <w:i/>
                <w:sz w:val="18"/>
                <w:szCs w:val="18"/>
              </w:rPr>
              <w:t>-85,3</w:t>
            </w:r>
          </w:p>
        </w:tc>
        <w:tc>
          <w:tcPr>
            <w:tcW w:w="589" w:type="pct"/>
          </w:tcPr>
          <w:p w14:paraId="6224C47B" w14:textId="77777777" w:rsidR="009607BB" w:rsidRPr="00332582" w:rsidRDefault="009607BB" w:rsidP="00970743">
            <w:pPr>
              <w:keepNext/>
              <w:keepLines/>
              <w:spacing w:after="0"/>
              <w:ind w:firstLine="0"/>
              <w:jc w:val="right"/>
              <w:rPr>
                <w:i/>
                <w:sz w:val="18"/>
                <w:szCs w:val="18"/>
              </w:rPr>
            </w:pPr>
            <w:r w:rsidRPr="00332582">
              <w:rPr>
                <w:i/>
                <w:sz w:val="18"/>
                <w:szCs w:val="18"/>
              </w:rPr>
              <w:t>363,3</w:t>
            </w:r>
          </w:p>
        </w:tc>
        <w:tc>
          <w:tcPr>
            <w:tcW w:w="572" w:type="pct"/>
          </w:tcPr>
          <w:p w14:paraId="37928AAF" w14:textId="77777777" w:rsidR="009607BB" w:rsidRPr="00332582" w:rsidRDefault="009607BB" w:rsidP="00970743">
            <w:pPr>
              <w:keepNext/>
              <w:keepLines/>
              <w:spacing w:after="0"/>
              <w:ind w:firstLine="0"/>
              <w:jc w:val="right"/>
              <w:rPr>
                <w:i/>
                <w:sz w:val="18"/>
                <w:szCs w:val="18"/>
              </w:rPr>
            </w:pPr>
            <w:r w:rsidRPr="00332582">
              <w:rPr>
                <w:i/>
                <w:sz w:val="18"/>
                <w:szCs w:val="18"/>
              </w:rPr>
              <w:t>32,6</w:t>
            </w:r>
          </w:p>
        </w:tc>
        <w:tc>
          <w:tcPr>
            <w:tcW w:w="656" w:type="pct"/>
          </w:tcPr>
          <w:p w14:paraId="0BDF39EA" w14:textId="77777777" w:rsidR="009607BB" w:rsidRPr="00332582" w:rsidRDefault="009607BB" w:rsidP="00970743">
            <w:pPr>
              <w:keepNext/>
              <w:keepLines/>
              <w:spacing w:after="0"/>
              <w:ind w:firstLine="0"/>
              <w:jc w:val="right"/>
              <w:rPr>
                <w:i/>
                <w:sz w:val="18"/>
                <w:szCs w:val="18"/>
              </w:rPr>
            </w:pPr>
            <w:r w:rsidRPr="00332582">
              <w:rPr>
                <w:i/>
                <w:sz w:val="18"/>
                <w:szCs w:val="18"/>
              </w:rPr>
              <w:t>15,1</w:t>
            </w:r>
          </w:p>
        </w:tc>
      </w:tr>
      <w:tr w:rsidR="009607BB" w:rsidRPr="00855D3E" w14:paraId="7B6D8C4D" w14:textId="77777777" w:rsidTr="00970743">
        <w:trPr>
          <w:cantSplit/>
          <w:jc w:val="center"/>
        </w:trPr>
        <w:tc>
          <w:tcPr>
            <w:tcW w:w="2594" w:type="pct"/>
            <w:vAlign w:val="center"/>
          </w:tcPr>
          <w:p w14:paraId="371B908B" w14:textId="77777777" w:rsidR="009607BB" w:rsidRPr="00855D3E" w:rsidRDefault="009607BB" w:rsidP="00970743">
            <w:pPr>
              <w:keepNext/>
              <w:keepLines/>
              <w:spacing w:after="0"/>
              <w:ind w:firstLine="0"/>
              <w:jc w:val="left"/>
              <w:rPr>
                <w:i/>
                <w:snapToGrid w:val="0"/>
                <w:sz w:val="18"/>
              </w:rPr>
            </w:pPr>
            <w:r w:rsidRPr="00855D3E">
              <w:rPr>
                <w:i/>
                <w:sz w:val="18"/>
              </w:rPr>
              <w:t>% no IKP</w:t>
            </w:r>
          </w:p>
        </w:tc>
        <w:tc>
          <w:tcPr>
            <w:tcW w:w="589" w:type="pct"/>
          </w:tcPr>
          <w:p w14:paraId="3784E2D6" w14:textId="77777777" w:rsidR="009607BB" w:rsidRPr="00332582" w:rsidRDefault="009607BB" w:rsidP="00970743">
            <w:pPr>
              <w:keepNext/>
              <w:keepLines/>
              <w:spacing w:after="0"/>
              <w:ind w:firstLine="0"/>
              <w:jc w:val="right"/>
              <w:rPr>
                <w:i/>
                <w:sz w:val="18"/>
                <w:szCs w:val="18"/>
              </w:rPr>
            </w:pPr>
            <w:r w:rsidRPr="00332582">
              <w:rPr>
                <w:i/>
                <w:sz w:val="18"/>
                <w:szCs w:val="18"/>
              </w:rPr>
              <w:t>0,1</w:t>
            </w:r>
          </w:p>
        </w:tc>
        <w:tc>
          <w:tcPr>
            <w:tcW w:w="589" w:type="pct"/>
          </w:tcPr>
          <w:p w14:paraId="7FFF0A5F" w14:textId="77777777" w:rsidR="009607BB" w:rsidRPr="00332582" w:rsidRDefault="009607BB" w:rsidP="00970743">
            <w:pPr>
              <w:keepNext/>
              <w:keepLines/>
              <w:spacing w:after="0"/>
              <w:ind w:firstLine="0"/>
              <w:jc w:val="right"/>
              <w:rPr>
                <w:i/>
                <w:sz w:val="18"/>
                <w:szCs w:val="18"/>
              </w:rPr>
            </w:pPr>
            <w:r w:rsidRPr="00332582">
              <w:rPr>
                <w:i/>
                <w:sz w:val="18"/>
                <w:szCs w:val="18"/>
              </w:rPr>
              <w:t>0,7</w:t>
            </w:r>
          </w:p>
        </w:tc>
        <w:tc>
          <w:tcPr>
            <w:tcW w:w="572" w:type="pct"/>
          </w:tcPr>
          <w:p w14:paraId="763DEE85" w14:textId="77777777" w:rsidR="009607BB" w:rsidRPr="00332582" w:rsidRDefault="009607BB" w:rsidP="00970743">
            <w:pPr>
              <w:keepNext/>
              <w:keepLines/>
              <w:spacing w:after="0"/>
              <w:ind w:firstLine="0"/>
              <w:jc w:val="right"/>
              <w:rPr>
                <w:i/>
                <w:sz w:val="18"/>
                <w:szCs w:val="18"/>
              </w:rPr>
            </w:pPr>
            <w:r w:rsidRPr="00332582">
              <w:rPr>
                <w:i/>
                <w:sz w:val="18"/>
                <w:szCs w:val="18"/>
              </w:rPr>
              <w:t>0,9</w:t>
            </w:r>
          </w:p>
        </w:tc>
        <w:tc>
          <w:tcPr>
            <w:tcW w:w="656" w:type="pct"/>
          </w:tcPr>
          <w:p w14:paraId="40F46904" w14:textId="77777777" w:rsidR="009607BB" w:rsidRPr="00332582" w:rsidRDefault="009607BB" w:rsidP="00970743">
            <w:pPr>
              <w:keepNext/>
              <w:keepLines/>
              <w:spacing w:after="0"/>
              <w:ind w:firstLine="0"/>
              <w:jc w:val="right"/>
              <w:rPr>
                <w:i/>
                <w:sz w:val="18"/>
                <w:szCs w:val="18"/>
              </w:rPr>
            </w:pPr>
            <w:r w:rsidRPr="00332582">
              <w:rPr>
                <w:i/>
                <w:sz w:val="18"/>
                <w:szCs w:val="18"/>
              </w:rPr>
              <w:t>0,9</w:t>
            </w:r>
          </w:p>
        </w:tc>
      </w:tr>
    </w:tbl>
    <w:p w14:paraId="25491186" w14:textId="2FBA12CE" w:rsidR="009607BB" w:rsidRPr="002309D6" w:rsidRDefault="009607BB" w:rsidP="002309D6">
      <w:pPr>
        <w:spacing w:before="120" w:after="240"/>
        <w:ind w:left="425" w:firstLine="0"/>
        <w:jc w:val="left"/>
        <w:rPr>
          <w:sz w:val="18"/>
          <w:szCs w:val="18"/>
        </w:rPr>
      </w:pPr>
      <w:r w:rsidRPr="00FE519F">
        <w:rPr>
          <w:sz w:val="18"/>
          <w:szCs w:val="18"/>
          <w:vertAlign w:val="superscript"/>
        </w:rPr>
        <w:t>1</w:t>
      </w:r>
      <w:r>
        <w:rPr>
          <w:sz w:val="18"/>
          <w:szCs w:val="18"/>
        </w:rPr>
        <w:t xml:space="preserve"> S</w:t>
      </w:r>
      <w:r w:rsidRPr="00120F96">
        <w:rPr>
          <w:sz w:val="18"/>
          <w:szCs w:val="18"/>
        </w:rPr>
        <w:t xml:space="preserve">askaņā ar likumprojektu </w:t>
      </w:r>
      <w:r w:rsidRPr="00FE519F">
        <w:rPr>
          <w:sz w:val="18"/>
          <w:szCs w:val="18"/>
        </w:rPr>
        <w:t>„Par valsts budžetu 2022. gadam”.</w:t>
      </w:r>
    </w:p>
    <w:bookmarkEnd w:id="8"/>
    <w:bookmarkEnd w:id="9"/>
    <w:bookmarkEnd w:id="10"/>
    <w:p w14:paraId="72011B07" w14:textId="6D08B7CA" w:rsidR="003613E3" w:rsidRDefault="008B3FE2" w:rsidP="002309D6">
      <w:pPr>
        <w:pStyle w:val="H3"/>
        <w:spacing w:before="360" w:after="240"/>
      </w:pPr>
      <w:r>
        <w:t>3</w:t>
      </w:r>
      <w:r w:rsidR="003613E3" w:rsidRPr="00221972">
        <w:t>.</w:t>
      </w:r>
      <w:r w:rsidR="00BE4104">
        <w:t>2</w:t>
      </w:r>
      <w:r w:rsidR="003613E3" w:rsidRPr="00221972">
        <w:t>.2. Netiešie nodokļi</w:t>
      </w:r>
    </w:p>
    <w:p w14:paraId="6738EDC4" w14:textId="77777777" w:rsidR="002A5E08" w:rsidRPr="00855D3E" w:rsidRDefault="002A5E08" w:rsidP="002A5E08">
      <w:pPr>
        <w:spacing w:after="0"/>
        <w:ind w:firstLine="720"/>
      </w:pPr>
      <w:r w:rsidRPr="00855D3E">
        <w:t>Lielāko daļu no netiešo nodokļu ieņēmumiem veido pievienotās vērtības nodokļa un akcīzes nodokļa ieņēmumi.</w:t>
      </w:r>
    </w:p>
    <w:p w14:paraId="0E066A3F" w14:textId="77777777" w:rsidR="002A5E08" w:rsidRPr="00E86687" w:rsidRDefault="002A5E08" w:rsidP="002A5E08">
      <w:pPr>
        <w:keepNext/>
        <w:spacing w:before="240" w:after="240"/>
        <w:ind w:firstLine="0"/>
        <w:jc w:val="center"/>
        <w:rPr>
          <w:b/>
          <w:i/>
          <w:szCs w:val="24"/>
        </w:rPr>
      </w:pPr>
      <w:r w:rsidRPr="00E86687">
        <w:rPr>
          <w:b/>
          <w:i/>
          <w:szCs w:val="24"/>
        </w:rPr>
        <w:t>3.7. tabula. Netiešo nodokļu ieņēmumi</w:t>
      </w:r>
    </w:p>
    <w:tbl>
      <w:tblPr>
        <w:tblW w:w="5000" w:type="pct"/>
        <w:tblLayout w:type="fixed"/>
        <w:tblLook w:val="04A0" w:firstRow="1" w:lastRow="0" w:firstColumn="1" w:lastColumn="0" w:noHBand="0" w:noVBand="1"/>
      </w:tblPr>
      <w:tblGrid>
        <w:gridCol w:w="2404"/>
        <w:gridCol w:w="831"/>
        <w:gridCol w:w="832"/>
        <w:gridCol w:w="832"/>
        <w:gridCol w:w="832"/>
        <w:gridCol w:w="832"/>
        <w:gridCol w:w="832"/>
        <w:gridCol w:w="832"/>
        <w:gridCol w:w="834"/>
      </w:tblGrid>
      <w:tr w:rsidR="002A5E08" w:rsidRPr="00E86687" w14:paraId="5BFF6D35" w14:textId="77777777" w:rsidTr="00193ACF">
        <w:trPr>
          <w:cantSplit/>
          <w:trHeight w:val="20"/>
        </w:trPr>
        <w:tc>
          <w:tcPr>
            <w:tcW w:w="1327" w:type="pct"/>
            <w:vMerge w:val="restart"/>
            <w:tcBorders>
              <w:top w:val="single" w:sz="4" w:space="0" w:color="auto"/>
              <w:left w:val="single" w:sz="4" w:space="0" w:color="auto"/>
              <w:right w:val="single" w:sz="4" w:space="0" w:color="auto"/>
            </w:tcBorders>
            <w:shd w:val="clear" w:color="auto" w:fill="B8CCE4" w:themeFill="accent1" w:themeFillTint="66"/>
            <w:vAlign w:val="center"/>
            <w:hideMark/>
          </w:tcPr>
          <w:p w14:paraId="2726B7E6" w14:textId="77777777" w:rsidR="002A5E08" w:rsidRPr="00E86687" w:rsidRDefault="002A5E08" w:rsidP="00970743">
            <w:pPr>
              <w:keepNext/>
              <w:keepLines/>
              <w:spacing w:after="0"/>
              <w:ind w:firstLine="0"/>
              <w:jc w:val="center"/>
              <w:rPr>
                <w:b/>
                <w:bCs/>
                <w:sz w:val="18"/>
                <w:szCs w:val="18"/>
                <w:lang w:eastAsia="lv-LV"/>
              </w:rPr>
            </w:pPr>
          </w:p>
        </w:tc>
        <w:tc>
          <w:tcPr>
            <w:tcW w:w="918" w:type="pct"/>
            <w:gridSpan w:val="2"/>
            <w:tcBorders>
              <w:top w:val="single" w:sz="4" w:space="0" w:color="auto"/>
              <w:left w:val="nil"/>
              <w:bottom w:val="single" w:sz="4" w:space="0" w:color="auto"/>
              <w:right w:val="single" w:sz="4" w:space="0" w:color="000000"/>
            </w:tcBorders>
            <w:shd w:val="clear" w:color="auto" w:fill="B8CCE4" w:themeFill="accent1" w:themeFillTint="66"/>
            <w:vAlign w:val="center"/>
            <w:hideMark/>
          </w:tcPr>
          <w:p w14:paraId="1369B133" w14:textId="77777777" w:rsidR="002A5E08" w:rsidRPr="00E86687" w:rsidRDefault="002A5E08" w:rsidP="00970743">
            <w:pPr>
              <w:keepNext/>
              <w:keepLines/>
              <w:spacing w:after="0"/>
              <w:ind w:firstLine="0"/>
              <w:jc w:val="center"/>
              <w:rPr>
                <w:b/>
                <w:bCs/>
                <w:sz w:val="18"/>
                <w:szCs w:val="18"/>
                <w:lang w:eastAsia="lv-LV"/>
              </w:rPr>
            </w:pPr>
            <w:r w:rsidRPr="00E86687">
              <w:rPr>
                <w:b/>
                <w:bCs/>
                <w:sz w:val="18"/>
                <w:szCs w:val="18"/>
                <w:lang w:eastAsia="lv-LV"/>
              </w:rPr>
              <w:t>2019</w:t>
            </w:r>
          </w:p>
        </w:tc>
        <w:tc>
          <w:tcPr>
            <w:tcW w:w="918" w:type="pct"/>
            <w:gridSpan w:val="2"/>
            <w:tcBorders>
              <w:top w:val="single" w:sz="4" w:space="0" w:color="auto"/>
              <w:left w:val="nil"/>
              <w:bottom w:val="single" w:sz="4" w:space="0" w:color="auto"/>
              <w:right w:val="single" w:sz="4" w:space="0" w:color="000000"/>
            </w:tcBorders>
            <w:shd w:val="clear" w:color="auto" w:fill="B8CCE4" w:themeFill="accent1" w:themeFillTint="66"/>
            <w:vAlign w:val="center"/>
            <w:hideMark/>
          </w:tcPr>
          <w:p w14:paraId="58BF9F4F" w14:textId="77777777" w:rsidR="002A5E08" w:rsidRPr="00E86687" w:rsidRDefault="002A5E08" w:rsidP="00970743">
            <w:pPr>
              <w:keepNext/>
              <w:keepLines/>
              <w:spacing w:after="0"/>
              <w:ind w:firstLine="0"/>
              <w:jc w:val="center"/>
              <w:rPr>
                <w:b/>
                <w:bCs/>
                <w:sz w:val="18"/>
                <w:szCs w:val="18"/>
                <w:lang w:eastAsia="lv-LV"/>
              </w:rPr>
            </w:pPr>
            <w:r w:rsidRPr="00E86687">
              <w:rPr>
                <w:b/>
                <w:bCs/>
                <w:sz w:val="18"/>
                <w:szCs w:val="18"/>
                <w:lang w:eastAsia="lv-LV"/>
              </w:rPr>
              <w:t>2020</w:t>
            </w:r>
          </w:p>
        </w:tc>
        <w:tc>
          <w:tcPr>
            <w:tcW w:w="918" w:type="pct"/>
            <w:gridSpan w:val="2"/>
            <w:tcBorders>
              <w:top w:val="single" w:sz="4" w:space="0" w:color="auto"/>
              <w:left w:val="nil"/>
              <w:bottom w:val="single" w:sz="4" w:space="0" w:color="auto"/>
              <w:right w:val="single" w:sz="4" w:space="0" w:color="000000"/>
            </w:tcBorders>
            <w:shd w:val="clear" w:color="auto" w:fill="B8CCE4" w:themeFill="accent1" w:themeFillTint="66"/>
            <w:vAlign w:val="center"/>
            <w:hideMark/>
          </w:tcPr>
          <w:p w14:paraId="4A4F72DD" w14:textId="77777777" w:rsidR="002A5E08" w:rsidRPr="00E86687" w:rsidRDefault="002A5E08" w:rsidP="00970743">
            <w:pPr>
              <w:keepNext/>
              <w:keepLines/>
              <w:spacing w:after="0"/>
              <w:ind w:firstLine="0"/>
              <w:jc w:val="center"/>
              <w:rPr>
                <w:b/>
                <w:bCs/>
                <w:sz w:val="18"/>
                <w:szCs w:val="18"/>
                <w:lang w:eastAsia="lv-LV"/>
              </w:rPr>
            </w:pPr>
            <w:r w:rsidRPr="00E86687">
              <w:rPr>
                <w:b/>
                <w:bCs/>
                <w:sz w:val="18"/>
                <w:szCs w:val="18"/>
                <w:lang w:eastAsia="lv-LV"/>
              </w:rPr>
              <w:t>2021</w:t>
            </w:r>
          </w:p>
        </w:tc>
        <w:tc>
          <w:tcPr>
            <w:tcW w:w="919" w:type="pct"/>
            <w:gridSpan w:val="2"/>
            <w:tcBorders>
              <w:top w:val="single" w:sz="4" w:space="0" w:color="auto"/>
              <w:left w:val="nil"/>
              <w:bottom w:val="single" w:sz="4" w:space="0" w:color="auto"/>
              <w:right w:val="single" w:sz="4" w:space="0" w:color="000000"/>
            </w:tcBorders>
            <w:shd w:val="clear" w:color="auto" w:fill="B8CCE4" w:themeFill="accent1" w:themeFillTint="66"/>
            <w:vAlign w:val="center"/>
            <w:hideMark/>
          </w:tcPr>
          <w:p w14:paraId="64F667F7" w14:textId="77777777" w:rsidR="002A5E08" w:rsidRPr="00E86687" w:rsidRDefault="002A5E08" w:rsidP="00970743">
            <w:pPr>
              <w:keepNext/>
              <w:keepLines/>
              <w:spacing w:after="0"/>
              <w:ind w:firstLine="0"/>
              <w:jc w:val="center"/>
              <w:rPr>
                <w:b/>
                <w:bCs/>
                <w:sz w:val="18"/>
                <w:szCs w:val="18"/>
                <w:lang w:eastAsia="lv-LV"/>
              </w:rPr>
            </w:pPr>
            <w:r w:rsidRPr="00E86687">
              <w:rPr>
                <w:b/>
                <w:bCs/>
                <w:sz w:val="18"/>
                <w:szCs w:val="18"/>
                <w:lang w:eastAsia="lv-LV"/>
              </w:rPr>
              <w:t>2022</w:t>
            </w:r>
          </w:p>
        </w:tc>
      </w:tr>
      <w:tr w:rsidR="002A5E08" w:rsidRPr="00E86687" w14:paraId="561F0291" w14:textId="77777777" w:rsidTr="00193ACF">
        <w:trPr>
          <w:cantSplit/>
          <w:trHeight w:val="20"/>
        </w:trPr>
        <w:tc>
          <w:tcPr>
            <w:tcW w:w="1327" w:type="pct"/>
            <w:vMerge/>
            <w:tcBorders>
              <w:left w:val="single" w:sz="4" w:space="0" w:color="auto"/>
              <w:right w:val="single" w:sz="4" w:space="0" w:color="auto"/>
            </w:tcBorders>
            <w:shd w:val="clear" w:color="auto" w:fill="B8CCE4" w:themeFill="accent1" w:themeFillTint="66"/>
            <w:vAlign w:val="center"/>
            <w:hideMark/>
          </w:tcPr>
          <w:p w14:paraId="710D7B78" w14:textId="77777777" w:rsidR="002A5E08" w:rsidRPr="00E86687" w:rsidRDefault="002A5E08" w:rsidP="00970743">
            <w:pPr>
              <w:keepNext/>
              <w:keepLines/>
              <w:spacing w:after="0"/>
              <w:ind w:firstLine="0"/>
              <w:jc w:val="left"/>
              <w:rPr>
                <w:b/>
                <w:bCs/>
                <w:sz w:val="18"/>
                <w:szCs w:val="18"/>
                <w:lang w:eastAsia="lv-LV"/>
              </w:rPr>
            </w:pPr>
          </w:p>
        </w:tc>
        <w:tc>
          <w:tcPr>
            <w:tcW w:w="459" w:type="pct"/>
            <w:tcBorders>
              <w:top w:val="nil"/>
              <w:left w:val="nil"/>
              <w:bottom w:val="single" w:sz="4" w:space="0" w:color="auto"/>
              <w:right w:val="single" w:sz="4" w:space="0" w:color="auto"/>
            </w:tcBorders>
            <w:shd w:val="clear" w:color="auto" w:fill="B8CCE4" w:themeFill="accent1" w:themeFillTint="66"/>
            <w:vAlign w:val="center"/>
            <w:hideMark/>
          </w:tcPr>
          <w:p w14:paraId="2D46960B" w14:textId="77777777" w:rsidR="002A5E08" w:rsidRPr="005D0F9F" w:rsidRDefault="002A5E08" w:rsidP="00970743">
            <w:pPr>
              <w:keepNext/>
              <w:keepLines/>
              <w:spacing w:after="0"/>
              <w:ind w:firstLine="0"/>
              <w:jc w:val="center"/>
              <w:rPr>
                <w:bCs/>
                <w:sz w:val="18"/>
                <w:szCs w:val="18"/>
                <w:lang w:eastAsia="lv-LV"/>
              </w:rPr>
            </w:pPr>
            <w:r w:rsidRPr="005D0F9F">
              <w:rPr>
                <w:bCs/>
                <w:sz w:val="18"/>
                <w:szCs w:val="18"/>
                <w:lang w:eastAsia="lv-LV"/>
              </w:rPr>
              <w:t>milj.</w:t>
            </w:r>
            <w:r w:rsidRPr="005D0F9F">
              <w:rPr>
                <w:bCs/>
                <w:i/>
                <w:sz w:val="18"/>
                <w:szCs w:val="18"/>
                <w:lang w:eastAsia="lv-LV"/>
              </w:rPr>
              <w:br/>
            </w:r>
            <w:proofErr w:type="spellStart"/>
            <w:r w:rsidRPr="005D0F9F">
              <w:rPr>
                <w:bCs/>
                <w:i/>
                <w:sz w:val="18"/>
                <w:szCs w:val="18"/>
                <w:lang w:eastAsia="lv-LV"/>
              </w:rPr>
              <w:t>euro</w:t>
            </w:r>
            <w:proofErr w:type="spellEnd"/>
          </w:p>
        </w:tc>
        <w:tc>
          <w:tcPr>
            <w:tcW w:w="459" w:type="pct"/>
            <w:tcBorders>
              <w:top w:val="nil"/>
              <w:left w:val="nil"/>
              <w:bottom w:val="single" w:sz="4" w:space="0" w:color="auto"/>
              <w:right w:val="single" w:sz="4" w:space="0" w:color="auto"/>
            </w:tcBorders>
            <w:shd w:val="clear" w:color="auto" w:fill="B8CCE4" w:themeFill="accent1" w:themeFillTint="66"/>
            <w:vAlign w:val="center"/>
            <w:hideMark/>
          </w:tcPr>
          <w:p w14:paraId="07F6E9C2" w14:textId="77777777" w:rsidR="002A5E08" w:rsidRPr="005D0F9F" w:rsidRDefault="002A5E08" w:rsidP="00970743">
            <w:pPr>
              <w:keepNext/>
              <w:keepLines/>
              <w:spacing w:after="0"/>
              <w:ind w:firstLine="0"/>
              <w:jc w:val="center"/>
              <w:rPr>
                <w:bCs/>
                <w:sz w:val="18"/>
                <w:szCs w:val="18"/>
                <w:lang w:eastAsia="lv-LV"/>
              </w:rPr>
            </w:pPr>
            <w:r w:rsidRPr="005D0F9F">
              <w:rPr>
                <w:bCs/>
                <w:sz w:val="18"/>
                <w:szCs w:val="18"/>
                <w:lang w:eastAsia="lv-LV"/>
              </w:rPr>
              <w:t>% no IKP</w:t>
            </w:r>
          </w:p>
        </w:tc>
        <w:tc>
          <w:tcPr>
            <w:tcW w:w="459" w:type="pct"/>
            <w:tcBorders>
              <w:top w:val="nil"/>
              <w:left w:val="nil"/>
              <w:bottom w:val="single" w:sz="4" w:space="0" w:color="auto"/>
              <w:right w:val="single" w:sz="4" w:space="0" w:color="auto"/>
            </w:tcBorders>
            <w:shd w:val="clear" w:color="auto" w:fill="B8CCE4" w:themeFill="accent1" w:themeFillTint="66"/>
            <w:vAlign w:val="center"/>
            <w:hideMark/>
          </w:tcPr>
          <w:p w14:paraId="26726F13" w14:textId="77777777" w:rsidR="002A5E08" w:rsidRPr="005D0F9F" w:rsidRDefault="002A5E08" w:rsidP="00970743">
            <w:pPr>
              <w:keepNext/>
              <w:keepLines/>
              <w:spacing w:after="0"/>
              <w:ind w:firstLine="0"/>
              <w:jc w:val="center"/>
              <w:rPr>
                <w:bCs/>
                <w:sz w:val="18"/>
                <w:szCs w:val="18"/>
                <w:lang w:eastAsia="lv-LV"/>
              </w:rPr>
            </w:pPr>
            <w:r w:rsidRPr="005D0F9F">
              <w:rPr>
                <w:bCs/>
                <w:sz w:val="18"/>
                <w:szCs w:val="18"/>
                <w:lang w:eastAsia="lv-LV"/>
              </w:rPr>
              <w:t>milj.</w:t>
            </w:r>
            <w:r w:rsidRPr="005D0F9F">
              <w:rPr>
                <w:bCs/>
                <w:i/>
                <w:sz w:val="18"/>
                <w:szCs w:val="18"/>
                <w:lang w:eastAsia="lv-LV"/>
              </w:rPr>
              <w:br/>
            </w:r>
            <w:proofErr w:type="spellStart"/>
            <w:r w:rsidRPr="005D0F9F">
              <w:rPr>
                <w:bCs/>
                <w:i/>
                <w:sz w:val="18"/>
                <w:szCs w:val="18"/>
                <w:lang w:eastAsia="lv-LV"/>
              </w:rPr>
              <w:t>euro</w:t>
            </w:r>
            <w:proofErr w:type="spellEnd"/>
          </w:p>
        </w:tc>
        <w:tc>
          <w:tcPr>
            <w:tcW w:w="459" w:type="pct"/>
            <w:tcBorders>
              <w:top w:val="nil"/>
              <w:left w:val="nil"/>
              <w:bottom w:val="single" w:sz="4" w:space="0" w:color="auto"/>
              <w:right w:val="single" w:sz="4" w:space="0" w:color="auto"/>
            </w:tcBorders>
            <w:shd w:val="clear" w:color="auto" w:fill="B8CCE4" w:themeFill="accent1" w:themeFillTint="66"/>
            <w:vAlign w:val="center"/>
            <w:hideMark/>
          </w:tcPr>
          <w:p w14:paraId="0F1BFD34" w14:textId="77777777" w:rsidR="002A5E08" w:rsidRPr="005D0F9F" w:rsidRDefault="002A5E08" w:rsidP="00970743">
            <w:pPr>
              <w:keepNext/>
              <w:keepLines/>
              <w:spacing w:after="0"/>
              <w:ind w:firstLine="0"/>
              <w:jc w:val="center"/>
              <w:rPr>
                <w:bCs/>
                <w:sz w:val="18"/>
                <w:szCs w:val="18"/>
                <w:lang w:eastAsia="lv-LV"/>
              </w:rPr>
            </w:pPr>
            <w:r w:rsidRPr="005D0F9F">
              <w:rPr>
                <w:bCs/>
                <w:sz w:val="18"/>
                <w:szCs w:val="18"/>
                <w:lang w:eastAsia="lv-LV"/>
              </w:rPr>
              <w:t>% no IKP</w:t>
            </w:r>
          </w:p>
        </w:tc>
        <w:tc>
          <w:tcPr>
            <w:tcW w:w="459" w:type="pct"/>
            <w:tcBorders>
              <w:top w:val="nil"/>
              <w:left w:val="nil"/>
              <w:bottom w:val="single" w:sz="4" w:space="0" w:color="auto"/>
              <w:right w:val="single" w:sz="4" w:space="0" w:color="auto"/>
            </w:tcBorders>
            <w:shd w:val="clear" w:color="auto" w:fill="B8CCE4" w:themeFill="accent1" w:themeFillTint="66"/>
            <w:vAlign w:val="center"/>
            <w:hideMark/>
          </w:tcPr>
          <w:p w14:paraId="3FCD6A70" w14:textId="77777777" w:rsidR="002A5E08" w:rsidRPr="005D0F9F" w:rsidRDefault="002A5E08" w:rsidP="00970743">
            <w:pPr>
              <w:keepNext/>
              <w:keepLines/>
              <w:spacing w:after="0"/>
              <w:ind w:firstLine="0"/>
              <w:jc w:val="center"/>
              <w:rPr>
                <w:bCs/>
                <w:sz w:val="18"/>
                <w:szCs w:val="18"/>
                <w:lang w:eastAsia="lv-LV"/>
              </w:rPr>
            </w:pPr>
            <w:r w:rsidRPr="005D0F9F">
              <w:rPr>
                <w:bCs/>
                <w:sz w:val="18"/>
                <w:szCs w:val="18"/>
                <w:lang w:eastAsia="lv-LV"/>
              </w:rPr>
              <w:t>milj.</w:t>
            </w:r>
            <w:r w:rsidRPr="005D0F9F">
              <w:rPr>
                <w:bCs/>
                <w:i/>
                <w:sz w:val="18"/>
                <w:szCs w:val="18"/>
                <w:lang w:eastAsia="lv-LV"/>
              </w:rPr>
              <w:br/>
            </w:r>
            <w:proofErr w:type="spellStart"/>
            <w:r w:rsidRPr="005D0F9F">
              <w:rPr>
                <w:bCs/>
                <w:i/>
                <w:sz w:val="18"/>
                <w:szCs w:val="18"/>
                <w:lang w:eastAsia="lv-LV"/>
              </w:rPr>
              <w:t>euro</w:t>
            </w:r>
            <w:proofErr w:type="spellEnd"/>
          </w:p>
        </w:tc>
        <w:tc>
          <w:tcPr>
            <w:tcW w:w="459" w:type="pct"/>
            <w:tcBorders>
              <w:top w:val="nil"/>
              <w:left w:val="nil"/>
              <w:bottom w:val="single" w:sz="4" w:space="0" w:color="auto"/>
              <w:right w:val="single" w:sz="4" w:space="0" w:color="auto"/>
            </w:tcBorders>
            <w:shd w:val="clear" w:color="auto" w:fill="B8CCE4" w:themeFill="accent1" w:themeFillTint="66"/>
            <w:vAlign w:val="center"/>
            <w:hideMark/>
          </w:tcPr>
          <w:p w14:paraId="46792D85" w14:textId="77777777" w:rsidR="002A5E08" w:rsidRPr="005D0F9F" w:rsidRDefault="002A5E08" w:rsidP="00970743">
            <w:pPr>
              <w:keepNext/>
              <w:keepLines/>
              <w:spacing w:after="0"/>
              <w:ind w:firstLine="0"/>
              <w:jc w:val="center"/>
              <w:rPr>
                <w:bCs/>
                <w:sz w:val="18"/>
                <w:szCs w:val="18"/>
                <w:lang w:eastAsia="lv-LV"/>
              </w:rPr>
            </w:pPr>
            <w:r w:rsidRPr="005D0F9F">
              <w:rPr>
                <w:bCs/>
                <w:sz w:val="18"/>
                <w:szCs w:val="18"/>
                <w:lang w:eastAsia="lv-LV"/>
              </w:rPr>
              <w:t>% no IKP</w:t>
            </w:r>
          </w:p>
        </w:tc>
        <w:tc>
          <w:tcPr>
            <w:tcW w:w="459" w:type="pct"/>
            <w:tcBorders>
              <w:top w:val="nil"/>
              <w:left w:val="nil"/>
              <w:bottom w:val="single" w:sz="4" w:space="0" w:color="auto"/>
              <w:right w:val="single" w:sz="4" w:space="0" w:color="auto"/>
            </w:tcBorders>
            <w:shd w:val="clear" w:color="auto" w:fill="B8CCE4" w:themeFill="accent1" w:themeFillTint="66"/>
            <w:vAlign w:val="center"/>
            <w:hideMark/>
          </w:tcPr>
          <w:p w14:paraId="31D41132" w14:textId="77777777" w:rsidR="002A5E08" w:rsidRPr="005D0F9F" w:rsidRDefault="002A5E08" w:rsidP="00970743">
            <w:pPr>
              <w:keepNext/>
              <w:keepLines/>
              <w:spacing w:after="0"/>
              <w:ind w:firstLine="0"/>
              <w:jc w:val="center"/>
              <w:rPr>
                <w:bCs/>
                <w:sz w:val="18"/>
                <w:szCs w:val="18"/>
                <w:lang w:eastAsia="lv-LV"/>
              </w:rPr>
            </w:pPr>
            <w:r w:rsidRPr="005D0F9F">
              <w:rPr>
                <w:bCs/>
                <w:sz w:val="18"/>
                <w:szCs w:val="18"/>
                <w:lang w:eastAsia="lv-LV"/>
              </w:rPr>
              <w:t>milj.</w:t>
            </w:r>
            <w:r w:rsidRPr="005D0F9F">
              <w:rPr>
                <w:bCs/>
                <w:sz w:val="18"/>
                <w:szCs w:val="18"/>
                <w:lang w:eastAsia="lv-LV"/>
              </w:rPr>
              <w:br/>
            </w:r>
            <w:proofErr w:type="spellStart"/>
            <w:r w:rsidRPr="005D0F9F">
              <w:rPr>
                <w:bCs/>
                <w:i/>
                <w:sz w:val="18"/>
                <w:szCs w:val="18"/>
                <w:lang w:eastAsia="lv-LV"/>
              </w:rPr>
              <w:t>euro</w:t>
            </w:r>
            <w:proofErr w:type="spellEnd"/>
          </w:p>
        </w:tc>
        <w:tc>
          <w:tcPr>
            <w:tcW w:w="460" w:type="pct"/>
            <w:tcBorders>
              <w:top w:val="nil"/>
              <w:left w:val="nil"/>
              <w:bottom w:val="single" w:sz="4" w:space="0" w:color="auto"/>
              <w:right w:val="single" w:sz="4" w:space="0" w:color="auto"/>
            </w:tcBorders>
            <w:shd w:val="clear" w:color="auto" w:fill="B8CCE4" w:themeFill="accent1" w:themeFillTint="66"/>
            <w:vAlign w:val="center"/>
            <w:hideMark/>
          </w:tcPr>
          <w:p w14:paraId="2FA488C0" w14:textId="77777777" w:rsidR="002A5E08" w:rsidRPr="005D0F9F" w:rsidRDefault="002A5E08" w:rsidP="00970743">
            <w:pPr>
              <w:keepNext/>
              <w:keepLines/>
              <w:spacing w:after="0"/>
              <w:ind w:firstLine="0"/>
              <w:jc w:val="center"/>
              <w:rPr>
                <w:bCs/>
                <w:sz w:val="18"/>
                <w:szCs w:val="18"/>
                <w:lang w:eastAsia="lv-LV"/>
              </w:rPr>
            </w:pPr>
            <w:r w:rsidRPr="005D0F9F">
              <w:rPr>
                <w:bCs/>
                <w:sz w:val="18"/>
                <w:szCs w:val="18"/>
                <w:lang w:eastAsia="lv-LV"/>
              </w:rPr>
              <w:t>% no IKP</w:t>
            </w:r>
          </w:p>
        </w:tc>
      </w:tr>
      <w:tr w:rsidR="002A5E08" w:rsidRPr="00E86687" w14:paraId="4B1430D9" w14:textId="77777777" w:rsidTr="00193ACF">
        <w:trPr>
          <w:cantSplit/>
          <w:trHeight w:val="20"/>
        </w:trPr>
        <w:tc>
          <w:tcPr>
            <w:tcW w:w="1327" w:type="pct"/>
            <w:vMerge/>
            <w:tcBorders>
              <w:left w:val="single" w:sz="4" w:space="0" w:color="auto"/>
              <w:bottom w:val="single" w:sz="4" w:space="0" w:color="000000"/>
              <w:right w:val="single" w:sz="4" w:space="0" w:color="auto"/>
            </w:tcBorders>
            <w:shd w:val="clear" w:color="auto" w:fill="B8CCE4" w:themeFill="accent1" w:themeFillTint="66"/>
            <w:vAlign w:val="center"/>
          </w:tcPr>
          <w:p w14:paraId="7EB26630" w14:textId="77777777" w:rsidR="002A5E08" w:rsidRPr="00E86687" w:rsidRDefault="002A5E08" w:rsidP="00970743">
            <w:pPr>
              <w:keepNext/>
              <w:keepLines/>
              <w:spacing w:after="0"/>
              <w:ind w:firstLine="0"/>
              <w:jc w:val="left"/>
              <w:rPr>
                <w:b/>
                <w:bCs/>
                <w:sz w:val="18"/>
                <w:szCs w:val="18"/>
                <w:lang w:eastAsia="lv-LV"/>
              </w:rPr>
            </w:pPr>
          </w:p>
        </w:tc>
        <w:tc>
          <w:tcPr>
            <w:tcW w:w="1836" w:type="pct"/>
            <w:gridSpan w:val="4"/>
            <w:tcBorders>
              <w:top w:val="nil"/>
              <w:left w:val="nil"/>
              <w:bottom w:val="single" w:sz="4" w:space="0" w:color="auto"/>
              <w:right w:val="single" w:sz="4" w:space="0" w:color="auto"/>
            </w:tcBorders>
            <w:shd w:val="clear" w:color="auto" w:fill="B8CCE4" w:themeFill="accent1" w:themeFillTint="66"/>
            <w:vAlign w:val="center"/>
          </w:tcPr>
          <w:p w14:paraId="1D0746C3" w14:textId="77777777" w:rsidR="002A5E08" w:rsidRPr="00120F96" w:rsidRDefault="002A5E08" w:rsidP="00970743">
            <w:pPr>
              <w:keepNext/>
              <w:keepLines/>
              <w:spacing w:after="0"/>
              <w:ind w:firstLine="0"/>
              <w:jc w:val="center"/>
              <w:rPr>
                <w:b/>
                <w:bCs/>
                <w:sz w:val="18"/>
                <w:szCs w:val="18"/>
                <w:lang w:eastAsia="lv-LV"/>
              </w:rPr>
            </w:pPr>
            <w:r w:rsidRPr="00120F96">
              <w:rPr>
                <w:sz w:val="18"/>
                <w:szCs w:val="18"/>
                <w:lang w:eastAsia="lv-LV"/>
              </w:rPr>
              <w:t>fakts</w:t>
            </w:r>
          </w:p>
        </w:tc>
        <w:tc>
          <w:tcPr>
            <w:tcW w:w="918" w:type="pct"/>
            <w:gridSpan w:val="2"/>
            <w:tcBorders>
              <w:top w:val="nil"/>
              <w:left w:val="nil"/>
              <w:bottom w:val="single" w:sz="4" w:space="0" w:color="auto"/>
              <w:right w:val="single" w:sz="4" w:space="0" w:color="auto"/>
            </w:tcBorders>
            <w:shd w:val="clear" w:color="auto" w:fill="B8CCE4" w:themeFill="accent1" w:themeFillTint="66"/>
            <w:vAlign w:val="center"/>
          </w:tcPr>
          <w:p w14:paraId="3B325C1D" w14:textId="77777777" w:rsidR="002A5E08" w:rsidRPr="00120F96" w:rsidRDefault="002A5E08" w:rsidP="00970743">
            <w:pPr>
              <w:keepNext/>
              <w:keepLines/>
              <w:spacing w:after="0"/>
              <w:ind w:firstLine="0"/>
              <w:jc w:val="center"/>
              <w:rPr>
                <w:b/>
                <w:bCs/>
                <w:sz w:val="18"/>
                <w:szCs w:val="18"/>
                <w:lang w:eastAsia="lv-LV"/>
              </w:rPr>
            </w:pPr>
            <w:r w:rsidRPr="00120F96">
              <w:rPr>
                <w:sz w:val="18"/>
                <w:szCs w:val="18"/>
                <w:lang w:eastAsia="lv-LV"/>
              </w:rPr>
              <w:t>prognoze</w:t>
            </w:r>
          </w:p>
        </w:tc>
        <w:tc>
          <w:tcPr>
            <w:tcW w:w="919" w:type="pct"/>
            <w:gridSpan w:val="2"/>
            <w:tcBorders>
              <w:top w:val="nil"/>
              <w:left w:val="nil"/>
              <w:bottom w:val="single" w:sz="4" w:space="0" w:color="auto"/>
              <w:right w:val="single" w:sz="4" w:space="0" w:color="auto"/>
            </w:tcBorders>
            <w:shd w:val="clear" w:color="auto" w:fill="B8CCE4" w:themeFill="accent1" w:themeFillTint="66"/>
            <w:vAlign w:val="center"/>
          </w:tcPr>
          <w:p w14:paraId="1604A3FF" w14:textId="77777777" w:rsidR="002A5E08" w:rsidRPr="00E86687" w:rsidRDefault="002A5E08" w:rsidP="00970743">
            <w:pPr>
              <w:keepNext/>
              <w:keepLines/>
              <w:spacing w:after="0"/>
              <w:ind w:firstLine="0"/>
              <w:jc w:val="center"/>
              <w:rPr>
                <w:b/>
                <w:bCs/>
                <w:sz w:val="18"/>
                <w:szCs w:val="18"/>
                <w:lang w:eastAsia="lv-LV"/>
              </w:rPr>
            </w:pPr>
            <w:r w:rsidRPr="00AC3042">
              <w:rPr>
                <w:sz w:val="18"/>
                <w:szCs w:val="18"/>
                <w:lang w:eastAsia="lv-LV"/>
              </w:rPr>
              <w:t>plāns*</w:t>
            </w:r>
          </w:p>
        </w:tc>
      </w:tr>
      <w:tr w:rsidR="002A5E08" w:rsidRPr="00E86687" w14:paraId="4FAD49E4" w14:textId="77777777" w:rsidTr="00970743">
        <w:trPr>
          <w:cantSplit/>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14:paraId="60A2CC0C" w14:textId="77777777" w:rsidR="002A5E08" w:rsidRPr="009F4A71" w:rsidRDefault="002A5E08" w:rsidP="00970743">
            <w:pPr>
              <w:keepNext/>
              <w:keepLines/>
              <w:spacing w:after="0"/>
              <w:ind w:firstLine="0"/>
              <w:jc w:val="left"/>
              <w:rPr>
                <w:bCs/>
                <w:sz w:val="18"/>
                <w:szCs w:val="18"/>
                <w:lang w:eastAsia="lv-LV"/>
              </w:rPr>
            </w:pPr>
            <w:r w:rsidRPr="009F4A71">
              <w:rPr>
                <w:bCs/>
                <w:sz w:val="18"/>
                <w:szCs w:val="18"/>
                <w:lang w:eastAsia="lv-LV"/>
              </w:rPr>
              <w:t>Kopā, t.sk.:</w:t>
            </w:r>
          </w:p>
        </w:tc>
        <w:tc>
          <w:tcPr>
            <w:tcW w:w="459" w:type="pct"/>
            <w:tcBorders>
              <w:top w:val="nil"/>
              <w:left w:val="nil"/>
              <w:bottom w:val="single" w:sz="4" w:space="0" w:color="auto"/>
              <w:right w:val="single" w:sz="4" w:space="0" w:color="auto"/>
            </w:tcBorders>
            <w:shd w:val="clear" w:color="auto" w:fill="auto"/>
            <w:hideMark/>
          </w:tcPr>
          <w:p w14:paraId="607AD2AE" w14:textId="77777777" w:rsidR="002A5E08" w:rsidRPr="009F4A71" w:rsidRDefault="002A5E08" w:rsidP="00970743">
            <w:pPr>
              <w:keepNext/>
              <w:keepLines/>
              <w:spacing w:after="0"/>
              <w:ind w:firstLine="0"/>
              <w:jc w:val="right"/>
              <w:rPr>
                <w:sz w:val="18"/>
                <w:szCs w:val="18"/>
              </w:rPr>
            </w:pPr>
            <w:r w:rsidRPr="009F4A71">
              <w:rPr>
                <w:sz w:val="18"/>
                <w:szCs w:val="18"/>
              </w:rPr>
              <w:t>3 883,5</w:t>
            </w:r>
          </w:p>
        </w:tc>
        <w:tc>
          <w:tcPr>
            <w:tcW w:w="459" w:type="pct"/>
            <w:tcBorders>
              <w:top w:val="nil"/>
              <w:left w:val="nil"/>
              <w:bottom w:val="single" w:sz="4" w:space="0" w:color="auto"/>
              <w:right w:val="single" w:sz="4" w:space="0" w:color="auto"/>
            </w:tcBorders>
            <w:shd w:val="clear" w:color="auto" w:fill="auto"/>
            <w:hideMark/>
          </w:tcPr>
          <w:p w14:paraId="62F153BF" w14:textId="77777777" w:rsidR="002A5E08" w:rsidRPr="009F4A71" w:rsidRDefault="002A5E08" w:rsidP="00970743">
            <w:pPr>
              <w:keepNext/>
              <w:keepLines/>
              <w:spacing w:after="0"/>
              <w:ind w:firstLine="0"/>
              <w:jc w:val="right"/>
              <w:rPr>
                <w:sz w:val="18"/>
                <w:szCs w:val="18"/>
              </w:rPr>
            </w:pPr>
            <w:r w:rsidRPr="009F4A71">
              <w:rPr>
                <w:sz w:val="18"/>
                <w:szCs w:val="18"/>
              </w:rPr>
              <w:t>12,8</w:t>
            </w:r>
          </w:p>
        </w:tc>
        <w:tc>
          <w:tcPr>
            <w:tcW w:w="459" w:type="pct"/>
            <w:tcBorders>
              <w:top w:val="nil"/>
              <w:left w:val="nil"/>
              <w:bottom w:val="single" w:sz="4" w:space="0" w:color="auto"/>
              <w:right w:val="single" w:sz="4" w:space="0" w:color="auto"/>
            </w:tcBorders>
            <w:shd w:val="clear" w:color="auto" w:fill="auto"/>
            <w:hideMark/>
          </w:tcPr>
          <w:p w14:paraId="5F26ADDC" w14:textId="77777777" w:rsidR="002A5E08" w:rsidRPr="009F4A71" w:rsidRDefault="002A5E08" w:rsidP="00970743">
            <w:pPr>
              <w:keepNext/>
              <w:keepLines/>
              <w:spacing w:after="0"/>
              <w:ind w:firstLine="0"/>
              <w:jc w:val="right"/>
              <w:rPr>
                <w:sz w:val="18"/>
                <w:szCs w:val="18"/>
              </w:rPr>
            </w:pPr>
            <w:r w:rsidRPr="009F4A71">
              <w:rPr>
                <w:sz w:val="18"/>
                <w:szCs w:val="18"/>
              </w:rPr>
              <w:t>3 776,1</w:t>
            </w:r>
          </w:p>
        </w:tc>
        <w:tc>
          <w:tcPr>
            <w:tcW w:w="459" w:type="pct"/>
            <w:tcBorders>
              <w:top w:val="nil"/>
              <w:left w:val="nil"/>
              <w:bottom w:val="single" w:sz="4" w:space="0" w:color="auto"/>
              <w:right w:val="single" w:sz="4" w:space="0" w:color="auto"/>
            </w:tcBorders>
            <w:shd w:val="clear" w:color="auto" w:fill="auto"/>
            <w:hideMark/>
          </w:tcPr>
          <w:p w14:paraId="69E8CB34" w14:textId="77777777" w:rsidR="002A5E08" w:rsidRPr="009F4A71" w:rsidRDefault="002A5E08" w:rsidP="00970743">
            <w:pPr>
              <w:keepNext/>
              <w:keepLines/>
              <w:spacing w:after="0"/>
              <w:ind w:firstLine="0"/>
              <w:jc w:val="right"/>
              <w:rPr>
                <w:sz w:val="18"/>
                <w:szCs w:val="18"/>
              </w:rPr>
            </w:pPr>
            <w:r w:rsidRPr="009F4A71">
              <w:rPr>
                <w:sz w:val="18"/>
                <w:szCs w:val="18"/>
              </w:rPr>
              <w:t>12,9</w:t>
            </w:r>
          </w:p>
        </w:tc>
        <w:tc>
          <w:tcPr>
            <w:tcW w:w="459" w:type="pct"/>
            <w:tcBorders>
              <w:top w:val="nil"/>
              <w:left w:val="nil"/>
              <w:bottom w:val="single" w:sz="4" w:space="0" w:color="auto"/>
              <w:right w:val="single" w:sz="4" w:space="0" w:color="auto"/>
            </w:tcBorders>
            <w:shd w:val="clear" w:color="auto" w:fill="auto"/>
            <w:hideMark/>
          </w:tcPr>
          <w:p w14:paraId="22C87484" w14:textId="77777777" w:rsidR="002A5E08" w:rsidRPr="009F4A71" w:rsidRDefault="002A5E08" w:rsidP="00970743">
            <w:pPr>
              <w:keepNext/>
              <w:keepLines/>
              <w:spacing w:after="0"/>
              <w:ind w:firstLine="0"/>
              <w:jc w:val="right"/>
              <w:rPr>
                <w:sz w:val="18"/>
                <w:szCs w:val="18"/>
              </w:rPr>
            </w:pPr>
            <w:r w:rsidRPr="009F4A71">
              <w:rPr>
                <w:sz w:val="18"/>
                <w:szCs w:val="18"/>
              </w:rPr>
              <w:t>4 116,9</w:t>
            </w:r>
          </w:p>
        </w:tc>
        <w:tc>
          <w:tcPr>
            <w:tcW w:w="459" w:type="pct"/>
            <w:tcBorders>
              <w:top w:val="nil"/>
              <w:left w:val="nil"/>
              <w:bottom w:val="single" w:sz="4" w:space="0" w:color="auto"/>
              <w:right w:val="single" w:sz="4" w:space="0" w:color="auto"/>
            </w:tcBorders>
            <w:shd w:val="clear" w:color="auto" w:fill="auto"/>
            <w:hideMark/>
          </w:tcPr>
          <w:p w14:paraId="7F2AB1A2" w14:textId="77777777" w:rsidR="002A5E08" w:rsidRPr="009F4A71" w:rsidRDefault="002A5E08" w:rsidP="00970743">
            <w:pPr>
              <w:keepNext/>
              <w:keepLines/>
              <w:spacing w:after="0"/>
              <w:ind w:firstLine="0"/>
              <w:jc w:val="right"/>
              <w:rPr>
                <w:sz w:val="18"/>
                <w:szCs w:val="18"/>
              </w:rPr>
            </w:pPr>
            <w:r w:rsidRPr="009F4A71">
              <w:rPr>
                <w:sz w:val="18"/>
                <w:szCs w:val="18"/>
              </w:rPr>
              <w:t>13,1</w:t>
            </w:r>
          </w:p>
        </w:tc>
        <w:tc>
          <w:tcPr>
            <w:tcW w:w="459" w:type="pct"/>
            <w:tcBorders>
              <w:top w:val="nil"/>
              <w:left w:val="nil"/>
              <w:bottom w:val="single" w:sz="4" w:space="0" w:color="auto"/>
              <w:right w:val="single" w:sz="4" w:space="0" w:color="auto"/>
            </w:tcBorders>
            <w:shd w:val="clear" w:color="auto" w:fill="auto"/>
            <w:hideMark/>
          </w:tcPr>
          <w:p w14:paraId="23ED9135" w14:textId="77777777" w:rsidR="002A5E08" w:rsidRPr="009F4A71" w:rsidRDefault="002A5E08" w:rsidP="00970743">
            <w:pPr>
              <w:keepNext/>
              <w:keepLines/>
              <w:spacing w:after="0"/>
              <w:ind w:firstLine="0"/>
              <w:jc w:val="right"/>
              <w:rPr>
                <w:sz w:val="18"/>
                <w:szCs w:val="18"/>
              </w:rPr>
            </w:pPr>
            <w:r w:rsidRPr="009F4A71">
              <w:rPr>
                <w:sz w:val="18"/>
                <w:szCs w:val="18"/>
              </w:rPr>
              <w:t>4 430,1</w:t>
            </w:r>
          </w:p>
        </w:tc>
        <w:tc>
          <w:tcPr>
            <w:tcW w:w="460" w:type="pct"/>
            <w:tcBorders>
              <w:top w:val="nil"/>
              <w:left w:val="nil"/>
              <w:bottom w:val="single" w:sz="4" w:space="0" w:color="auto"/>
              <w:right w:val="single" w:sz="4" w:space="0" w:color="auto"/>
            </w:tcBorders>
            <w:shd w:val="clear" w:color="auto" w:fill="auto"/>
            <w:hideMark/>
          </w:tcPr>
          <w:p w14:paraId="6BE873BF" w14:textId="77777777" w:rsidR="002A5E08" w:rsidRPr="009F4A71" w:rsidRDefault="002A5E08" w:rsidP="00970743">
            <w:pPr>
              <w:keepNext/>
              <w:keepLines/>
              <w:spacing w:after="0"/>
              <w:ind w:firstLine="0"/>
              <w:jc w:val="right"/>
              <w:rPr>
                <w:sz w:val="18"/>
                <w:szCs w:val="18"/>
              </w:rPr>
            </w:pPr>
            <w:r w:rsidRPr="009F4A71">
              <w:rPr>
                <w:sz w:val="18"/>
                <w:szCs w:val="18"/>
              </w:rPr>
              <w:t>13,0</w:t>
            </w:r>
          </w:p>
        </w:tc>
      </w:tr>
      <w:tr w:rsidR="002A5E08" w:rsidRPr="00E86687" w14:paraId="530E4A92" w14:textId="77777777" w:rsidTr="00970743">
        <w:trPr>
          <w:cantSplit/>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14:paraId="45F8920F" w14:textId="77777777" w:rsidR="002A5E08" w:rsidRPr="00120F96" w:rsidRDefault="002A5E08" w:rsidP="00970743">
            <w:pPr>
              <w:keepNext/>
              <w:keepLines/>
              <w:spacing w:after="0"/>
              <w:ind w:left="170" w:firstLine="0"/>
              <w:jc w:val="left"/>
              <w:rPr>
                <w:i/>
                <w:sz w:val="18"/>
                <w:szCs w:val="18"/>
                <w:lang w:eastAsia="lv-LV"/>
              </w:rPr>
            </w:pPr>
            <w:r w:rsidRPr="00120F96">
              <w:rPr>
                <w:i/>
                <w:sz w:val="18"/>
                <w:szCs w:val="18"/>
                <w:lang w:eastAsia="lv-LV"/>
              </w:rPr>
              <w:t>Pievienotās vērtības nodoklis</w:t>
            </w:r>
          </w:p>
        </w:tc>
        <w:tc>
          <w:tcPr>
            <w:tcW w:w="459" w:type="pct"/>
            <w:tcBorders>
              <w:top w:val="nil"/>
              <w:left w:val="nil"/>
              <w:bottom w:val="single" w:sz="4" w:space="0" w:color="auto"/>
              <w:right w:val="single" w:sz="4" w:space="0" w:color="auto"/>
            </w:tcBorders>
            <w:shd w:val="clear" w:color="auto" w:fill="auto"/>
            <w:hideMark/>
          </w:tcPr>
          <w:p w14:paraId="6C08284E" w14:textId="77777777" w:rsidR="002A5E08" w:rsidRPr="00120F96" w:rsidRDefault="002A5E08" w:rsidP="00970743">
            <w:pPr>
              <w:keepNext/>
              <w:keepLines/>
              <w:spacing w:after="0"/>
              <w:ind w:firstLine="0"/>
              <w:jc w:val="right"/>
              <w:rPr>
                <w:i/>
                <w:sz w:val="18"/>
                <w:szCs w:val="18"/>
              </w:rPr>
            </w:pPr>
            <w:r w:rsidRPr="00120F96">
              <w:rPr>
                <w:i/>
                <w:sz w:val="18"/>
                <w:szCs w:val="18"/>
              </w:rPr>
              <w:t>2 648,3</w:t>
            </w:r>
          </w:p>
        </w:tc>
        <w:tc>
          <w:tcPr>
            <w:tcW w:w="459" w:type="pct"/>
            <w:tcBorders>
              <w:top w:val="nil"/>
              <w:left w:val="nil"/>
              <w:bottom w:val="single" w:sz="4" w:space="0" w:color="auto"/>
              <w:right w:val="single" w:sz="4" w:space="0" w:color="auto"/>
            </w:tcBorders>
            <w:shd w:val="clear" w:color="auto" w:fill="auto"/>
            <w:hideMark/>
          </w:tcPr>
          <w:p w14:paraId="0FFF36E5" w14:textId="77777777" w:rsidR="002A5E08" w:rsidRPr="00AC3042" w:rsidRDefault="002A5E08" w:rsidP="00970743">
            <w:pPr>
              <w:keepNext/>
              <w:keepLines/>
              <w:spacing w:after="0"/>
              <w:ind w:firstLine="0"/>
              <w:jc w:val="right"/>
              <w:rPr>
                <w:i/>
                <w:sz w:val="18"/>
                <w:szCs w:val="18"/>
              </w:rPr>
            </w:pPr>
            <w:r w:rsidRPr="00AC3042">
              <w:rPr>
                <w:i/>
                <w:sz w:val="18"/>
                <w:szCs w:val="18"/>
              </w:rPr>
              <w:t>8,7</w:t>
            </w:r>
          </w:p>
        </w:tc>
        <w:tc>
          <w:tcPr>
            <w:tcW w:w="459" w:type="pct"/>
            <w:tcBorders>
              <w:top w:val="nil"/>
              <w:left w:val="nil"/>
              <w:bottom w:val="single" w:sz="4" w:space="0" w:color="auto"/>
              <w:right w:val="single" w:sz="4" w:space="0" w:color="auto"/>
            </w:tcBorders>
            <w:shd w:val="clear" w:color="auto" w:fill="auto"/>
            <w:hideMark/>
          </w:tcPr>
          <w:p w14:paraId="4CE99AB9" w14:textId="77777777" w:rsidR="002A5E08" w:rsidRPr="00E86687" w:rsidRDefault="002A5E08" w:rsidP="00970743">
            <w:pPr>
              <w:keepNext/>
              <w:keepLines/>
              <w:spacing w:after="0"/>
              <w:ind w:firstLine="0"/>
              <w:jc w:val="right"/>
              <w:rPr>
                <w:i/>
                <w:sz w:val="18"/>
                <w:szCs w:val="18"/>
              </w:rPr>
            </w:pPr>
            <w:r w:rsidRPr="00E86687">
              <w:rPr>
                <w:i/>
                <w:sz w:val="18"/>
                <w:szCs w:val="18"/>
              </w:rPr>
              <w:t>2 544,7</w:t>
            </w:r>
          </w:p>
        </w:tc>
        <w:tc>
          <w:tcPr>
            <w:tcW w:w="459" w:type="pct"/>
            <w:tcBorders>
              <w:top w:val="nil"/>
              <w:left w:val="nil"/>
              <w:bottom w:val="single" w:sz="4" w:space="0" w:color="auto"/>
              <w:right w:val="single" w:sz="4" w:space="0" w:color="auto"/>
            </w:tcBorders>
            <w:shd w:val="clear" w:color="auto" w:fill="auto"/>
            <w:hideMark/>
          </w:tcPr>
          <w:p w14:paraId="38E19981" w14:textId="77777777" w:rsidR="002A5E08" w:rsidRPr="00E86687" w:rsidRDefault="002A5E08" w:rsidP="00970743">
            <w:pPr>
              <w:keepNext/>
              <w:keepLines/>
              <w:spacing w:after="0"/>
              <w:ind w:firstLine="0"/>
              <w:jc w:val="right"/>
              <w:rPr>
                <w:i/>
                <w:sz w:val="18"/>
                <w:szCs w:val="18"/>
              </w:rPr>
            </w:pPr>
            <w:r w:rsidRPr="00E86687">
              <w:rPr>
                <w:i/>
                <w:sz w:val="18"/>
                <w:szCs w:val="18"/>
              </w:rPr>
              <w:t>8,7</w:t>
            </w:r>
          </w:p>
        </w:tc>
        <w:tc>
          <w:tcPr>
            <w:tcW w:w="459" w:type="pct"/>
            <w:tcBorders>
              <w:top w:val="nil"/>
              <w:left w:val="nil"/>
              <w:bottom w:val="single" w:sz="4" w:space="0" w:color="auto"/>
              <w:right w:val="single" w:sz="4" w:space="0" w:color="auto"/>
            </w:tcBorders>
            <w:shd w:val="clear" w:color="auto" w:fill="auto"/>
            <w:hideMark/>
          </w:tcPr>
          <w:p w14:paraId="41CAABBA" w14:textId="77777777" w:rsidR="002A5E08" w:rsidRPr="00E86687" w:rsidRDefault="002A5E08" w:rsidP="00970743">
            <w:pPr>
              <w:keepNext/>
              <w:keepLines/>
              <w:spacing w:after="0"/>
              <w:ind w:firstLine="0"/>
              <w:jc w:val="right"/>
              <w:rPr>
                <w:i/>
                <w:sz w:val="18"/>
                <w:szCs w:val="18"/>
              </w:rPr>
            </w:pPr>
            <w:r w:rsidRPr="00E86687">
              <w:rPr>
                <w:i/>
                <w:sz w:val="18"/>
                <w:szCs w:val="18"/>
              </w:rPr>
              <w:t>2 810,6</w:t>
            </w:r>
          </w:p>
        </w:tc>
        <w:tc>
          <w:tcPr>
            <w:tcW w:w="459" w:type="pct"/>
            <w:tcBorders>
              <w:top w:val="nil"/>
              <w:left w:val="nil"/>
              <w:bottom w:val="single" w:sz="4" w:space="0" w:color="auto"/>
              <w:right w:val="single" w:sz="4" w:space="0" w:color="auto"/>
            </w:tcBorders>
            <w:shd w:val="clear" w:color="auto" w:fill="auto"/>
            <w:hideMark/>
          </w:tcPr>
          <w:p w14:paraId="172ACB73" w14:textId="77777777" w:rsidR="002A5E08" w:rsidRPr="00E86687" w:rsidRDefault="002A5E08" w:rsidP="00970743">
            <w:pPr>
              <w:keepNext/>
              <w:keepLines/>
              <w:spacing w:after="0"/>
              <w:ind w:firstLine="0"/>
              <w:jc w:val="right"/>
              <w:rPr>
                <w:i/>
                <w:sz w:val="18"/>
                <w:szCs w:val="18"/>
              </w:rPr>
            </w:pPr>
            <w:r w:rsidRPr="00E86687">
              <w:rPr>
                <w:i/>
                <w:sz w:val="18"/>
                <w:szCs w:val="18"/>
              </w:rPr>
              <w:t>9,0</w:t>
            </w:r>
          </w:p>
        </w:tc>
        <w:tc>
          <w:tcPr>
            <w:tcW w:w="459" w:type="pct"/>
            <w:tcBorders>
              <w:top w:val="nil"/>
              <w:left w:val="nil"/>
              <w:bottom w:val="single" w:sz="4" w:space="0" w:color="auto"/>
              <w:right w:val="single" w:sz="4" w:space="0" w:color="auto"/>
            </w:tcBorders>
            <w:shd w:val="clear" w:color="auto" w:fill="auto"/>
            <w:hideMark/>
          </w:tcPr>
          <w:p w14:paraId="5FCBBC30" w14:textId="77777777" w:rsidR="002A5E08" w:rsidRPr="00EB2728" w:rsidRDefault="002A5E08" w:rsidP="00970743">
            <w:pPr>
              <w:keepNext/>
              <w:keepLines/>
              <w:spacing w:after="0"/>
              <w:ind w:firstLine="0"/>
              <w:jc w:val="right"/>
              <w:rPr>
                <w:i/>
                <w:iCs/>
                <w:sz w:val="18"/>
                <w:szCs w:val="18"/>
              </w:rPr>
            </w:pPr>
            <w:r w:rsidRPr="00EB2728">
              <w:rPr>
                <w:i/>
                <w:sz w:val="18"/>
                <w:szCs w:val="18"/>
              </w:rPr>
              <w:t>3 067,5</w:t>
            </w:r>
          </w:p>
        </w:tc>
        <w:tc>
          <w:tcPr>
            <w:tcW w:w="460" w:type="pct"/>
            <w:tcBorders>
              <w:top w:val="nil"/>
              <w:left w:val="nil"/>
              <w:bottom w:val="single" w:sz="4" w:space="0" w:color="auto"/>
              <w:right w:val="single" w:sz="4" w:space="0" w:color="auto"/>
            </w:tcBorders>
            <w:shd w:val="clear" w:color="auto" w:fill="auto"/>
            <w:hideMark/>
          </w:tcPr>
          <w:p w14:paraId="25FF6D3C" w14:textId="77777777" w:rsidR="002A5E08" w:rsidRPr="00EB2728" w:rsidRDefault="002A5E08" w:rsidP="00970743">
            <w:pPr>
              <w:keepNext/>
              <w:keepLines/>
              <w:spacing w:after="0"/>
              <w:ind w:firstLine="0"/>
              <w:jc w:val="right"/>
              <w:rPr>
                <w:i/>
                <w:iCs/>
                <w:sz w:val="18"/>
                <w:szCs w:val="18"/>
              </w:rPr>
            </w:pPr>
            <w:r w:rsidRPr="00EB2728">
              <w:rPr>
                <w:i/>
                <w:sz w:val="18"/>
                <w:szCs w:val="18"/>
              </w:rPr>
              <w:t>9,0</w:t>
            </w:r>
          </w:p>
        </w:tc>
      </w:tr>
      <w:tr w:rsidR="002A5E08" w:rsidRPr="00E86687" w14:paraId="3E5D9793" w14:textId="77777777" w:rsidTr="00970743">
        <w:trPr>
          <w:cantSplit/>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14:paraId="664FB095" w14:textId="77777777" w:rsidR="002A5E08" w:rsidRPr="00120F96" w:rsidRDefault="002A5E08" w:rsidP="00970743">
            <w:pPr>
              <w:keepNext/>
              <w:keepLines/>
              <w:spacing w:after="0"/>
              <w:ind w:left="170" w:firstLine="0"/>
              <w:jc w:val="left"/>
              <w:rPr>
                <w:i/>
                <w:sz w:val="18"/>
                <w:szCs w:val="18"/>
                <w:lang w:eastAsia="lv-LV"/>
              </w:rPr>
            </w:pPr>
            <w:r w:rsidRPr="00120F96">
              <w:rPr>
                <w:i/>
                <w:sz w:val="18"/>
                <w:szCs w:val="18"/>
                <w:lang w:eastAsia="lv-LV"/>
              </w:rPr>
              <w:t>Akcīzes nodoklis</w:t>
            </w:r>
          </w:p>
        </w:tc>
        <w:tc>
          <w:tcPr>
            <w:tcW w:w="459" w:type="pct"/>
            <w:tcBorders>
              <w:top w:val="nil"/>
              <w:left w:val="nil"/>
              <w:bottom w:val="single" w:sz="4" w:space="0" w:color="auto"/>
              <w:right w:val="single" w:sz="4" w:space="0" w:color="auto"/>
            </w:tcBorders>
            <w:shd w:val="clear" w:color="auto" w:fill="auto"/>
            <w:hideMark/>
          </w:tcPr>
          <w:p w14:paraId="1A363366" w14:textId="77777777" w:rsidR="002A5E08" w:rsidRPr="00120F96" w:rsidRDefault="002A5E08" w:rsidP="00970743">
            <w:pPr>
              <w:keepNext/>
              <w:keepLines/>
              <w:spacing w:after="0"/>
              <w:ind w:firstLine="0"/>
              <w:jc w:val="right"/>
              <w:rPr>
                <w:i/>
                <w:sz w:val="18"/>
                <w:szCs w:val="18"/>
              </w:rPr>
            </w:pPr>
            <w:r w:rsidRPr="00120F96">
              <w:rPr>
                <w:i/>
                <w:sz w:val="18"/>
                <w:szCs w:val="18"/>
              </w:rPr>
              <w:t>1 064,1</w:t>
            </w:r>
          </w:p>
        </w:tc>
        <w:tc>
          <w:tcPr>
            <w:tcW w:w="459" w:type="pct"/>
            <w:tcBorders>
              <w:top w:val="nil"/>
              <w:left w:val="nil"/>
              <w:bottom w:val="single" w:sz="4" w:space="0" w:color="auto"/>
              <w:right w:val="single" w:sz="4" w:space="0" w:color="auto"/>
            </w:tcBorders>
            <w:shd w:val="clear" w:color="auto" w:fill="auto"/>
            <w:hideMark/>
          </w:tcPr>
          <w:p w14:paraId="2C5E9FC8" w14:textId="77777777" w:rsidR="002A5E08" w:rsidRPr="00120F96" w:rsidRDefault="002A5E08" w:rsidP="00970743">
            <w:pPr>
              <w:keepNext/>
              <w:keepLines/>
              <w:spacing w:after="0"/>
              <w:ind w:firstLine="0"/>
              <w:jc w:val="right"/>
              <w:rPr>
                <w:i/>
                <w:sz w:val="18"/>
                <w:szCs w:val="18"/>
              </w:rPr>
            </w:pPr>
            <w:r w:rsidRPr="00120F96">
              <w:rPr>
                <w:i/>
                <w:sz w:val="18"/>
                <w:szCs w:val="18"/>
              </w:rPr>
              <w:t>3,5</w:t>
            </w:r>
          </w:p>
        </w:tc>
        <w:tc>
          <w:tcPr>
            <w:tcW w:w="459" w:type="pct"/>
            <w:tcBorders>
              <w:top w:val="nil"/>
              <w:left w:val="nil"/>
              <w:bottom w:val="single" w:sz="4" w:space="0" w:color="auto"/>
              <w:right w:val="single" w:sz="4" w:space="0" w:color="auto"/>
            </w:tcBorders>
            <w:shd w:val="clear" w:color="auto" w:fill="auto"/>
            <w:hideMark/>
          </w:tcPr>
          <w:p w14:paraId="45247952" w14:textId="77777777" w:rsidR="002A5E08" w:rsidRPr="00AC3042" w:rsidRDefault="002A5E08" w:rsidP="00970743">
            <w:pPr>
              <w:keepNext/>
              <w:keepLines/>
              <w:spacing w:after="0"/>
              <w:ind w:firstLine="0"/>
              <w:jc w:val="right"/>
              <w:rPr>
                <w:i/>
                <w:sz w:val="18"/>
                <w:szCs w:val="18"/>
              </w:rPr>
            </w:pPr>
            <w:r w:rsidRPr="00AC3042">
              <w:rPr>
                <w:i/>
                <w:sz w:val="18"/>
                <w:szCs w:val="18"/>
              </w:rPr>
              <w:t>1 059,7</w:t>
            </w:r>
          </w:p>
        </w:tc>
        <w:tc>
          <w:tcPr>
            <w:tcW w:w="459" w:type="pct"/>
            <w:tcBorders>
              <w:top w:val="nil"/>
              <w:left w:val="nil"/>
              <w:bottom w:val="single" w:sz="4" w:space="0" w:color="auto"/>
              <w:right w:val="single" w:sz="4" w:space="0" w:color="auto"/>
            </w:tcBorders>
            <w:shd w:val="clear" w:color="auto" w:fill="auto"/>
            <w:hideMark/>
          </w:tcPr>
          <w:p w14:paraId="234F2B70" w14:textId="77777777" w:rsidR="002A5E08" w:rsidRPr="00E86687" w:rsidRDefault="002A5E08" w:rsidP="00970743">
            <w:pPr>
              <w:keepNext/>
              <w:keepLines/>
              <w:spacing w:after="0"/>
              <w:ind w:firstLine="0"/>
              <w:jc w:val="right"/>
              <w:rPr>
                <w:i/>
                <w:sz w:val="18"/>
                <w:szCs w:val="18"/>
              </w:rPr>
            </w:pPr>
            <w:r w:rsidRPr="00E86687">
              <w:rPr>
                <w:i/>
                <w:sz w:val="18"/>
                <w:szCs w:val="18"/>
              </w:rPr>
              <w:t>3,6</w:t>
            </w:r>
          </w:p>
        </w:tc>
        <w:tc>
          <w:tcPr>
            <w:tcW w:w="459" w:type="pct"/>
            <w:tcBorders>
              <w:top w:val="nil"/>
              <w:left w:val="nil"/>
              <w:bottom w:val="single" w:sz="4" w:space="0" w:color="auto"/>
              <w:right w:val="single" w:sz="4" w:space="0" w:color="auto"/>
            </w:tcBorders>
            <w:shd w:val="clear" w:color="auto" w:fill="auto"/>
            <w:hideMark/>
          </w:tcPr>
          <w:p w14:paraId="2F4229B3" w14:textId="77777777" w:rsidR="002A5E08" w:rsidRPr="00E86687" w:rsidRDefault="002A5E08" w:rsidP="00970743">
            <w:pPr>
              <w:keepNext/>
              <w:keepLines/>
              <w:spacing w:after="0"/>
              <w:ind w:firstLine="0"/>
              <w:jc w:val="right"/>
              <w:rPr>
                <w:i/>
                <w:sz w:val="18"/>
                <w:szCs w:val="18"/>
              </w:rPr>
            </w:pPr>
            <w:r w:rsidRPr="00E86687">
              <w:rPr>
                <w:i/>
                <w:sz w:val="18"/>
                <w:szCs w:val="18"/>
              </w:rPr>
              <w:t>1 118,0</w:t>
            </w:r>
          </w:p>
        </w:tc>
        <w:tc>
          <w:tcPr>
            <w:tcW w:w="459" w:type="pct"/>
            <w:tcBorders>
              <w:top w:val="nil"/>
              <w:left w:val="nil"/>
              <w:bottom w:val="single" w:sz="4" w:space="0" w:color="auto"/>
              <w:right w:val="single" w:sz="4" w:space="0" w:color="auto"/>
            </w:tcBorders>
            <w:shd w:val="clear" w:color="auto" w:fill="auto"/>
            <w:hideMark/>
          </w:tcPr>
          <w:p w14:paraId="184692D8" w14:textId="77777777" w:rsidR="002A5E08" w:rsidRPr="00E86687" w:rsidRDefault="002A5E08" w:rsidP="00970743">
            <w:pPr>
              <w:keepNext/>
              <w:keepLines/>
              <w:spacing w:after="0"/>
              <w:ind w:firstLine="0"/>
              <w:jc w:val="right"/>
              <w:rPr>
                <w:i/>
                <w:sz w:val="18"/>
                <w:szCs w:val="18"/>
              </w:rPr>
            </w:pPr>
            <w:r w:rsidRPr="00E86687">
              <w:rPr>
                <w:i/>
                <w:sz w:val="18"/>
                <w:szCs w:val="18"/>
              </w:rPr>
              <w:t>3,6</w:t>
            </w:r>
          </w:p>
        </w:tc>
        <w:tc>
          <w:tcPr>
            <w:tcW w:w="459" w:type="pct"/>
            <w:tcBorders>
              <w:top w:val="nil"/>
              <w:left w:val="nil"/>
              <w:bottom w:val="single" w:sz="4" w:space="0" w:color="auto"/>
              <w:right w:val="single" w:sz="4" w:space="0" w:color="auto"/>
            </w:tcBorders>
            <w:shd w:val="clear" w:color="auto" w:fill="auto"/>
            <w:hideMark/>
          </w:tcPr>
          <w:p w14:paraId="667C21A3" w14:textId="77777777" w:rsidR="002A5E08" w:rsidRPr="00EB2728" w:rsidRDefault="002A5E08" w:rsidP="00970743">
            <w:pPr>
              <w:keepNext/>
              <w:keepLines/>
              <w:spacing w:after="0"/>
              <w:ind w:firstLine="0"/>
              <w:jc w:val="right"/>
              <w:rPr>
                <w:i/>
                <w:iCs/>
                <w:sz w:val="18"/>
                <w:szCs w:val="18"/>
              </w:rPr>
            </w:pPr>
            <w:r w:rsidRPr="00EB2728">
              <w:rPr>
                <w:i/>
                <w:sz w:val="18"/>
                <w:szCs w:val="18"/>
              </w:rPr>
              <w:t>1 166,8</w:t>
            </w:r>
          </w:p>
        </w:tc>
        <w:tc>
          <w:tcPr>
            <w:tcW w:w="460" w:type="pct"/>
            <w:tcBorders>
              <w:top w:val="nil"/>
              <w:left w:val="nil"/>
              <w:bottom w:val="single" w:sz="4" w:space="0" w:color="auto"/>
              <w:right w:val="single" w:sz="4" w:space="0" w:color="auto"/>
            </w:tcBorders>
            <w:shd w:val="clear" w:color="auto" w:fill="auto"/>
            <w:hideMark/>
          </w:tcPr>
          <w:p w14:paraId="43235AC2" w14:textId="77777777" w:rsidR="002A5E08" w:rsidRPr="00EB2728" w:rsidRDefault="002A5E08" w:rsidP="00970743">
            <w:pPr>
              <w:keepNext/>
              <w:keepLines/>
              <w:spacing w:after="0"/>
              <w:ind w:firstLine="0"/>
              <w:jc w:val="right"/>
              <w:rPr>
                <w:i/>
                <w:iCs/>
                <w:sz w:val="18"/>
                <w:szCs w:val="18"/>
              </w:rPr>
            </w:pPr>
            <w:r w:rsidRPr="00EB2728">
              <w:rPr>
                <w:i/>
                <w:sz w:val="18"/>
                <w:szCs w:val="18"/>
              </w:rPr>
              <w:t>3,4</w:t>
            </w:r>
          </w:p>
        </w:tc>
      </w:tr>
      <w:tr w:rsidR="002A5E08" w:rsidRPr="00E86687" w14:paraId="6D5AD281" w14:textId="77777777" w:rsidTr="00970743">
        <w:trPr>
          <w:cantSplit/>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14:paraId="278CA6BD" w14:textId="77777777" w:rsidR="002A5E08" w:rsidRPr="00120F96" w:rsidRDefault="002A5E08" w:rsidP="00970743">
            <w:pPr>
              <w:keepNext/>
              <w:keepLines/>
              <w:spacing w:after="0"/>
              <w:ind w:left="170" w:firstLine="0"/>
              <w:jc w:val="left"/>
              <w:rPr>
                <w:i/>
                <w:sz w:val="18"/>
                <w:szCs w:val="18"/>
                <w:lang w:eastAsia="lv-LV"/>
              </w:rPr>
            </w:pPr>
            <w:r w:rsidRPr="00120F96">
              <w:rPr>
                <w:i/>
                <w:sz w:val="18"/>
                <w:szCs w:val="18"/>
                <w:lang w:eastAsia="lv-LV"/>
              </w:rPr>
              <w:t>Transportlīdzekļu ekspluatācijas nodoklis</w:t>
            </w:r>
          </w:p>
        </w:tc>
        <w:tc>
          <w:tcPr>
            <w:tcW w:w="459" w:type="pct"/>
            <w:tcBorders>
              <w:top w:val="nil"/>
              <w:left w:val="nil"/>
              <w:bottom w:val="single" w:sz="4" w:space="0" w:color="auto"/>
              <w:right w:val="single" w:sz="4" w:space="0" w:color="auto"/>
            </w:tcBorders>
            <w:shd w:val="clear" w:color="auto" w:fill="auto"/>
            <w:hideMark/>
          </w:tcPr>
          <w:p w14:paraId="59E56D4F" w14:textId="77777777" w:rsidR="002A5E08" w:rsidRPr="00120F96" w:rsidRDefault="002A5E08" w:rsidP="00970743">
            <w:pPr>
              <w:keepNext/>
              <w:keepLines/>
              <w:spacing w:after="0"/>
              <w:ind w:firstLine="0"/>
              <w:jc w:val="right"/>
              <w:rPr>
                <w:i/>
                <w:sz w:val="18"/>
                <w:szCs w:val="18"/>
              </w:rPr>
            </w:pPr>
            <w:r w:rsidRPr="00120F96">
              <w:rPr>
                <w:i/>
                <w:sz w:val="18"/>
                <w:szCs w:val="18"/>
              </w:rPr>
              <w:t>95,3</w:t>
            </w:r>
          </w:p>
        </w:tc>
        <w:tc>
          <w:tcPr>
            <w:tcW w:w="459" w:type="pct"/>
            <w:tcBorders>
              <w:top w:val="nil"/>
              <w:left w:val="nil"/>
              <w:bottom w:val="single" w:sz="4" w:space="0" w:color="auto"/>
              <w:right w:val="single" w:sz="4" w:space="0" w:color="auto"/>
            </w:tcBorders>
            <w:shd w:val="clear" w:color="auto" w:fill="auto"/>
            <w:hideMark/>
          </w:tcPr>
          <w:p w14:paraId="519F68EF" w14:textId="77777777" w:rsidR="002A5E08" w:rsidRPr="00120F96" w:rsidRDefault="002A5E08" w:rsidP="00970743">
            <w:pPr>
              <w:keepNext/>
              <w:keepLines/>
              <w:spacing w:after="0"/>
              <w:ind w:firstLine="0"/>
              <w:jc w:val="right"/>
              <w:rPr>
                <w:i/>
                <w:sz w:val="18"/>
                <w:szCs w:val="18"/>
              </w:rPr>
            </w:pPr>
            <w:r w:rsidRPr="00120F96">
              <w:rPr>
                <w:i/>
                <w:sz w:val="18"/>
                <w:szCs w:val="18"/>
              </w:rPr>
              <w:t>0,3</w:t>
            </w:r>
          </w:p>
        </w:tc>
        <w:tc>
          <w:tcPr>
            <w:tcW w:w="459" w:type="pct"/>
            <w:tcBorders>
              <w:top w:val="nil"/>
              <w:left w:val="nil"/>
              <w:bottom w:val="single" w:sz="4" w:space="0" w:color="auto"/>
              <w:right w:val="single" w:sz="4" w:space="0" w:color="auto"/>
            </w:tcBorders>
            <w:shd w:val="clear" w:color="auto" w:fill="auto"/>
            <w:hideMark/>
          </w:tcPr>
          <w:p w14:paraId="6B896E9D" w14:textId="77777777" w:rsidR="002A5E08" w:rsidRPr="00AC3042" w:rsidRDefault="002A5E08" w:rsidP="00970743">
            <w:pPr>
              <w:keepNext/>
              <w:keepLines/>
              <w:spacing w:after="0"/>
              <w:ind w:firstLine="0"/>
              <w:jc w:val="right"/>
              <w:rPr>
                <w:i/>
                <w:sz w:val="18"/>
                <w:szCs w:val="18"/>
              </w:rPr>
            </w:pPr>
            <w:r w:rsidRPr="00AC3042">
              <w:rPr>
                <w:i/>
                <w:sz w:val="18"/>
                <w:szCs w:val="18"/>
              </w:rPr>
              <w:t>97,4</w:t>
            </w:r>
          </w:p>
        </w:tc>
        <w:tc>
          <w:tcPr>
            <w:tcW w:w="459" w:type="pct"/>
            <w:tcBorders>
              <w:top w:val="nil"/>
              <w:left w:val="nil"/>
              <w:bottom w:val="single" w:sz="4" w:space="0" w:color="auto"/>
              <w:right w:val="single" w:sz="4" w:space="0" w:color="auto"/>
            </w:tcBorders>
            <w:shd w:val="clear" w:color="auto" w:fill="auto"/>
            <w:hideMark/>
          </w:tcPr>
          <w:p w14:paraId="12657C6B" w14:textId="77777777" w:rsidR="002A5E08" w:rsidRPr="00E86687" w:rsidRDefault="002A5E08" w:rsidP="00970743">
            <w:pPr>
              <w:keepNext/>
              <w:keepLines/>
              <w:spacing w:after="0"/>
              <w:ind w:firstLine="0"/>
              <w:jc w:val="right"/>
              <w:rPr>
                <w:i/>
                <w:sz w:val="18"/>
                <w:szCs w:val="18"/>
              </w:rPr>
            </w:pPr>
            <w:r w:rsidRPr="00E86687">
              <w:rPr>
                <w:i/>
                <w:sz w:val="18"/>
                <w:szCs w:val="18"/>
              </w:rPr>
              <w:t>0,3</w:t>
            </w:r>
          </w:p>
        </w:tc>
        <w:tc>
          <w:tcPr>
            <w:tcW w:w="459" w:type="pct"/>
            <w:tcBorders>
              <w:top w:val="nil"/>
              <w:left w:val="nil"/>
              <w:bottom w:val="single" w:sz="4" w:space="0" w:color="auto"/>
              <w:right w:val="single" w:sz="4" w:space="0" w:color="auto"/>
            </w:tcBorders>
            <w:shd w:val="clear" w:color="auto" w:fill="auto"/>
            <w:hideMark/>
          </w:tcPr>
          <w:p w14:paraId="5A62C041" w14:textId="77777777" w:rsidR="002A5E08" w:rsidRPr="00E86687" w:rsidRDefault="002A5E08" w:rsidP="00970743">
            <w:pPr>
              <w:keepNext/>
              <w:keepLines/>
              <w:spacing w:after="0"/>
              <w:ind w:firstLine="0"/>
              <w:jc w:val="right"/>
              <w:rPr>
                <w:i/>
                <w:sz w:val="18"/>
                <w:szCs w:val="18"/>
              </w:rPr>
            </w:pPr>
            <w:r w:rsidRPr="00E86687">
              <w:rPr>
                <w:i/>
                <w:sz w:val="18"/>
                <w:szCs w:val="18"/>
              </w:rPr>
              <w:t>102,2</w:t>
            </w:r>
          </w:p>
        </w:tc>
        <w:tc>
          <w:tcPr>
            <w:tcW w:w="459" w:type="pct"/>
            <w:tcBorders>
              <w:top w:val="nil"/>
              <w:left w:val="nil"/>
              <w:bottom w:val="single" w:sz="4" w:space="0" w:color="auto"/>
              <w:right w:val="single" w:sz="4" w:space="0" w:color="auto"/>
            </w:tcBorders>
            <w:shd w:val="clear" w:color="auto" w:fill="auto"/>
            <w:hideMark/>
          </w:tcPr>
          <w:p w14:paraId="19765DF9" w14:textId="77777777" w:rsidR="002A5E08" w:rsidRPr="00E86687" w:rsidRDefault="002A5E08" w:rsidP="00970743">
            <w:pPr>
              <w:keepNext/>
              <w:keepLines/>
              <w:spacing w:after="0"/>
              <w:ind w:firstLine="0"/>
              <w:jc w:val="right"/>
              <w:rPr>
                <w:i/>
                <w:sz w:val="18"/>
                <w:szCs w:val="18"/>
              </w:rPr>
            </w:pPr>
            <w:r w:rsidRPr="00E86687">
              <w:rPr>
                <w:i/>
                <w:sz w:val="18"/>
                <w:szCs w:val="18"/>
              </w:rPr>
              <w:t>0,3</w:t>
            </w:r>
          </w:p>
        </w:tc>
        <w:tc>
          <w:tcPr>
            <w:tcW w:w="459" w:type="pct"/>
            <w:tcBorders>
              <w:top w:val="nil"/>
              <w:left w:val="nil"/>
              <w:bottom w:val="single" w:sz="4" w:space="0" w:color="auto"/>
              <w:right w:val="single" w:sz="4" w:space="0" w:color="auto"/>
            </w:tcBorders>
            <w:shd w:val="clear" w:color="auto" w:fill="auto"/>
            <w:hideMark/>
          </w:tcPr>
          <w:p w14:paraId="6CFFE38F" w14:textId="77777777" w:rsidR="002A5E08" w:rsidRPr="00EB2728" w:rsidRDefault="002A5E08" w:rsidP="00970743">
            <w:pPr>
              <w:keepNext/>
              <w:keepLines/>
              <w:spacing w:after="0"/>
              <w:ind w:firstLine="0"/>
              <w:jc w:val="right"/>
              <w:rPr>
                <w:i/>
                <w:iCs/>
                <w:sz w:val="18"/>
                <w:szCs w:val="18"/>
              </w:rPr>
            </w:pPr>
            <w:r w:rsidRPr="00EB2728">
              <w:rPr>
                <w:i/>
                <w:sz w:val="18"/>
                <w:szCs w:val="18"/>
              </w:rPr>
              <w:t>106,1</w:t>
            </w:r>
          </w:p>
        </w:tc>
        <w:tc>
          <w:tcPr>
            <w:tcW w:w="460" w:type="pct"/>
            <w:tcBorders>
              <w:top w:val="nil"/>
              <w:left w:val="nil"/>
              <w:bottom w:val="single" w:sz="4" w:space="0" w:color="auto"/>
              <w:right w:val="single" w:sz="4" w:space="0" w:color="auto"/>
            </w:tcBorders>
            <w:shd w:val="clear" w:color="auto" w:fill="auto"/>
            <w:hideMark/>
          </w:tcPr>
          <w:p w14:paraId="2FC9D771" w14:textId="77777777" w:rsidR="002A5E08" w:rsidRPr="00EB2728" w:rsidRDefault="002A5E08" w:rsidP="00970743">
            <w:pPr>
              <w:keepNext/>
              <w:keepLines/>
              <w:spacing w:after="0"/>
              <w:ind w:firstLine="0"/>
              <w:jc w:val="right"/>
              <w:rPr>
                <w:i/>
                <w:iCs/>
                <w:sz w:val="18"/>
                <w:szCs w:val="18"/>
              </w:rPr>
            </w:pPr>
            <w:r w:rsidRPr="00EB2728">
              <w:rPr>
                <w:i/>
                <w:sz w:val="18"/>
                <w:szCs w:val="18"/>
              </w:rPr>
              <w:t>0,3</w:t>
            </w:r>
          </w:p>
        </w:tc>
      </w:tr>
      <w:tr w:rsidR="002A5E08" w:rsidRPr="00E86687" w14:paraId="65AF97CD" w14:textId="77777777" w:rsidTr="00970743">
        <w:trPr>
          <w:cantSplit/>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14:paraId="504A9181" w14:textId="77777777" w:rsidR="002A5E08" w:rsidRPr="00120F96" w:rsidRDefault="002A5E08" w:rsidP="00970743">
            <w:pPr>
              <w:keepNext/>
              <w:keepLines/>
              <w:spacing w:after="0"/>
              <w:ind w:left="170" w:firstLine="0"/>
              <w:jc w:val="left"/>
              <w:rPr>
                <w:i/>
                <w:sz w:val="18"/>
                <w:szCs w:val="18"/>
                <w:lang w:eastAsia="lv-LV"/>
              </w:rPr>
            </w:pPr>
            <w:r w:rsidRPr="00120F96">
              <w:rPr>
                <w:i/>
                <w:sz w:val="18"/>
                <w:szCs w:val="18"/>
                <w:lang w:eastAsia="lv-LV"/>
              </w:rPr>
              <w:t>Uzņēmumu vieglo transportlīdzekļu nodoklis</w:t>
            </w:r>
          </w:p>
        </w:tc>
        <w:tc>
          <w:tcPr>
            <w:tcW w:w="459" w:type="pct"/>
            <w:tcBorders>
              <w:top w:val="nil"/>
              <w:left w:val="nil"/>
              <w:bottom w:val="single" w:sz="4" w:space="0" w:color="auto"/>
              <w:right w:val="single" w:sz="4" w:space="0" w:color="auto"/>
            </w:tcBorders>
            <w:shd w:val="clear" w:color="auto" w:fill="auto"/>
            <w:hideMark/>
          </w:tcPr>
          <w:p w14:paraId="57BCD868" w14:textId="77777777" w:rsidR="002A5E08" w:rsidRPr="00120F96" w:rsidRDefault="002A5E08" w:rsidP="00970743">
            <w:pPr>
              <w:keepNext/>
              <w:keepLines/>
              <w:spacing w:after="0"/>
              <w:ind w:firstLine="0"/>
              <w:jc w:val="right"/>
              <w:rPr>
                <w:i/>
                <w:sz w:val="18"/>
                <w:szCs w:val="18"/>
              </w:rPr>
            </w:pPr>
            <w:r w:rsidRPr="00120F96">
              <w:rPr>
                <w:i/>
                <w:sz w:val="18"/>
                <w:szCs w:val="18"/>
              </w:rPr>
              <w:t>21,1</w:t>
            </w:r>
          </w:p>
        </w:tc>
        <w:tc>
          <w:tcPr>
            <w:tcW w:w="459" w:type="pct"/>
            <w:tcBorders>
              <w:top w:val="nil"/>
              <w:left w:val="nil"/>
              <w:bottom w:val="single" w:sz="4" w:space="0" w:color="auto"/>
              <w:right w:val="single" w:sz="4" w:space="0" w:color="auto"/>
            </w:tcBorders>
            <w:shd w:val="clear" w:color="auto" w:fill="auto"/>
            <w:hideMark/>
          </w:tcPr>
          <w:p w14:paraId="02C6DFC2" w14:textId="77777777" w:rsidR="002A5E08" w:rsidRPr="00AC3042" w:rsidRDefault="002A5E08" w:rsidP="00970743">
            <w:pPr>
              <w:keepNext/>
              <w:keepLines/>
              <w:spacing w:after="0"/>
              <w:ind w:firstLine="0"/>
              <w:jc w:val="right"/>
              <w:rPr>
                <w:i/>
                <w:sz w:val="18"/>
                <w:szCs w:val="18"/>
              </w:rPr>
            </w:pPr>
            <w:r w:rsidRPr="00AC3042">
              <w:rPr>
                <w:i/>
                <w:sz w:val="18"/>
                <w:szCs w:val="18"/>
              </w:rPr>
              <w:t>0,1</w:t>
            </w:r>
          </w:p>
        </w:tc>
        <w:tc>
          <w:tcPr>
            <w:tcW w:w="459" w:type="pct"/>
            <w:tcBorders>
              <w:top w:val="nil"/>
              <w:left w:val="nil"/>
              <w:bottom w:val="single" w:sz="4" w:space="0" w:color="auto"/>
              <w:right w:val="single" w:sz="4" w:space="0" w:color="auto"/>
            </w:tcBorders>
            <w:shd w:val="clear" w:color="auto" w:fill="auto"/>
            <w:hideMark/>
          </w:tcPr>
          <w:p w14:paraId="2282BE04" w14:textId="77777777" w:rsidR="002A5E08" w:rsidRPr="00E86687" w:rsidRDefault="002A5E08" w:rsidP="00970743">
            <w:pPr>
              <w:keepNext/>
              <w:keepLines/>
              <w:spacing w:after="0"/>
              <w:ind w:firstLine="0"/>
              <w:jc w:val="right"/>
              <w:rPr>
                <w:i/>
                <w:sz w:val="18"/>
                <w:szCs w:val="18"/>
              </w:rPr>
            </w:pPr>
            <w:r w:rsidRPr="00E86687">
              <w:rPr>
                <w:i/>
                <w:sz w:val="18"/>
                <w:szCs w:val="18"/>
              </w:rPr>
              <w:t>21,8</w:t>
            </w:r>
          </w:p>
        </w:tc>
        <w:tc>
          <w:tcPr>
            <w:tcW w:w="459" w:type="pct"/>
            <w:tcBorders>
              <w:top w:val="nil"/>
              <w:left w:val="nil"/>
              <w:bottom w:val="single" w:sz="4" w:space="0" w:color="auto"/>
              <w:right w:val="single" w:sz="4" w:space="0" w:color="auto"/>
            </w:tcBorders>
            <w:shd w:val="clear" w:color="auto" w:fill="auto"/>
            <w:hideMark/>
          </w:tcPr>
          <w:p w14:paraId="0CC05D33" w14:textId="77777777" w:rsidR="002A5E08" w:rsidRPr="00E86687" w:rsidRDefault="002A5E08" w:rsidP="00970743">
            <w:pPr>
              <w:keepNext/>
              <w:keepLines/>
              <w:spacing w:after="0"/>
              <w:ind w:firstLine="0"/>
              <w:jc w:val="right"/>
              <w:rPr>
                <w:i/>
                <w:sz w:val="18"/>
                <w:szCs w:val="18"/>
              </w:rPr>
            </w:pPr>
            <w:r w:rsidRPr="00E86687">
              <w:rPr>
                <w:i/>
                <w:sz w:val="18"/>
                <w:szCs w:val="18"/>
              </w:rPr>
              <w:t>0,1</w:t>
            </w:r>
          </w:p>
        </w:tc>
        <w:tc>
          <w:tcPr>
            <w:tcW w:w="459" w:type="pct"/>
            <w:tcBorders>
              <w:top w:val="nil"/>
              <w:left w:val="nil"/>
              <w:bottom w:val="single" w:sz="4" w:space="0" w:color="auto"/>
              <w:right w:val="single" w:sz="4" w:space="0" w:color="auto"/>
            </w:tcBorders>
            <w:shd w:val="clear" w:color="auto" w:fill="auto"/>
            <w:hideMark/>
          </w:tcPr>
          <w:p w14:paraId="4AC42B6B" w14:textId="77777777" w:rsidR="002A5E08" w:rsidRPr="00E86687" w:rsidRDefault="002A5E08" w:rsidP="00970743">
            <w:pPr>
              <w:keepNext/>
              <w:keepLines/>
              <w:spacing w:after="0"/>
              <w:ind w:firstLine="0"/>
              <w:jc w:val="right"/>
              <w:rPr>
                <w:i/>
                <w:sz w:val="18"/>
                <w:szCs w:val="18"/>
              </w:rPr>
            </w:pPr>
            <w:r w:rsidRPr="00E86687">
              <w:rPr>
                <w:i/>
                <w:sz w:val="18"/>
                <w:szCs w:val="18"/>
              </w:rPr>
              <w:t>22,9</w:t>
            </w:r>
          </w:p>
        </w:tc>
        <w:tc>
          <w:tcPr>
            <w:tcW w:w="459" w:type="pct"/>
            <w:tcBorders>
              <w:top w:val="nil"/>
              <w:left w:val="nil"/>
              <w:bottom w:val="single" w:sz="4" w:space="0" w:color="auto"/>
              <w:right w:val="single" w:sz="4" w:space="0" w:color="auto"/>
            </w:tcBorders>
            <w:shd w:val="clear" w:color="auto" w:fill="auto"/>
            <w:hideMark/>
          </w:tcPr>
          <w:p w14:paraId="62C2830F" w14:textId="77777777" w:rsidR="002A5E08" w:rsidRPr="00E86687" w:rsidRDefault="002A5E08" w:rsidP="00970743">
            <w:pPr>
              <w:keepNext/>
              <w:keepLines/>
              <w:spacing w:after="0"/>
              <w:ind w:firstLine="0"/>
              <w:jc w:val="right"/>
              <w:rPr>
                <w:i/>
                <w:sz w:val="18"/>
                <w:szCs w:val="18"/>
              </w:rPr>
            </w:pPr>
            <w:r w:rsidRPr="00E86687">
              <w:rPr>
                <w:i/>
                <w:sz w:val="18"/>
                <w:szCs w:val="18"/>
              </w:rPr>
              <w:t>0,1</w:t>
            </w:r>
          </w:p>
        </w:tc>
        <w:tc>
          <w:tcPr>
            <w:tcW w:w="459" w:type="pct"/>
            <w:tcBorders>
              <w:top w:val="nil"/>
              <w:left w:val="nil"/>
              <w:bottom w:val="single" w:sz="4" w:space="0" w:color="auto"/>
              <w:right w:val="single" w:sz="4" w:space="0" w:color="auto"/>
            </w:tcBorders>
            <w:shd w:val="clear" w:color="auto" w:fill="auto"/>
            <w:hideMark/>
          </w:tcPr>
          <w:p w14:paraId="5B2AB276" w14:textId="77777777" w:rsidR="002A5E08" w:rsidRPr="00EB2728" w:rsidRDefault="002A5E08" w:rsidP="00970743">
            <w:pPr>
              <w:keepNext/>
              <w:keepLines/>
              <w:spacing w:after="0"/>
              <w:ind w:firstLine="0"/>
              <w:jc w:val="right"/>
              <w:rPr>
                <w:i/>
                <w:iCs/>
                <w:sz w:val="18"/>
                <w:szCs w:val="18"/>
              </w:rPr>
            </w:pPr>
            <w:r w:rsidRPr="00EB2728">
              <w:rPr>
                <w:i/>
                <w:sz w:val="18"/>
                <w:szCs w:val="18"/>
              </w:rPr>
              <w:t>22,9</w:t>
            </w:r>
          </w:p>
        </w:tc>
        <w:tc>
          <w:tcPr>
            <w:tcW w:w="460" w:type="pct"/>
            <w:tcBorders>
              <w:top w:val="nil"/>
              <w:left w:val="nil"/>
              <w:bottom w:val="single" w:sz="4" w:space="0" w:color="auto"/>
              <w:right w:val="single" w:sz="4" w:space="0" w:color="auto"/>
            </w:tcBorders>
            <w:shd w:val="clear" w:color="auto" w:fill="auto"/>
            <w:hideMark/>
          </w:tcPr>
          <w:p w14:paraId="100D34CF" w14:textId="77777777" w:rsidR="002A5E08" w:rsidRPr="00EB2728" w:rsidRDefault="002A5E08" w:rsidP="00970743">
            <w:pPr>
              <w:keepNext/>
              <w:keepLines/>
              <w:spacing w:after="0"/>
              <w:ind w:firstLine="0"/>
              <w:jc w:val="right"/>
              <w:rPr>
                <w:i/>
                <w:iCs/>
                <w:sz w:val="18"/>
                <w:szCs w:val="18"/>
              </w:rPr>
            </w:pPr>
            <w:r w:rsidRPr="00EB2728">
              <w:rPr>
                <w:i/>
                <w:sz w:val="18"/>
                <w:szCs w:val="18"/>
              </w:rPr>
              <w:t>0,1</w:t>
            </w:r>
          </w:p>
        </w:tc>
      </w:tr>
      <w:tr w:rsidR="002A5E08" w:rsidRPr="00E86687" w14:paraId="79F2FA7A" w14:textId="77777777" w:rsidTr="00970743">
        <w:trPr>
          <w:cantSplit/>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14:paraId="1C5F92EE" w14:textId="77777777" w:rsidR="002A5E08" w:rsidRPr="00120F96" w:rsidRDefault="002A5E08" w:rsidP="00970743">
            <w:pPr>
              <w:keepNext/>
              <w:keepLines/>
              <w:spacing w:after="0"/>
              <w:ind w:left="170" w:firstLine="0"/>
              <w:jc w:val="left"/>
              <w:rPr>
                <w:i/>
                <w:sz w:val="18"/>
                <w:szCs w:val="18"/>
                <w:lang w:eastAsia="lv-LV"/>
              </w:rPr>
            </w:pPr>
            <w:r w:rsidRPr="00120F96">
              <w:rPr>
                <w:i/>
                <w:sz w:val="18"/>
                <w:szCs w:val="18"/>
                <w:lang w:eastAsia="lv-LV"/>
              </w:rPr>
              <w:t>Elektroenerģijas nodoklis</w:t>
            </w:r>
          </w:p>
        </w:tc>
        <w:tc>
          <w:tcPr>
            <w:tcW w:w="459" w:type="pct"/>
            <w:tcBorders>
              <w:top w:val="nil"/>
              <w:left w:val="nil"/>
              <w:bottom w:val="single" w:sz="4" w:space="0" w:color="auto"/>
              <w:right w:val="single" w:sz="4" w:space="0" w:color="auto"/>
            </w:tcBorders>
            <w:shd w:val="clear" w:color="auto" w:fill="auto"/>
            <w:hideMark/>
          </w:tcPr>
          <w:p w14:paraId="199466D1" w14:textId="77777777" w:rsidR="002A5E08" w:rsidRPr="00120F96" w:rsidRDefault="002A5E08" w:rsidP="00970743">
            <w:pPr>
              <w:keepNext/>
              <w:keepLines/>
              <w:spacing w:after="0"/>
              <w:ind w:firstLine="0"/>
              <w:jc w:val="right"/>
              <w:rPr>
                <w:i/>
                <w:sz w:val="18"/>
                <w:szCs w:val="18"/>
              </w:rPr>
            </w:pPr>
            <w:r w:rsidRPr="00120F96">
              <w:rPr>
                <w:i/>
                <w:sz w:val="18"/>
                <w:szCs w:val="18"/>
              </w:rPr>
              <w:t>5,0</w:t>
            </w:r>
          </w:p>
        </w:tc>
        <w:tc>
          <w:tcPr>
            <w:tcW w:w="459" w:type="pct"/>
            <w:tcBorders>
              <w:top w:val="nil"/>
              <w:left w:val="nil"/>
              <w:bottom w:val="single" w:sz="4" w:space="0" w:color="auto"/>
              <w:right w:val="single" w:sz="4" w:space="0" w:color="auto"/>
            </w:tcBorders>
            <w:shd w:val="clear" w:color="auto" w:fill="auto"/>
            <w:hideMark/>
          </w:tcPr>
          <w:p w14:paraId="6D3915CC" w14:textId="77777777" w:rsidR="002A5E08" w:rsidRPr="00120F96" w:rsidRDefault="002A5E08" w:rsidP="00970743">
            <w:pPr>
              <w:keepNext/>
              <w:keepLines/>
              <w:spacing w:after="0"/>
              <w:ind w:firstLine="0"/>
              <w:jc w:val="right"/>
              <w:rPr>
                <w:i/>
                <w:sz w:val="18"/>
                <w:szCs w:val="18"/>
              </w:rPr>
            </w:pPr>
            <w:r w:rsidRPr="00120F96">
              <w:rPr>
                <w:i/>
                <w:sz w:val="18"/>
                <w:szCs w:val="18"/>
              </w:rPr>
              <w:t>0,0</w:t>
            </w:r>
          </w:p>
        </w:tc>
        <w:tc>
          <w:tcPr>
            <w:tcW w:w="459" w:type="pct"/>
            <w:tcBorders>
              <w:top w:val="nil"/>
              <w:left w:val="nil"/>
              <w:bottom w:val="single" w:sz="4" w:space="0" w:color="auto"/>
              <w:right w:val="single" w:sz="4" w:space="0" w:color="auto"/>
            </w:tcBorders>
            <w:shd w:val="clear" w:color="auto" w:fill="auto"/>
            <w:hideMark/>
          </w:tcPr>
          <w:p w14:paraId="420623F4" w14:textId="77777777" w:rsidR="002A5E08" w:rsidRPr="00AC3042" w:rsidRDefault="002A5E08" w:rsidP="00970743">
            <w:pPr>
              <w:keepNext/>
              <w:keepLines/>
              <w:spacing w:after="0"/>
              <w:ind w:firstLine="0"/>
              <w:jc w:val="right"/>
              <w:rPr>
                <w:i/>
                <w:sz w:val="18"/>
                <w:szCs w:val="18"/>
              </w:rPr>
            </w:pPr>
            <w:r w:rsidRPr="00AC3042">
              <w:rPr>
                <w:i/>
                <w:sz w:val="18"/>
                <w:szCs w:val="18"/>
              </w:rPr>
              <w:t>4,8</w:t>
            </w:r>
          </w:p>
        </w:tc>
        <w:tc>
          <w:tcPr>
            <w:tcW w:w="459" w:type="pct"/>
            <w:tcBorders>
              <w:top w:val="nil"/>
              <w:left w:val="nil"/>
              <w:bottom w:val="single" w:sz="4" w:space="0" w:color="auto"/>
              <w:right w:val="single" w:sz="4" w:space="0" w:color="auto"/>
            </w:tcBorders>
            <w:shd w:val="clear" w:color="auto" w:fill="auto"/>
            <w:hideMark/>
          </w:tcPr>
          <w:p w14:paraId="009E1066" w14:textId="77777777" w:rsidR="002A5E08" w:rsidRPr="00E86687" w:rsidRDefault="002A5E08" w:rsidP="00970743">
            <w:pPr>
              <w:keepNext/>
              <w:keepLines/>
              <w:spacing w:after="0"/>
              <w:ind w:firstLine="0"/>
              <w:jc w:val="right"/>
              <w:rPr>
                <w:i/>
                <w:sz w:val="18"/>
                <w:szCs w:val="18"/>
              </w:rPr>
            </w:pPr>
            <w:r w:rsidRPr="00E86687">
              <w:rPr>
                <w:i/>
                <w:sz w:val="18"/>
                <w:szCs w:val="18"/>
              </w:rPr>
              <w:t>0,0</w:t>
            </w:r>
          </w:p>
        </w:tc>
        <w:tc>
          <w:tcPr>
            <w:tcW w:w="459" w:type="pct"/>
            <w:tcBorders>
              <w:top w:val="nil"/>
              <w:left w:val="nil"/>
              <w:bottom w:val="single" w:sz="4" w:space="0" w:color="auto"/>
              <w:right w:val="single" w:sz="4" w:space="0" w:color="auto"/>
            </w:tcBorders>
            <w:shd w:val="clear" w:color="auto" w:fill="auto"/>
            <w:hideMark/>
          </w:tcPr>
          <w:p w14:paraId="4AE7DAD7" w14:textId="77777777" w:rsidR="002A5E08" w:rsidRPr="00E86687" w:rsidRDefault="002A5E08" w:rsidP="00970743">
            <w:pPr>
              <w:keepNext/>
              <w:keepLines/>
              <w:spacing w:after="0"/>
              <w:ind w:firstLine="0"/>
              <w:jc w:val="right"/>
              <w:rPr>
                <w:i/>
                <w:sz w:val="18"/>
                <w:szCs w:val="18"/>
              </w:rPr>
            </w:pPr>
            <w:r w:rsidRPr="00E86687">
              <w:rPr>
                <w:i/>
                <w:sz w:val="18"/>
                <w:szCs w:val="18"/>
              </w:rPr>
              <w:t>4,8</w:t>
            </w:r>
          </w:p>
        </w:tc>
        <w:tc>
          <w:tcPr>
            <w:tcW w:w="459" w:type="pct"/>
            <w:tcBorders>
              <w:top w:val="nil"/>
              <w:left w:val="nil"/>
              <w:bottom w:val="single" w:sz="4" w:space="0" w:color="auto"/>
              <w:right w:val="single" w:sz="4" w:space="0" w:color="auto"/>
            </w:tcBorders>
            <w:shd w:val="clear" w:color="auto" w:fill="auto"/>
            <w:hideMark/>
          </w:tcPr>
          <w:p w14:paraId="3BC35661" w14:textId="77777777" w:rsidR="002A5E08" w:rsidRPr="00E86687" w:rsidRDefault="002A5E08" w:rsidP="00970743">
            <w:pPr>
              <w:keepNext/>
              <w:keepLines/>
              <w:spacing w:after="0"/>
              <w:ind w:firstLine="0"/>
              <w:jc w:val="right"/>
              <w:rPr>
                <w:i/>
                <w:sz w:val="18"/>
                <w:szCs w:val="18"/>
              </w:rPr>
            </w:pPr>
            <w:r w:rsidRPr="00E86687">
              <w:rPr>
                <w:i/>
                <w:sz w:val="18"/>
                <w:szCs w:val="18"/>
              </w:rPr>
              <w:t>0,0</w:t>
            </w:r>
          </w:p>
        </w:tc>
        <w:tc>
          <w:tcPr>
            <w:tcW w:w="459" w:type="pct"/>
            <w:tcBorders>
              <w:top w:val="nil"/>
              <w:left w:val="nil"/>
              <w:bottom w:val="single" w:sz="4" w:space="0" w:color="auto"/>
              <w:right w:val="single" w:sz="4" w:space="0" w:color="auto"/>
            </w:tcBorders>
            <w:shd w:val="clear" w:color="auto" w:fill="auto"/>
            <w:hideMark/>
          </w:tcPr>
          <w:p w14:paraId="4FD5983C" w14:textId="77777777" w:rsidR="002A5E08" w:rsidRPr="00EB2728" w:rsidRDefault="002A5E08" w:rsidP="00970743">
            <w:pPr>
              <w:keepNext/>
              <w:keepLines/>
              <w:spacing w:after="0"/>
              <w:ind w:firstLine="0"/>
              <w:jc w:val="right"/>
              <w:rPr>
                <w:i/>
                <w:iCs/>
                <w:sz w:val="18"/>
                <w:szCs w:val="18"/>
              </w:rPr>
            </w:pPr>
            <w:r w:rsidRPr="00EB2728">
              <w:rPr>
                <w:i/>
                <w:sz w:val="18"/>
                <w:szCs w:val="18"/>
              </w:rPr>
              <w:t>4,9</w:t>
            </w:r>
          </w:p>
        </w:tc>
        <w:tc>
          <w:tcPr>
            <w:tcW w:w="460" w:type="pct"/>
            <w:tcBorders>
              <w:top w:val="nil"/>
              <w:left w:val="nil"/>
              <w:bottom w:val="single" w:sz="4" w:space="0" w:color="auto"/>
              <w:right w:val="single" w:sz="4" w:space="0" w:color="auto"/>
            </w:tcBorders>
            <w:shd w:val="clear" w:color="auto" w:fill="auto"/>
            <w:hideMark/>
          </w:tcPr>
          <w:p w14:paraId="503E1D32" w14:textId="77777777" w:rsidR="002A5E08" w:rsidRPr="00EB2728" w:rsidRDefault="002A5E08" w:rsidP="00970743">
            <w:pPr>
              <w:keepNext/>
              <w:keepLines/>
              <w:spacing w:after="0"/>
              <w:ind w:firstLine="0"/>
              <w:jc w:val="right"/>
              <w:rPr>
                <w:i/>
                <w:iCs/>
                <w:sz w:val="18"/>
                <w:szCs w:val="18"/>
              </w:rPr>
            </w:pPr>
            <w:r w:rsidRPr="00EB2728">
              <w:rPr>
                <w:i/>
                <w:sz w:val="18"/>
                <w:szCs w:val="18"/>
              </w:rPr>
              <w:t>0,0</w:t>
            </w:r>
          </w:p>
        </w:tc>
      </w:tr>
      <w:tr w:rsidR="002A5E08" w:rsidRPr="00E86687" w14:paraId="486935EE" w14:textId="77777777" w:rsidTr="00970743">
        <w:trPr>
          <w:cantSplit/>
          <w:trHeight w:val="20"/>
        </w:trPr>
        <w:tc>
          <w:tcPr>
            <w:tcW w:w="1327" w:type="pct"/>
            <w:tcBorders>
              <w:top w:val="nil"/>
              <w:left w:val="single" w:sz="4" w:space="0" w:color="auto"/>
              <w:bottom w:val="single" w:sz="4" w:space="0" w:color="auto"/>
              <w:right w:val="single" w:sz="4" w:space="0" w:color="auto"/>
            </w:tcBorders>
            <w:shd w:val="clear" w:color="auto" w:fill="auto"/>
            <w:vAlign w:val="center"/>
            <w:hideMark/>
          </w:tcPr>
          <w:p w14:paraId="79800910" w14:textId="77777777" w:rsidR="002A5E08" w:rsidRPr="00120F96" w:rsidRDefault="002A5E08" w:rsidP="00970743">
            <w:pPr>
              <w:keepNext/>
              <w:keepLines/>
              <w:spacing w:after="0"/>
              <w:ind w:left="170" w:firstLine="0"/>
              <w:jc w:val="left"/>
              <w:rPr>
                <w:i/>
                <w:sz w:val="18"/>
                <w:szCs w:val="18"/>
                <w:lang w:eastAsia="lv-LV"/>
              </w:rPr>
            </w:pPr>
            <w:r w:rsidRPr="00120F96">
              <w:rPr>
                <w:i/>
                <w:sz w:val="18"/>
                <w:szCs w:val="18"/>
                <w:lang w:eastAsia="lv-LV"/>
              </w:rPr>
              <w:t>Muitas nodoklis</w:t>
            </w:r>
          </w:p>
        </w:tc>
        <w:tc>
          <w:tcPr>
            <w:tcW w:w="459" w:type="pct"/>
            <w:tcBorders>
              <w:top w:val="nil"/>
              <w:left w:val="nil"/>
              <w:bottom w:val="single" w:sz="4" w:space="0" w:color="auto"/>
              <w:right w:val="single" w:sz="4" w:space="0" w:color="auto"/>
            </w:tcBorders>
            <w:shd w:val="clear" w:color="auto" w:fill="auto"/>
            <w:hideMark/>
          </w:tcPr>
          <w:p w14:paraId="3FE896A2" w14:textId="77777777" w:rsidR="002A5E08" w:rsidRPr="00120F96" w:rsidRDefault="002A5E08" w:rsidP="00970743">
            <w:pPr>
              <w:keepNext/>
              <w:keepLines/>
              <w:spacing w:after="0"/>
              <w:ind w:firstLine="0"/>
              <w:jc w:val="right"/>
              <w:rPr>
                <w:i/>
                <w:sz w:val="18"/>
                <w:szCs w:val="18"/>
              </w:rPr>
            </w:pPr>
            <w:r w:rsidRPr="00120F96">
              <w:rPr>
                <w:i/>
                <w:sz w:val="18"/>
                <w:szCs w:val="18"/>
              </w:rPr>
              <w:t>49,7</w:t>
            </w:r>
          </w:p>
        </w:tc>
        <w:tc>
          <w:tcPr>
            <w:tcW w:w="459" w:type="pct"/>
            <w:tcBorders>
              <w:top w:val="nil"/>
              <w:left w:val="nil"/>
              <w:bottom w:val="single" w:sz="4" w:space="0" w:color="auto"/>
              <w:right w:val="single" w:sz="4" w:space="0" w:color="auto"/>
            </w:tcBorders>
            <w:shd w:val="clear" w:color="auto" w:fill="auto"/>
            <w:hideMark/>
          </w:tcPr>
          <w:p w14:paraId="58E7AD60" w14:textId="77777777" w:rsidR="002A5E08" w:rsidRPr="00120F96" w:rsidRDefault="002A5E08" w:rsidP="00970743">
            <w:pPr>
              <w:keepNext/>
              <w:keepLines/>
              <w:spacing w:after="0"/>
              <w:ind w:firstLine="0"/>
              <w:jc w:val="right"/>
              <w:rPr>
                <w:i/>
                <w:sz w:val="18"/>
                <w:szCs w:val="18"/>
              </w:rPr>
            </w:pPr>
            <w:r w:rsidRPr="00120F96">
              <w:rPr>
                <w:i/>
                <w:sz w:val="18"/>
                <w:szCs w:val="18"/>
              </w:rPr>
              <w:t>0,2</w:t>
            </w:r>
          </w:p>
        </w:tc>
        <w:tc>
          <w:tcPr>
            <w:tcW w:w="459" w:type="pct"/>
            <w:tcBorders>
              <w:top w:val="nil"/>
              <w:left w:val="nil"/>
              <w:bottom w:val="single" w:sz="4" w:space="0" w:color="auto"/>
              <w:right w:val="single" w:sz="4" w:space="0" w:color="auto"/>
            </w:tcBorders>
            <w:shd w:val="clear" w:color="auto" w:fill="auto"/>
            <w:hideMark/>
          </w:tcPr>
          <w:p w14:paraId="4AF324A0" w14:textId="77777777" w:rsidR="002A5E08" w:rsidRPr="00AC3042" w:rsidRDefault="002A5E08" w:rsidP="00970743">
            <w:pPr>
              <w:keepNext/>
              <w:keepLines/>
              <w:spacing w:after="0"/>
              <w:ind w:firstLine="0"/>
              <w:jc w:val="right"/>
              <w:rPr>
                <w:i/>
                <w:sz w:val="18"/>
                <w:szCs w:val="18"/>
              </w:rPr>
            </w:pPr>
            <w:r w:rsidRPr="00AC3042">
              <w:rPr>
                <w:i/>
                <w:sz w:val="18"/>
                <w:szCs w:val="18"/>
              </w:rPr>
              <w:t>47,7</w:t>
            </w:r>
          </w:p>
        </w:tc>
        <w:tc>
          <w:tcPr>
            <w:tcW w:w="459" w:type="pct"/>
            <w:tcBorders>
              <w:top w:val="nil"/>
              <w:left w:val="nil"/>
              <w:bottom w:val="single" w:sz="4" w:space="0" w:color="auto"/>
              <w:right w:val="single" w:sz="4" w:space="0" w:color="auto"/>
            </w:tcBorders>
            <w:shd w:val="clear" w:color="auto" w:fill="auto"/>
            <w:hideMark/>
          </w:tcPr>
          <w:p w14:paraId="6CD0E56A" w14:textId="77777777" w:rsidR="002A5E08" w:rsidRPr="00E86687" w:rsidRDefault="002A5E08" w:rsidP="00970743">
            <w:pPr>
              <w:keepNext/>
              <w:keepLines/>
              <w:spacing w:after="0"/>
              <w:ind w:firstLine="0"/>
              <w:jc w:val="right"/>
              <w:rPr>
                <w:i/>
                <w:sz w:val="18"/>
                <w:szCs w:val="18"/>
              </w:rPr>
            </w:pPr>
            <w:r w:rsidRPr="00E86687">
              <w:rPr>
                <w:i/>
                <w:sz w:val="18"/>
                <w:szCs w:val="18"/>
              </w:rPr>
              <w:t>0,2</w:t>
            </w:r>
          </w:p>
        </w:tc>
        <w:tc>
          <w:tcPr>
            <w:tcW w:w="459" w:type="pct"/>
            <w:tcBorders>
              <w:top w:val="nil"/>
              <w:left w:val="nil"/>
              <w:bottom w:val="single" w:sz="4" w:space="0" w:color="auto"/>
              <w:right w:val="single" w:sz="4" w:space="0" w:color="auto"/>
            </w:tcBorders>
            <w:shd w:val="clear" w:color="auto" w:fill="auto"/>
            <w:hideMark/>
          </w:tcPr>
          <w:p w14:paraId="24FE04CD" w14:textId="77777777" w:rsidR="002A5E08" w:rsidRPr="00E86687" w:rsidRDefault="002A5E08" w:rsidP="00970743">
            <w:pPr>
              <w:keepNext/>
              <w:keepLines/>
              <w:spacing w:after="0"/>
              <w:ind w:firstLine="0"/>
              <w:jc w:val="right"/>
              <w:rPr>
                <w:i/>
                <w:sz w:val="18"/>
                <w:szCs w:val="18"/>
              </w:rPr>
            </w:pPr>
            <w:r w:rsidRPr="00E86687">
              <w:rPr>
                <w:i/>
                <w:sz w:val="18"/>
                <w:szCs w:val="18"/>
              </w:rPr>
              <w:t>58,5</w:t>
            </w:r>
          </w:p>
        </w:tc>
        <w:tc>
          <w:tcPr>
            <w:tcW w:w="459" w:type="pct"/>
            <w:tcBorders>
              <w:top w:val="nil"/>
              <w:left w:val="nil"/>
              <w:bottom w:val="single" w:sz="4" w:space="0" w:color="auto"/>
              <w:right w:val="single" w:sz="4" w:space="0" w:color="auto"/>
            </w:tcBorders>
            <w:shd w:val="clear" w:color="auto" w:fill="auto"/>
            <w:hideMark/>
          </w:tcPr>
          <w:p w14:paraId="400AF886" w14:textId="77777777" w:rsidR="002A5E08" w:rsidRPr="00E86687" w:rsidRDefault="002A5E08" w:rsidP="00970743">
            <w:pPr>
              <w:keepNext/>
              <w:keepLines/>
              <w:spacing w:after="0"/>
              <w:ind w:firstLine="0"/>
              <w:jc w:val="right"/>
              <w:rPr>
                <w:i/>
                <w:sz w:val="18"/>
                <w:szCs w:val="18"/>
              </w:rPr>
            </w:pPr>
            <w:r w:rsidRPr="00E86687">
              <w:rPr>
                <w:i/>
                <w:sz w:val="18"/>
                <w:szCs w:val="18"/>
              </w:rPr>
              <w:t>0,2</w:t>
            </w:r>
          </w:p>
        </w:tc>
        <w:tc>
          <w:tcPr>
            <w:tcW w:w="459" w:type="pct"/>
            <w:tcBorders>
              <w:top w:val="nil"/>
              <w:left w:val="nil"/>
              <w:bottom w:val="single" w:sz="4" w:space="0" w:color="auto"/>
              <w:right w:val="single" w:sz="4" w:space="0" w:color="auto"/>
            </w:tcBorders>
            <w:shd w:val="clear" w:color="auto" w:fill="auto"/>
            <w:hideMark/>
          </w:tcPr>
          <w:p w14:paraId="7FED1487" w14:textId="77777777" w:rsidR="002A5E08" w:rsidRPr="00EB2728" w:rsidRDefault="002A5E08" w:rsidP="00970743">
            <w:pPr>
              <w:keepNext/>
              <w:keepLines/>
              <w:spacing w:after="0"/>
              <w:ind w:firstLine="0"/>
              <w:jc w:val="right"/>
              <w:rPr>
                <w:i/>
                <w:iCs/>
                <w:sz w:val="18"/>
                <w:szCs w:val="18"/>
              </w:rPr>
            </w:pPr>
            <w:r w:rsidRPr="00EB2728">
              <w:rPr>
                <w:i/>
                <w:sz w:val="18"/>
                <w:szCs w:val="18"/>
              </w:rPr>
              <w:t>61,9</w:t>
            </w:r>
          </w:p>
        </w:tc>
        <w:tc>
          <w:tcPr>
            <w:tcW w:w="460" w:type="pct"/>
            <w:tcBorders>
              <w:top w:val="nil"/>
              <w:left w:val="nil"/>
              <w:bottom w:val="single" w:sz="4" w:space="0" w:color="auto"/>
              <w:right w:val="single" w:sz="4" w:space="0" w:color="auto"/>
            </w:tcBorders>
            <w:shd w:val="clear" w:color="auto" w:fill="auto"/>
            <w:hideMark/>
          </w:tcPr>
          <w:p w14:paraId="453975CE" w14:textId="77777777" w:rsidR="002A5E08" w:rsidRPr="00EB2728" w:rsidRDefault="002A5E08" w:rsidP="00970743">
            <w:pPr>
              <w:keepNext/>
              <w:keepLines/>
              <w:spacing w:after="0"/>
              <w:ind w:firstLine="0"/>
              <w:jc w:val="right"/>
              <w:rPr>
                <w:i/>
                <w:iCs/>
                <w:sz w:val="18"/>
                <w:szCs w:val="18"/>
              </w:rPr>
            </w:pPr>
            <w:r w:rsidRPr="00EB2728">
              <w:rPr>
                <w:i/>
                <w:sz w:val="18"/>
                <w:szCs w:val="18"/>
              </w:rPr>
              <w:t>0,2</w:t>
            </w:r>
          </w:p>
        </w:tc>
      </w:tr>
    </w:tbl>
    <w:p w14:paraId="0746B9FD" w14:textId="77777777" w:rsidR="002A5E08" w:rsidRPr="00FE519F" w:rsidRDefault="002A5E08" w:rsidP="002A5E08">
      <w:pPr>
        <w:spacing w:before="120" w:after="240"/>
        <w:ind w:left="425" w:firstLine="0"/>
        <w:jc w:val="left"/>
        <w:rPr>
          <w:sz w:val="18"/>
          <w:szCs w:val="18"/>
        </w:rPr>
      </w:pPr>
      <w:r w:rsidRPr="00FE519F">
        <w:rPr>
          <w:sz w:val="18"/>
          <w:szCs w:val="18"/>
          <w:vertAlign w:val="superscript"/>
        </w:rPr>
        <w:t>1</w:t>
      </w:r>
      <w:r>
        <w:rPr>
          <w:sz w:val="18"/>
          <w:szCs w:val="18"/>
        </w:rPr>
        <w:t xml:space="preserve"> S</w:t>
      </w:r>
      <w:r w:rsidRPr="00120F96">
        <w:rPr>
          <w:sz w:val="18"/>
          <w:szCs w:val="18"/>
        </w:rPr>
        <w:t xml:space="preserve">askaņā ar likumprojektu </w:t>
      </w:r>
      <w:r w:rsidRPr="00FE519F">
        <w:rPr>
          <w:sz w:val="18"/>
          <w:szCs w:val="18"/>
        </w:rPr>
        <w:t>„Par valsts budžetu 2022. gadam”.</w:t>
      </w:r>
    </w:p>
    <w:p w14:paraId="3F59E02C" w14:textId="77777777" w:rsidR="002A5E08" w:rsidRPr="00855D3E" w:rsidRDefault="002A5E08" w:rsidP="002A5E08">
      <w:pPr>
        <w:spacing w:after="0"/>
        <w:ind w:firstLine="720"/>
      </w:pPr>
      <w:r w:rsidRPr="00855D3E">
        <w:t>2021</w:t>
      </w:r>
      <w:r>
        <w:t>. gad</w:t>
      </w:r>
      <w:r w:rsidRPr="00855D3E">
        <w:t>a netiešo nodokļu ieņēmumu īpatsvars iekšzemes kopproduktā tiek prognozēts 13,1%, savukārt 2022</w:t>
      </w:r>
      <w:r>
        <w:t>. gad</w:t>
      </w:r>
      <w:r w:rsidRPr="00855D3E">
        <w:t>ā tiek plānots, ka to īpatsvars samazināsies par 0,1</w:t>
      </w:r>
      <w:r>
        <w:t> procent</w:t>
      </w:r>
      <w:r w:rsidRPr="00855D3E">
        <w:t>punktu</w:t>
      </w:r>
      <w:r>
        <w:t xml:space="preserve">, ko pamatā ietekmēs </w:t>
      </w:r>
      <w:r w:rsidRPr="00855D3E">
        <w:t>akcīzes nodokļa ieņēmumu īpatsvara samazinājums.</w:t>
      </w:r>
    </w:p>
    <w:p w14:paraId="75F9D9D6" w14:textId="77777777" w:rsidR="002A5E08" w:rsidRPr="00856ECF" w:rsidRDefault="002A5E08" w:rsidP="002A5E08">
      <w:pPr>
        <w:pStyle w:val="H4"/>
        <w:spacing w:before="240" w:after="240"/>
      </w:pPr>
      <w:r w:rsidRPr="00856ECF">
        <w:t>Pievienotās vērtības nodoklis</w:t>
      </w:r>
    </w:p>
    <w:p w14:paraId="0D26EF7D" w14:textId="77777777" w:rsidR="002A5E08" w:rsidRPr="000345A6" w:rsidRDefault="002A5E08" w:rsidP="002A5E08">
      <w:pPr>
        <w:ind w:firstLine="720"/>
        <w:rPr>
          <w:highlight w:val="yellow"/>
        </w:rPr>
      </w:pPr>
      <w:r w:rsidRPr="000345A6">
        <w:t>Pievienotās vērtības nodokļa ieņēmumi ir lielākais valsts pamatbudžeta nodokļu ieņēmumu avots, kas 2021</w:t>
      </w:r>
      <w:r>
        <w:t>. gad</w:t>
      </w:r>
      <w:r w:rsidRPr="000345A6">
        <w:t xml:space="preserve">a sešos mēnešos veidoja </w:t>
      </w:r>
      <w:r>
        <w:t>30,2% no valsts kop</w:t>
      </w:r>
      <w:r w:rsidRPr="000345A6">
        <w:t>budžeta nodokļu ieņēmumiem.</w:t>
      </w:r>
      <w:r>
        <w:t xml:space="preserve"> </w:t>
      </w:r>
      <w:r w:rsidRPr="000345A6">
        <w:t>Pievienotās vērtības nodokļa neto ieņēmumi 2021</w:t>
      </w:r>
      <w:r>
        <w:t>. gad</w:t>
      </w:r>
      <w:r w:rsidRPr="000345A6">
        <w:t>a sešos mēnešos bija 1 321,1</w:t>
      </w:r>
      <w:r>
        <w:t> milj. </w:t>
      </w:r>
      <w:proofErr w:type="spellStart"/>
      <w:r w:rsidRPr="00D705E7">
        <w:rPr>
          <w:i/>
        </w:rPr>
        <w:t>euro</w:t>
      </w:r>
      <w:proofErr w:type="spellEnd"/>
      <w:r w:rsidRPr="000345A6">
        <w:t>, kas salīdzinājumā ar 2020</w:t>
      </w:r>
      <w:r>
        <w:t>. gad</w:t>
      </w:r>
      <w:r w:rsidRPr="000345A6">
        <w:t>a pirmo pusgadu ir par 192,5</w:t>
      </w:r>
      <w:r>
        <w:t> milj. </w:t>
      </w:r>
      <w:proofErr w:type="spellStart"/>
      <w:r w:rsidRPr="00D705E7">
        <w:rPr>
          <w:i/>
        </w:rPr>
        <w:t>euro</w:t>
      </w:r>
      <w:proofErr w:type="spellEnd"/>
      <w:r w:rsidRPr="000345A6">
        <w:t xml:space="preserve"> jeb 17,1% vairāk. Tāpat arī 2021</w:t>
      </w:r>
      <w:r>
        <w:t>. gad</w:t>
      </w:r>
      <w:r w:rsidRPr="000345A6">
        <w:t>a sešu mēnešu izpilde par 42,3</w:t>
      </w:r>
      <w:r>
        <w:t> milj. </w:t>
      </w:r>
      <w:proofErr w:type="spellStart"/>
      <w:r w:rsidRPr="00D705E7">
        <w:rPr>
          <w:i/>
        </w:rPr>
        <w:t>euro</w:t>
      </w:r>
      <w:proofErr w:type="spellEnd"/>
      <w:r w:rsidRPr="000345A6">
        <w:t xml:space="preserve"> jeb 3,3% pārsniedz plānoto, līdz ar to 2021</w:t>
      </w:r>
      <w:r>
        <w:t>. gad</w:t>
      </w:r>
      <w:r w:rsidRPr="000345A6">
        <w:t xml:space="preserve">a pievienotās vērtības nodokļa ieņēmumu prognoze tika palielināta </w:t>
      </w:r>
      <w:r w:rsidRPr="000C3B10">
        <w:t>par 75,0</w:t>
      </w:r>
      <w:r>
        <w:t> milj. </w:t>
      </w:r>
      <w:proofErr w:type="spellStart"/>
      <w:r w:rsidRPr="00D705E7">
        <w:rPr>
          <w:i/>
        </w:rPr>
        <w:t>euro</w:t>
      </w:r>
      <w:proofErr w:type="spellEnd"/>
      <w:r w:rsidRPr="000C3B10">
        <w:t>.</w:t>
      </w:r>
    </w:p>
    <w:p w14:paraId="29BE54EB" w14:textId="295D6FB6" w:rsidR="002A5E08" w:rsidRPr="000345A6" w:rsidRDefault="002A5E08" w:rsidP="002A5E08">
      <w:pPr>
        <w:ind w:firstLine="720"/>
        <w:rPr>
          <w:highlight w:val="yellow"/>
        </w:rPr>
      </w:pPr>
      <w:r w:rsidRPr="000345A6">
        <w:t>2021</w:t>
      </w:r>
      <w:r>
        <w:t>. gad</w:t>
      </w:r>
      <w:r w:rsidRPr="000345A6">
        <w:t>a 1.</w:t>
      </w:r>
      <w:r>
        <w:t xml:space="preserve"> </w:t>
      </w:r>
      <w:r w:rsidRPr="000345A6">
        <w:t>ceturk</w:t>
      </w:r>
      <w:r>
        <w:t>š</w:t>
      </w:r>
      <w:r w:rsidRPr="000345A6">
        <w:t xml:space="preserve">ņa </w:t>
      </w:r>
      <w:r w:rsidRPr="000345A6">
        <w:rPr>
          <w:bCs/>
        </w:rPr>
        <w:t xml:space="preserve">plāna neizpilde </w:t>
      </w:r>
      <w:r w:rsidRPr="000345A6">
        <w:t xml:space="preserve">pievienotās vērtības nodokļa neto ieņēmumiem bija </w:t>
      </w:r>
      <w:r w:rsidRPr="000345A6">
        <w:rPr>
          <w:bCs/>
        </w:rPr>
        <w:t>10,0</w:t>
      </w:r>
      <w:r>
        <w:rPr>
          <w:bCs/>
        </w:rPr>
        <w:t> milj. </w:t>
      </w:r>
      <w:proofErr w:type="spellStart"/>
      <w:r w:rsidRPr="00D705E7">
        <w:rPr>
          <w:bCs/>
          <w:i/>
        </w:rPr>
        <w:t>euro</w:t>
      </w:r>
      <w:proofErr w:type="spellEnd"/>
      <w:r w:rsidRPr="000345A6">
        <w:rPr>
          <w:bCs/>
          <w:iCs/>
        </w:rPr>
        <w:t xml:space="preserve">. To ietekmēja </w:t>
      </w:r>
      <w:r w:rsidRPr="000345A6">
        <w:rPr>
          <w:bCs/>
        </w:rPr>
        <w:t>ar Covid</w:t>
      </w:r>
      <w:r w:rsidRPr="000345A6">
        <w:rPr>
          <w:bCs/>
        </w:rPr>
        <w:noBreakHyphen/>
        <w:t xml:space="preserve">19 saistītie ierobežojumi, nodokļu samaksas termiņa pagarinājumi, kā arī paliekošais efekts no pievienotās vērtības nodokļa pārmaksas atmaksas kārtības maiņas, kas stājās spēkā pērnā gada martā. </w:t>
      </w:r>
      <w:r w:rsidRPr="000345A6">
        <w:t>2021</w:t>
      </w:r>
      <w:r>
        <w:t>. gad</w:t>
      </w:r>
      <w:r w:rsidRPr="000345A6">
        <w:t>a 2.</w:t>
      </w:r>
      <w:r>
        <w:t xml:space="preserve"> </w:t>
      </w:r>
      <w:r w:rsidRPr="000345A6">
        <w:t>ceturk</w:t>
      </w:r>
      <w:r>
        <w:t>s</w:t>
      </w:r>
      <w:r w:rsidRPr="000345A6">
        <w:t>nī</w:t>
      </w:r>
      <w:r>
        <w:t>,</w:t>
      </w:r>
      <w:r w:rsidRPr="000345A6">
        <w:t xml:space="preserve"> </w:t>
      </w:r>
      <w:r w:rsidRPr="000345A6">
        <w:lastRenderedPageBreak/>
        <w:t>uzlabojoties epidemioloģiskajai situācijai valstī</w:t>
      </w:r>
      <w:r>
        <w:t>,</w:t>
      </w:r>
      <w:r w:rsidRPr="000345A6">
        <w:t xml:space="preserve"> bija mīkstināti Covid</w:t>
      </w:r>
      <w:r w:rsidRPr="000345A6">
        <w:noBreakHyphen/>
        <w:t>19 ierobežojumi, kas veicināja ekonomisko attīstību. Rezultātā palielinājās pievienotās vērtības nodokļa ieņēmumi. 2021</w:t>
      </w:r>
      <w:r>
        <w:t>. gad</w:t>
      </w:r>
      <w:r w:rsidRPr="000345A6">
        <w:t>a 2.ceturknī pievienotās vērtības nodokļa neto ieņēmumi bija par 52,3</w:t>
      </w:r>
      <w:r>
        <w:t> milj. </w:t>
      </w:r>
      <w:proofErr w:type="spellStart"/>
      <w:r w:rsidRPr="00D705E7">
        <w:rPr>
          <w:i/>
        </w:rPr>
        <w:t>euro</w:t>
      </w:r>
      <w:proofErr w:type="spellEnd"/>
      <w:r w:rsidRPr="000345A6">
        <w:t xml:space="preserve"> lielāki nekā plānots.</w:t>
      </w:r>
    </w:p>
    <w:p w14:paraId="05CC924B" w14:textId="00936254" w:rsidR="002A5E08" w:rsidRPr="000345A6" w:rsidRDefault="002A5E08" w:rsidP="002A5E08">
      <w:pPr>
        <w:ind w:firstLine="720"/>
      </w:pPr>
      <w:r w:rsidRPr="000345A6">
        <w:t>Pievienotās vērtības nodokļa bruto iemaksas 2021</w:t>
      </w:r>
      <w:r>
        <w:t>. gad</w:t>
      </w:r>
      <w:r w:rsidRPr="000345A6">
        <w:t>a sešos mēnešos bija 1 773,</w:t>
      </w:r>
      <w:r>
        <w:t>2 milj. </w:t>
      </w:r>
      <w:proofErr w:type="spellStart"/>
      <w:r w:rsidRPr="00D705E7">
        <w:rPr>
          <w:i/>
        </w:rPr>
        <w:t>euro</w:t>
      </w:r>
      <w:proofErr w:type="spellEnd"/>
      <w:r w:rsidRPr="000345A6">
        <w:t>, kas ir par 176,</w:t>
      </w:r>
      <w:r>
        <w:t>4 milj. </w:t>
      </w:r>
      <w:proofErr w:type="spellStart"/>
      <w:r w:rsidRPr="00D705E7">
        <w:rPr>
          <w:i/>
        </w:rPr>
        <w:t>euro</w:t>
      </w:r>
      <w:proofErr w:type="spellEnd"/>
      <w:r w:rsidRPr="000345A6">
        <w:t xml:space="preserve"> jeb 11,</w:t>
      </w:r>
      <w:r>
        <w:t>0</w:t>
      </w:r>
      <w:r w:rsidRPr="000345A6">
        <w:t>% vairāk nekā 2020</w:t>
      </w:r>
      <w:r>
        <w:t>. gad</w:t>
      </w:r>
      <w:r w:rsidRPr="000345A6">
        <w:t xml:space="preserve">a sešos mēnešos. </w:t>
      </w:r>
      <w:r w:rsidRPr="000D7A18">
        <w:t>Sagaidāms, ka ekonomikas atveseļošanās turpināsies arī 2021</w:t>
      </w:r>
      <w:r>
        <w:t>. gad</w:t>
      </w:r>
      <w:r w:rsidRPr="000D7A18">
        <w:t>a otrajā pusē</w:t>
      </w:r>
      <w:r>
        <w:t>, pievienotās vērtības nodokļa ieņēmumiem turpinot būt augstākiem nekā 2020. gadā</w:t>
      </w:r>
      <w:r w:rsidRPr="000D7A18">
        <w:t xml:space="preserve">. </w:t>
      </w:r>
      <w:r w:rsidRPr="000345A6">
        <w:t>Salīdzinot ar 2020</w:t>
      </w:r>
      <w:r>
        <w:t>. gad</w:t>
      </w:r>
      <w:r w:rsidRPr="000345A6">
        <w:t xml:space="preserve">a </w:t>
      </w:r>
      <w:r>
        <w:t>1. pusga</w:t>
      </w:r>
      <w:r w:rsidRPr="000345A6">
        <w:t>da neto ieņēmumiem, iekšzemē iekasētā pievienotās vērtības nodokļa neto ieņēmumi palielinājušies par 169,1</w:t>
      </w:r>
      <w:r>
        <w:t> milj. </w:t>
      </w:r>
      <w:proofErr w:type="spellStart"/>
      <w:r w:rsidRPr="00D705E7">
        <w:rPr>
          <w:i/>
        </w:rPr>
        <w:t>euro</w:t>
      </w:r>
      <w:proofErr w:type="spellEnd"/>
      <w:r w:rsidRPr="000345A6">
        <w:t xml:space="preserve"> jeb 15,5% un pievienotās vērtības nodokļa neto ieņēmumi, izlaižot preces brīvam apgrozījumam, palielinājušies par 22,9</w:t>
      </w:r>
      <w:r>
        <w:t> milj. </w:t>
      </w:r>
      <w:proofErr w:type="spellStart"/>
      <w:r w:rsidRPr="00D705E7">
        <w:rPr>
          <w:i/>
        </w:rPr>
        <w:t>euro</w:t>
      </w:r>
      <w:proofErr w:type="spellEnd"/>
      <w:r w:rsidRPr="000345A6">
        <w:t xml:space="preserve"> jeb 66,7</w:t>
      </w:r>
      <w:r>
        <w:t> procent</w:t>
      </w:r>
      <w:r w:rsidRPr="000345A6">
        <w:t>iem.</w:t>
      </w:r>
    </w:p>
    <w:p w14:paraId="1414EF56" w14:textId="77777777" w:rsidR="002A5E08" w:rsidRDefault="002A5E08" w:rsidP="002A5E08">
      <w:pPr>
        <w:ind w:firstLine="720"/>
      </w:pPr>
      <w:r w:rsidRPr="00C72A9D">
        <w:t>Saskaņā ar likumprojektu “Par valsts budžetu 2022</w:t>
      </w:r>
      <w:r>
        <w:t>. gad</w:t>
      </w:r>
      <w:r w:rsidRPr="00C72A9D">
        <w:t>am” pievienotās vērtības nodokļa ieņēmumi 2022</w:t>
      </w:r>
      <w:r>
        <w:t>. gad</w:t>
      </w:r>
      <w:r w:rsidRPr="00C72A9D">
        <w:t xml:space="preserve">ā tiek </w:t>
      </w:r>
      <w:r w:rsidRPr="000C3B10">
        <w:t>plānoti 3</w:t>
      </w:r>
      <w:r>
        <w:t> 067,5 milj. </w:t>
      </w:r>
      <w:proofErr w:type="spellStart"/>
      <w:r w:rsidRPr="00D705E7">
        <w:rPr>
          <w:i/>
        </w:rPr>
        <w:t>euro</w:t>
      </w:r>
      <w:proofErr w:type="spellEnd"/>
      <w:r w:rsidRPr="000C3B10">
        <w:t>, t.i.,</w:t>
      </w:r>
      <w:r>
        <w:t xml:space="preserve"> </w:t>
      </w:r>
      <w:r w:rsidRPr="000C3B10">
        <w:t xml:space="preserve">par </w:t>
      </w:r>
      <w:r>
        <w:t>256,9 milj. </w:t>
      </w:r>
      <w:proofErr w:type="spellStart"/>
      <w:r w:rsidRPr="00D705E7">
        <w:rPr>
          <w:i/>
        </w:rPr>
        <w:t>euro</w:t>
      </w:r>
      <w:proofErr w:type="spellEnd"/>
      <w:r w:rsidRPr="000C3B10">
        <w:t xml:space="preserve"> jeb </w:t>
      </w:r>
      <w:r>
        <w:t>9,1</w:t>
      </w:r>
      <w:r w:rsidRPr="000C3B10">
        <w:t>% vairāk nekā prognozēts 2021</w:t>
      </w:r>
      <w:r>
        <w:t>. gad</w:t>
      </w:r>
      <w:r w:rsidRPr="000C3B10">
        <w:t>am</w:t>
      </w:r>
      <w:r>
        <w:t xml:space="preserve"> (skat. 3.8. tabulu)</w:t>
      </w:r>
      <w:r w:rsidRPr="000C3B10">
        <w:t>.</w:t>
      </w:r>
      <w:r w:rsidRPr="00C72A9D">
        <w:t xml:space="preserve"> Pievienotās vērtības </w:t>
      </w:r>
      <w:r w:rsidRPr="00255876">
        <w:t xml:space="preserve">nodokļa </w:t>
      </w:r>
      <w:r w:rsidRPr="00F11E53">
        <w:t>2022</w:t>
      </w:r>
      <w:r>
        <w:t xml:space="preserve">. gada </w:t>
      </w:r>
      <w:r w:rsidRPr="00F11E53">
        <w:t>ieņēmumu plānu</w:t>
      </w:r>
      <w:r>
        <w:t xml:space="preserve"> </w:t>
      </w:r>
      <w:r w:rsidRPr="0043231D">
        <w:rPr>
          <w:szCs w:val="24"/>
        </w:rPr>
        <w:t xml:space="preserve">ietekmēs </w:t>
      </w:r>
      <w:r w:rsidRPr="00255876">
        <w:t>prognozētā privātā patēriņa, eksporta un importa dinamika</w:t>
      </w:r>
      <w:r>
        <w:t xml:space="preserve"> </w:t>
      </w:r>
      <w:bookmarkStart w:id="13" w:name="_Hlk83656100"/>
      <w:r>
        <w:t>faktiskajās cenās</w:t>
      </w:r>
      <w:bookmarkEnd w:id="13"/>
      <w:r w:rsidRPr="00255876">
        <w:t>, 2021</w:t>
      </w:r>
      <w:r>
        <w:t>. gad</w:t>
      </w:r>
      <w:r w:rsidRPr="00255876">
        <w:t>a pirmā pusgada izpilde, kā arī 3.1</w:t>
      </w:r>
      <w:r>
        <w:t>. sad</w:t>
      </w:r>
      <w:r w:rsidRPr="00255876">
        <w:t>aļā minētie pasākumi.</w:t>
      </w:r>
    </w:p>
    <w:p w14:paraId="022E708A" w14:textId="77777777" w:rsidR="002A5E08" w:rsidRPr="00E86687" w:rsidRDefault="002A5E08" w:rsidP="002A5E08">
      <w:pPr>
        <w:keepNext/>
        <w:spacing w:before="240" w:after="240"/>
        <w:ind w:firstLine="0"/>
        <w:jc w:val="center"/>
        <w:rPr>
          <w:b/>
          <w:i/>
          <w:szCs w:val="24"/>
        </w:rPr>
      </w:pPr>
      <w:r w:rsidRPr="00E86687">
        <w:rPr>
          <w:b/>
          <w:i/>
          <w:szCs w:val="24"/>
        </w:rPr>
        <w:t>3.8. tabula. Pievienotās vērtības nodokļa ieņēmumi</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85" w:type="dxa"/>
          <w:right w:w="85" w:type="dxa"/>
        </w:tblCellMar>
        <w:tblLook w:val="0000" w:firstRow="0" w:lastRow="0" w:firstColumn="0" w:lastColumn="0" w:noHBand="0" w:noVBand="0"/>
      </w:tblPr>
      <w:tblGrid>
        <w:gridCol w:w="4462"/>
        <w:gridCol w:w="1075"/>
        <w:gridCol w:w="1033"/>
        <w:gridCol w:w="1249"/>
        <w:gridCol w:w="1246"/>
      </w:tblGrid>
      <w:tr w:rsidR="002A5E08" w:rsidRPr="00E86687" w14:paraId="364A2B4D" w14:textId="77777777" w:rsidTr="00193ACF">
        <w:trPr>
          <w:cantSplit/>
          <w:trHeight w:val="20"/>
          <w:jc w:val="center"/>
        </w:trPr>
        <w:tc>
          <w:tcPr>
            <w:tcW w:w="2461" w:type="pct"/>
            <w:vMerge w:val="restart"/>
            <w:shd w:val="clear" w:color="auto" w:fill="B8CCE4" w:themeFill="accent1" w:themeFillTint="66"/>
          </w:tcPr>
          <w:p w14:paraId="4AA01DBF" w14:textId="77777777" w:rsidR="002A5E08" w:rsidRPr="00E86687" w:rsidRDefault="002A5E08" w:rsidP="00970743">
            <w:pPr>
              <w:pStyle w:val="tabtekst"/>
              <w:keepNext/>
              <w:keepLines/>
              <w:rPr>
                <w:b/>
                <w:color w:val="auto"/>
                <w:sz w:val="18"/>
                <w:szCs w:val="18"/>
              </w:rPr>
            </w:pPr>
          </w:p>
        </w:tc>
        <w:tc>
          <w:tcPr>
            <w:tcW w:w="593" w:type="pct"/>
            <w:shd w:val="clear" w:color="auto" w:fill="B8CCE4" w:themeFill="accent1" w:themeFillTint="66"/>
            <w:vAlign w:val="center"/>
          </w:tcPr>
          <w:p w14:paraId="7BA20A64" w14:textId="77777777" w:rsidR="002A5E08" w:rsidRPr="00E86687" w:rsidRDefault="002A5E08" w:rsidP="00970743">
            <w:pPr>
              <w:pStyle w:val="tabtekst"/>
              <w:keepNext/>
              <w:keepLines/>
              <w:jc w:val="center"/>
              <w:rPr>
                <w:b/>
                <w:color w:val="auto"/>
                <w:sz w:val="18"/>
                <w:szCs w:val="18"/>
              </w:rPr>
            </w:pPr>
            <w:r w:rsidRPr="00E86687">
              <w:rPr>
                <w:b/>
                <w:color w:val="auto"/>
                <w:sz w:val="18"/>
                <w:szCs w:val="18"/>
              </w:rPr>
              <w:t>2019</w:t>
            </w:r>
          </w:p>
        </w:tc>
        <w:tc>
          <w:tcPr>
            <w:tcW w:w="570" w:type="pct"/>
            <w:shd w:val="clear" w:color="auto" w:fill="B8CCE4" w:themeFill="accent1" w:themeFillTint="66"/>
            <w:vAlign w:val="center"/>
          </w:tcPr>
          <w:p w14:paraId="1275A5A7" w14:textId="77777777" w:rsidR="002A5E08" w:rsidRPr="00E86687" w:rsidRDefault="002A5E08" w:rsidP="00970743">
            <w:pPr>
              <w:pStyle w:val="tabtekst"/>
              <w:keepNext/>
              <w:keepLines/>
              <w:jc w:val="center"/>
              <w:rPr>
                <w:b/>
                <w:color w:val="auto"/>
                <w:sz w:val="18"/>
                <w:szCs w:val="18"/>
              </w:rPr>
            </w:pPr>
            <w:r w:rsidRPr="00E86687">
              <w:rPr>
                <w:b/>
                <w:color w:val="auto"/>
                <w:sz w:val="18"/>
                <w:szCs w:val="18"/>
              </w:rPr>
              <w:t>2020</w:t>
            </w:r>
          </w:p>
        </w:tc>
        <w:tc>
          <w:tcPr>
            <w:tcW w:w="689" w:type="pct"/>
            <w:shd w:val="clear" w:color="auto" w:fill="B8CCE4" w:themeFill="accent1" w:themeFillTint="66"/>
            <w:vAlign w:val="center"/>
          </w:tcPr>
          <w:p w14:paraId="4660ACF1" w14:textId="77777777" w:rsidR="002A5E08" w:rsidRPr="00E86687" w:rsidRDefault="002A5E08" w:rsidP="00970743">
            <w:pPr>
              <w:pStyle w:val="tabtekst"/>
              <w:keepNext/>
              <w:keepLines/>
              <w:jc w:val="center"/>
              <w:rPr>
                <w:b/>
                <w:color w:val="auto"/>
                <w:sz w:val="18"/>
                <w:szCs w:val="18"/>
              </w:rPr>
            </w:pPr>
            <w:r w:rsidRPr="00E86687">
              <w:rPr>
                <w:b/>
                <w:color w:val="auto"/>
                <w:sz w:val="18"/>
                <w:szCs w:val="18"/>
              </w:rPr>
              <w:t>2021</w:t>
            </w:r>
          </w:p>
        </w:tc>
        <w:tc>
          <w:tcPr>
            <w:tcW w:w="687" w:type="pct"/>
            <w:shd w:val="clear" w:color="auto" w:fill="B8CCE4" w:themeFill="accent1" w:themeFillTint="66"/>
            <w:vAlign w:val="center"/>
          </w:tcPr>
          <w:p w14:paraId="05D77903" w14:textId="77777777" w:rsidR="002A5E08" w:rsidRPr="00E86687" w:rsidRDefault="002A5E08" w:rsidP="00970743">
            <w:pPr>
              <w:pStyle w:val="tabtekst"/>
              <w:keepNext/>
              <w:keepLines/>
              <w:jc w:val="center"/>
              <w:rPr>
                <w:b/>
                <w:color w:val="auto"/>
                <w:sz w:val="18"/>
                <w:szCs w:val="18"/>
              </w:rPr>
            </w:pPr>
            <w:r w:rsidRPr="00E86687">
              <w:rPr>
                <w:b/>
                <w:color w:val="auto"/>
                <w:sz w:val="18"/>
                <w:szCs w:val="18"/>
              </w:rPr>
              <w:t>2022</w:t>
            </w:r>
          </w:p>
        </w:tc>
      </w:tr>
      <w:tr w:rsidR="002A5E08" w:rsidRPr="00E86687" w14:paraId="7DA6D898" w14:textId="77777777" w:rsidTr="00193ACF">
        <w:trPr>
          <w:cantSplit/>
          <w:trHeight w:val="20"/>
          <w:jc w:val="center"/>
        </w:trPr>
        <w:tc>
          <w:tcPr>
            <w:tcW w:w="2461" w:type="pct"/>
            <w:vMerge/>
            <w:shd w:val="clear" w:color="auto" w:fill="B8CCE4" w:themeFill="accent1" w:themeFillTint="66"/>
          </w:tcPr>
          <w:p w14:paraId="566C0030" w14:textId="77777777" w:rsidR="002A5E08" w:rsidRPr="00E86687" w:rsidRDefault="002A5E08" w:rsidP="00970743">
            <w:pPr>
              <w:pStyle w:val="tabtekst"/>
              <w:keepNext/>
              <w:keepLines/>
              <w:rPr>
                <w:b/>
                <w:color w:val="auto"/>
                <w:sz w:val="18"/>
                <w:szCs w:val="18"/>
              </w:rPr>
            </w:pPr>
          </w:p>
        </w:tc>
        <w:tc>
          <w:tcPr>
            <w:tcW w:w="1163" w:type="pct"/>
            <w:gridSpan w:val="2"/>
            <w:shd w:val="clear" w:color="auto" w:fill="B8CCE4" w:themeFill="accent1" w:themeFillTint="66"/>
            <w:vAlign w:val="center"/>
          </w:tcPr>
          <w:p w14:paraId="08501BC4" w14:textId="77777777" w:rsidR="002A5E08" w:rsidRPr="00AC3042" w:rsidRDefault="002A5E08" w:rsidP="00970743">
            <w:pPr>
              <w:pStyle w:val="tabtekst"/>
              <w:keepNext/>
              <w:keepLines/>
              <w:jc w:val="center"/>
              <w:rPr>
                <w:color w:val="auto"/>
                <w:sz w:val="18"/>
                <w:szCs w:val="18"/>
              </w:rPr>
            </w:pPr>
            <w:r w:rsidRPr="00AC3042">
              <w:rPr>
                <w:color w:val="auto"/>
                <w:sz w:val="18"/>
                <w:szCs w:val="18"/>
              </w:rPr>
              <w:t>fakts</w:t>
            </w:r>
          </w:p>
        </w:tc>
        <w:tc>
          <w:tcPr>
            <w:tcW w:w="689" w:type="pct"/>
            <w:shd w:val="clear" w:color="auto" w:fill="B8CCE4" w:themeFill="accent1" w:themeFillTint="66"/>
            <w:vAlign w:val="center"/>
          </w:tcPr>
          <w:p w14:paraId="0445D804" w14:textId="77777777" w:rsidR="002A5E08" w:rsidRPr="00E86687" w:rsidRDefault="002A5E08" w:rsidP="00970743">
            <w:pPr>
              <w:pStyle w:val="tabtekst"/>
              <w:keepNext/>
              <w:keepLines/>
              <w:jc w:val="center"/>
              <w:rPr>
                <w:color w:val="auto"/>
                <w:sz w:val="18"/>
                <w:szCs w:val="18"/>
              </w:rPr>
            </w:pPr>
            <w:r w:rsidRPr="00E86687">
              <w:rPr>
                <w:color w:val="auto"/>
                <w:sz w:val="18"/>
                <w:szCs w:val="18"/>
              </w:rPr>
              <w:t>prognoze</w:t>
            </w:r>
          </w:p>
        </w:tc>
        <w:tc>
          <w:tcPr>
            <w:tcW w:w="687" w:type="pct"/>
            <w:shd w:val="clear" w:color="auto" w:fill="B8CCE4" w:themeFill="accent1" w:themeFillTint="66"/>
            <w:vAlign w:val="center"/>
          </w:tcPr>
          <w:p w14:paraId="067CD292" w14:textId="77777777" w:rsidR="002A5E08" w:rsidRPr="00E86687" w:rsidRDefault="002A5E08" w:rsidP="00970743">
            <w:pPr>
              <w:pStyle w:val="tabtekst"/>
              <w:keepNext/>
              <w:keepLines/>
              <w:jc w:val="center"/>
              <w:rPr>
                <w:color w:val="auto"/>
                <w:sz w:val="18"/>
                <w:szCs w:val="18"/>
              </w:rPr>
            </w:pPr>
            <w:r w:rsidRPr="00E86687">
              <w:rPr>
                <w:color w:val="auto"/>
                <w:sz w:val="18"/>
                <w:szCs w:val="18"/>
              </w:rPr>
              <w:t>plāns*</w:t>
            </w:r>
          </w:p>
        </w:tc>
      </w:tr>
      <w:tr w:rsidR="002A5E08" w:rsidRPr="00E86687" w14:paraId="5BB78E4D" w14:textId="77777777" w:rsidTr="00970743">
        <w:trPr>
          <w:cantSplit/>
          <w:trHeight w:val="20"/>
          <w:jc w:val="center"/>
        </w:trPr>
        <w:tc>
          <w:tcPr>
            <w:tcW w:w="2461" w:type="pct"/>
            <w:shd w:val="clear" w:color="auto" w:fill="auto"/>
            <w:vAlign w:val="center"/>
          </w:tcPr>
          <w:p w14:paraId="04D029D8" w14:textId="77777777" w:rsidR="002A5E08" w:rsidRPr="00E86687" w:rsidRDefault="002A5E08" w:rsidP="00970743">
            <w:pPr>
              <w:pStyle w:val="tabtekst"/>
              <w:keepNext/>
              <w:keepLines/>
              <w:rPr>
                <w:color w:val="auto"/>
                <w:sz w:val="18"/>
                <w:szCs w:val="18"/>
              </w:rPr>
            </w:pPr>
            <w:r w:rsidRPr="00AC3042">
              <w:rPr>
                <w:color w:val="auto"/>
                <w:sz w:val="18"/>
                <w:szCs w:val="18"/>
              </w:rPr>
              <w:t>milj</w:t>
            </w:r>
            <w:r>
              <w:rPr>
                <w:color w:val="auto"/>
                <w:sz w:val="18"/>
                <w:szCs w:val="18"/>
              </w:rPr>
              <w:t>. </w:t>
            </w:r>
            <w:proofErr w:type="spellStart"/>
            <w:r w:rsidRPr="00D705E7">
              <w:rPr>
                <w:i/>
                <w:color w:val="auto"/>
                <w:sz w:val="18"/>
                <w:szCs w:val="18"/>
              </w:rPr>
              <w:t>euro</w:t>
            </w:r>
            <w:proofErr w:type="spellEnd"/>
          </w:p>
        </w:tc>
        <w:tc>
          <w:tcPr>
            <w:tcW w:w="593" w:type="pct"/>
            <w:shd w:val="clear" w:color="auto" w:fill="auto"/>
            <w:vAlign w:val="center"/>
          </w:tcPr>
          <w:p w14:paraId="40E2093A" w14:textId="77777777" w:rsidR="002A5E08" w:rsidRPr="00E86687" w:rsidRDefault="002A5E08" w:rsidP="00970743">
            <w:pPr>
              <w:keepNext/>
              <w:keepLines/>
              <w:tabs>
                <w:tab w:val="decimal" w:pos="547"/>
              </w:tabs>
              <w:spacing w:after="0"/>
              <w:ind w:firstLine="0"/>
              <w:jc w:val="center"/>
              <w:rPr>
                <w:sz w:val="18"/>
                <w:szCs w:val="18"/>
              </w:rPr>
            </w:pPr>
            <w:r w:rsidRPr="00E86687">
              <w:rPr>
                <w:sz w:val="18"/>
                <w:szCs w:val="18"/>
              </w:rPr>
              <w:t>2 648,3</w:t>
            </w:r>
          </w:p>
        </w:tc>
        <w:tc>
          <w:tcPr>
            <w:tcW w:w="570" w:type="pct"/>
            <w:shd w:val="clear" w:color="auto" w:fill="auto"/>
            <w:vAlign w:val="center"/>
          </w:tcPr>
          <w:p w14:paraId="3A88D408" w14:textId="77777777" w:rsidR="002A5E08" w:rsidRPr="00E86687" w:rsidRDefault="002A5E08" w:rsidP="00970743">
            <w:pPr>
              <w:keepNext/>
              <w:keepLines/>
              <w:tabs>
                <w:tab w:val="decimal" w:pos="547"/>
              </w:tabs>
              <w:spacing w:after="0"/>
              <w:ind w:firstLine="0"/>
              <w:jc w:val="center"/>
              <w:rPr>
                <w:sz w:val="18"/>
                <w:szCs w:val="18"/>
              </w:rPr>
            </w:pPr>
            <w:r w:rsidRPr="00E86687">
              <w:rPr>
                <w:sz w:val="18"/>
                <w:szCs w:val="18"/>
              </w:rPr>
              <w:t>2 544,7</w:t>
            </w:r>
          </w:p>
        </w:tc>
        <w:tc>
          <w:tcPr>
            <w:tcW w:w="689" w:type="pct"/>
            <w:vAlign w:val="center"/>
          </w:tcPr>
          <w:p w14:paraId="2E3B0834" w14:textId="77777777" w:rsidR="002A5E08" w:rsidRPr="00E86687" w:rsidRDefault="002A5E08" w:rsidP="00970743">
            <w:pPr>
              <w:keepNext/>
              <w:keepLines/>
              <w:tabs>
                <w:tab w:val="decimal" w:pos="547"/>
              </w:tabs>
              <w:spacing w:after="0"/>
              <w:ind w:firstLine="0"/>
              <w:jc w:val="center"/>
              <w:rPr>
                <w:sz w:val="18"/>
                <w:szCs w:val="18"/>
              </w:rPr>
            </w:pPr>
            <w:r w:rsidRPr="00E86687">
              <w:rPr>
                <w:sz w:val="18"/>
                <w:szCs w:val="18"/>
              </w:rPr>
              <w:t>2 810,6</w:t>
            </w:r>
          </w:p>
        </w:tc>
        <w:tc>
          <w:tcPr>
            <w:tcW w:w="687" w:type="pct"/>
            <w:shd w:val="clear" w:color="auto" w:fill="auto"/>
            <w:vAlign w:val="center"/>
          </w:tcPr>
          <w:p w14:paraId="29B68FCE" w14:textId="77777777" w:rsidR="002A5E08" w:rsidRPr="00E86687" w:rsidRDefault="002A5E08" w:rsidP="00970743">
            <w:pPr>
              <w:keepNext/>
              <w:keepLines/>
              <w:tabs>
                <w:tab w:val="decimal" w:pos="547"/>
              </w:tabs>
              <w:spacing w:after="0"/>
              <w:ind w:firstLine="0"/>
              <w:jc w:val="center"/>
              <w:rPr>
                <w:sz w:val="18"/>
                <w:szCs w:val="18"/>
              </w:rPr>
            </w:pPr>
            <w:r w:rsidRPr="00E86687">
              <w:rPr>
                <w:sz w:val="18"/>
                <w:szCs w:val="18"/>
              </w:rPr>
              <w:t>3 067,5</w:t>
            </w:r>
          </w:p>
        </w:tc>
      </w:tr>
      <w:tr w:rsidR="002A5E08" w:rsidRPr="00E86687" w14:paraId="715A1F97" w14:textId="77777777" w:rsidTr="00970743">
        <w:trPr>
          <w:cantSplit/>
          <w:trHeight w:val="20"/>
          <w:jc w:val="center"/>
        </w:trPr>
        <w:tc>
          <w:tcPr>
            <w:tcW w:w="2461" w:type="pct"/>
            <w:shd w:val="clear" w:color="auto" w:fill="auto"/>
            <w:vAlign w:val="center"/>
          </w:tcPr>
          <w:p w14:paraId="2BDB1037" w14:textId="77777777" w:rsidR="002A5E08" w:rsidRPr="00AC3042" w:rsidRDefault="002A5E08" w:rsidP="00970743">
            <w:pPr>
              <w:pStyle w:val="tabtekst"/>
              <w:keepNext/>
              <w:keepLines/>
              <w:rPr>
                <w:i/>
                <w:color w:val="auto"/>
                <w:sz w:val="18"/>
                <w:szCs w:val="18"/>
              </w:rPr>
            </w:pPr>
            <w:r w:rsidRPr="00AC3042">
              <w:rPr>
                <w:i/>
                <w:color w:val="auto"/>
                <w:sz w:val="18"/>
                <w:szCs w:val="18"/>
              </w:rPr>
              <w:t>pieauguma tempi faktiskās cenās, %</w:t>
            </w:r>
          </w:p>
        </w:tc>
        <w:tc>
          <w:tcPr>
            <w:tcW w:w="593" w:type="pct"/>
            <w:shd w:val="clear" w:color="auto" w:fill="auto"/>
            <w:vAlign w:val="center"/>
          </w:tcPr>
          <w:p w14:paraId="0E09EB92" w14:textId="77777777" w:rsidR="002A5E08" w:rsidRPr="00E86687" w:rsidRDefault="002A5E08" w:rsidP="00970743">
            <w:pPr>
              <w:keepNext/>
              <w:keepLines/>
              <w:tabs>
                <w:tab w:val="decimal" w:pos="547"/>
              </w:tabs>
              <w:spacing w:after="0"/>
              <w:ind w:firstLine="0"/>
              <w:jc w:val="center"/>
              <w:rPr>
                <w:i/>
                <w:sz w:val="18"/>
                <w:szCs w:val="18"/>
              </w:rPr>
            </w:pPr>
            <w:r w:rsidRPr="00E86687">
              <w:rPr>
                <w:i/>
                <w:sz w:val="18"/>
                <w:szCs w:val="18"/>
              </w:rPr>
              <w:t>7,8</w:t>
            </w:r>
          </w:p>
        </w:tc>
        <w:tc>
          <w:tcPr>
            <w:tcW w:w="570" w:type="pct"/>
            <w:shd w:val="clear" w:color="auto" w:fill="auto"/>
            <w:vAlign w:val="center"/>
          </w:tcPr>
          <w:p w14:paraId="2D9EEE7F" w14:textId="77777777" w:rsidR="002A5E08" w:rsidRPr="00E86687" w:rsidRDefault="002A5E08" w:rsidP="00970743">
            <w:pPr>
              <w:keepNext/>
              <w:keepLines/>
              <w:tabs>
                <w:tab w:val="decimal" w:pos="547"/>
              </w:tabs>
              <w:spacing w:after="0"/>
              <w:ind w:firstLine="0"/>
              <w:jc w:val="center"/>
              <w:rPr>
                <w:i/>
                <w:sz w:val="18"/>
                <w:szCs w:val="18"/>
              </w:rPr>
            </w:pPr>
            <w:r w:rsidRPr="00E86687">
              <w:rPr>
                <w:i/>
                <w:sz w:val="18"/>
                <w:szCs w:val="18"/>
              </w:rPr>
              <w:t>-3,9</w:t>
            </w:r>
          </w:p>
        </w:tc>
        <w:tc>
          <w:tcPr>
            <w:tcW w:w="689" w:type="pct"/>
            <w:vAlign w:val="center"/>
          </w:tcPr>
          <w:p w14:paraId="4530494A" w14:textId="77777777" w:rsidR="002A5E08" w:rsidRPr="00E86687" w:rsidRDefault="002A5E08" w:rsidP="00970743">
            <w:pPr>
              <w:keepNext/>
              <w:keepLines/>
              <w:tabs>
                <w:tab w:val="decimal" w:pos="547"/>
              </w:tabs>
              <w:spacing w:after="0"/>
              <w:ind w:firstLine="0"/>
              <w:jc w:val="center"/>
              <w:rPr>
                <w:i/>
                <w:sz w:val="18"/>
                <w:szCs w:val="18"/>
              </w:rPr>
            </w:pPr>
            <w:r w:rsidRPr="00E86687">
              <w:rPr>
                <w:i/>
                <w:sz w:val="18"/>
                <w:szCs w:val="18"/>
              </w:rPr>
              <w:t>10,5</w:t>
            </w:r>
          </w:p>
        </w:tc>
        <w:tc>
          <w:tcPr>
            <w:tcW w:w="687" w:type="pct"/>
            <w:shd w:val="clear" w:color="auto" w:fill="auto"/>
            <w:vAlign w:val="center"/>
          </w:tcPr>
          <w:p w14:paraId="68787CD6" w14:textId="77777777" w:rsidR="002A5E08" w:rsidRPr="00E86687" w:rsidRDefault="002A5E08" w:rsidP="00970743">
            <w:pPr>
              <w:keepNext/>
              <w:keepLines/>
              <w:tabs>
                <w:tab w:val="decimal" w:pos="547"/>
              </w:tabs>
              <w:spacing w:after="0"/>
              <w:ind w:firstLine="0"/>
              <w:jc w:val="center"/>
              <w:rPr>
                <w:i/>
                <w:sz w:val="18"/>
                <w:szCs w:val="18"/>
              </w:rPr>
            </w:pPr>
            <w:r w:rsidRPr="00E86687">
              <w:rPr>
                <w:i/>
                <w:sz w:val="18"/>
                <w:szCs w:val="18"/>
              </w:rPr>
              <w:t>9,1</w:t>
            </w:r>
          </w:p>
        </w:tc>
      </w:tr>
      <w:tr w:rsidR="002A5E08" w:rsidRPr="00E86687" w14:paraId="70771846" w14:textId="77777777" w:rsidTr="00970743">
        <w:trPr>
          <w:cantSplit/>
          <w:trHeight w:val="20"/>
          <w:jc w:val="center"/>
        </w:trPr>
        <w:tc>
          <w:tcPr>
            <w:tcW w:w="2461" w:type="pct"/>
            <w:vAlign w:val="center"/>
          </w:tcPr>
          <w:p w14:paraId="297ADBBE" w14:textId="77777777" w:rsidR="002A5E08" w:rsidRPr="00AC3042" w:rsidRDefault="002A5E08" w:rsidP="00970743">
            <w:pPr>
              <w:pStyle w:val="tabtekst"/>
              <w:keepNext/>
              <w:keepLines/>
              <w:rPr>
                <w:i/>
                <w:color w:val="auto"/>
                <w:sz w:val="18"/>
                <w:szCs w:val="18"/>
              </w:rPr>
            </w:pPr>
            <w:r w:rsidRPr="00AC3042">
              <w:rPr>
                <w:i/>
                <w:color w:val="auto"/>
                <w:sz w:val="18"/>
                <w:szCs w:val="18"/>
              </w:rPr>
              <w:t>% no IKP</w:t>
            </w:r>
          </w:p>
        </w:tc>
        <w:tc>
          <w:tcPr>
            <w:tcW w:w="593" w:type="pct"/>
            <w:shd w:val="clear" w:color="auto" w:fill="auto"/>
            <w:vAlign w:val="center"/>
          </w:tcPr>
          <w:p w14:paraId="694CD379" w14:textId="77777777" w:rsidR="002A5E08" w:rsidRPr="00E86687" w:rsidRDefault="002A5E08" w:rsidP="00970743">
            <w:pPr>
              <w:keepNext/>
              <w:keepLines/>
              <w:tabs>
                <w:tab w:val="decimal" w:pos="547"/>
              </w:tabs>
              <w:spacing w:after="0"/>
              <w:ind w:firstLine="0"/>
              <w:jc w:val="center"/>
              <w:rPr>
                <w:i/>
                <w:sz w:val="18"/>
                <w:szCs w:val="18"/>
              </w:rPr>
            </w:pPr>
            <w:r w:rsidRPr="00E86687">
              <w:rPr>
                <w:i/>
                <w:sz w:val="18"/>
                <w:szCs w:val="18"/>
              </w:rPr>
              <w:t>8,7</w:t>
            </w:r>
          </w:p>
        </w:tc>
        <w:tc>
          <w:tcPr>
            <w:tcW w:w="570" w:type="pct"/>
            <w:shd w:val="clear" w:color="auto" w:fill="auto"/>
            <w:vAlign w:val="center"/>
          </w:tcPr>
          <w:p w14:paraId="4359C5CA" w14:textId="77777777" w:rsidR="002A5E08" w:rsidRPr="00E86687" w:rsidRDefault="002A5E08" w:rsidP="00970743">
            <w:pPr>
              <w:keepNext/>
              <w:keepLines/>
              <w:tabs>
                <w:tab w:val="decimal" w:pos="547"/>
              </w:tabs>
              <w:spacing w:after="0"/>
              <w:ind w:firstLine="0"/>
              <w:jc w:val="center"/>
              <w:rPr>
                <w:i/>
                <w:sz w:val="18"/>
                <w:szCs w:val="18"/>
              </w:rPr>
            </w:pPr>
            <w:r w:rsidRPr="00E86687">
              <w:rPr>
                <w:i/>
                <w:sz w:val="18"/>
                <w:szCs w:val="18"/>
              </w:rPr>
              <w:t>8,7</w:t>
            </w:r>
          </w:p>
        </w:tc>
        <w:tc>
          <w:tcPr>
            <w:tcW w:w="689" w:type="pct"/>
            <w:vAlign w:val="center"/>
          </w:tcPr>
          <w:p w14:paraId="6605A162" w14:textId="77777777" w:rsidR="002A5E08" w:rsidRPr="00E86687" w:rsidRDefault="002A5E08" w:rsidP="00970743">
            <w:pPr>
              <w:keepNext/>
              <w:keepLines/>
              <w:tabs>
                <w:tab w:val="decimal" w:pos="547"/>
              </w:tabs>
              <w:spacing w:after="0"/>
              <w:ind w:firstLine="0"/>
              <w:jc w:val="center"/>
              <w:rPr>
                <w:i/>
                <w:sz w:val="18"/>
                <w:szCs w:val="18"/>
              </w:rPr>
            </w:pPr>
            <w:r w:rsidRPr="00E86687">
              <w:rPr>
                <w:i/>
                <w:sz w:val="18"/>
                <w:szCs w:val="18"/>
              </w:rPr>
              <w:t>9,0</w:t>
            </w:r>
          </w:p>
        </w:tc>
        <w:tc>
          <w:tcPr>
            <w:tcW w:w="687" w:type="pct"/>
            <w:shd w:val="clear" w:color="auto" w:fill="auto"/>
            <w:vAlign w:val="center"/>
          </w:tcPr>
          <w:p w14:paraId="010D25FD" w14:textId="77777777" w:rsidR="002A5E08" w:rsidRPr="00E86687" w:rsidRDefault="002A5E08" w:rsidP="00970743">
            <w:pPr>
              <w:keepNext/>
              <w:keepLines/>
              <w:tabs>
                <w:tab w:val="decimal" w:pos="547"/>
              </w:tabs>
              <w:spacing w:after="0"/>
              <w:ind w:firstLine="0"/>
              <w:jc w:val="center"/>
              <w:rPr>
                <w:i/>
                <w:sz w:val="18"/>
                <w:szCs w:val="18"/>
              </w:rPr>
            </w:pPr>
            <w:r w:rsidRPr="00E86687">
              <w:rPr>
                <w:i/>
                <w:sz w:val="18"/>
                <w:szCs w:val="18"/>
              </w:rPr>
              <w:t>9,0</w:t>
            </w:r>
          </w:p>
        </w:tc>
      </w:tr>
    </w:tbl>
    <w:p w14:paraId="23EB2C92" w14:textId="77777777" w:rsidR="002A5E08" w:rsidRPr="00120F96" w:rsidRDefault="002A5E08" w:rsidP="002A5E08">
      <w:pPr>
        <w:spacing w:before="120" w:after="240"/>
        <w:ind w:left="425" w:firstLine="0"/>
        <w:jc w:val="left"/>
        <w:rPr>
          <w:sz w:val="18"/>
          <w:szCs w:val="18"/>
        </w:rPr>
      </w:pPr>
      <w:r w:rsidRPr="00FE519F">
        <w:rPr>
          <w:sz w:val="18"/>
          <w:szCs w:val="18"/>
          <w:vertAlign w:val="superscript"/>
        </w:rPr>
        <w:t>1</w:t>
      </w:r>
      <w:r>
        <w:rPr>
          <w:sz w:val="18"/>
          <w:szCs w:val="18"/>
        </w:rPr>
        <w:t xml:space="preserve"> S</w:t>
      </w:r>
      <w:r w:rsidRPr="00120F96">
        <w:rPr>
          <w:sz w:val="18"/>
          <w:szCs w:val="18"/>
        </w:rPr>
        <w:t>askaņā ar likumprojektu „Par valsts budžetu 2022. gadam”.</w:t>
      </w:r>
    </w:p>
    <w:p w14:paraId="101994B7" w14:textId="77777777" w:rsidR="002A5E08" w:rsidRPr="00856ECF" w:rsidRDefault="002A5E08" w:rsidP="002A5E08">
      <w:pPr>
        <w:pStyle w:val="H4"/>
        <w:spacing w:before="240" w:after="240"/>
      </w:pPr>
      <w:r w:rsidRPr="00856ECF">
        <w:t>Akcīzes nodoklis</w:t>
      </w:r>
    </w:p>
    <w:p w14:paraId="406AE262" w14:textId="77777777" w:rsidR="002A5E08" w:rsidRPr="00994940" w:rsidRDefault="002A5E08" w:rsidP="002A5E08">
      <w:pPr>
        <w:spacing w:before="120" w:after="0"/>
        <w:ind w:firstLine="720"/>
      </w:pPr>
      <w:bookmarkStart w:id="14" w:name="_Hlk82805101"/>
      <w:bookmarkStart w:id="15" w:name="_Toc150840178"/>
      <w:bookmarkStart w:id="16" w:name="_Toc150941368"/>
      <w:bookmarkStart w:id="17" w:name="_Toc150840180"/>
      <w:bookmarkStart w:id="18" w:name="_Toc150941370"/>
      <w:r w:rsidRPr="00994940">
        <w:t>2021</w:t>
      </w:r>
      <w:r>
        <w:t>. gad</w:t>
      </w:r>
      <w:r w:rsidRPr="00994940">
        <w:t xml:space="preserve">a </w:t>
      </w:r>
      <w:r>
        <w:t>pirmajā pusgadā</w:t>
      </w:r>
      <w:r w:rsidRPr="00994940">
        <w:t xml:space="preserve"> kopējie akcīzes nodokļa ieņēmumi bija 512,8</w:t>
      </w:r>
      <w:r>
        <w:rPr>
          <w:rFonts w:eastAsia="Calibri"/>
          <w:szCs w:val="28"/>
          <w:lang w:eastAsia="lv-LV"/>
        </w:rPr>
        <w:t> milj.</w:t>
      </w:r>
      <w:r>
        <w:t> </w:t>
      </w:r>
      <w:proofErr w:type="spellStart"/>
      <w:r w:rsidRPr="00D705E7">
        <w:rPr>
          <w:i/>
        </w:rPr>
        <w:t>euro</w:t>
      </w:r>
      <w:proofErr w:type="spellEnd"/>
      <w:r w:rsidRPr="00994940">
        <w:t>. Salīdzinājumā ar 2020</w:t>
      </w:r>
      <w:r>
        <w:t>. gad</w:t>
      </w:r>
      <w:r w:rsidRPr="00994940">
        <w:t xml:space="preserve">a </w:t>
      </w:r>
      <w:r>
        <w:t>pirmo pusgadu</w:t>
      </w:r>
      <w:r w:rsidRPr="00994940">
        <w:t xml:space="preserve"> akcīzes nodokļa ieņēmumi palielinājās par 23,5</w:t>
      </w:r>
      <w:r>
        <w:rPr>
          <w:rFonts w:eastAsia="Calibri"/>
          <w:szCs w:val="28"/>
          <w:lang w:eastAsia="lv-LV"/>
        </w:rPr>
        <w:t> milj.</w:t>
      </w:r>
      <w:r>
        <w:t> </w:t>
      </w:r>
      <w:proofErr w:type="spellStart"/>
      <w:r w:rsidRPr="00D705E7">
        <w:rPr>
          <w:i/>
        </w:rPr>
        <w:t>euro</w:t>
      </w:r>
      <w:proofErr w:type="spellEnd"/>
      <w:r w:rsidRPr="00994940">
        <w:t xml:space="preserve"> jeb 4,8%, savukārt, salīdzinot ar plānoto, 2021</w:t>
      </w:r>
      <w:r>
        <w:t>. gad</w:t>
      </w:r>
      <w:r w:rsidRPr="00994940">
        <w:t xml:space="preserve">a </w:t>
      </w:r>
      <w:r>
        <w:t>pirmajā pusgadā</w:t>
      </w:r>
      <w:r w:rsidRPr="00994940">
        <w:t xml:space="preserve"> tika iekasēts par 10,7</w:t>
      </w:r>
      <w:r>
        <w:rPr>
          <w:rFonts w:eastAsia="Calibri"/>
          <w:szCs w:val="28"/>
          <w:lang w:eastAsia="lv-LV"/>
        </w:rPr>
        <w:t> milj.</w:t>
      </w:r>
      <w:r>
        <w:t> </w:t>
      </w:r>
      <w:proofErr w:type="spellStart"/>
      <w:r w:rsidRPr="00D705E7">
        <w:rPr>
          <w:i/>
        </w:rPr>
        <w:t>euro</w:t>
      </w:r>
      <w:proofErr w:type="spellEnd"/>
      <w:r w:rsidRPr="00994940">
        <w:t xml:space="preserve"> jeb 2,1% mazāk. </w:t>
      </w:r>
      <w:r w:rsidRPr="00506162">
        <w:t>Plāna neizpildi ietekmēja ieņēmumi no akcīzes nodokļa alkoholiskajiem dzērieniem (-10,7</w:t>
      </w:r>
      <w:r>
        <w:t> milj. </w:t>
      </w:r>
      <w:proofErr w:type="spellStart"/>
      <w:r w:rsidRPr="00D705E7">
        <w:rPr>
          <w:i/>
        </w:rPr>
        <w:t>euro</w:t>
      </w:r>
      <w:proofErr w:type="spellEnd"/>
      <w:r w:rsidRPr="00506162">
        <w:t xml:space="preserve"> jeb -10,7%) un alus (-3,5</w:t>
      </w:r>
      <w:r>
        <w:t> milj. </w:t>
      </w:r>
      <w:proofErr w:type="spellStart"/>
      <w:r w:rsidRPr="00D705E7">
        <w:rPr>
          <w:i/>
        </w:rPr>
        <w:t>euro</w:t>
      </w:r>
      <w:proofErr w:type="spellEnd"/>
      <w:r>
        <w:t xml:space="preserve"> jeb </w:t>
      </w:r>
      <w:r>
        <w:noBreakHyphen/>
      </w:r>
      <w:r w:rsidRPr="00506162">
        <w:t>13,4%).</w:t>
      </w:r>
    </w:p>
    <w:p w14:paraId="46DB139A" w14:textId="77777777" w:rsidR="002A5E08" w:rsidRDefault="002A5E08" w:rsidP="002A5E08">
      <w:pPr>
        <w:spacing w:before="120" w:after="0"/>
        <w:ind w:firstLine="720"/>
      </w:pPr>
      <w:r w:rsidRPr="00994940">
        <w:t>Saskaņā ar likumprojektu „Par valsts budžetu 2022</w:t>
      </w:r>
      <w:r>
        <w:t>. gad</w:t>
      </w:r>
      <w:r w:rsidRPr="00994940">
        <w:t>am” akcīzes nodokļa ieņēmumi tiek plānoti 1 166,8</w:t>
      </w:r>
      <w:r>
        <w:t> milj. </w:t>
      </w:r>
      <w:proofErr w:type="spellStart"/>
      <w:r w:rsidRPr="00D705E7">
        <w:rPr>
          <w:i/>
        </w:rPr>
        <w:t>euro</w:t>
      </w:r>
      <w:proofErr w:type="spellEnd"/>
      <w:r w:rsidRPr="00994940">
        <w:t xml:space="preserve"> apmērā, kas ir par 48,8</w:t>
      </w:r>
      <w:r>
        <w:t> milj. </w:t>
      </w:r>
      <w:proofErr w:type="spellStart"/>
      <w:r w:rsidRPr="00D705E7">
        <w:rPr>
          <w:i/>
        </w:rPr>
        <w:t>euro</w:t>
      </w:r>
      <w:proofErr w:type="spellEnd"/>
      <w:r w:rsidRPr="00994940">
        <w:t xml:space="preserve"> jeb 4,4% vairāk nekā prognozēts 2021</w:t>
      </w:r>
      <w:r>
        <w:t>. gad</w:t>
      </w:r>
      <w:r w:rsidRPr="00994940">
        <w:t>ā.</w:t>
      </w:r>
      <w:r>
        <w:t xml:space="preserve"> A</w:t>
      </w:r>
      <w:r w:rsidRPr="00994940">
        <w:t xml:space="preserve">kcīzes nodokļa </w:t>
      </w:r>
      <w:r w:rsidRPr="00F11E53">
        <w:t>2022</w:t>
      </w:r>
      <w:r>
        <w:t xml:space="preserve">. gada </w:t>
      </w:r>
      <w:r w:rsidRPr="00F11E53">
        <w:t>ieņēmumu plānu</w:t>
      </w:r>
      <w:r>
        <w:t xml:space="preserve"> </w:t>
      </w:r>
      <w:r w:rsidRPr="0043231D">
        <w:rPr>
          <w:szCs w:val="24"/>
        </w:rPr>
        <w:t xml:space="preserve">ietekmēs </w:t>
      </w:r>
      <w:r w:rsidRPr="00994940">
        <w:t>prognozētais IKP, darba samaksas un privātā patēriņa pieauguma temps</w:t>
      </w:r>
      <w:r w:rsidRPr="00E86687">
        <w:t>, piešķirtie</w:t>
      </w:r>
      <w:r w:rsidRPr="00994940">
        <w:t xml:space="preserve"> termiņu pagarinājumi, kā arī akcīzes nodokļa politika Baltijas valstīs un prognozētā akcīzes preču patēriņa dinamika, </w:t>
      </w:r>
      <w:r w:rsidRPr="00255876">
        <w:t>2021</w:t>
      </w:r>
      <w:r>
        <w:t>. gad</w:t>
      </w:r>
      <w:r w:rsidRPr="00255876">
        <w:t>a pirmā pusgada izpilde</w:t>
      </w:r>
      <w:r w:rsidRPr="00994940">
        <w:t xml:space="preserve">, </w:t>
      </w:r>
      <w:r w:rsidRPr="00523C47">
        <w:t>kā arī 3.1.</w:t>
      </w:r>
      <w:r>
        <w:t> </w:t>
      </w:r>
      <w:r w:rsidRPr="00523C47">
        <w:t>sadaļā minētie pasākumi</w:t>
      </w:r>
      <w:r w:rsidRPr="00994940">
        <w:t>.</w:t>
      </w:r>
    </w:p>
    <w:p w14:paraId="2511B989" w14:textId="13D62B76" w:rsidR="002A5E08" w:rsidRDefault="002A5E08" w:rsidP="0005792D">
      <w:pPr>
        <w:spacing w:before="240" w:after="240"/>
        <w:ind w:firstLine="0"/>
        <w:jc w:val="center"/>
        <w:rPr>
          <w:b/>
          <w:bCs/>
          <w:i/>
          <w:iCs/>
          <w:szCs w:val="24"/>
        </w:rPr>
      </w:pPr>
      <w:r w:rsidRPr="00E86687">
        <w:rPr>
          <w:b/>
          <w:i/>
          <w:szCs w:val="24"/>
        </w:rPr>
        <w:t>3.9. tabula. Akcīzes nodokļa ieņēmumi</w:t>
      </w:r>
      <w:r>
        <w:rPr>
          <w:b/>
          <w:i/>
          <w:szCs w:val="24"/>
        </w:rPr>
        <w:t>, milj.</w:t>
      </w:r>
      <w:r>
        <w:rPr>
          <w:b/>
          <w:bCs/>
          <w:i/>
          <w:iCs/>
          <w:szCs w:val="24"/>
        </w:rPr>
        <w:t> </w:t>
      </w:r>
      <w:proofErr w:type="spellStart"/>
      <w:r w:rsidRPr="00D705E7">
        <w:rPr>
          <w:b/>
          <w:bCs/>
          <w:i/>
          <w:iCs/>
          <w:szCs w:val="24"/>
        </w:rPr>
        <w:t>euro</w:t>
      </w:r>
      <w:proofErr w:type="spellEnd"/>
    </w:p>
    <w:tbl>
      <w:tblPr>
        <w:tblStyle w:val="TableGrid"/>
        <w:tblW w:w="0" w:type="auto"/>
        <w:tblLook w:val="04A0" w:firstRow="1" w:lastRow="0" w:firstColumn="1" w:lastColumn="0" w:noHBand="0" w:noVBand="1"/>
      </w:tblPr>
      <w:tblGrid>
        <w:gridCol w:w="3256"/>
        <w:gridCol w:w="1417"/>
        <w:gridCol w:w="1418"/>
        <w:gridCol w:w="1559"/>
        <w:gridCol w:w="1411"/>
      </w:tblGrid>
      <w:tr w:rsidR="0005792D" w14:paraId="01DB0C39" w14:textId="77777777" w:rsidTr="00193ACF">
        <w:trPr>
          <w:trHeight w:val="197"/>
          <w:tblHeader/>
        </w:trPr>
        <w:tc>
          <w:tcPr>
            <w:tcW w:w="3256" w:type="dxa"/>
            <w:vMerge w:val="restart"/>
            <w:shd w:val="clear" w:color="auto" w:fill="B8CCE4" w:themeFill="accent1" w:themeFillTint="66"/>
            <w:vAlign w:val="center"/>
          </w:tcPr>
          <w:p w14:paraId="4040DAE9" w14:textId="77777777" w:rsidR="0005792D" w:rsidRDefault="0005792D" w:rsidP="0005792D">
            <w:pPr>
              <w:spacing w:before="0" w:after="0"/>
              <w:ind w:firstLine="0"/>
              <w:jc w:val="center"/>
            </w:pPr>
          </w:p>
        </w:tc>
        <w:tc>
          <w:tcPr>
            <w:tcW w:w="1417" w:type="dxa"/>
            <w:shd w:val="clear" w:color="auto" w:fill="B8CCE4" w:themeFill="accent1" w:themeFillTint="66"/>
            <w:vAlign w:val="center"/>
          </w:tcPr>
          <w:p w14:paraId="131AF2E4" w14:textId="703AF3B3" w:rsidR="0005792D" w:rsidRDefault="0005792D" w:rsidP="0005792D">
            <w:pPr>
              <w:spacing w:before="0" w:after="0"/>
              <w:ind w:firstLine="0"/>
              <w:jc w:val="center"/>
            </w:pPr>
            <w:r w:rsidRPr="00E86687">
              <w:rPr>
                <w:b/>
                <w:sz w:val="18"/>
                <w:szCs w:val="18"/>
              </w:rPr>
              <w:t>2019</w:t>
            </w:r>
          </w:p>
        </w:tc>
        <w:tc>
          <w:tcPr>
            <w:tcW w:w="1418" w:type="dxa"/>
            <w:shd w:val="clear" w:color="auto" w:fill="B8CCE4" w:themeFill="accent1" w:themeFillTint="66"/>
            <w:vAlign w:val="center"/>
          </w:tcPr>
          <w:p w14:paraId="0BE4CAEE" w14:textId="20A41C08" w:rsidR="0005792D" w:rsidRDefault="0005792D" w:rsidP="0005792D">
            <w:pPr>
              <w:spacing w:before="0" w:after="0"/>
              <w:ind w:firstLine="0"/>
              <w:jc w:val="center"/>
            </w:pPr>
            <w:r w:rsidRPr="00E86687">
              <w:rPr>
                <w:b/>
                <w:sz w:val="18"/>
                <w:szCs w:val="18"/>
              </w:rPr>
              <w:t>2020</w:t>
            </w:r>
          </w:p>
        </w:tc>
        <w:tc>
          <w:tcPr>
            <w:tcW w:w="1559" w:type="dxa"/>
            <w:shd w:val="clear" w:color="auto" w:fill="B8CCE4" w:themeFill="accent1" w:themeFillTint="66"/>
            <w:vAlign w:val="center"/>
          </w:tcPr>
          <w:p w14:paraId="6349C57B" w14:textId="52D41813" w:rsidR="0005792D" w:rsidRDefault="0005792D" w:rsidP="0005792D">
            <w:pPr>
              <w:spacing w:before="0" w:after="0"/>
              <w:ind w:firstLine="0"/>
              <w:jc w:val="center"/>
            </w:pPr>
            <w:r w:rsidRPr="00E86687">
              <w:rPr>
                <w:b/>
                <w:sz w:val="18"/>
                <w:szCs w:val="18"/>
              </w:rPr>
              <w:t>2021</w:t>
            </w:r>
          </w:p>
        </w:tc>
        <w:tc>
          <w:tcPr>
            <w:tcW w:w="1411" w:type="dxa"/>
            <w:shd w:val="clear" w:color="auto" w:fill="B8CCE4" w:themeFill="accent1" w:themeFillTint="66"/>
            <w:vAlign w:val="center"/>
          </w:tcPr>
          <w:p w14:paraId="2029E24B" w14:textId="2DAC8172" w:rsidR="0005792D" w:rsidRDefault="0005792D" w:rsidP="0005792D">
            <w:pPr>
              <w:spacing w:before="0" w:after="0"/>
              <w:ind w:firstLine="0"/>
              <w:jc w:val="center"/>
            </w:pPr>
            <w:r w:rsidRPr="00E86687">
              <w:rPr>
                <w:b/>
                <w:sz w:val="18"/>
                <w:szCs w:val="18"/>
              </w:rPr>
              <w:t>2022</w:t>
            </w:r>
          </w:p>
        </w:tc>
      </w:tr>
      <w:tr w:rsidR="0005792D" w14:paraId="632D95A6" w14:textId="77777777" w:rsidTr="00193ACF">
        <w:trPr>
          <w:tblHeader/>
        </w:trPr>
        <w:tc>
          <w:tcPr>
            <w:tcW w:w="3256" w:type="dxa"/>
            <w:vMerge/>
            <w:shd w:val="clear" w:color="auto" w:fill="B8CCE4" w:themeFill="accent1" w:themeFillTint="66"/>
            <w:vAlign w:val="center"/>
          </w:tcPr>
          <w:p w14:paraId="4B70AA4B" w14:textId="77777777" w:rsidR="0005792D" w:rsidRDefault="0005792D" w:rsidP="0005792D">
            <w:pPr>
              <w:spacing w:before="0" w:after="0"/>
              <w:ind w:firstLine="0"/>
              <w:jc w:val="center"/>
            </w:pPr>
          </w:p>
        </w:tc>
        <w:tc>
          <w:tcPr>
            <w:tcW w:w="2835" w:type="dxa"/>
            <w:gridSpan w:val="2"/>
            <w:shd w:val="clear" w:color="auto" w:fill="B8CCE4" w:themeFill="accent1" w:themeFillTint="66"/>
            <w:vAlign w:val="center"/>
          </w:tcPr>
          <w:p w14:paraId="44465446" w14:textId="13296788" w:rsidR="0005792D" w:rsidRDefault="0005792D" w:rsidP="0005792D">
            <w:pPr>
              <w:spacing w:before="0" w:after="0"/>
              <w:ind w:firstLine="0"/>
              <w:jc w:val="center"/>
            </w:pPr>
            <w:r w:rsidRPr="00E86687">
              <w:rPr>
                <w:sz w:val="18"/>
                <w:szCs w:val="18"/>
              </w:rPr>
              <w:t>fakts</w:t>
            </w:r>
          </w:p>
        </w:tc>
        <w:tc>
          <w:tcPr>
            <w:tcW w:w="1559" w:type="dxa"/>
            <w:shd w:val="clear" w:color="auto" w:fill="B8CCE4" w:themeFill="accent1" w:themeFillTint="66"/>
            <w:vAlign w:val="center"/>
          </w:tcPr>
          <w:p w14:paraId="591BCA69" w14:textId="308694EC" w:rsidR="0005792D" w:rsidRDefault="0005792D" w:rsidP="0005792D">
            <w:pPr>
              <w:spacing w:before="0" w:after="0"/>
              <w:ind w:firstLine="0"/>
              <w:jc w:val="center"/>
            </w:pPr>
            <w:r w:rsidRPr="00E86687">
              <w:rPr>
                <w:sz w:val="18"/>
                <w:szCs w:val="18"/>
              </w:rPr>
              <w:t>prognoze</w:t>
            </w:r>
          </w:p>
        </w:tc>
        <w:tc>
          <w:tcPr>
            <w:tcW w:w="1411" w:type="dxa"/>
            <w:shd w:val="clear" w:color="auto" w:fill="B8CCE4" w:themeFill="accent1" w:themeFillTint="66"/>
          </w:tcPr>
          <w:p w14:paraId="1A30F4D7" w14:textId="3691A24A" w:rsidR="0005792D" w:rsidRDefault="0005792D" w:rsidP="0005792D">
            <w:pPr>
              <w:spacing w:before="0" w:after="0"/>
              <w:ind w:firstLine="0"/>
              <w:jc w:val="center"/>
            </w:pPr>
            <w:r w:rsidRPr="00E86687">
              <w:rPr>
                <w:sz w:val="18"/>
                <w:szCs w:val="18"/>
              </w:rPr>
              <w:t>plāns</w:t>
            </w:r>
            <w:r w:rsidRPr="00FE519F">
              <w:rPr>
                <w:sz w:val="18"/>
                <w:szCs w:val="18"/>
                <w:vertAlign w:val="superscript"/>
              </w:rPr>
              <w:t>1</w:t>
            </w:r>
          </w:p>
        </w:tc>
      </w:tr>
      <w:tr w:rsidR="0005792D" w14:paraId="25E8EA4F" w14:textId="77777777" w:rsidTr="0005792D">
        <w:tc>
          <w:tcPr>
            <w:tcW w:w="3256" w:type="dxa"/>
            <w:vAlign w:val="center"/>
          </w:tcPr>
          <w:p w14:paraId="66D2EE53" w14:textId="2828CE9F" w:rsidR="0005792D" w:rsidRDefault="0005792D" w:rsidP="0005792D">
            <w:pPr>
              <w:spacing w:before="0" w:after="0"/>
              <w:ind w:left="0" w:firstLine="0"/>
              <w:jc w:val="left"/>
            </w:pPr>
            <w:r w:rsidRPr="009F4A71">
              <w:rPr>
                <w:bCs/>
                <w:sz w:val="18"/>
                <w:szCs w:val="18"/>
              </w:rPr>
              <w:t>Kopā</w:t>
            </w:r>
            <w:r w:rsidRPr="009F4A71">
              <w:rPr>
                <w:sz w:val="18"/>
                <w:szCs w:val="18"/>
              </w:rPr>
              <w:t>, t.sk.:</w:t>
            </w:r>
          </w:p>
        </w:tc>
        <w:tc>
          <w:tcPr>
            <w:tcW w:w="1417" w:type="dxa"/>
          </w:tcPr>
          <w:p w14:paraId="450DCB01" w14:textId="408B7F8E" w:rsidR="0005792D" w:rsidRDefault="0005792D" w:rsidP="0005792D">
            <w:pPr>
              <w:spacing w:before="0" w:after="0"/>
              <w:ind w:firstLine="0"/>
              <w:jc w:val="center"/>
            </w:pPr>
            <w:r w:rsidRPr="009F4A71">
              <w:rPr>
                <w:bCs/>
                <w:color w:val="000000"/>
                <w:sz w:val="18"/>
                <w:szCs w:val="18"/>
                <w:lang w:eastAsia="lv-LV"/>
              </w:rPr>
              <w:t>1</w:t>
            </w:r>
            <w:r w:rsidRPr="009F4A71">
              <w:rPr>
                <w:rFonts w:eastAsia="Calibri"/>
                <w:sz w:val="18"/>
                <w:szCs w:val="18"/>
                <w:lang w:eastAsia="lv-LV"/>
              </w:rPr>
              <w:t> </w:t>
            </w:r>
            <w:r w:rsidRPr="009F4A71">
              <w:rPr>
                <w:bCs/>
                <w:color w:val="000000"/>
                <w:sz w:val="18"/>
                <w:szCs w:val="18"/>
                <w:lang w:eastAsia="lv-LV"/>
              </w:rPr>
              <w:t>064,1</w:t>
            </w:r>
          </w:p>
        </w:tc>
        <w:tc>
          <w:tcPr>
            <w:tcW w:w="1418" w:type="dxa"/>
          </w:tcPr>
          <w:p w14:paraId="3D31D1EF" w14:textId="42A9439A" w:rsidR="0005792D" w:rsidRDefault="0005792D" w:rsidP="0005792D">
            <w:pPr>
              <w:spacing w:before="0" w:after="0"/>
              <w:ind w:firstLine="0"/>
              <w:jc w:val="center"/>
            </w:pPr>
            <w:r w:rsidRPr="009F4A71">
              <w:rPr>
                <w:bCs/>
                <w:color w:val="000000"/>
                <w:sz w:val="18"/>
                <w:szCs w:val="18"/>
                <w:lang w:eastAsia="lv-LV"/>
              </w:rPr>
              <w:t>1</w:t>
            </w:r>
            <w:r w:rsidRPr="009F4A71">
              <w:rPr>
                <w:rFonts w:eastAsia="Calibri"/>
                <w:sz w:val="18"/>
                <w:szCs w:val="18"/>
                <w:lang w:eastAsia="lv-LV"/>
              </w:rPr>
              <w:t> </w:t>
            </w:r>
            <w:r w:rsidRPr="009F4A71">
              <w:rPr>
                <w:bCs/>
                <w:color w:val="000000"/>
                <w:sz w:val="18"/>
                <w:szCs w:val="18"/>
                <w:lang w:eastAsia="lv-LV"/>
              </w:rPr>
              <w:t>059,7</w:t>
            </w:r>
          </w:p>
        </w:tc>
        <w:tc>
          <w:tcPr>
            <w:tcW w:w="1559" w:type="dxa"/>
          </w:tcPr>
          <w:p w14:paraId="3B4F9F3B" w14:textId="72933CB0" w:rsidR="0005792D" w:rsidRDefault="0005792D" w:rsidP="0005792D">
            <w:pPr>
              <w:spacing w:before="0" w:after="0"/>
              <w:ind w:firstLine="0"/>
              <w:jc w:val="center"/>
            </w:pPr>
            <w:r w:rsidRPr="009F4A71">
              <w:rPr>
                <w:bCs/>
                <w:color w:val="000000"/>
                <w:sz w:val="18"/>
                <w:szCs w:val="18"/>
                <w:lang w:eastAsia="lv-LV"/>
              </w:rPr>
              <w:t>1</w:t>
            </w:r>
            <w:r w:rsidRPr="009F4A71">
              <w:rPr>
                <w:rFonts w:eastAsia="Calibri"/>
                <w:sz w:val="18"/>
                <w:szCs w:val="18"/>
                <w:lang w:eastAsia="lv-LV"/>
              </w:rPr>
              <w:t> </w:t>
            </w:r>
            <w:r w:rsidRPr="009F4A71">
              <w:rPr>
                <w:bCs/>
                <w:color w:val="000000"/>
                <w:sz w:val="18"/>
                <w:szCs w:val="18"/>
                <w:lang w:eastAsia="lv-LV"/>
              </w:rPr>
              <w:t>118,0</w:t>
            </w:r>
          </w:p>
        </w:tc>
        <w:tc>
          <w:tcPr>
            <w:tcW w:w="1411" w:type="dxa"/>
          </w:tcPr>
          <w:p w14:paraId="789C795D" w14:textId="158C32A9" w:rsidR="0005792D" w:rsidRDefault="0005792D" w:rsidP="0005792D">
            <w:pPr>
              <w:spacing w:before="0" w:after="0"/>
              <w:ind w:firstLine="0"/>
              <w:jc w:val="center"/>
            </w:pPr>
            <w:r w:rsidRPr="009F4A71">
              <w:rPr>
                <w:bCs/>
                <w:color w:val="000000"/>
                <w:sz w:val="18"/>
                <w:szCs w:val="18"/>
                <w:lang w:eastAsia="lv-LV"/>
              </w:rPr>
              <w:t>1</w:t>
            </w:r>
            <w:r w:rsidRPr="009F4A71">
              <w:rPr>
                <w:rFonts w:eastAsia="Calibri"/>
                <w:sz w:val="18"/>
                <w:szCs w:val="18"/>
                <w:lang w:eastAsia="lv-LV"/>
              </w:rPr>
              <w:t> </w:t>
            </w:r>
            <w:r w:rsidRPr="009F4A71">
              <w:rPr>
                <w:bCs/>
                <w:color w:val="000000"/>
                <w:sz w:val="18"/>
                <w:szCs w:val="18"/>
                <w:lang w:eastAsia="lv-LV"/>
              </w:rPr>
              <w:t>166,8</w:t>
            </w:r>
          </w:p>
        </w:tc>
      </w:tr>
      <w:tr w:rsidR="0005792D" w14:paraId="67366636" w14:textId="77777777" w:rsidTr="0005792D">
        <w:tc>
          <w:tcPr>
            <w:tcW w:w="3256" w:type="dxa"/>
            <w:vAlign w:val="center"/>
          </w:tcPr>
          <w:p w14:paraId="7371A68C" w14:textId="3E8047A6" w:rsidR="0005792D" w:rsidRDefault="0005792D" w:rsidP="0005792D">
            <w:pPr>
              <w:spacing w:before="0" w:after="0"/>
              <w:ind w:firstLine="29"/>
              <w:jc w:val="left"/>
            </w:pPr>
            <w:r w:rsidRPr="00AC3042">
              <w:rPr>
                <w:i/>
                <w:sz w:val="18"/>
                <w:szCs w:val="18"/>
              </w:rPr>
              <w:t>alkoholiskie dzērieni</w:t>
            </w:r>
          </w:p>
        </w:tc>
        <w:tc>
          <w:tcPr>
            <w:tcW w:w="1417" w:type="dxa"/>
          </w:tcPr>
          <w:p w14:paraId="6A0F3E7F" w14:textId="5A49855E" w:rsidR="0005792D" w:rsidRDefault="0005792D" w:rsidP="0005792D">
            <w:pPr>
              <w:spacing w:before="0" w:after="0"/>
              <w:ind w:firstLine="0"/>
              <w:jc w:val="center"/>
            </w:pPr>
            <w:r w:rsidRPr="00E86687">
              <w:rPr>
                <w:i/>
                <w:iCs/>
                <w:color w:val="000000"/>
                <w:sz w:val="18"/>
                <w:szCs w:val="18"/>
                <w:lang w:eastAsia="lv-LV"/>
              </w:rPr>
              <w:t>201,2</w:t>
            </w:r>
          </w:p>
        </w:tc>
        <w:tc>
          <w:tcPr>
            <w:tcW w:w="1418" w:type="dxa"/>
          </w:tcPr>
          <w:p w14:paraId="65DD6EDE" w14:textId="518E4DB9" w:rsidR="0005792D" w:rsidRDefault="0005792D" w:rsidP="0005792D">
            <w:pPr>
              <w:spacing w:before="0" w:after="0"/>
              <w:ind w:firstLine="0"/>
              <w:jc w:val="center"/>
            </w:pPr>
            <w:r w:rsidRPr="00E86687">
              <w:rPr>
                <w:i/>
                <w:iCs/>
                <w:color w:val="000000"/>
                <w:sz w:val="18"/>
                <w:szCs w:val="18"/>
                <w:lang w:eastAsia="lv-LV"/>
              </w:rPr>
              <w:t>191,7</w:t>
            </w:r>
          </w:p>
        </w:tc>
        <w:tc>
          <w:tcPr>
            <w:tcW w:w="1559" w:type="dxa"/>
          </w:tcPr>
          <w:p w14:paraId="7AF32797" w14:textId="5B48A598" w:rsidR="0005792D" w:rsidRDefault="0005792D" w:rsidP="0005792D">
            <w:pPr>
              <w:spacing w:before="0" w:after="0"/>
              <w:ind w:firstLine="0"/>
              <w:jc w:val="center"/>
            </w:pPr>
            <w:r w:rsidRPr="00E86687">
              <w:rPr>
                <w:i/>
                <w:iCs/>
                <w:color w:val="000000"/>
                <w:sz w:val="18"/>
                <w:szCs w:val="18"/>
                <w:lang w:eastAsia="lv-LV"/>
              </w:rPr>
              <w:t>208,5</w:t>
            </w:r>
          </w:p>
        </w:tc>
        <w:tc>
          <w:tcPr>
            <w:tcW w:w="1411" w:type="dxa"/>
          </w:tcPr>
          <w:p w14:paraId="5D42D01A" w14:textId="0D05ADEF" w:rsidR="0005792D" w:rsidRDefault="0005792D" w:rsidP="0005792D">
            <w:pPr>
              <w:spacing w:before="0" w:after="0"/>
              <w:ind w:firstLine="0"/>
              <w:jc w:val="center"/>
            </w:pPr>
            <w:r w:rsidRPr="00E86687">
              <w:rPr>
                <w:i/>
                <w:iCs/>
                <w:color w:val="000000"/>
                <w:sz w:val="18"/>
                <w:szCs w:val="18"/>
                <w:lang w:eastAsia="lv-LV"/>
              </w:rPr>
              <w:t>219,3</w:t>
            </w:r>
          </w:p>
        </w:tc>
      </w:tr>
      <w:tr w:rsidR="0005792D" w14:paraId="5C49A582" w14:textId="77777777" w:rsidTr="0005792D">
        <w:tc>
          <w:tcPr>
            <w:tcW w:w="3256" w:type="dxa"/>
            <w:vAlign w:val="center"/>
          </w:tcPr>
          <w:p w14:paraId="2CFC0D9F" w14:textId="2DEE6B03" w:rsidR="0005792D" w:rsidRDefault="0005792D" w:rsidP="0005792D">
            <w:pPr>
              <w:spacing w:before="0" w:after="0"/>
              <w:ind w:firstLine="29"/>
              <w:jc w:val="left"/>
            </w:pPr>
            <w:r w:rsidRPr="00AC3042">
              <w:rPr>
                <w:i/>
                <w:sz w:val="18"/>
                <w:szCs w:val="18"/>
              </w:rPr>
              <w:t>a</w:t>
            </w:r>
            <w:r w:rsidRPr="00E86687">
              <w:rPr>
                <w:i/>
                <w:sz w:val="18"/>
                <w:szCs w:val="18"/>
              </w:rPr>
              <w:t>lus</w:t>
            </w:r>
          </w:p>
        </w:tc>
        <w:tc>
          <w:tcPr>
            <w:tcW w:w="1417" w:type="dxa"/>
          </w:tcPr>
          <w:p w14:paraId="5CA344BB" w14:textId="2E8C2CFB" w:rsidR="0005792D" w:rsidRDefault="0005792D" w:rsidP="0005792D">
            <w:pPr>
              <w:spacing w:before="0" w:after="0"/>
              <w:ind w:firstLine="0"/>
              <w:jc w:val="center"/>
            </w:pPr>
            <w:r w:rsidRPr="00E86687">
              <w:rPr>
                <w:i/>
                <w:iCs/>
                <w:color w:val="000000"/>
                <w:sz w:val="18"/>
                <w:szCs w:val="18"/>
                <w:lang w:eastAsia="lv-LV"/>
              </w:rPr>
              <w:t>54,5</w:t>
            </w:r>
          </w:p>
        </w:tc>
        <w:tc>
          <w:tcPr>
            <w:tcW w:w="1418" w:type="dxa"/>
          </w:tcPr>
          <w:p w14:paraId="7E90AE12" w14:textId="52A65952" w:rsidR="0005792D" w:rsidRDefault="0005792D" w:rsidP="0005792D">
            <w:pPr>
              <w:spacing w:before="0" w:after="0"/>
              <w:ind w:firstLine="0"/>
              <w:jc w:val="center"/>
            </w:pPr>
            <w:r w:rsidRPr="00E86687">
              <w:rPr>
                <w:i/>
                <w:iCs/>
                <w:color w:val="000000"/>
                <w:sz w:val="18"/>
                <w:szCs w:val="18"/>
                <w:lang w:eastAsia="lv-LV"/>
              </w:rPr>
              <w:t>52,6</w:t>
            </w:r>
          </w:p>
        </w:tc>
        <w:tc>
          <w:tcPr>
            <w:tcW w:w="1559" w:type="dxa"/>
          </w:tcPr>
          <w:p w14:paraId="0F72D736" w14:textId="52BD8B36" w:rsidR="0005792D" w:rsidRDefault="0005792D" w:rsidP="0005792D">
            <w:pPr>
              <w:spacing w:before="0" w:after="0"/>
              <w:ind w:firstLine="0"/>
              <w:jc w:val="center"/>
            </w:pPr>
            <w:r w:rsidRPr="00E86687">
              <w:rPr>
                <w:i/>
                <w:iCs/>
                <w:color w:val="000000"/>
                <w:sz w:val="18"/>
                <w:szCs w:val="18"/>
                <w:lang w:eastAsia="lv-LV"/>
              </w:rPr>
              <w:t>55,3</w:t>
            </w:r>
          </w:p>
        </w:tc>
        <w:tc>
          <w:tcPr>
            <w:tcW w:w="1411" w:type="dxa"/>
          </w:tcPr>
          <w:p w14:paraId="43B6F108" w14:textId="4C926A16" w:rsidR="0005792D" w:rsidRDefault="0005792D" w:rsidP="0005792D">
            <w:pPr>
              <w:spacing w:before="0" w:after="0"/>
              <w:ind w:firstLine="0"/>
              <w:jc w:val="center"/>
            </w:pPr>
            <w:r w:rsidRPr="00E86687">
              <w:rPr>
                <w:i/>
                <w:iCs/>
                <w:color w:val="000000"/>
                <w:sz w:val="18"/>
                <w:szCs w:val="18"/>
                <w:lang w:eastAsia="lv-LV"/>
              </w:rPr>
              <w:t>58,2</w:t>
            </w:r>
          </w:p>
        </w:tc>
      </w:tr>
      <w:tr w:rsidR="0005792D" w14:paraId="0BE31427" w14:textId="77777777" w:rsidTr="0005792D">
        <w:tc>
          <w:tcPr>
            <w:tcW w:w="3256" w:type="dxa"/>
            <w:vAlign w:val="center"/>
          </w:tcPr>
          <w:p w14:paraId="105F51C2" w14:textId="27FCB52C" w:rsidR="0005792D" w:rsidRDefault="0005792D" w:rsidP="0005792D">
            <w:pPr>
              <w:spacing w:before="0" w:after="0"/>
              <w:ind w:firstLine="29"/>
              <w:jc w:val="left"/>
            </w:pPr>
            <w:r w:rsidRPr="00AC3042">
              <w:rPr>
                <w:i/>
                <w:sz w:val="18"/>
                <w:szCs w:val="18"/>
              </w:rPr>
              <w:t>naftas produkti</w:t>
            </w:r>
          </w:p>
        </w:tc>
        <w:tc>
          <w:tcPr>
            <w:tcW w:w="1417" w:type="dxa"/>
          </w:tcPr>
          <w:p w14:paraId="33D037AD" w14:textId="24BF1108" w:rsidR="0005792D" w:rsidRDefault="0005792D" w:rsidP="0005792D">
            <w:pPr>
              <w:spacing w:before="0" w:after="0"/>
              <w:ind w:firstLine="0"/>
              <w:jc w:val="center"/>
            </w:pPr>
            <w:r w:rsidRPr="00E86687">
              <w:rPr>
                <w:i/>
                <w:iCs/>
                <w:color w:val="000000"/>
                <w:sz w:val="18"/>
                <w:szCs w:val="18"/>
                <w:lang w:eastAsia="lv-LV"/>
              </w:rPr>
              <w:t>540,6</w:t>
            </w:r>
          </w:p>
        </w:tc>
        <w:tc>
          <w:tcPr>
            <w:tcW w:w="1418" w:type="dxa"/>
          </w:tcPr>
          <w:p w14:paraId="55F4A42A" w14:textId="50FD34A6" w:rsidR="0005792D" w:rsidRDefault="0005792D" w:rsidP="0005792D">
            <w:pPr>
              <w:spacing w:before="0" w:after="0"/>
              <w:ind w:firstLine="0"/>
              <w:jc w:val="center"/>
            </w:pPr>
            <w:r w:rsidRPr="00E86687">
              <w:rPr>
                <w:i/>
                <w:iCs/>
                <w:color w:val="000000"/>
                <w:sz w:val="18"/>
                <w:szCs w:val="18"/>
                <w:lang w:eastAsia="lv-LV"/>
              </w:rPr>
              <w:t>556,9</w:t>
            </w:r>
          </w:p>
        </w:tc>
        <w:tc>
          <w:tcPr>
            <w:tcW w:w="1559" w:type="dxa"/>
          </w:tcPr>
          <w:p w14:paraId="254AC191" w14:textId="1CD9AEDB" w:rsidR="0005792D" w:rsidRDefault="0005792D" w:rsidP="0005792D">
            <w:pPr>
              <w:spacing w:before="0" w:after="0"/>
              <w:ind w:firstLine="0"/>
              <w:jc w:val="center"/>
            </w:pPr>
            <w:r w:rsidRPr="00E86687">
              <w:rPr>
                <w:i/>
                <w:iCs/>
                <w:color w:val="000000"/>
                <w:sz w:val="18"/>
                <w:szCs w:val="18"/>
                <w:lang w:eastAsia="lv-LV"/>
              </w:rPr>
              <w:t>575,1</w:t>
            </w:r>
          </w:p>
        </w:tc>
        <w:tc>
          <w:tcPr>
            <w:tcW w:w="1411" w:type="dxa"/>
          </w:tcPr>
          <w:p w14:paraId="3FF09724" w14:textId="6615C646" w:rsidR="0005792D" w:rsidRDefault="0005792D" w:rsidP="0005792D">
            <w:pPr>
              <w:spacing w:before="0" w:after="0"/>
              <w:ind w:firstLine="0"/>
              <w:jc w:val="center"/>
            </w:pPr>
            <w:r w:rsidRPr="00E86687">
              <w:rPr>
                <w:i/>
                <w:iCs/>
                <w:color w:val="000000"/>
                <w:sz w:val="18"/>
                <w:szCs w:val="18"/>
                <w:lang w:eastAsia="lv-LV"/>
              </w:rPr>
              <w:t>599,6</w:t>
            </w:r>
          </w:p>
        </w:tc>
      </w:tr>
      <w:tr w:rsidR="0005792D" w14:paraId="0FE8B461" w14:textId="77777777" w:rsidTr="0005792D">
        <w:tc>
          <w:tcPr>
            <w:tcW w:w="3256" w:type="dxa"/>
            <w:vAlign w:val="center"/>
          </w:tcPr>
          <w:p w14:paraId="2188C801" w14:textId="6C64468A" w:rsidR="0005792D" w:rsidRDefault="0005792D" w:rsidP="0005792D">
            <w:pPr>
              <w:spacing w:before="0" w:after="0"/>
              <w:ind w:firstLine="29"/>
              <w:jc w:val="left"/>
            </w:pPr>
            <w:r w:rsidRPr="00AC3042">
              <w:rPr>
                <w:i/>
                <w:sz w:val="18"/>
                <w:szCs w:val="18"/>
              </w:rPr>
              <w:t>tabakas izstrādājumi</w:t>
            </w:r>
          </w:p>
        </w:tc>
        <w:tc>
          <w:tcPr>
            <w:tcW w:w="1417" w:type="dxa"/>
          </w:tcPr>
          <w:p w14:paraId="176D8BCF" w14:textId="5DF3178A" w:rsidR="0005792D" w:rsidRDefault="0005792D" w:rsidP="0005792D">
            <w:pPr>
              <w:spacing w:before="0" w:after="0"/>
              <w:ind w:firstLine="0"/>
              <w:jc w:val="center"/>
            </w:pPr>
            <w:r w:rsidRPr="00E86687">
              <w:rPr>
                <w:i/>
                <w:iCs/>
                <w:color w:val="000000"/>
                <w:sz w:val="18"/>
                <w:szCs w:val="18"/>
                <w:lang w:eastAsia="lv-LV"/>
              </w:rPr>
              <w:t>228,2</w:t>
            </w:r>
          </w:p>
        </w:tc>
        <w:tc>
          <w:tcPr>
            <w:tcW w:w="1418" w:type="dxa"/>
          </w:tcPr>
          <w:p w14:paraId="60993593" w14:textId="51DAE944" w:rsidR="0005792D" w:rsidRDefault="0005792D" w:rsidP="0005792D">
            <w:pPr>
              <w:spacing w:before="0" w:after="0"/>
              <w:ind w:firstLine="0"/>
              <w:jc w:val="center"/>
            </w:pPr>
            <w:r w:rsidRPr="00E86687">
              <w:rPr>
                <w:i/>
                <w:iCs/>
                <w:color w:val="000000"/>
                <w:sz w:val="18"/>
                <w:szCs w:val="18"/>
                <w:lang w:eastAsia="lv-LV"/>
              </w:rPr>
              <w:t>223,4</w:t>
            </w:r>
          </w:p>
        </w:tc>
        <w:tc>
          <w:tcPr>
            <w:tcW w:w="1559" w:type="dxa"/>
          </w:tcPr>
          <w:p w14:paraId="70A93D23" w14:textId="5633B144" w:rsidR="0005792D" w:rsidRDefault="0005792D" w:rsidP="0005792D">
            <w:pPr>
              <w:spacing w:before="0" w:after="0"/>
              <w:ind w:firstLine="0"/>
              <w:jc w:val="center"/>
            </w:pPr>
            <w:r w:rsidRPr="00E86687">
              <w:rPr>
                <w:i/>
                <w:iCs/>
                <w:color w:val="000000"/>
                <w:sz w:val="18"/>
                <w:szCs w:val="18"/>
                <w:lang w:eastAsia="lv-LV"/>
              </w:rPr>
              <w:t>238,3</w:t>
            </w:r>
          </w:p>
        </w:tc>
        <w:tc>
          <w:tcPr>
            <w:tcW w:w="1411" w:type="dxa"/>
          </w:tcPr>
          <w:p w14:paraId="279B67C5" w14:textId="18245632" w:rsidR="0005792D" w:rsidRDefault="0005792D" w:rsidP="0005792D">
            <w:pPr>
              <w:spacing w:before="0" w:after="0"/>
              <w:ind w:firstLine="0"/>
              <w:jc w:val="center"/>
            </w:pPr>
            <w:r w:rsidRPr="00E86687">
              <w:rPr>
                <w:i/>
                <w:iCs/>
                <w:color w:val="000000"/>
                <w:sz w:val="18"/>
                <w:szCs w:val="18"/>
                <w:lang w:eastAsia="lv-LV"/>
              </w:rPr>
              <w:t>247,0</w:t>
            </w:r>
          </w:p>
        </w:tc>
      </w:tr>
      <w:tr w:rsidR="0005792D" w14:paraId="0F88AF04" w14:textId="77777777" w:rsidTr="0005792D">
        <w:tc>
          <w:tcPr>
            <w:tcW w:w="3256" w:type="dxa"/>
            <w:vAlign w:val="center"/>
          </w:tcPr>
          <w:p w14:paraId="6D5CAF79" w14:textId="450B837F" w:rsidR="0005792D" w:rsidRDefault="0005792D" w:rsidP="0005792D">
            <w:pPr>
              <w:spacing w:before="0" w:after="0"/>
              <w:ind w:firstLine="29"/>
              <w:jc w:val="left"/>
            </w:pPr>
            <w:r w:rsidRPr="00AC3042">
              <w:rPr>
                <w:i/>
                <w:sz w:val="18"/>
                <w:szCs w:val="18"/>
              </w:rPr>
              <w:t>dabasgāze</w:t>
            </w:r>
          </w:p>
        </w:tc>
        <w:tc>
          <w:tcPr>
            <w:tcW w:w="1417" w:type="dxa"/>
          </w:tcPr>
          <w:p w14:paraId="17C4A4AE" w14:textId="65C075FA" w:rsidR="0005792D" w:rsidRDefault="0005792D" w:rsidP="0005792D">
            <w:pPr>
              <w:spacing w:before="0" w:after="0"/>
              <w:ind w:firstLine="0"/>
              <w:jc w:val="center"/>
            </w:pPr>
            <w:r w:rsidRPr="00E86687">
              <w:rPr>
                <w:i/>
                <w:iCs/>
                <w:color w:val="000000"/>
                <w:sz w:val="18"/>
                <w:szCs w:val="18"/>
                <w:lang w:eastAsia="lv-LV"/>
              </w:rPr>
              <w:t>22,4</w:t>
            </w:r>
          </w:p>
        </w:tc>
        <w:tc>
          <w:tcPr>
            <w:tcW w:w="1418" w:type="dxa"/>
          </w:tcPr>
          <w:p w14:paraId="6DEE5417" w14:textId="237AE5AB" w:rsidR="0005792D" w:rsidRDefault="0005792D" w:rsidP="0005792D">
            <w:pPr>
              <w:spacing w:before="0" w:after="0"/>
              <w:ind w:firstLine="0"/>
              <w:jc w:val="center"/>
            </w:pPr>
            <w:r w:rsidRPr="00E86687">
              <w:rPr>
                <w:i/>
                <w:iCs/>
                <w:color w:val="000000"/>
                <w:sz w:val="18"/>
                <w:szCs w:val="18"/>
                <w:lang w:eastAsia="lv-LV"/>
              </w:rPr>
              <w:t>16,8</w:t>
            </w:r>
          </w:p>
        </w:tc>
        <w:tc>
          <w:tcPr>
            <w:tcW w:w="1559" w:type="dxa"/>
          </w:tcPr>
          <w:p w14:paraId="6B1CEEFD" w14:textId="3CC98F89" w:rsidR="0005792D" w:rsidRDefault="0005792D" w:rsidP="0005792D">
            <w:pPr>
              <w:spacing w:before="0" w:after="0"/>
              <w:ind w:firstLine="0"/>
              <w:jc w:val="center"/>
            </w:pPr>
            <w:r w:rsidRPr="00E86687">
              <w:rPr>
                <w:i/>
                <w:iCs/>
                <w:color w:val="000000"/>
                <w:sz w:val="18"/>
                <w:szCs w:val="18"/>
                <w:lang w:eastAsia="lv-LV"/>
              </w:rPr>
              <w:t>20,7</w:t>
            </w:r>
          </w:p>
        </w:tc>
        <w:tc>
          <w:tcPr>
            <w:tcW w:w="1411" w:type="dxa"/>
          </w:tcPr>
          <w:p w14:paraId="50094AD5" w14:textId="1B946060" w:rsidR="0005792D" w:rsidRDefault="0005792D" w:rsidP="0005792D">
            <w:pPr>
              <w:spacing w:before="0" w:after="0"/>
              <w:ind w:firstLine="0"/>
              <w:jc w:val="center"/>
            </w:pPr>
            <w:r w:rsidRPr="00E86687">
              <w:rPr>
                <w:i/>
                <w:iCs/>
                <w:color w:val="000000"/>
                <w:sz w:val="18"/>
                <w:szCs w:val="18"/>
                <w:lang w:eastAsia="lv-LV"/>
              </w:rPr>
              <w:t>20,8</w:t>
            </w:r>
          </w:p>
        </w:tc>
      </w:tr>
      <w:tr w:rsidR="0005792D" w14:paraId="6A2DE02E" w14:textId="77777777" w:rsidTr="0005792D">
        <w:tc>
          <w:tcPr>
            <w:tcW w:w="3256" w:type="dxa"/>
            <w:vAlign w:val="center"/>
          </w:tcPr>
          <w:p w14:paraId="1F0E5167" w14:textId="2642020B" w:rsidR="0005792D" w:rsidRDefault="0005792D" w:rsidP="0005792D">
            <w:pPr>
              <w:spacing w:before="0" w:after="0"/>
              <w:ind w:firstLine="0"/>
              <w:jc w:val="left"/>
            </w:pPr>
            <w:r w:rsidRPr="00AC3042">
              <w:rPr>
                <w:i/>
                <w:sz w:val="18"/>
                <w:szCs w:val="18"/>
              </w:rPr>
              <w:lastRenderedPageBreak/>
              <w:t>pārējās akcīzes preces</w:t>
            </w:r>
          </w:p>
        </w:tc>
        <w:tc>
          <w:tcPr>
            <w:tcW w:w="1417" w:type="dxa"/>
          </w:tcPr>
          <w:p w14:paraId="03559D9C" w14:textId="4D551831" w:rsidR="0005792D" w:rsidRDefault="0005792D" w:rsidP="0005792D">
            <w:pPr>
              <w:spacing w:before="0" w:after="0"/>
              <w:ind w:firstLine="0"/>
              <w:jc w:val="center"/>
            </w:pPr>
            <w:r w:rsidRPr="00E86687">
              <w:rPr>
                <w:i/>
                <w:iCs/>
                <w:color w:val="000000"/>
                <w:sz w:val="18"/>
                <w:szCs w:val="18"/>
                <w:lang w:eastAsia="lv-LV"/>
              </w:rPr>
              <w:t>17,1</w:t>
            </w:r>
          </w:p>
        </w:tc>
        <w:tc>
          <w:tcPr>
            <w:tcW w:w="1418" w:type="dxa"/>
          </w:tcPr>
          <w:p w14:paraId="068C1E33" w14:textId="548DF27B" w:rsidR="0005792D" w:rsidRDefault="0005792D" w:rsidP="0005792D">
            <w:pPr>
              <w:spacing w:before="0" w:after="0"/>
              <w:ind w:firstLine="0"/>
              <w:jc w:val="center"/>
            </w:pPr>
            <w:r w:rsidRPr="00E86687">
              <w:rPr>
                <w:i/>
                <w:iCs/>
                <w:color w:val="000000"/>
                <w:sz w:val="18"/>
                <w:szCs w:val="18"/>
                <w:lang w:eastAsia="lv-LV"/>
              </w:rPr>
              <w:t>18,3</w:t>
            </w:r>
          </w:p>
        </w:tc>
        <w:tc>
          <w:tcPr>
            <w:tcW w:w="1559" w:type="dxa"/>
          </w:tcPr>
          <w:p w14:paraId="486F4AAA" w14:textId="649C3AFD" w:rsidR="0005792D" w:rsidRDefault="0005792D" w:rsidP="0005792D">
            <w:pPr>
              <w:spacing w:before="0" w:after="0"/>
              <w:ind w:firstLine="0"/>
              <w:jc w:val="center"/>
            </w:pPr>
            <w:r w:rsidRPr="00E86687">
              <w:rPr>
                <w:i/>
                <w:iCs/>
                <w:color w:val="000000"/>
                <w:sz w:val="18"/>
                <w:szCs w:val="18"/>
                <w:lang w:eastAsia="lv-LV"/>
              </w:rPr>
              <w:t>20,1</w:t>
            </w:r>
          </w:p>
        </w:tc>
        <w:tc>
          <w:tcPr>
            <w:tcW w:w="1411" w:type="dxa"/>
          </w:tcPr>
          <w:p w14:paraId="7090482D" w14:textId="588FE1BD" w:rsidR="0005792D" w:rsidRDefault="0005792D" w:rsidP="0005792D">
            <w:pPr>
              <w:spacing w:before="0" w:after="0"/>
              <w:ind w:firstLine="0"/>
              <w:jc w:val="center"/>
            </w:pPr>
            <w:r w:rsidRPr="00E86687">
              <w:rPr>
                <w:i/>
                <w:iCs/>
                <w:color w:val="000000"/>
                <w:sz w:val="18"/>
                <w:szCs w:val="18"/>
                <w:lang w:eastAsia="lv-LV"/>
              </w:rPr>
              <w:t>21,9</w:t>
            </w:r>
          </w:p>
        </w:tc>
      </w:tr>
      <w:tr w:rsidR="0005792D" w14:paraId="3263752E" w14:textId="77777777" w:rsidTr="0005792D">
        <w:tc>
          <w:tcPr>
            <w:tcW w:w="3256" w:type="dxa"/>
            <w:vAlign w:val="center"/>
          </w:tcPr>
          <w:p w14:paraId="7CFE2C09" w14:textId="22D3E3BB" w:rsidR="0005792D" w:rsidRDefault="0005792D" w:rsidP="0005792D">
            <w:pPr>
              <w:spacing w:before="0" w:after="0"/>
              <w:ind w:left="0" w:firstLine="0"/>
              <w:jc w:val="left"/>
            </w:pPr>
            <w:r w:rsidRPr="00AC3042">
              <w:rPr>
                <w:i/>
                <w:sz w:val="18"/>
                <w:szCs w:val="18"/>
              </w:rPr>
              <w:t>pieauguma tempi faktiskās cenās, %</w:t>
            </w:r>
          </w:p>
        </w:tc>
        <w:tc>
          <w:tcPr>
            <w:tcW w:w="1417" w:type="dxa"/>
          </w:tcPr>
          <w:p w14:paraId="3DEC419E" w14:textId="35D44F22" w:rsidR="0005792D" w:rsidRDefault="0005792D" w:rsidP="0005792D">
            <w:pPr>
              <w:spacing w:before="0" w:after="0"/>
              <w:ind w:firstLine="0"/>
              <w:jc w:val="center"/>
            </w:pPr>
            <w:r w:rsidRPr="00E86687">
              <w:rPr>
                <w:i/>
                <w:iCs/>
                <w:color w:val="000000"/>
                <w:sz w:val="18"/>
                <w:szCs w:val="18"/>
                <w:lang w:eastAsia="lv-LV"/>
              </w:rPr>
              <w:t>3,4</w:t>
            </w:r>
          </w:p>
        </w:tc>
        <w:tc>
          <w:tcPr>
            <w:tcW w:w="1418" w:type="dxa"/>
          </w:tcPr>
          <w:p w14:paraId="2B9E170D" w14:textId="2CEC88CB" w:rsidR="0005792D" w:rsidRDefault="0005792D" w:rsidP="0005792D">
            <w:pPr>
              <w:spacing w:before="0" w:after="0"/>
              <w:ind w:firstLine="0"/>
              <w:jc w:val="center"/>
            </w:pPr>
            <w:r w:rsidRPr="00E86687">
              <w:rPr>
                <w:i/>
                <w:iCs/>
                <w:color w:val="000000"/>
                <w:sz w:val="18"/>
                <w:szCs w:val="18"/>
                <w:lang w:eastAsia="lv-LV"/>
              </w:rPr>
              <w:t>-0,4</w:t>
            </w:r>
          </w:p>
        </w:tc>
        <w:tc>
          <w:tcPr>
            <w:tcW w:w="1559" w:type="dxa"/>
          </w:tcPr>
          <w:p w14:paraId="6AE72097" w14:textId="0948AB7E" w:rsidR="0005792D" w:rsidRDefault="0005792D" w:rsidP="0005792D">
            <w:pPr>
              <w:spacing w:before="0" w:after="0"/>
              <w:ind w:firstLine="0"/>
              <w:jc w:val="center"/>
            </w:pPr>
            <w:r w:rsidRPr="00E86687">
              <w:rPr>
                <w:i/>
                <w:iCs/>
                <w:color w:val="000000"/>
                <w:sz w:val="18"/>
                <w:szCs w:val="18"/>
                <w:lang w:eastAsia="lv-LV"/>
              </w:rPr>
              <w:t>5,5</w:t>
            </w:r>
          </w:p>
        </w:tc>
        <w:tc>
          <w:tcPr>
            <w:tcW w:w="1411" w:type="dxa"/>
          </w:tcPr>
          <w:p w14:paraId="3FDA3D03" w14:textId="43E7A8C9" w:rsidR="0005792D" w:rsidRDefault="0005792D" w:rsidP="0005792D">
            <w:pPr>
              <w:spacing w:before="0" w:after="0"/>
              <w:ind w:firstLine="0"/>
              <w:jc w:val="center"/>
            </w:pPr>
            <w:r w:rsidRPr="00E86687">
              <w:rPr>
                <w:i/>
                <w:iCs/>
                <w:color w:val="000000"/>
                <w:sz w:val="18"/>
                <w:szCs w:val="18"/>
                <w:lang w:eastAsia="lv-LV"/>
              </w:rPr>
              <w:t>4,4</w:t>
            </w:r>
          </w:p>
        </w:tc>
      </w:tr>
      <w:tr w:rsidR="0005792D" w14:paraId="740CE984" w14:textId="77777777" w:rsidTr="0005792D">
        <w:tc>
          <w:tcPr>
            <w:tcW w:w="3256" w:type="dxa"/>
            <w:vAlign w:val="center"/>
          </w:tcPr>
          <w:p w14:paraId="42B825D7" w14:textId="7378B27D" w:rsidR="0005792D" w:rsidRPr="00AC3042" w:rsidRDefault="0005792D" w:rsidP="0005792D">
            <w:pPr>
              <w:spacing w:before="0" w:after="0"/>
              <w:ind w:left="0" w:firstLine="0"/>
              <w:jc w:val="left"/>
              <w:rPr>
                <w:i/>
                <w:sz w:val="18"/>
                <w:szCs w:val="18"/>
              </w:rPr>
            </w:pPr>
            <w:r w:rsidRPr="00AC3042">
              <w:rPr>
                <w:sz w:val="18"/>
                <w:szCs w:val="18"/>
              </w:rPr>
              <w:t xml:space="preserve">% no </w:t>
            </w:r>
            <w:r w:rsidRPr="00E86687">
              <w:rPr>
                <w:i/>
                <w:iCs/>
                <w:sz w:val="18"/>
                <w:szCs w:val="18"/>
              </w:rPr>
              <w:t>IKP</w:t>
            </w:r>
          </w:p>
        </w:tc>
        <w:tc>
          <w:tcPr>
            <w:tcW w:w="1417" w:type="dxa"/>
          </w:tcPr>
          <w:p w14:paraId="2D90815F" w14:textId="7864683B" w:rsidR="0005792D" w:rsidRPr="00E86687" w:rsidRDefault="0005792D" w:rsidP="0005792D">
            <w:pPr>
              <w:spacing w:before="0" w:after="0"/>
              <w:ind w:firstLine="0"/>
              <w:jc w:val="center"/>
              <w:rPr>
                <w:i/>
                <w:iCs/>
                <w:color w:val="000000"/>
                <w:sz w:val="18"/>
                <w:szCs w:val="18"/>
                <w:lang w:eastAsia="lv-LV"/>
              </w:rPr>
            </w:pPr>
            <w:r w:rsidRPr="00E86687">
              <w:rPr>
                <w:i/>
                <w:iCs/>
                <w:color w:val="000000"/>
                <w:sz w:val="18"/>
                <w:szCs w:val="18"/>
                <w:lang w:eastAsia="lv-LV"/>
              </w:rPr>
              <w:t>3,5</w:t>
            </w:r>
          </w:p>
        </w:tc>
        <w:tc>
          <w:tcPr>
            <w:tcW w:w="1418" w:type="dxa"/>
          </w:tcPr>
          <w:p w14:paraId="1BBFF24E" w14:textId="3EFFA555" w:rsidR="0005792D" w:rsidRPr="00E86687" w:rsidRDefault="0005792D" w:rsidP="0005792D">
            <w:pPr>
              <w:spacing w:before="0" w:after="0"/>
              <w:ind w:firstLine="0"/>
              <w:jc w:val="center"/>
              <w:rPr>
                <w:i/>
                <w:iCs/>
                <w:color w:val="000000"/>
                <w:sz w:val="18"/>
                <w:szCs w:val="18"/>
                <w:lang w:eastAsia="lv-LV"/>
              </w:rPr>
            </w:pPr>
            <w:r w:rsidRPr="00E86687">
              <w:rPr>
                <w:i/>
                <w:iCs/>
                <w:color w:val="000000"/>
                <w:sz w:val="18"/>
                <w:szCs w:val="18"/>
                <w:lang w:eastAsia="lv-LV"/>
              </w:rPr>
              <w:t>3,6</w:t>
            </w:r>
          </w:p>
        </w:tc>
        <w:tc>
          <w:tcPr>
            <w:tcW w:w="1559" w:type="dxa"/>
          </w:tcPr>
          <w:p w14:paraId="2DBF572E" w14:textId="70767821" w:rsidR="0005792D" w:rsidRPr="00E86687" w:rsidRDefault="0005792D" w:rsidP="0005792D">
            <w:pPr>
              <w:spacing w:before="0" w:after="0"/>
              <w:ind w:firstLine="0"/>
              <w:jc w:val="center"/>
              <w:rPr>
                <w:i/>
                <w:iCs/>
                <w:color w:val="000000"/>
                <w:sz w:val="18"/>
                <w:szCs w:val="18"/>
                <w:lang w:eastAsia="lv-LV"/>
              </w:rPr>
            </w:pPr>
            <w:r w:rsidRPr="00E86687">
              <w:rPr>
                <w:i/>
                <w:iCs/>
                <w:color w:val="000000"/>
                <w:sz w:val="18"/>
                <w:szCs w:val="18"/>
                <w:lang w:eastAsia="lv-LV"/>
              </w:rPr>
              <w:t>3,6</w:t>
            </w:r>
          </w:p>
        </w:tc>
        <w:tc>
          <w:tcPr>
            <w:tcW w:w="1411" w:type="dxa"/>
          </w:tcPr>
          <w:p w14:paraId="20804612" w14:textId="0BEB8A6B" w:rsidR="0005792D" w:rsidRPr="00E86687" w:rsidRDefault="0005792D" w:rsidP="0005792D">
            <w:pPr>
              <w:spacing w:before="0" w:after="0"/>
              <w:ind w:firstLine="0"/>
              <w:jc w:val="center"/>
              <w:rPr>
                <w:i/>
                <w:iCs/>
                <w:color w:val="000000"/>
                <w:sz w:val="18"/>
                <w:szCs w:val="18"/>
                <w:lang w:eastAsia="lv-LV"/>
              </w:rPr>
            </w:pPr>
            <w:r w:rsidRPr="00E86687">
              <w:rPr>
                <w:i/>
                <w:iCs/>
                <w:color w:val="000000"/>
                <w:sz w:val="18"/>
                <w:szCs w:val="18"/>
                <w:lang w:eastAsia="lv-LV"/>
              </w:rPr>
              <w:t>3,4</w:t>
            </w:r>
          </w:p>
        </w:tc>
      </w:tr>
    </w:tbl>
    <w:p w14:paraId="1615DF76" w14:textId="77777777" w:rsidR="002A5E08" w:rsidRDefault="002A5E08" w:rsidP="002A5E08">
      <w:pPr>
        <w:spacing w:before="120" w:after="240"/>
        <w:ind w:left="425" w:firstLine="0"/>
        <w:jc w:val="left"/>
        <w:rPr>
          <w:sz w:val="18"/>
          <w:szCs w:val="18"/>
        </w:rPr>
      </w:pPr>
      <w:r w:rsidRPr="00FE519F">
        <w:rPr>
          <w:sz w:val="18"/>
          <w:szCs w:val="18"/>
          <w:vertAlign w:val="superscript"/>
        </w:rPr>
        <w:t>1</w:t>
      </w:r>
      <w:r>
        <w:rPr>
          <w:sz w:val="18"/>
          <w:szCs w:val="18"/>
        </w:rPr>
        <w:t xml:space="preserve"> S</w:t>
      </w:r>
      <w:r w:rsidRPr="00120F96">
        <w:rPr>
          <w:sz w:val="18"/>
          <w:szCs w:val="18"/>
        </w:rPr>
        <w:t>askaņā ar likumprojektu „Par valsts budžetu 2022. gadam”.</w:t>
      </w:r>
      <w:bookmarkEnd w:id="14"/>
    </w:p>
    <w:p w14:paraId="684D3CAD" w14:textId="05E0A490" w:rsidR="002A5E08" w:rsidRPr="00193ACF" w:rsidRDefault="002A5E08" w:rsidP="00193ACF">
      <w:pPr>
        <w:spacing w:before="120" w:after="240"/>
        <w:ind w:firstLine="0"/>
        <w:jc w:val="center"/>
        <w:rPr>
          <w:sz w:val="18"/>
          <w:szCs w:val="18"/>
          <w:u w:val="single"/>
        </w:rPr>
      </w:pPr>
      <w:r w:rsidRPr="00193ACF">
        <w:rPr>
          <w:u w:val="single"/>
        </w:rPr>
        <w:t>Akcīzes nodoklis naftas produktiem</w:t>
      </w:r>
    </w:p>
    <w:p w14:paraId="761D9F7F" w14:textId="77777777" w:rsidR="002A5E08" w:rsidRPr="00994940" w:rsidRDefault="002A5E08" w:rsidP="002A5E08">
      <w:pPr>
        <w:ind w:firstLine="720"/>
      </w:pPr>
      <w:r w:rsidRPr="00994940">
        <w:t>2021</w:t>
      </w:r>
      <w:r>
        <w:t>. gad</w:t>
      </w:r>
      <w:r w:rsidRPr="00994940">
        <w:t xml:space="preserve">a </w:t>
      </w:r>
      <w:r>
        <w:t>pirmajā pusgadā</w:t>
      </w:r>
      <w:r w:rsidRPr="00994940">
        <w:t xml:space="preserve"> akcīzes nodokļa naftas produktiem ieņēmumi bija 270,1</w:t>
      </w:r>
      <w:r>
        <w:rPr>
          <w:rFonts w:eastAsia="Calibri"/>
          <w:szCs w:val="28"/>
          <w:lang w:eastAsia="lv-LV"/>
        </w:rPr>
        <w:t> milj.</w:t>
      </w:r>
      <w:r>
        <w:t> </w:t>
      </w:r>
      <w:proofErr w:type="spellStart"/>
      <w:r w:rsidRPr="00D705E7">
        <w:rPr>
          <w:i/>
        </w:rPr>
        <w:t>euro</w:t>
      </w:r>
      <w:proofErr w:type="spellEnd"/>
      <w:r w:rsidRPr="00994940">
        <w:t>. Salīdzinot ar 2020</w:t>
      </w:r>
      <w:r>
        <w:t>. gad</w:t>
      </w:r>
      <w:r w:rsidRPr="00994940">
        <w:t xml:space="preserve">a </w:t>
      </w:r>
      <w:r>
        <w:t>pirmo pusgadu</w:t>
      </w:r>
      <w:r w:rsidRPr="00994940">
        <w:t>, tie palielinājās par 10,9</w:t>
      </w:r>
      <w:r>
        <w:t> milj. </w:t>
      </w:r>
      <w:proofErr w:type="spellStart"/>
      <w:r w:rsidRPr="00D705E7">
        <w:rPr>
          <w:i/>
        </w:rPr>
        <w:t>euro</w:t>
      </w:r>
      <w:proofErr w:type="spellEnd"/>
      <w:r w:rsidRPr="00994940">
        <w:rPr>
          <w:i/>
          <w:iCs/>
        </w:rPr>
        <w:t xml:space="preserve"> </w:t>
      </w:r>
      <w:r w:rsidRPr="00994940">
        <w:t>jeb 4,2%, bet, salīdzinot ar plānoto, iekasēts par 1,7</w:t>
      </w:r>
      <w:r>
        <w:rPr>
          <w:rFonts w:eastAsia="Calibri"/>
          <w:szCs w:val="28"/>
          <w:lang w:eastAsia="lv-LV"/>
        </w:rPr>
        <w:t> milj.</w:t>
      </w:r>
      <w:r>
        <w:t> </w:t>
      </w:r>
      <w:proofErr w:type="spellStart"/>
      <w:r w:rsidRPr="00D705E7">
        <w:rPr>
          <w:i/>
        </w:rPr>
        <w:t>euro</w:t>
      </w:r>
      <w:proofErr w:type="spellEnd"/>
      <w:r w:rsidRPr="00994940">
        <w:t xml:space="preserve"> jeb 0,6% vairāk. </w:t>
      </w:r>
    </w:p>
    <w:p w14:paraId="697CC57E" w14:textId="77777777" w:rsidR="002A5E08" w:rsidRPr="00994940" w:rsidRDefault="002A5E08" w:rsidP="002A5E08">
      <w:pPr>
        <w:ind w:firstLine="720"/>
      </w:pPr>
      <w:r w:rsidRPr="00994940">
        <w:t>Atbilstoši likumam “Par akcīzes nodokli” ar 2021</w:t>
      </w:r>
      <w:r>
        <w:t>. gad</w:t>
      </w:r>
      <w:r w:rsidRPr="00994940">
        <w:t xml:space="preserve">a </w:t>
      </w:r>
      <w:r>
        <w:t>1. febr</w:t>
      </w:r>
      <w:r w:rsidRPr="00994940">
        <w:t>uāri palielinātas likmes ben</w:t>
      </w:r>
      <w:r>
        <w:t>zīna un etilspirta maisījumam (</w:t>
      </w:r>
      <w:r w:rsidRPr="00994940">
        <w:t>70 – 85</w:t>
      </w:r>
      <w:r>
        <w:t> tilpumproc</w:t>
      </w:r>
      <w:r w:rsidRPr="00994940">
        <w:t>enti).</w:t>
      </w:r>
      <w:r>
        <w:t xml:space="preserve"> </w:t>
      </w:r>
      <w:r w:rsidRPr="00994940">
        <w:t xml:space="preserve">Noteiktas jaunas likmes </w:t>
      </w:r>
      <w:proofErr w:type="spellStart"/>
      <w:r w:rsidRPr="00994940">
        <w:t>parafinizētai</w:t>
      </w:r>
      <w:proofErr w:type="spellEnd"/>
      <w:r w:rsidRPr="00994940">
        <w:t xml:space="preserve"> dīzeļdegvielai</w:t>
      </w:r>
      <w:r>
        <w:t xml:space="preserve"> </w:t>
      </w:r>
      <w:r w:rsidRPr="00994940">
        <w:t>un</w:t>
      </w:r>
      <w:r>
        <w:t xml:space="preserve"> </w:t>
      </w:r>
      <w:r w:rsidRPr="00994940">
        <w:t>dīzeļdegvielai, ko izgatavo no biomasas un izmanto par degvielu. No 2021</w:t>
      </w:r>
      <w:r>
        <w:t>. gad</w:t>
      </w:r>
      <w:r w:rsidRPr="00994940">
        <w:t xml:space="preserve">a </w:t>
      </w:r>
      <w:r>
        <w:t>1. jūl</w:t>
      </w:r>
      <w:r w:rsidRPr="00994940">
        <w:t xml:space="preserve">ija noteiktas jaunas likmes </w:t>
      </w:r>
      <w:proofErr w:type="spellStart"/>
      <w:r w:rsidRPr="00994940">
        <w:t>parafinizētai</w:t>
      </w:r>
      <w:proofErr w:type="spellEnd"/>
      <w:r w:rsidRPr="00994940">
        <w:t xml:space="preserve"> dīzeļdegvielai un dīzeļdegvielai, ko izgatavo no biomasas un izmanto par kurināmo. Kā arī noteiktas atsevišķas likmes dīzeļdegvielai, degvieleļļai un petrolejai, ko izmanto kā kurināmo.</w:t>
      </w:r>
    </w:p>
    <w:p w14:paraId="72B16470" w14:textId="0B558713" w:rsidR="002A5E08" w:rsidRPr="00994940" w:rsidRDefault="002A5E08" w:rsidP="002A5E08">
      <w:pPr>
        <w:ind w:firstLine="720"/>
      </w:pPr>
      <w:r w:rsidRPr="00994940">
        <w:t xml:space="preserve">Saskaņā ar </w:t>
      </w:r>
      <w:r w:rsidR="00193ACF">
        <w:t>VID</w:t>
      </w:r>
      <w:r w:rsidRPr="00994940">
        <w:t xml:space="preserve"> informāciju naftas produktu kopējā patēriņa apjoms 2020</w:t>
      </w:r>
      <w:r>
        <w:t>. gad</w:t>
      </w:r>
      <w:r w:rsidRPr="00994940">
        <w:t>a decembrī un 2021</w:t>
      </w:r>
      <w:r>
        <w:t>. gad</w:t>
      </w:r>
      <w:r w:rsidRPr="00994940">
        <w:t>a piecos mēnešos un salīdzinājumā ar 2019. un 2020</w:t>
      </w:r>
      <w:r>
        <w:t>. gad</w:t>
      </w:r>
      <w:r w:rsidRPr="00994940">
        <w:t>a attiecīgo periodu samazinājies par 2,4%, t.sk. dīzeļdegvielas patēriņš palielinājies par 18,8%, bet benzīna un sašķidrinātās naftas gāzes patēriņš samazinājies attiecīgi par 2,0% un 8,3</w:t>
      </w:r>
      <w:r>
        <w:t> procent</w:t>
      </w:r>
      <w:r w:rsidRPr="00994940">
        <w:t>iem. Degvieleļļas patēriņš palielinājies par 35,1%, bet petrolejas patēriņš samazinājies par 65,1</w:t>
      </w:r>
      <w:r>
        <w:t> procent</w:t>
      </w:r>
      <w:r w:rsidRPr="00994940">
        <w:t>iem.</w:t>
      </w:r>
    </w:p>
    <w:p w14:paraId="1A670B96" w14:textId="77777777" w:rsidR="002A5E08" w:rsidRPr="00E86687" w:rsidRDefault="002A5E08" w:rsidP="002A5E08">
      <w:pPr>
        <w:keepNext/>
        <w:spacing w:before="240" w:after="240"/>
        <w:ind w:firstLine="0"/>
        <w:jc w:val="center"/>
        <w:rPr>
          <w:b/>
          <w:i/>
          <w:szCs w:val="24"/>
        </w:rPr>
      </w:pPr>
      <w:r w:rsidRPr="00E86687">
        <w:rPr>
          <w:b/>
          <w:i/>
          <w:szCs w:val="24"/>
        </w:rPr>
        <w:t>3.10. tabula. Akcīzes nodokļa likmes degvielai Baltijas valstīs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6"/>
        <w:gridCol w:w="1680"/>
        <w:gridCol w:w="1577"/>
        <w:gridCol w:w="1578"/>
      </w:tblGrid>
      <w:tr w:rsidR="002A5E08" w:rsidRPr="00E86687" w14:paraId="174798A1" w14:textId="77777777" w:rsidTr="00193ACF">
        <w:trPr>
          <w:trHeight w:val="20"/>
          <w:tblHeader/>
          <w:jc w:val="center"/>
        </w:trPr>
        <w:tc>
          <w:tcPr>
            <w:tcW w:w="2332" w:type="pct"/>
            <w:shd w:val="clear" w:color="auto" w:fill="B8CCE4" w:themeFill="accent1" w:themeFillTint="66"/>
            <w:noWrap/>
            <w:vAlign w:val="center"/>
            <w:hideMark/>
          </w:tcPr>
          <w:p w14:paraId="7E34265F" w14:textId="77777777" w:rsidR="002A5E08" w:rsidRPr="00E86687" w:rsidRDefault="002A5E08" w:rsidP="00970743">
            <w:pPr>
              <w:keepNext/>
              <w:keepLines/>
              <w:spacing w:after="0"/>
              <w:contextualSpacing/>
              <w:rPr>
                <w:b/>
                <w:sz w:val="18"/>
                <w:szCs w:val="18"/>
                <w:lang w:eastAsia="lv-LV"/>
              </w:rPr>
            </w:pPr>
          </w:p>
        </w:tc>
        <w:tc>
          <w:tcPr>
            <w:tcW w:w="927" w:type="pct"/>
            <w:shd w:val="clear" w:color="auto" w:fill="B8CCE4" w:themeFill="accent1" w:themeFillTint="66"/>
            <w:noWrap/>
            <w:vAlign w:val="center"/>
            <w:hideMark/>
          </w:tcPr>
          <w:p w14:paraId="31B10326" w14:textId="77777777" w:rsidR="002A5E08" w:rsidRPr="00E86687" w:rsidRDefault="002A5E08" w:rsidP="00970743">
            <w:pPr>
              <w:keepNext/>
              <w:keepLines/>
              <w:spacing w:after="0"/>
              <w:ind w:firstLine="0"/>
              <w:contextualSpacing/>
              <w:jc w:val="center"/>
              <w:rPr>
                <w:b/>
                <w:sz w:val="18"/>
                <w:szCs w:val="18"/>
                <w:lang w:eastAsia="lv-LV"/>
              </w:rPr>
            </w:pPr>
            <w:r w:rsidRPr="00E86687">
              <w:rPr>
                <w:b/>
                <w:sz w:val="18"/>
                <w:szCs w:val="18"/>
                <w:lang w:eastAsia="lv-LV"/>
              </w:rPr>
              <w:t>2019</w:t>
            </w:r>
          </w:p>
        </w:tc>
        <w:tc>
          <w:tcPr>
            <w:tcW w:w="870" w:type="pct"/>
            <w:shd w:val="clear" w:color="auto" w:fill="B8CCE4" w:themeFill="accent1" w:themeFillTint="66"/>
            <w:noWrap/>
            <w:vAlign w:val="center"/>
            <w:hideMark/>
          </w:tcPr>
          <w:p w14:paraId="6ED28D5D" w14:textId="77777777" w:rsidR="002A5E08" w:rsidRPr="00E86687" w:rsidRDefault="002A5E08" w:rsidP="00970743">
            <w:pPr>
              <w:keepNext/>
              <w:keepLines/>
              <w:spacing w:after="0"/>
              <w:ind w:firstLine="0"/>
              <w:contextualSpacing/>
              <w:jc w:val="center"/>
              <w:rPr>
                <w:b/>
                <w:sz w:val="18"/>
                <w:szCs w:val="18"/>
                <w:lang w:eastAsia="lv-LV"/>
              </w:rPr>
            </w:pPr>
            <w:r w:rsidRPr="00E86687">
              <w:rPr>
                <w:b/>
                <w:sz w:val="18"/>
                <w:szCs w:val="18"/>
                <w:lang w:eastAsia="lv-LV"/>
              </w:rPr>
              <w:t>2020</w:t>
            </w:r>
          </w:p>
        </w:tc>
        <w:tc>
          <w:tcPr>
            <w:tcW w:w="871" w:type="pct"/>
            <w:shd w:val="clear" w:color="auto" w:fill="B8CCE4" w:themeFill="accent1" w:themeFillTint="66"/>
            <w:noWrap/>
            <w:vAlign w:val="center"/>
            <w:hideMark/>
          </w:tcPr>
          <w:p w14:paraId="1E860A58" w14:textId="77777777" w:rsidR="002A5E08" w:rsidRPr="00E86687" w:rsidRDefault="002A5E08" w:rsidP="00970743">
            <w:pPr>
              <w:keepNext/>
              <w:keepLines/>
              <w:spacing w:after="0"/>
              <w:ind w:firstLine="0"/>
              <w:contextualSpacing/>
              <w:jc w:val="center"/>
              <w:rPr>
                <w:b/>
                <w:sz w:val="18"/>
                <w:szCs w:val="18"/>
                <w:lang w:eastAsia="lv-LV"/>
              </w:rPr>
            </w:pPr>
            <w:r w:rsidRPr="00E86687">
              <w:rPr>
                <w:b/>
                <w:sz w:val="18"/>
                <w:szCs w:val="18"/>
                <w:lang w:eastAsia="lv-LV"/>
              </w:rPr>
              <w:t>2021</w:t>
            </w:r>
          </w:p>
        </w:tc>
      </w:tr>
      <w:tr w:rsidR="002A5E08" w:rsidRPr="00E86687" w14:paraId="7AF96163" w14:textId="77777777" w:rsidTr="00193ACF">
        <w:trPr>
          <w:trHeight w:val="20"/>
          <w:jc w:val="center"/>
        </w:trPr>
        <w:tc>
          <w:tcPr>
            <w:tcW w:w="5000" w:type="pct"/>
            <w:gridSpan w:val="4"/>
            <w:shd w:val="clear" w:color="auto" w:fill="B8CCE4" w:themeFill="accent1" w:themeFillTint="66"/>
            <w:noWrap/>
            <w:vAlign w:val="center"/>
          </w:tcPr>
          <w:p w14:paraId="30B716FB" w14:textId="77777777" w:rsidR="002A5E08" w:rsidRPr="005D0F9F" w:rsidRDefault="002A5E08" w:rsidP="00970743">
            <w:pPr>
              <w:keepNext/>
              <w:keepLines/>
              <w:spacing w:after="0"/>
              <w:ind w:firstLine="28"/>
              <w:contextualSpacing/>
              <w:rPr>
                <w:sz w:val="18"/>
                <w:szCs w:val="18"/>
                <w:lang w:eastAsia="lv-LV"/>
              </w:rPr>
            </w:pPr>
            <w:r w:rsidRPr="005D0F9F">
              <w:rPr>
                <w:sz w:val="18"/>
                <w:szCs w:val="18"/>
                <w:lang w:eastAsia="lv-LV"/>
              </w:rPr>
              <w:t xml:space="preserve">Benzīns, </w:t>
            </w:r>
            <w:proofErr w:type="spellStart"/>
            <w:r w:rsidRPr="005D0F9F">
              <w:rPr>
                <w:i/>
                <w:sz w:val="18"/>
                <w:szCs w:val="18"/>
                <w:lang w:eastAsia="lv-LV"/>
              </w:rPr>
              <w:t>euro</w:t>
            </w:r>
            <w:proofErr w:type="spellEnd"/>
            <w:r w:rsidRPr="005D0F9F">
              <w:rPr>
                <w:sz w:val="18"/>
                <w:szCs w:val="18"/>
                <w:lang w:eastAsia="lv-LV"/>
              </w:rPr>
              <w:t xml:space="preserve"> par 1000 l.</w:t>
            </w:r>
          </w:p>
        </w:tc>
      </w:tr>
      <w:tr w:rsidR="002A5E08" w:rsidRPr="00E86687" w14:paraId="5FA93A25" w14:textId="77777777" w:rsidTr="00970743">
        <w:trPr>
          <w:trHeight w:val="20"/>
          <w:jc w:val="center"/>
        </w:trPr>
        <w:tc>
          <w:tcPr>
            <w:tcW w:w="2332" w:type="pct"/>
            <w:shd w:val="clear" w:color="auto" w:fill="auto"/>
            <w:noWrap/>
            <w:vAlign w:val="center"/>
            <w:hideMark/>
          </w:tcPr>
          <w:p w14:paraId="4C1A1ABC" w14:textId="77777777" w:rsidR="002A5E08" w:rsidRPr="005D0F9F" w:rsidRDefault="002A5E08" w:rsidP="00970743">
            <w:pPr>
              <w:keepNext/>
              <w:keepLines/>
              <w:spacing w:after="0"/>
              <w:ind w:firstLine="1134"/>
              <w:contextualSpacing/>
              <w:rPr>
                <w:bCs/>
                <w:sz w:val="18"/>
                <w:szCs w:val="18"/>
                <w:lang w:eastAsia="lv-LV"/>
              </w:rPr>
            </w:pPr>
            <w:r w:rsidRPr="005D0F9F">
              <w:rPr>
                <w:bCs/>
                <w:sz w:val="18"/>
                <w:szCs w:val="18"/>
                <w:lang w:eastAsia="lv-LV"/>
              </w:rPr>
              <w:t>Latvija</w:t>
            </w:r>
          </w:p>
        </w:tc>
        <w:tc>
          <w:tcPr>
            <w:tcW w:w="927" w:type="pct"/>
            <w:shd w:val="clear" w:color="auto" w:fill="auto"/>
            <w:noWrap/>
          </w:tcPr>
          <w:p w14:paraId="20807D3C" w14:textId="77777777" w:rsidR="002A5E08" w:rsidRPr="005D0F9F" w:rsidRDefault="002A5E08" w:rsidP="00970743">
            <w:pPr>
              <w:keepNext/>
              <w:keepLines/>
              <w:spacing w:after="0"/>
              <w:contextualSpacing/>
              <w:jc w:val="right"/>
              <w:rPr>
                <w:bCs/>
                <w:sz w:val="18"/>
                <w:szCs w:val="18"/>
                <w:lang w:eastAsia="lv-LV"/>
              </w:rPr>
            </w:pPr>
            <w:r w:rsidRPr="005D0F9F">
              <w:rPr>
                <w:bCs/>
                <w:sz w:val="18"/>
                <w:szCs w:val="18"/>
                <w:lang w:eastAsia="lv-LV"/>
              </w:rPr>
              <w:t>476</w:t>
            </w:r>
          </w:p>
        </w:tc>
        <w:tc>
          <w:tcPr>
            <w:tcW w:w="870" w:type="pct"/>
            <w:shd w:val="clear" w:color="auto" w:fill="auto"/>
            <w:noWrap/>
          </w:tcPr>
          <w:p w14:paraId="7C511F97" w14:textId="77777777" w:rsidR="002A5E08" w:rsidRPr="005D0F9F" w:rsidRDefault="002A5E08" w:rsidP="00970743">
            <w:pPr>
              <w:keepNext/>
              <w:keepLines/>
              <w:spacing w:after="0"/>
              <w:contextualSpacing/>
              <w:jc w:val="right"/>
              <w:rPr>
                <w:bCs/>
                <w:sz w:val="18"/>
                <w:szCs w:val="18"/>
                <w:lang w:eastAsia="lv-LV"/>
              </w:rPr>
            </w:pPr>
            <w:r w:rsidRPr="005D0F9F">
              <w:rPr>
                <w:bCs/>
                <w:sz w:val="18"/>
                <w:szCs w:val="18"/>
                <w:lang w:eastAsia="lv-LV"/>
              </w:rPr>
              <w:t>509</w:t>
            </w:r>
          </w:p>
        </w:tc>
        <w:tc>
          <w:tcPr>
            <w:tcW w:w="871" w:type="pct"/>
            <w:shd w:val="clear" w:color="auto" w:fill="auto"/>
            <w:noWrap/>
          </w:tcPr>
          <w:p w14:paraId="4F35D7EB" w14:textId="77777777" w:rsidR="002A5E08" w:rsidRPr="005D0F9F" w:rsidRDefault="002A5E08" w:rsidP="00970743">
            <w:pPr>
              <w:keepNext/>
              <w:keepLines/>
              <w:spacing w:after="0"/>
              <w:contextualSpacing/>
              <w:jc w:val="right"/>
              <w:rPr>
                <w:bCs/>
                <w:sz w:val="18"/>
                <w:szCs w:val="18"/>
                <w:lang w:eastAsia="lv-LV"/>
              </w:rPr>
            </w:pPr>
            <w:r w:rsidRPr="005D0F9F">
              <w:rPr>
                <w:bCs/>
                <w:sz w:val="18"/>
                <w:szCs w:val="18"/>
                <w:lang w:eastAsia="lv-LV"/>
              </w:rPr>
              <w:t>509</w:t>
            </w:r>
          </w:p>
        </w:tc>
      </w:tr>
      <w:tr w:rsidR="002A5E08" w:rsidRPr="00E86687" w14:paraId="74B89CF2" w14:textId="77777777" w:rsidTr="00970743">
        <w:trPr>
          <w:trHeight w:val="20"/>
          <w:jc w:val="center"/>
        </w:trPr>
        <w:tc>
          <w:tcPr>
            <w:tcW w:w="2332" w:type="pct"/>
            <w:shd w:val="clear" w:color="auto" w:fill="auto"/>
            <w:noWrap/>
            <w:vAlign w:val="center"/>
            <w:hideMark/>
          </w:tcPr>
          <w:p w14:paraId="7A288D3B" w14:textId="77777777" w:rsidR="002A5E08" w:rsidRPr="005D0F9F" w:rsidRDefault="002A5E08" w:rsidP="00970743">
            <w:pPr>
              <w:keepNext/>
              <w:keepLines/>
              <w:spacing w:after="0"/>
              <w:ind w:firstLine="1134"/>
              <w:contextualSpacing/>
              <w:rPr>
                <w:sz w:val="18"/>
                <w:szCs w:val="18"/>
                <w:lang w:eastAsia="lv-LV"/>
              </w:rPr>
            </w:pPr>
            <w:r w:rsidRPr="005D0F9F">
              <w:rPr>
                <w:sz w:val="18"/>
                <w:szCs w:val="18"/>
                <w:lang w:eastAsia="lv-LV"/>
              </w:rPr>
              <w:t>Lietuva</w:t>
            </w:r>
          </w:p>
        </w:tc>
        <w:tc>
          <w:tcPr>
            <w:tcW w:w="927" w:type="pct"/>
            <w:shd w:val="clear" w:color="auto" w:fill="auto"/>
            <w:noWrap/>
          </w:tcPr>
          <w:p w14:paraId="00BF10F1" w14:textId="77777777" w:rsidR="002A5E08" w:rsidRPr="005D0F9F" w:rsidRDefault="002A5E08" w:rsidP="00970743">
            <w:pPr>
              <w:keepNext/>
              <w:keepLines/>
              <w:spacing w:after="0"/>
              <w:contextualSpacing/>
              <w:jc w:val="right"/>
              <w:rPr>
                <w:sz w:val="18"/>
                <w:szCs w:val="18"/>
                <w:lang w:eastAsia="lv-LV"/>
              </w:rPr>
            </w:pPr>
            <w:r w:rsidRPr="005D0F9F">
              <w:rPr>
                <w:sz w:val="18"/>
                <w:szCs w:val="18"/>
                <w:lang w:eastAsia="lv-LV"/>
              </w:rPr>
              <w:t>434,43</w:t>
            </w:r>
          </w:p>
        </w:tc>
        <w:tc>
          <w:tcPr>
            <w:tcW w:w="870" w:type="pct"/>
            <w:shd w:val="clear" w:color="auto" w:fill="auto"/>
            <w:noWrap/>
          </w:tcPr>
          <w:p w14:paraId="3CF98E72" w14:textId="77777777" w:rsidR="002A5E08" w:rsidRPr="005D0F9F" w:rsidRDefault="002A5E08" w:rsidP="00970743">
            <w:pPr>
              <w:keepNext/>
              <w:keepLines/>
              <w:spacing w:after="0"/>
              <w:contextualSpacing/>
              <w:jc w:val="right"/>
              <w:rPr>
                <w:sz w:val="18"/>
                <w:szCs w:val="18"/>
                <w:lang w:eastAsia="lv-LV"/>
              </w:rPr>
            </w:pPr>
            <w:r w:rsidRPr="005D0F9F">
              <w:rPr>
                <w:sz w:val="18"/>
                <w:szCs w:val="18"/>
                <w:lang w:eastAsia="lv-LV"/>
              </w:rPr>
              <w:t>466</w:t>
            </w:r>
          </w:p>
        </w:tc>
        <w:tc>
          <w:tcPr>
            <w:tcW w:w="871" w:type="pct"/>
            <w:shd w:val="clear" w:color="auto" w:fill="auto"/>
            <w:noWrap/>
          </w:tcPr>
          <w:p w14:paraId="4CDA7B4A" w14:textId="77777777" w:rsidR="002A5E08" w:rsidRPr="005D0F9F" w:rsidRDefault="002A5E08" w:rsidP="00970743">
            <w:pPr>
              <w:keepNext/>
              <w:keepLines/>
              <w:spacing w:after="0"/>
              <w:contextualSpacing/>
              <w:jc w:val="right"/>
              <w:rPr>
                <w:sz w:val="18"/>
                <w:szCs w:val="18"/>
                <w:lang w:eastAsia="lv-LV"/>
              </w:rPr>
            </w:pPr>
            <w:r w:rsidRPr="005D0F9F">
              <w:rPr>
                <w:sz w:val="18"/>
                <w:szCs w:val="18"/>
                <w:lang w:eastAsia="lv-LV"/>
              </w:rPr>
              <w:t>466</w:t>
            </w:r>
          </w:p>
        </w:tc>
      </w:tr>
      <w:tr w:rsidR="002A5E08" w:rsidRPr="00E86687" w14:paraId="16D653F1" w14:textId="77777777" w:rsidTr="00970743">
        <w:trPr>
          <w:trHeight w:val="20"/>
          <w:jc w:val="center"/>
        </w:trPr>
        <w:tc>
          <w:tcPr>
            <w:tcW w:w="2332" w:type="pct"/>
            <w:shd w:val="clear" w:color="auto" w:fill="auto"/>
            <w:noWrap/>
            <w:vAlign w:val="center"/>
            <w:hideMark/>
          </w:tcPr>
          <w:p w14:paraId="6969F2A9" w14:textId="77777777" w:rsidR="002A5E08" w:rsidRPr="005D0F9F" w:rsidRDefault="002A5E08" w:rsidP="00970743">
            <w:pPr>
              <w:keepNext/>
              <w:keepLines/>
              <w:spacing w:after="0"/>
              <w:ind w:firstLine="1134"/>
              <w:contextualSpacing/>
              <w:rPr>
                <w:sz w:val="18"/>
                <w:szCs w:val="18"/>
                <w:lang w:eastAsia="lv-LV"/>
              </w:rPr>
            </w:pPr>
            <w:r w:rsidRPr="005D0F9F">
              <w:rPr>
                <w:sz w:val="18"/>
                <w:szCs w:val="18"/>
                <w:lang w:eastAsia="lv-LV"/>
              </w:rPr>
              <w:t>Igaunija</w:t>
            </w:r>
          </w:p>
        </w:tc>
        <w:tc>
          <w:tcPr>
            <w:tcW w:w="927" w:type="pct"/>
            <w:shd w:val="clear" w:color="auto" w:fill="auto"/>
            <w:noWrap/>
          </w:tcPr>
          <w:p w14:paraId="208F3C40" w14:textId="77777777" w:rsidR="002A5E08" w:rsidRPr="005D0F9F" w:rsidRDefault="002A5E08" w:rsidP="00970743">
            <w:pPr>
              <w:keepNext/>
              <w:keepLines/>
              <w:spacing w:after="0"/>
              <w:contextualSpacing/>
              <w:jc w:val="right"/>
              <w:rPr>
                <w:sz w:val="18"/>
                <w:szCs w:val="18"/>
                <w:lang w:eastAsia="lv-LV"/>
              </w:rPr>
            </w:pPr>
            <w:r w:rsidRPr="005D0F9F">
              <w:rPr>
                <w:sz w:val="18"/>
                <w:szCs w:val="18"/>
                <w:lang w:eastAsia="lv-LV"/>
              </w:rPr>
              <w:t>563</w:t>
            </w:r>
          </w:p>
        </w:tc>
        <w:tc>
          <w:tcPr>
            <w:tcW w:w="870" w:type="pct"/>
            <w:shd w:val="clear" w:color="auto" w:fill="auto"/>
            <w:noWrap/>
          </w:tcPr>
          <w:p w14:paraId="32072A95" w14:textId="77777777" w:rsidR="002A5E08" w:rsidRPr="005D0F9F" w:rsidRDefault="002A5E08" w:rsidP="00970743">
            <w:pPr>
              <w:keepNext/>
              <w:keepLines/>
              <w:spacing w:after="0"/>
              <w:contextualSpacing/>
              <w:jc w:val="right"/>
              <w:rPr>
                <w:sz w:val="18"/>
                <w:szCs w:val="18"/>
                <w:lang w:eastAsia="lv-LV"/>
              </w:rPr>
            </w:pPr>
            <w:r w:rsidRPr="005D0F9F">
              <w:rPr>
                <w:sz w:val="18"/>
                <w:szCs w:val="18"/>
                <w:lang w:eastAsia="lv-LV"/>
              </w:rPr>
              <w:t>563</w:t>
            </w:r>
          </w:p>
        </w:tc>
        <w:tc>
          <w:tcPr>
            <w:tcW w:w="871" w:type="pct"/>
            <w:shd w:val="clear" w:color="auto" w:fill="auto"/>
            <w:noWrap/>
          </w:tcPr>
          <w:p w14:paraId="57F96CF8" w14:textId="77777777" w:rsidR="002A5E08" w:rsidRPr="005D0F9F" w:rsidRDefault="002A5E08" w:rsidP="00970743">
            <w:pPr>
              <w:keepNext/>
              <w:keepLines/>
              <w:spacing w:after="0"/>
              <w:contextualSpacing/>
              <w:jc w:val="right"/>
              <w:rPr>
                <w:sz w:val="18"/>
                <w:szCs w:val="18"/>
                <w:lang w:eastAsia="lv-LV"/>
              </w:rPr>
            </w:pPr>
            <w:r w:rsidRPr="005D0F9F">
              <w:rPr>
                <w:sz w:val="18"/>
                <w:szCs w:val="18"/>
                <w:lang w:eastAsia="lv-LV"/>
              </w:rPr>
              <w:t>563</w:t>
            </w:r>
          </w:p>
        </w:tc>
      </w:tr>
      <w:tr w:rsidR="002A5E08" w:rsidRPr="00E86687" w14:paraId="5301A355" w14:textId="77777777" w:rsidTr="00193ACF">
        <w:trPr>
          <w:trHeight w:val="58"/>
          <w:jc w:val="center"/>
        </w:trPr>
        <w:tc>
          <w:tcPr>
            <w:tcW w:w="5000" w:type="pct"/>
            <w:gridSpan w:val="4"/>
            <w:shd w:val="clear" w:color="auto" w:fill="B8CCE4" w:themeFill="accent1" w:themeFillTint="66"/>
            <w:noWrap/>
            <w:vAlign w:val="center"/>
            <w:hideMark/>
          </w:tcPr>
          <w:p w14:paraId="375F02F8" w14:textId="77777777" w:rsidR="002A5E08" w:rsidRPr="005D0F9F" w:rsidRDefault="002A5E08" w:rsidP="00970743">
            <w:pPr>
              <w:keepNext/>
              <w:keepLines/>
              <w:spacing w:after="0"/>
              <w:ind w:firstLine="28"/>
              <w:contextualSpacing/>
              <w:rPr>
                <w:sz w:val="18"/>
                <w:szCs w:val="18"/>
                <w:lang w:eastAsia="lv-LV"/>
              </w:rPr>
            </w:pPr>
            <w:r w:rsidRPr="005D0F9F">
              <w:rPr>
                <w:sz w:val="18"/>
                <w:szCs w:val="18"/>
                <w:lang w:eastAsia="lv-LV"/>
              </w:rPr>
              <w:t xml:space="preserve">Dīzeļdegviela, </w:t>
            </w:r>
            <w:proofErr w:type="spellStart"/>
            <w:r w:rsidRPr="005D0F9F">
              <w:rPr>
                <w:i/>
                <w:sz w:val="18"/>
                <w:szCs w:val="18"/>
                <w:lang w:eastAsia="lv-LV"/>
              </w:rPr>
              <w:t>euro</w:t>
            </w:r>
            <w:proofErr w:type="spellEnd"/>
            <w:r w:rsidRPr="005D0F9F">
              <w:rPr>
                <w:sz w:val="18"/>
                <w:szCs w:val="18"/>
                <w:lang w:eastAsia="lv-LV"/>
              </w:rPr>
              <w:t xml:space="preserve"> par 1000 l.</w:t>
            </w:r>
          </w:p>
        </w:tc>
      </w:tr>
      <w:tr w:rsidR="002A5E08" w:rsidRPr="00E86687" w14:paraId="60CF53C4" w14:textId="77777777" w:rsidTr="00970743">
        <w:trPr>
          <w:trHeight w:val="58"/>
          <w:jc w:val="center"/>
        </w:trPr>
        <w:tc>
          <w:tcPr>
            <w:tcW w:w="2332" w:type="pct"/>
            <w:shd w:val="clear" w:color="auto" w:fill="auto"/>
            <w:noWrap/>
            <w:vAlign w:val="center"/>
            <w:hideMark/>
          </w:tcPr>
          <w:p w14:paraId="00E3D969" w14:textId="77777777" w:rsidR="002A5E08" w:rsidRPr="005D0F9F" w:rsidRDefault="002A5E08" w:rsidP="00970743">
            <w:pPr>
              <w:keepNext/>
              <w:keepLines/>
              <w:spacing w:after="0"/>
              <w:ind w:firstLine="1134"/>
              <w:contextualSpacing/>
              <w:rPr>
                <w:bCs/>
                <w:sz w:val="18"/>
                <w:szCs w:val="18"/>
                <w:lang w:eastAsia="lv-LV"/>
              </w:rPr>
            </w:pPr>
            <w:r w:rsidRPr="005D0F9F">
              <w:rPr>
                <w:bCs/>
                <w:sz w:val="18"/>
                <w:szCs w:val="18"/>
                <w:lang w:eastAsia="lv-LV"/>
              </w:rPr>
              <w:t>Latvija</w:t>
            </w:r>
            <w:r w:rsidRPr="005D0F9F">
              <w:rPr>
                <w:bCs/>
                <w:sz w:val="18"/>
                <w:szCs w:val="18"/>
                <w:vertAlign w:val="superscript"/>
                <w:lang w:eastAsia="lv-LV"/>
              </w:rPr>
              <w:t>1</w:t>
            </w:r>
          </w:p>
        </w:tc>
        <w:tc>
          <w:tcPr>
            <w:tcW w:w="927" w:type="pct"/>
            <w:shd w:val="clear" w:color="auto" w:fill="auto"/>
            <w:noWrap/>
          </w:tcPr>
          <w:p w14:paraId="40184957" w14:textId="77777777" w:rsidR="002A5E08" w:rsidRPr="005D0F9F" w:rsidRDefault="002A5E08" w:rsidP="00970743">
            <w:pPr>
              <w:keepNext/>
              <w:keepLines/>
              <w:spacing w:after="0"/>
              <w:contextualSpacing/>
              <w:jc w:val="right"/>
              <w:rPr>
                <w:bCs/>
                <w:sz w:val="18"/>
                <w:szCs w:val="18"/>
                <w:lang w:eastAsia="lv-LV"/>
              </w:rPr>
            </w:pPr>
            <w:r w:rsidRPr="005D0F9F">
              <w:rPr>
                <w:bCs/>
                <w:sz w:val="18"/>
                <w:szCs w:val="18"/>
                <w:lang w:eastAsia="lv-LV"/>
              </w:rPr>
              <w:t>372</w:t>
            </w:r>
          </w:p>
        </w:tc>
        <w:tc>
          <w:tcPr>
            <w:tcW w:w="870" w:type="pct"/>
            <w:shd w:val="clear" w:color="auto" w:fill="auto"/>
            <w:noWrap/>
          </w:tcPr>
          <w:p w14:paraId="7EC27149" w14:textId="77777777" w:rsidR="002A5E08" w:rsidRPr="005D0F9F" w:rsidRDefault="002A5E08" w:rsidP="00970743">
            <w:pPr>
              <w:keepNext/>
              <w:keepLines/>
              <w:spacing w:after="0"/>
              <w:contextualSpacing/>
              <w:jc w:val="right"/>
              <w:rPr>
                <w:bCs/>
                <w:sz w:val="18"/>
                <w:szCs w:val="18"/>
                <w:lang w:eastAsia="lv-LV"/>
              </w:rPr>
            </w:pPr>
            <w:r w:rsidRPr="005D0F9F">
              <w:rPr>
                <w:bCs/>
                <w:sz w:val="18"/>
                <w:szCs w:val="18"/>
                <w:lang w:eastAsia="lv-LV"/>
              </w:rPr>
              <w:t>414</w:t>
            </w:r>
          </w:p>
        </w:tc>
        <w:tc>
          <w:tcPr>
            <w:tcW w:w="871" w:type="pct"/>
            <w:shd w:val="clear" w:color="auto" w:fill="auto"/>
            <w:noWrap/>
          </w:tcPr>
          <w:p w14:paraId="0480EB4B" w14:textId="77777777" w:rsidR="002A5E08" w:rsidRPr="005D0F9F" w:rsidRDefault="002A5E08" w:rsidP="00970743">
            <w:pPr>
              <w:keepNext/>
              <w:keepLines/>
              <w:spacing w:after="0"/>
              <w:contextualSpacing/>
              <w:jc w:val="right"/>
              <w:rPr>
                <w:bCs/>
                <w:sz w:val="18"/>
                <w:szCs w:val="18"/>
                <w:lang w:eastAsia="lv-LV"/>
              </w:rPr>
            </w:pPr>
            <w:r w:rsidRPr="005D0F9F">
              <w:rPr>
                <w:bCs/>
                <w:sz w:val="18"/>
                <w:szCs w:val="18"/>
                <w:lang w:eastAsia="lv-LV"/>
              </w:rPr>
              <w:t>414</w:t>
            </w:r>
          </w:p>
        </w:tc>
      </w:tr>
      <w:tr w:rsidR="002A5E08" w:rsidRPr="00E86687" w14:paraId="2A24BC39" w14:textId="77777777" w:rsidTr="00970743">
        <w:trPr>
          <w:trHeight w:val="20"/>
          <w:jc w:val="center"/>
        </w:trPr>
        <w:tc>
          <w:tcPr>
            <w:tcW w:w="2332" w:type="pct"/>
            <w:shd w:val="clear" w:color="auto" w:fill="auto"/>
            <w:noWrap/>
            <w:vAlign w:val="center"/>
            <w:hideMark/>
          </w:tcPr>
          <w:p w14:paraId="0CCD76E6" w14:textId="77777777" w:rsidR="002A5E08" w:rsidRPr="005D0F9F" w:rsidRDefault="002A5E08" w:rsidP="00970743">
            <w:pPr>
              <w:keepNext/>
              <w:keepLines/>
              <w:spacing w:after="0"/>
              <w:ind w:firstLine="1134"/>
              <w:contextualSpacing/>
              <w:rPr>
                <w:bCs/>
                <w:sz w:val="18"/>
                <w:szCs w:val="18"/>
                <w:lang w:eastAsia="lv-LV"/>
              </w:rPr>
            </w:pPr>
            <w:r w:rsidRPr="005D0F9F">
              <w:rPr>
                <w:bCs/>
                <w:sz w:val="18"/>
                <w:szCs w:val="18"/>
                <w:lang w:eastAsia="lv-LV"/>
              </w:rPr>
              <w:t>Lietuva</w:t>
            </w:r>
          </w:p>
        </w:tc>
        <w:tc>
          <w:tcPr>
            <w:tcW w:w="927" w:type="pct"/>
            <w:shd w:val="clear" w:color="auto" w:fill="auto"/>
            <w:noWrap/>
          </w:tcPr>
          <w:p w14:paraId="41571039" w14:textId="77777777" w:rsidR="002A5E08" w:rsidRPr="005D0F9F" w:rsidRDefault="002A5E08" w:rsidP="00970743">
            <w:pPr>
              <w:keepNext/>
              <w:keepLines/>
              <w:spacing w:after="0"/>
              <w:contextualSpacing/>
              <w:jc w:val="right"/>
              <w:rPr>
                <w:sz w:val="18"/>
                <w:szCs w:val="18"/>
                <w:lang w:eastAsia="lv-LV"/>
              </w:rPr>
            </w:pPr>
            <w:r w:rsidRPr="005D0F9F">
              <w:rPr>
                <w:sz w:val="18"/>
                <w:szCs w:val="18"/>
                <w:lang w:eastAsia="lv-LV"/>
              </w:rPr>
              <w:t>347</w:t>
            </w:r>
          </w:p>
        </w:tc>
        <w:tc>
          <w:tcPr>
            <w:tcW w:w="870" w:type="pct"/>
            <w:shd w:val="clear" w:color="auto" w:fill="auto"/>
            <w:noWrap/>
          </w:tcPr>
          <w:p w14:paraId="44163D2A" w14:textId="77777777" w:rsidR="002A5E08" w:rsidRPr="005D0F9F" w:rsidRDefault="002A5E08" w:rsidP="00970743">
            <w:pPr>
              <w:keepNext/>
              <w:keepLines/>
              <w:spacing w:after="0"/>
              <w:contextualSpacing/>
              <w:jc w:val="right"/>
              <w:rPr>
                <w:sz w:val="18"/>
                <w:szCs w:val="18"/>
                <w:lang w:eastAsia="lv-LV"/>
              </w:rPr>
            </w:pPr>
            <w:r w:rsidRPr="005D0F9F">
              <w:rPr>
                <w:sz w:val="18"/>
                <w:szCs w:val="18"/>
                <w:lang w:eastAsia="lv-LV"/>
              </w:rPr>
              <w:t>372</w:t>
            </w:r>
          </w:p>
        </w:tc>
        <w:tc>
          <w:tcPr>
            <w:tcW w:w="871" w:type="pct"/>
            <w:shd w:val="clear" w:color="auto" w:fill="auto"/>
            <w:noWrap/>
          </w:tcPr>
          <w:p w14:paraId="243541A9" w14:textId="77777777" w:rsidR="002A5E08" w:rsidRPr="005D0F9F" w:rsidRDefault="002A5E08" w:rsidP="00970743">
            <w:pPr>
              <w:keepNext/>
              <w:keepLines/>
              <w:spacing w:after="0"/>
              <w:contextualSpacing/>
              <w:jc w:val="right"/>
              <w:rPr>
                <w:sz w:val="18"/>
                <w:szCs w:val="18"/>
                <w:lang w:eastAsia="lv-LV"/>
              </w:rPr>
            </w:pPr>
            <w:r w:rsidRPr="005D0F9F">
              <w:rPr>
                <w:sz w:val="18"/>
                <w:szCs w:val="18"/>
                <w:lang w:eastAsia="lv-LV"/>
              </w:rPr>
              <w:t>372</w:t>
            </w:r>
          </w:p>
        </w:tc>
      </w:tr>
      <w:tr w:rsidR="002A5E08" w:rsidRPr="00E86687" w14:paraId="34045F0C" w14:textId="77777777" w:rsidTr="00970743">
        <w:trPr>
          <w:trHeight w:val="20"/>
          <w:jc w:val="center"/>
        </w:trPr>
        <w:tc>
          <w:tcPr>
            <w:tcW w:w="2332" w:type="pct"/>
            <w:shd w:val="clear" w:color="auto" w:fill="auto"/>
            <w:noWrap/>
            <w:vAlign w:val="center"/>
            <w:hideMark/>
          </w:tcPr>
          <w:p w14:paraId="5E55A9A7" w14:textId="77777777" w:rsidR="002A5E08" w:rsidRPr="005D0F9F" w:rsidRDefault="002A5E08" w:rsidP="00970743">
            <w:pPr>
              <w:keepNext/>
              <w:keepLines/>
              <w:spacing w:after="0"/>
              <w:ind w:firstLine="1134"/>
              <w:contextualSpacing/>
              <w:rPr>
                <w:bCs/>
                <w:sz w:val="18"/>
                <w:szCs w:val="18"/>
                <w:lang w:eastAsia="lv-LV"/>
              </w:rPr>
            </w:pPr>
            <w:r w:rsidRPr="005D0F9F">
              <w:rPr>
                <w:bCs/>
                <w:sz w:val="18"/>
                <w:szCs w:val="18"/>
                <w:lang w:eastAsia="lv-LV"/>
              </w:rPr>
              <w:t>Igaunija</w:t>
            </w:r>
          </w:p>
        </w:tc>
        <w:tc>
          <w:tcPr>
            <w:tcW w:w="927" w:type="pct"/>
            <w:shd w:val="clear" w:color="auto" w:fill="auto"/>
            <w:noWrap/>
          </w:tcPr>
          <w:p w14:paraId="175A486F" w14:textId="77777777" w:rsidR="002A5E08" w:rsidRPr="005D0F9F" w:rsidRDefault="002A5E08" w:rsidP="00970743">
            <w:pPr>
              <w:keepNext/>
              <w:keepLines/>
              <w:spacing w:after="0"/>
              <w:contextualSpacing/>
              <w:jc w:val="right"/>
              <w:rPr>
                <w:sz w:val="18"/>
                <w:szCs w:val="18"/>
                <w:lang w:eastAsia="lv-LV"/>
              </w:rPr>
            </w:pPr>
            <w:r w:rsidRPr="005D0F9F">
              <w:rPr>
                <w:sz w:val="18"/>
                <w:szCs w:val="18"/>
                <w:lang w:eastAsia="lv-LV"/>
              </w:rPr>
              <w:t>493</w:t>
            </w:r>
          </w:p>
        </w:tc>
        <w:tc>
          <w:tcPr>
            <w:tcW w:w="870" w:type="pct"/>
            <w:shd w:val="clear" w:color="auto" w:fill="auto"/>
            <w:noWrap/>
          </w:tcPr>
          <w:p w14:paraId="7D9978DA" w14:textId="77777777" w:rsidR="002A5E08" w:rsidRPr="005D0F9F" w:rsidRDefault="002A5E08" w:rsidP="00970743">
            <w:pPr>
              <w:keepNext/>
              <w:keepLines/>
              <w:spacing w:after="0"/>
              <w:contextualSpacing/>
              <w:jc w:val="right"/>
              <w:rPr>
                <w:sz w:val="18"/>
                <w:szCs w:val="18"/>
                <w:lang w:eastAsia="lv-LV"/>
              </w:rPr>
            </w:pPr>
            <w:r w:rsidRPr="005D0F9F">
              <w:rPr>
                <w:sz w:val="18"/>
                <w:szCs w:val="18"/>
                <w:lang w:eastAsia="lv-LV"/>
              </w:rPr>
              <w:t>493/372</w:t>
            </w:r>
            <w:r w:rsidRPr="005D0F9F">
              <w:rPr>
                <w:sz w:val="18"/>
                <w:szCs w:val="18"/>
                <w:vertAlign w:val="superscript"/>
                <w:lang w:eastAsia="lv-LV"/>
              </w:rPr>
              <w:t>2</w:t>
            </w:r>
          </w:p>
        </w:tc>
        <w:tc>
          <w:tcPr>
            <w:tcW w:w="871" w:type="pct"/>
            <w:shd w:val="clear" w:color="auto" w:fill="auto"/>
            <w:noWrap/>
          </w:tcPr>
          <w:p w14:paraId="03BE3BAF" w14:textId="77777777" w:rsidR="002A5E08" w:rsidRPr="005D0F9F" w:rsidRDefault="002A5E08" w:rsidP="00970743">
            <w:pPr>
              <w:keepNext/>
              <w:keepLines/>
              <w:spacing w:after="0"/>
              <w:contextualSpacing/>
              <w:jc w:val="right"/>
              <w:rPr>
                <w:sz w:val="18"/>
                <w:szCs w:val="18"/>
                <w:lang w:eastAsia="lv-LV"/>
              </w:rPr>
            </w:pPr>
            <w:r w:rsidRPr="005D0F9F">
              <w:rPr>
                <w:sz w:val="18"/>
                <w:szCs w:val="18"/>
                <w:lang w:eastAsia="lv-LV"/>
              </w:rPr>
              <w:t>372</w:t>
            </w:r>
          </w:p>
        </w:tc>
      </w:tr>
      <w:tr w:rsidR="002A5E08" w:rsidRPr="00E86687" w14:paraId="0EE9F7B6" w14:textId="77777777" w:rsidTr="00193ACF">
        <w:trPr>
          <w:trHeight w:val="20"/>
          <w:jc w:val="center"/>
        </w:trPr>
        <w:tc>
          <w:tcPr>
            <w:tcW w:w="5000" w:type="pct"/>
            <w:gridSpan w:val="4"/>
            <w:shd w:val="clear" w:color="auto" w:fill="B8CCE4" w:themeFill="accent1" w:themeFillTint="66"/>
            <w:noWrap/>
            <w:vAlign w:val="center"/>
            <w:hideMark/>
          </w:tcPr>
          <w:p w14:paraId="26BF2B39" w14:textId="77777777" w:rsidR="002A5E08" w:rsidRPr="005D0F9F" w:rsidRDefault="002A5E08" w:rsidP="00970743">
            <w:pPr>
              <w:keepNext/>
              <w:keepLines/>
              <w:spacing w:after="0"/>
              <w:ind w:firstLine="28"/>
              <w:contextualSpacing/>
              <w:rPr>
                <w:sz w:val="18"/>
                <w:szCs w:val="18"/>
                <w:lang w:eastAsia="lv-LV"/>
              </w:rPr>
            </w:pPr>
            <w:r w:rsidRPr="005D0F9F">
              <w:rPr>
                <w:sz w:val="18"/>
                <w:szCs w:val="18"/>
                <w:lang w:eastAsia="lv-LV"/>
              </w:rPr>
              <w:t xml:space="preserve">Sašķidrinātās naftas gāzes, </w:t>
            </w:r>
            <w:proofErr w:type="spellStart"/>
            <w:r w:rsidRPr="005D0F9F">
              <w:rPr>
                <w:i/>
                <w:sz w:val="18"/>
                <w:szCs w:val="18"/>
                <w:lang w:eastAsia="lv-LV"/>
              </w:rPr>
              <w:t>euro</w:t>
            </w:r>
            <w:proofErr w:type="spellEnd"/>
            <w:r w:rsidRPr="005D0F9F">
              <w:rPr>
                <w:sz w:val="18"/>
                <w:szCs w:val="18"/>
                <w:lang w:eastAsia="lv-LV"/>
              </w:rPr>
              <w:t xml:space="preserve"> par 1000 kg.</w:t>
            </w:r>
          </w:p>
        </w:tc>
      </w:tr>
      <w:tr w:rsidR="002A5E08" w:rsidRPr="00E86687" w14:paraId="4CA6C265" w14:textId="77777777" w:rsidTr="00970743">
        <w:trPr>
          <w:trHeight w:val="20"/>
          <w:jc w:val="center"/>
        </w:trPr>
        <w:tc>
          <w:tcPr>
            <w:tcW w:w="2332" w:type="pct"/>
            <w:shd w:val="clear" w:color="auto" w:fill="auto"/>
            <w:noWrap/>
            <w:vAlign w:val="center"/>
            <w:hideMark/>
          </w:tcPr>
          <w:p w14:paraId="40D0B7F7" w14:textId="77777777" w:rsidR="002A5E08" w:rsidRPr="00E86687" w:rsidRDefault="002A5E08" w:rsidP="00970743">
            <w:pPr>
              <w:keepNext/>
              <w:keepLines/>
              <w:spacing w:after="0"/>
              <w:ind w:firstLine="1134"/>
              <w:contextualSpacing/>
              <w:rPr>
                <w:bCs/>
                <w:sz w:val="18"/>
                <w:szCs w:val="18"/>
                <w:lang w:eastAsia="lv-LV"/>
              </w:rPr>
            </w:pPr>
            <w:r w:rsidRPr="00E86687">
              <w:rPr>
                <w:bCs/>
                <w:sz w:val="18"/>
                <w:szCs w:val="18"/>
                <w:lang w:eastAsia="lv-LV"/>
              </w:rPr>
              <w:t>Latvija</w:t>
            </w:r>
          </w:p>
        </w:tc>
        <w:tc>
          <w:tcPr>
            <w:tcW w:w="927" w:type="pct"/>
            <w:shd w:val="clear" w:color="auto" w:fill="auto"/>
            <w:noWrap/>
          </w:tcPr>
          <w:p w14:paraId="222E5713" w14:textId="77777777" w:rsidR="002A5E08" w:rsidRPr="00E86687" w:rsidRDefault="002A5E08" w:rsidP="00970743">
            <w:pPr>
              <w:keepNext/>
              <w:keepLines/>
              <w:spacing w:after="0"/>
              <w:contextualSpacing/>
              <w:jc w:val="right"/>
              <w:rPr>
                <w:bCs/>
                <w:sz w:val="18"/>
                <w:szCs w:val="18"/>
                <w:lang w:eastAsia="lv-LV"/>
              </w:rPr>
            </w:pPr>
            <w:r w:rsidRPr="00E86687">
              <w:rPr>
                <w:bCs/>
                <w:sz w:val="18"/>
                <w:szCs w:val="18"/>
                <w:lang w:eastAsia="lv-LV"/>
              </w:rPr>
              <w:t>244</w:t>
            </w:r>
          </w:p>
        </w:tc>
        <w:tc>
          <w:tcPr>
            <w:tcW w:w="870" w:type="pct"/>
            <w:shd w:val="clear" w:color="auto" w:fill="auto"/>
            <w:noWrap/>
          </w:tcPr>
          <w:p w14:paraId="66CF2D4C" w14:textId="77777777" w:rsidR="002A5E08" w:rsidRPr="00E86687" w:rsidRDefault="002A5E08" w:rsidP="00970743">
            <w:pPr>
              <w:keepNext/>
              <w:keepLines/>
              <w:spacing w:after="0"/>
              <w:contextualSpacing/>
              <w:jc w:val="right"/>
              <w:rPr>
                <w:bCs/>
                <w:sz w:val="18"/>
                <w:szCs w:val="18"/>
                <w:lang w:eastAsia="lv-LV"/>
              </w:rPr>
            </w:pPr>
            <w:r w:rsidRPr="00E86687">
              <w:rPr>
                <w:bCs/>
                <w:sz w:val="18"/>
                <w:szCs w:val="18"/>
                <w:lang w:eastAsia="lv-LV"/>
              </w:rPr>
              <w:t>285</w:t>
            </w:r>
          </w:p>
        </w:tc>
        <w:tc>
          <w:tcPr>
            <w:tcW w:w="871" w:type="pct"/>
            <w:shd w:val="clear" w:color="auto" w:fill="auto"/>
            <w:noWrap/>
          </w:tcPr>
          <w:p w14:paraId="35099BB2" w14:textId="77777777" w:rsidR="002A5E08" w:rsidRPr="00E86687" w:rsidRDefault="002A5E08" w:rsidP="00970743">
            <w:pPr>
              <w:keepNext/>
              <w:keepLines/>
              <w:spacing w:after="0"/>
              <w:contextualSpacing/>
              <w:jc w:val="right"/>
              <w:rPr>
                <w:bCs/>
                <w:sz w:val="18"/>
                <w:szCs w:val="18"/>
                <w:lang w:eastAsia="lv-LV"/>
              </w:rPr>
            </w:pPr>
            <w:r w:rsidRPr="00E86687">
              <w:rPr>
                <w:bCs/>
                <w:sz w:val="18"/>
                <w:szCs w:val="18"/>
                <w:lang w:eastAsia="lv-LV"/>
              </w:rPr>
              <w:t>285</w:t>
            </w:r>
          </w:p>
        </w:tc>
      </w:tr>
      <w:tr w:rsidR="002A5E08" w:rsidRPr="00E86687" w14:paraId="196BB44A" w14:textId="77777777" w:rsidTr="00970743">
        <w:trPr>
          <w:trHeight w:val="20"/>
          <w:jc w:val="center"/>
        </w:trPr>
        <w:tc>
          <w:tcPr>
            <w:tcW w:w="2332" w:type="pct"/>
            <w:shd w:val="clear" w:color="auto" w:fill="auto"/>
            <w:noWrap/>
            <w:vAlign w:val="center"/>
            <w:hideMark/>
          </w:tcPr>
          <w:p w14:paraId="347C8884" w14:textId="77777777" w:rsidR="002A5E08" w:rsidRPr="00E86687" w:rsidRDefault="002A5E08" w:rsidP="00970743">
            <w:pPr>
              <w:keepNext/>
              <w:keepLines/>
              <w:spacing w:after="0"/>
              <w:ind w:firstLine="1134"/>
              <w:contextualSpacing/>
              <w:rPr>
                <w:bCs/>
                <w:sz w:val="18"/>
                <w:szCs w:val="18"/>
                <w:lang w:eastAsia="lv-LV"/>
              </w:rPr>
            </w:pPr>
            <w:r w:rsidRPr="00E86687">
              <w:rPr>
                <w:bCs/>
                <w:sz w:val="18"/>
                <w:szCs w:val="18"/>
                <w:lang w:eastAsia="lv-LV"/>
              </w:rPr>
              <w:t>Lietuva</w:t>
            </w:r>
          </w:p>
        </w:tc>
        <w:tc>
          <w:tcPr>
            <w:tcW w:w="927" w:type="pct"/>
            <w:shd w:val="clear" w:color="auto" w:fill="auto"/>
            <w:noWrap/>
          </w:tcPr>
          <w:p w14:paraId="288DF20B" w14:textId="77777777" w:rsidR="002A5E08" w:rsidRPr="00E86687" w:rsidRDefault="002A5E08" w:rsidP="00970743">
            <w:pPr>
              <w:keepNext/>
              <w:keepLines/>
              <w:spacing w:after="0"/>
              <w:contextualSpacing/>
              <w:jc w:val="right"/>
              <w:rPr>
                <w:sz w:val="18"/>
                <w:szCs w:val="18"/>
                <w:lang w:eastAsia="lv-LV"/>
              </w:rPr>
            </w:pPr>
            <w:r w:rsidRPr="00E86687">
              <w:rPr>
                <w:sz w:val="18"/>
                <w:szCs w:val="18"/>
                <w:lang w:eastAsia="lv-LV"/>
              </w:rPr>
              <w:t>304,10</w:t>
            </w:r>
          </w:p>
        </w:tc>
        <w:tc>
          <w:tcPr>
            <w:tcW w:w="870" w:type="pct"/>
            <w:shd w:val="clear" w:color="auto" w:fill="auto"/>
            <w:noWrap/>
          </w:tcPr>
          <w:p w14:paraId="688B4B69" w14:textId="77777777" w:rsidR="002A5E08" w:rsidRPr="00E86687" w:rsidRDefault="002A5E08" w:rsidP="00970743">
            <w:pPr>
              <w:keepNext/>
              <w:keepLines/>
              <w:spacing w:after="0"/>
              <w:contextualSpacing/>
              <w:jc w:val="right"/>
              <w:rPr>
                <w:sz w:val="18"/>
                <w:szCs w:val="18"/>
                <w:lang w:eastAsia="lv-LV"/>
              </w:rPr>
            </w:pPr>
            <w:r w:rsidRPr="00E86687">
              <w:rPr>
                <w:sz w:val="18"/>
                <w:szCs w:val="18"/>
                <w:lang w:eastAsia="lv-LV"/>
              </w:rPr>
              <w:t>304,10</w:t>
            </w:r>
          </w:p>
        </w:tc>
        <w:tc>
          <w:tcPr>
            <w:tcW w:w="871" w:type="pct"/>
            <w:shd w:val="clear" w:color="auto" w:fill="auto"/>
            <w:noWrap/>
          </w:tcPr>
          <w:p w14:paraId="42D8FCEC" w14:textId="77777777" w:rsidR="002A5E08" w:rsidRPr="00E86687" w:rsidRDefault="002A5E08" w:rsidP="00970743">
            <w:pPr>
              <w:keepNext/>
              <w:keepLines/>
              <w:spacing w:after="0"/>
              <w:contextualSpacing/>
              <w:jc w:val="right"/>
              <w:rPr>
                <w:sz w:val="18"/>
                <w:szCs w:val="18"/>
                <w:lang w:eastAsia="lv-LV"/>
              </w:rPr>
            </w:pPr>
            <w:r w:rsidRPr="00E86687">
              <w:rPr>
                <w:sz w:val="18"/>
                <w:szCs w:val="18"/>
                <w:lang w:eastAsia="lv-LV"/>
              </w:rPr>
              <w:t>304,10</w:t>
            </w:r>
          </w:p>
        </w:tc>
      </w:tr>
      <w:tr w:rsidR="002A5E08" w:rsidRPr="00E86687" w14:paraId="192CA742" w14:textId="77777777" w:rsidTr="00970743">
        <w:trPr>
          <w:trHeight w:val="20"/>
          <w:jc w:val="center"/>
        </w:trPr>
        <w:tc>
          <w:tcPr>
            <w:tcW w:w="2332" w:type="pct"/>
            <w:shd w:val="clear" w:color="auto" w:fill="auto"/>
            <w:noWrap/>
            <w:vAlign w:val="center"/>
            <w:hideMark/>
          </w:tcPr>
          <w:p w14:paraId="53F04A75" w14:textId="77777777" w:rsidR="002A5E08" w:rsidRPr="00E86687" w:rsidRDefault="002A5E08" w:rsidP="00970743">
            <w:pPr>
              <w:keepNext/>
              <w:keepLines/>
              <w:spacing w:after="0"/>
              <w:ind w:firstLine="1134"/>
              <w:contextualSpacing/>
              <w:rPr>
                <w:bCs/>
                <w:sz w:val="18"/>
                <w:szCs w:val="18"/>
                <w:lang w:eastAsia="lv-LV"/>
              </w:rPr>
            </w:pPr>
            <w:r w:rsidRPr="00E86687">
              <w:rPr>
                <w:bCs/>
                <w:sz w:val="18"/>
                <w:szCs w:val="18"/>
                <w:lang w:eastAsia="lv-LV"/>
              </w:rPr>
              <w:t>Igaunija</w:t>
            </w:r>
          </w:p>
        </w:tc>
        <w:tc>
          <w:tcPr>
            <w:tcW w:w="927" w:type="pct"/>
            <w:shd w:val="clear" w:color="auto" w:fill="auto"/>
            <w:noWrap/>
          </w:tcPr>
          <w:p w14:paraId="44654099" w14:textId="77777777" w:rsidR="002A5E08" w:rsidRPr="00E86687" w:rsidRDefault="002A5E08" w:rsidP="00970743">
            <w:pPr>
              <w:keepNext/>
              <w:keepLines/>
              <w:spacing w:after="0"/>
              <w:contextualSpacing/>
              <w:jc w:val="right"/>
              <w:rPr>
                <w:sz w:val="18"/>
                <w:szCs w:val="18"/>
                <w:lang w:eastAsia="lv-LV"/>
              </w:rPr>
            </w:pPr>
            <w:r w:rsidRPr="00E86687">
              <w:rPr>
                <w:sz w:val="18"/>
                <w:szCs w:val="18"/>
                <w:lang w:eastAsia="lv-LV"/>
              </w:rPr>
              <w:t>193</w:t>
            </w:r>
          </w:p>
        </w:tc>
        <w:tc>
          <w:tcPr>
            <w:tcW w:w="870" w:type="pct"/>
            <w:shd w:val="clear" w:color="auto" w:fill="auto"/>
            <w:noWrap/>
          </w:tcPr>
          <w:p w14:paraId="7B6BFC1B" w14:textId="77777777" w:rsidR="002A5E08" w:rsidRPr="00E86687" w:rsidRDefault="002A5E08" w:rsidP="00970743">
            <w:pPr>
              <w:keepNext/>
              <w:keepLines/>
              <w:spacing w:after="0"/>
              <w:contextualSpacing/>
              <w:jc w:val="right"/>
              <w:rPr>
                <w:sz w:val="18"/>
                <w:szCs w:val="18"/>
                <w:lang w:eastAsia="lv-LV"/>
              </w:rPr>
            </w:pPr>
            <w:r w:rsidRPr="00E86687">
              <w:rPr>
                <w:sz w:val="18"/>
                <w:szCs w:val="18"/>
                <w:lang w:eastAsia="lv-LV"/>
              </w:rPr>
              <w:t>193</w:t>
            </w:r>
          </w:p>
        </w:tc>
        <w:tc>
          <w:tcPr>
            <w:tcW w:w="871" w:type="pct"/>
            <w:shd w:val="clear" w:color="auto" w:fill="auto"/>
            <w:noWrap/>
          </w:tcPr>
          <w:p w14:paraId="78B37F6E" w14:textId="77777777" w:rsidR="002A5E08" w:rsidRPr="00E86687" w:rsidRDefault="002A5E08" w:rsidP="00970743">
            <w:pPr>
              <w:keepNext/>
              <w:keepLines/>
              <w:spacing w:after="0"/>
              <w:contextualSpacing/>
              <w:jc w:val="right"/>
              <w:rPr>
                <w:sz w:val="18"/>
                <w:szCs w:val="18"/>
                <w:lang w:eastAsia="lv-LV"/>
              </w:rPr>
            </w:pPr>
            <w:r w:rsidRPr="00E86687">
              <w:rPr>
                <w:sz w:val="18"/>
                <w:szCs w:val="18"/>
                <w:lang w:eastAsia="lv-LV"/>
              </w:rPr>
              <w:t>193</w:t>
            </w:r>
          </w:p>
        </w:tc>
      </w:tr>
    </w:tbl>
    <w:p w14:paraId="61195209" w14:textId="77777777" w:rsidR="002A5E08" w:rsidRPr="00994940" w:rsidRDefault="002A5E08" w:rsidP="00193ACF">
      <w:pPr>
        <w:keepNext/>
        <w:keepLines/>
        <w:spacing w:before="120" w:after="0"/>
        <w:ind w:firstLine="312"/>
        <w:rPr>
          <w:iCs/>
          <w:sz w:val="18"/>
        </w:rPr>
      </w:pPr>
      <w:r w:rsidRPr="00E86687">
        <w:rPr>
          <w:iCs/>
          <w:sz w:val="18"/>
          <w:vertAlign w:val="superscript"/>
        </w:rPr>
        <w:t>1</w:t>
      </w:r>
      <w:r w:rsidRPr="00994940">
        <w:rPr>
          <w:sz w:val="18"/>
          <w:szCs w:val="24"/>
        </w:rPr>
        <w:t xml:space="preserve"> </w:t>
      </w:r>
      <w:r>
        <w:rPr>
          <w:sz w:val="18"/>
          <w:szCs w:val="24"/>
        </w:rPr>
        <w:t>D</w:t>
      </w:r>
      <w:r w:rsidRPr="00994940">
        <w:rPr>
          <w:sz w:val="18"/>
          <w:szCs w:val="24"/>
        </w:rPr>
        <w:t>īzeļdegvielai, kas tiek marķēta saskaņā ar likuma “Par akcīzes nodokli” 28</w:t>
      </w:r>
      <w:r>
        <w:rPr>
          <w:sz w:val="18"/>
          <w:szCs w:val="24"/>
        </w:rPr>
        <w:t>. pant</w:t>
      </w:r>
      <w:r w:rsidRPr="00994940">
        <w:rPr>
          <w:sz w:val="18"/>
          <w:szCs w:val="24"/>
        </w:rPr>
        <w:t>u un kuru izmanto atbilstoši minētā likuma 18. panta piektajā daļā noteiktajam veidam, mērķiem un nosacījumiem, ar 2018</w:t>
      </w:r>
      <w:r>
        <w:rPr>
          <w:sz w:val="18"/>
          <w:szCs w:val="24"/>
        </w:rPr>
        <w:t>. gad</w:t>
      </w:r>
      <w:r w:rsidRPr="00994940">
        <w:rPr>
          <w:sz w:val="18"/>
          <w:szCs w:val="24"/>
        </w:rPr>
        <w:t xml:space="preserve">a </w:t>
      </w:r>
      <w:r>
        <w:rPr>
          <w:sz w:val="18"/>
          <w:szCs w:val="24"/>
        </w:rPr>
        <w:t>1. jūl</w:t>
      </w:r>
      <w:r w:rsidRPr="00994940">
        <w:rPr>
          <w:sz w:val="18"/>
          <w:szCs w:val="24"/>
        </w:rPr>
        <w:t>iju akcīzes nodoklis tiek piemērots 15% apmērā no akcīzes nodokļa standart likmes dīzeļdegvielai</w:t>
      </w:r>
      <w:r>
        <w:rPr>
          <w:sz w:val="18"/>
          <w:szCs w:val="24"/>
        </w:rPr>
        <w:t>.</w:t>
      </w:r>
    </w:p>
    <w:p w14:paraId="236D12EA" w14:textId="77777777" w:rsidR="002A5E08" w:rsidRPr="00994940" w:rsidRDefault="002A5E08" w:rsidP="00193ACF">
      <w:pPr>
        <w:ind w:left="425" w:firstLine="0"/>
        <w:jc w:val="left"/>
        <w:rPr>
          <w:iCs/>
          <w:sz w:val="18"/>
        </w:rPr>
      </w:pPr>
      <w:r w:rsidRPr="00E86687">
        <w:rPr>
          <w:iCs/>
          <w:sz w:val="18"/>
          <w:vertAlign w:val="superscript"/>
        </w:rPr>
        <w:t>2</w:t>
      </w:r>
      <w:r w:rsidRPr="00994940">
        <w:rPr>
          <w:iCs/>
          <w:sz w:val="18"/>
        </w:rPr>
        <w:t xml:space="preserve"> </w:t>
      </w:r>
      <w:r>
        <w:rPr>
          <w:iCs/>
          <w:sz w:val="18"/>
        </w:rPr>
        <w:t>L</w:t>
      </w:r>
      <w:r w:rsidRPr="00994940">
        <w:rPr>
          <w:iCs/>
          <w:sz w:val="18"/>
        </w:rPr>
        <w:t>ikme samazināta ar 01.05.2020.</w:t>
      </w:r>
    </w:p>
    <w:p w14:paraId="2A7B6736" w14:textId="77777777" w:rsidR="002A5E08" w:rsidRPr="00994940" w:rsidRDefault="002A5E08" w:rsidP="00193ACF">
      <w:pPr>
        <w:ind w:firstLine="720"/>
      </w:pPr>
      <w:r w:rsidRPr="00E86687">
        <w:t>3.10. tabulā</w:t>
      </w:r>
      <w:r w:rsidRPr="00AC3042">
        <w:t xml:space="preserve"> redzams,</w:t>
      </w:r>
      <w:r w:rsidRPr="00E86687">
        <w:t xml:space="preserve"> ka 2021. gadā</w:t>
      </w:r>
      <w:r w:rsidRPr="00994940">
        <w:t xml:space="preserve"> Baltijas valstu degvielas likmes benzīnam, dīzeļdegvielai un sašķidrinātai naftas gāzei ir nemainīgas, salīdzinot ar 2020</w:t>
      </w:r>
      <w:r>
        <w:t>. gad</w:t>
      </w:r>
      <w:r w:rsidRPr="00994940">
        <w:t xml:space="preserve">u. Kopumā benzīna likmes ir visaugstākās Igaunijā, dīzeļdegvielai </w:t>
      </w:r>
      <w:r w:rsidRPr="008C1377">
        <w:t>–</w:t>
      </w:r>
      <w:r w:rsidRPr="00994940">
        <w:t xml:space="preserve"> Latvijā un sašķidrinātai gāzei </w:t>
      </w:r>
      <w:r w:rsidRPr="008C1377">
        <w:t>–</w:t>
      </w:r>
      <w:r w:rsidRPr="00994940">
        <w:t xml:space="preserve"> Lietuvā. </w:t>
      </w:r>
    </w:p>
    <w:p w14:paraId="5B33520A" w14:textId="77777777" w:rsidR="002A5E08" w:rsidRPr="00994940" w:rsidRDefault="002A5E08" w:rsidP="00193ACF">
      <w:pPr>
        <w:ind w:firstLine="720"/>
      </w:pPr>
      <w:r w:rsidRPr="00994940">
        <w:t>Degvielas patēriņa izmaiņas atspoguļojas arī transportlīdzekļu skaita izmaiņās pa degvielas veidiem. Saskaņā ar Ceļu satiksmes drošības direkcijas informāciju 2021</w:t>
      </w:r>
      <w:r>
        <w:t>. gad</w:t>
      </w:r>
      <w:r w:rsidRPr="00994940">
        <w:t xml:space="preserve">a </w:t>
      </w:r>
      <w:r>
        <w:t>1. jūl</w:t>
      </w:r>
      <w:r w:rsidRPr="00994940">
        <w:t>ijā, salīdzinot ar 2020</w:t>
      </w:r>
      <w:r>
        <w:t>. gad</w:t>
      </w:r>
      <w:r w:rsidRPr="00994940">
        <w:t xml:space="preserve">a </w:t>
      </w:r>
      <w:r>
        <w:t>1. jūl</w:t>
      </w:r>
      <w:r w:rsidRPr="00994940">
        <w:t>iju, kopējais reģistrēto transportlīdzekļu skaits palielinājies par 2,4%, t.sk. transportlīdzekļu, kas patērē dīzeļdegvielu, īpatsvars kopējā transportlīdzekļu skaitā ir pieaudzis 66,2% līdz 67,6% un to skaits bija 575</w:t>
      </w:r>
      <w:r>
        <w:t> </w:t>
      </w:r>
      <w:r w:rsidRPr="00994940">
        <w:t xml:space="preserve">134, benzīnu patērējošo transportlīdzekļu īpatsvars ir samazinājies no 27,8% līdz 26,7% un to skaits </w:t>
      </w:r>
      <w:r>
        <w:t>bija</w:t>
      </w:r>
      <w:r w:rsidRPr="00994940">
        <w:t xml:space="preserve"> </w:t>
      </w:r>
      <w:r w:rsidRPr="00994940">
        <w:lastRenderedPageBreak/>
        <w:t>227</w:t>
      </w:r>
      <w:r>
        <w:t> </w:t>
      </w:r>
      <w:r w:rsidRPr="00994940">
        <w:t>410. Sašķidrinātās naftas gāzes patērējošo transportlīdzekļu īpatsvars samazinājies par 0,5</w:t>
      </w:r>
      <w:r>
        <w:t> procent</w:t>
      </w:r>
      <w:r w:rsidRPr="00994940">
        <w:t>punktiem.</w:t>
      </w:r>
    </w:p>
    <w:p w14:paraId="5ADF3827" w14:textId="77777777" w:rsidR="002A5E08" w:rsidRPr="00994940" w:rsidRDefault="002A5E08" w:rsidP="00193ACF">
      <w:pPr>
        <w:ind w:firstLine="720"/>
      </w:pPr>
      <w:r w:rsidRPr="00994940">
        <w:t>Likumprojektā „Par valsts budžetu 2022</w:t>
      </w:r>
      <w:r>
        <w:t>. gad</w:t>
      </w:r>
      <w:r w:rsidRPr="00994940">
        <w:t>am” 2022</w:t>
      </w:r>
      <w:r>
        <w:t>. gad</w:t>
      </w:r>
      <w:r w:rsidRPr="00994940">
        <w:t>ā akcīzes nodokļa naftas produktiem ieņēmumi tiek plānoti 599,6</w:t>
      </w:r>
      <w:r>
        <w:rPr>
          <w:rFonts w:eastAsia="Calibri"/>
          <w:szCs w:val="28"/>
          <w:lang w:eastAsia="lv-LV"/>
        </w:rPr>
        <w:t> milj.</w:t>
      </w:r>
      <w:r>
        <w:t> </w:t>
      </w:r>
      <w:proofErr w:type="spellStart"/>
      <w:r w:rsidRPr="00D705E7">
        <w:rPr>
          <w:i/>
        </w:rPr>
        <w:t>euro</w:t>
      </w:r>
      <w:proofErr w:type="spellEnd"/>
      <w:r w:rsidRPr="00994940">
        <w:t xml:space="preserve"> apmērā, kas ir par 24,5</w:t>
      </w:r>
      <w:r>
        <w:rPr>
          <w:rFonts w:eastAsia="Calibri"/>
          <w:szCs w:val="28"/>
          <w:lang w:eastAsia="lv-LV"/>
        </w:rPr>
        <w:t> milj.</w:t>
      </w:r>
      <w:r>
        <w:t> </w:t>
      </w:r>
      <w:proofErr w:type="spellStart"/>
      <w:r w:rsidRPr="00D705E7">
        <w:rPr>
          <w:i/>
        </w:rPr>
        <w:t>euro</w:t>
      </w:r>
      <w:proofErr w:type="spellEnd"/>
      <w:r w:rsidRPr="00994940">
        <w:rPr>
          <w:i/>
          <w:iCs/>
        </w:rPr>
        <w:t xml:space="preserve"> </w:t>
      </w:r>
      <w:r w:rsidRPr="00994940">
        <w:t>jeb 4,3% vairāk nekā prognozēts 2021</w:t>
      </w:r>
      <w:r>
        <w:t>. gad</w:t>
      </w:r>
      <w:r w:rsidRPr="00994940">
        <w:t>am.</w:t>
      </w:r>
    </w:p>
    <w:p w14:paraId="407A06EF" w14:textId="77777777" w:rsidR="002A5E08" w:rsidRPr="00994940" w:rsidRDefault="002A5E08" w:rsidP="002A5E08">
      <w:pPr>
        <w:pStyle w:val="H5"/>
      </w:pPr>
      <w:r w:rsidRPr="00994940">
        <w:t>Akcīzes nodoklis alkoholiskajiem dzērieniem un alum</w:t>
      </w:r>
    </w:p>
    <w:p w14:paraId="2468E5B4" w14:textId="77777777" w:rsidR="002A5E08" w:rsidRPr="00994940" w:rsidRDefault="002A5E08" w:rsidP="00193ACF">
      <w:pPr>
        <w:ind w:firstLine="720"/>
      </w:pPr>
      <w:r w:rsidRPr="00994940">
        <w:t>2021</w:t>
      </w:r>
      <w:r>
        <w:t>. gad</w:t>
      </w:r>
      <w:r w:rsidRPr="00994940">
        <w:t xml:space="preserve">a </w:t>
      </w:r>
      <w:r>
        <w:t>pirmajā pusgadā</w:t>
      </w:r>
      <w:r w:rsidRPr="00994940">
        <w:t xml:space="preserve"> akcīzes nodokļa alkoholiskajiem dzērieniem (neskaitot alu) ieņēmumi bija 89,2</w:t>
      </w:r>
      <w:r>
        <w:rPr>
          <w:rFonts w:eastAsia="Calibri"/>
          <w:szCs w:val="28"/>
          <w:lang w:eastAsia="lv-LV"/>
        </w:rPr>
        <w:t> milj.</w:t>
      </w:r>
      <w:r>
        <w:t> </w:t>
      </w:r>
      <w:proofErr w:type="spellStart"/>
      <w:r w:rsidRPr="00D705E7">
        <w:rPr>
          <w:i/>
        </w:rPr>
        <w:t>euro</w:t>
      </w:r>
      <w:proofErr w:type="spellEnd"/>
      <w:r w:rsidRPr="00994940">
        <w:rPr>
          <w:i/>
          <w:iCs/>
        </w:rPr>
        <w:t>.</w:t>
      </w:r>
      <w:r w:rsidRPr="00994940">
        <w:t xml:space="preserve"> Salīdzinot ar 2020</w:t>
      </w:r>
      <w:r>
        <w:t>. gad</w:t>
      </w:r>
      <w:r w:rsidRPr="00994940">
        <w:t xml:space="preserve">a </w:t>
      </w:r>
      <w:r>
        <w:t>pirmo pusgadu</w:t>
      </w:r>
      <w:r w:rsidRPr="00994940">
        <w:t>, akcīzes nodokļa ieņēmumi no alkoholiskajiem dzērieniem palielinājušies par 1,2</w:t>
      </w:r>
      <w:r>
        <w:rPr>
          <w:rFonts w:eastAsia="Calibri"/>
          <w:szCs w:val="28"/>
          <w:lang w:eastAsia="lv-LV"/>
        </w:rPr>
        <w:t> milj.</w:t>
      </w:r>
      <w:r>
        <w:t> </w:t>
      </w:r>
      <w:proofErr w:type="spellStart"/>
      <w:r w:rsidRPr="00D705E7">
        <w:rPr>
          <w:i/>
        </w:rPr>
        <w:t>euro</w:t>
      </w:r>
      <w:proofErr w:type="spellEnd"/>
      <w:r w:rsidRPr="00994940">
        <w:t xml:space="preserve"> jeb par 1,4</w:t>
      </w:r>
      <w:r>
        <w:rPr>
          <w:rFonts w:eastAsia="Calibri"/>
          <w:szCs w:val="28"/>
          <w:lang w:eastAsia="lv-LV"/>
        </w:rPr>
        <w:t> procent</w:t>
      </w:r>
      <w:r w:rsidRPr="00994940">
        <w:t>iem. Savukārt salīdzinājumā ar plānoto iekasēts par 10,7</w:t>
      </w:r>
      <w:r>
        <w:rPr>
          <w:rFonts w:eastAsia="Calibri"/>
          <w:szCs w:val="28"/>
          <w:lang w:eastAsia="lv-LV"/>
        </w:rPr>
        <w:t> milj.</w:t>
      </w:r>
      <w:r>
        <w:t> </w:t>
      </w:r>
      <w:proofErr w:type="spellStart"/>
      <w:r w:rsidRPr="00D705E7">
        <w:rPr>
          <w:i/>
        </w:rPr>
        <w:t>euro</w:t>
      </w:r>
      <w:proofErr w:type="spellEnd"/>
      <w:r w:rsidRPr="00994940">
        <w:t xml:space="preserve"> jeb 10,7% mazāk.</w:t>
      </w:r>
    </w:p>
    <w:p w14:paraId="6740ECED" w14:textId="77777777" w:rsidR="002A5E08" w:rsidRPr="00994940" w:rsidRDefault="002A5E08" w:rsidP="00193ACF">
      <w:pPr>
        <w:ind w:firstLine="720"/>
      </w:pPr>
      <w:r w:rsidRPr="00994940">
        <w:t>Ar 2021</w:t>
      </w:r>
      <w:r>
        <w:t>. gad</w:t>
      </w:r>
      <w:r w:rsidRPr="00994940">
        <w:t xml:space="preserve">a </w:t>
      </w:r>
      <w:r>
        <w:t>1. mart</w:t>
      </w:r>
      <w:r w:rsidRPr="00994940">
        <w:t>u tika palielinātas akcīzes nodokļa likmes vīnam, raudzētiem dzērieniem (virs 6%) un starpproduktiem (līdz 15%), starpproduktiem (virs 15% un līdz 22%), spirtam un pārējiem alkoholiskajiem dzērieniem.</w:t>
      </w:r>
    </w:p>
    <w:p w14:paraId="40CE2553" w14:textId="703A2746" w:rsidR="002A5E08" w:rsidRPr="00994940" w:rsidRDefault="002A5E08" w:rsidP="00193ACF">
      <w:pPr>
        <w:ind w:firstLine="720"/>
      </w:pPr>
      <w:r w:rsidRPr="00994940">
        <w:t xml:space="preserve">Saskaņā ar </w:t>
      </w:r>
      <w:r w:rsidR="00AA7099">
        <w:t>VID</w:t>
      </w:r>
      <w:r w:rsidRPr="00994940">
        <w:t xml:space="preserve"> informāciju 2020</w:t>
      </w:r>
      <w:r>
        <w:t>. gad</w:t>
      </w:r>
      <w:r w:rsidRPr="00994940">
        <w:t>a decembrī un 2021</w:t>
      </w:r>
      <w:r>
        <w:t>. gad</w:t>
      </w:r>
      <w:r w:rsidRPr="00994940">
        <w:t>a piecos mēnešos, salīdzinot ar 2019. un 2020</w:t>
      </w:r>
      <w:r>
        <w:t>. gad</w:t>
      </w:r>
      <w:r w:rsidRPr="00994940">
        <w:t>a attiecīgo periodu, patēriņam nodots par 0,6% vairāk alkoholisko dzērienu (</w:t>
      </w:r>
      <w:r>
        <w:t xml:space="preserve">no tiem </w:t>
      </w:r>
      <w:r w:rsidRPr="00994940">
        <w:t>neskaitot alu). Pārējo alkoholisko dzērienu patēriņš palielinājies par 6,9%, vīna un raudzēto dzērienu patēriņš palielinājies par 5,1% un starpproduktu patēriņš samazinājies par 31,7</w:t>
      </w:r>
      <w:r>
        <w:t> procent</w:t>
      </w:r>
      <w:r w:rsidRPr="00994940">
        <w:t>iem.</w:t>
      </w:r>
    </w:p>
    <w:p w14:paraId="3F7ACA34" w14:textId="77777777" w:rsidR="002A5E08" w:rsidRPr="00994940" w:rsidRDefault="002A5E08" w:rsidP="00193ACF">
      <w:pPr>
        <w:ind w:firstLine="720"/>
        <w:rPr>
          <w:szCs w:val="24"/>
        </w:rPr>
      </w:pPr>
      <w:r w:rsidRPr="00994940">
        <w:rPr>
          <w:szCs w:val="24"/>
        </w:rPr>
        <w:t>2022</w:t>
      </w:r>
      <w:r>
        <w:rPr>
          <w:szCs w:val="24"/>
        </w:rPr>
        <w:t>. gad</w:t>
      </w:r>
      <w:r w:rsidRPr="00994940">
        <w:rPr>
          <w:szCs w:val="24"/>
        </w:rPr>
        <w:t xml:space="preserve">a akcīzes nodokļa no alkoholiskajiem dzērieniem ieņēmumi saskaņā ar </w:t>
      </w:r>
      <w:r w:rsidRPr="00994940">
        <w:t>likumprojektu</w:t>
      </w:r>
      <w:r>
        <w:t xml:space="preserve"> </w:t>
      </w:r>
      <w:r w:rsidRPr="00994940">
        <w:t>„Par valsts budžetu 2022</w:t>
      </w:r>
      <w:r>
        <w:t>. gad</w:t>
      </w:r>
      <w:r w:rsidRPr="00994940">
        <w:t xml:space="preserve">am” </w:t>
      </w:r>
      <w:r w:rsidRPr="00994940">
        <w:rPr>
          <w:szCs w:val="24"/>
        </w:rPr>
        <w:t>plānoti 219,3</w:t>
      </w:r>
      <w:r>
        <w:rPr>
          <w:szCs w:val="24"/>
        </w:rPr>
        <w:t> milj. </w:t>
      </w:r>
      <w:proofErr w:type="spellStart"/>
      <w:r w:rsidRPr="00D705E7">
        <w:rPr>
          <w:i/>
          <w:szCs w:val="24"/>
        </w:rPr>
        <w:t>euro</w:t>
      </w:r>
      <w:proofErr w:type="spellEnd"/>
      <w:r w:rsidRPr="00994940">
        <w:rPr>
          <w:szCs w:val="24"/>
        </w:rPr>
        <w:t xml:space="preserve"> apmērā, kas ir par 10,8</w:t>
      </w:r>
      <w:r>
        <w:rPr>
          <w:szCs w:val="24"/>
        </w:rPr>
        <w:t> milj. </w:t>
      </w:r>
      <w:proofErr w:type="spellStart"/>
      <w:r w:rsidRPr="00D705E7">
        <w:rPr>
          <w:i/>
          <w:szCs w:val="24"/>
        </w:rPr>
        <w:t>euro</w:t>
      </w:r>
      <w:proofErr w:type="spellEnd"/>
      <w:r w:rsidRPr="00994940">
        <w:rPr>
          <w:szCs w:val="24"/>
        </w:rPr>
        <w:t xml:space="preserve"> jeb 5,2% vairāk nekā prognozēts 2021</w:t>
      </w:r>
      <w:r>
        <w:rPr>
          <w:szCs w:val="24"/>
        </w:rPr>
        <w:t>. gad</w:t>
      </w:r>
      <w:r w:rsidRPr="00994940">
        <w:rPr>
          <w:szCs w:val="24"/>
        </w:rPr>
        <w:t>am.</w:t>
      </w:r>
    </w:p>
    <w:p w14:paraId="64ABF9B1" w14:textId="77777777" w:rsidR="002A5E08" w:rsidRPr="00994940" w:rsidRDefault="002A5E08" w:rsidP="00193ACF">
      <w:pPr>
        <w:ind w:firstLine="720"/>
      </w:pPr>
      <w:r w:rsidRPr="00994940">
        <w:t>2021</w:t>
      </w:r>
      <w:r>
        <w:t>. gad</w:t>
      </w:r>
      <w:r w:rsidRPr="00994940">
        <w:t xml:space="preserve">a </w:t>
      </w:r>
      <w:r>
        <w:t>pirmajā pusgadā</w:t>
      </w:r>
      <w:r w:rsidRPr="00994940">
        <w:t xml:space="preserve"> akcīzes nodokļa </w:t>
      </w:r>
      <w:r w:rsidRPr="005E6DD9">
        <w:rPr>
          <w:bCs/>
        </w:rPr>
        <w:t>alum</w:t>
      </w:r>
      <w:r w:rsidRPr="00994940">
        <w:t xml:space="preserve"> ieņēmumi bija 22,5</w:t>
      </w:r>
      <w:r>
        <w:t> milj. </w:t>
      </w:r>
      <w:proofErr w:type="spellStart"/>
      <w:r w:rsidRPr="00D705E7">
        <w:rPr>
          <w:i/>
        </w:rPr>
        <w:t>euro</w:t>
      </w:r>
      <w:proofErr w:type="spellEnd"/>
      <w:r w:rsidRPr="00994940">
        <w:t>, kas, salīdzinot ar 2020</w:t>
      </w:r>
      <w:r>
        <w:t>. gad</w:t>
      </w:r>
      <w:r w:rsidRPr="00994940">
        <w:t xml:space="preserve">a </w:t>
      </w:r>
      <w:r>
        <w:t>pirmo pusgadu</w:t>
      </w:r>
      <w:r w:rsidRPr="00994940">
        <w:t>, ir par 0,1</w:t>
      </w:r>
      <w:r>
        <w:t> milj. </w:t>
      </w:r>
      <w:proofErr w:type="spellStart"/>
      <w:r w:rsidRPr="00D705E7">
        <w:rPr>
          <w:i/>
        </w:rPr>
        <w:t>euro</w:t>
      </w:r>
      <w:proofErr w:type="spellEnd"/>
      <w:r w:rsidRPr="00994940">
        <w:t xml:space="preserve"> jeb 0,3% mazāk. Salīdzinot ar </w:t>
      </w:r>
      <w:r>
        <w:t>pirmajā pusgadā</w:t>
      </w:r>
      <w:r w:rsidRPr="00994940">
        <w:t xml:space="preserve"> plānoto, iekasēts par 3,5</w:t>
      </w:r>
      <w:r>
        <w:t> milj. </w:t>
      </w:r>
      <w:proofErr w:type="spellStart"/>
      <w:r w:rsidRPr="00D705E7">
        <w:rPr>
          <w:i/>
        </w:rPr>
        <w:t>euro</w:t>
      </w:r>
      <w:proofErr w:type="spellEnd"/>
      <w:r w:rsidRPr="00994940">
        <w:t xml:space="preserve"> jeb 13,4% mazāk. </w:t>
      </w:r>
    </w:p>
    <w:p w14:paraId="3496DC1C" w14:textId="77777777" w:rsidR="002A5E08" w:rsidRPr="00994940" w:rsidRDefault="002A5E08" w:rsidP="00193ACF">
      <w:pPr>
        <w:ind w:firstLine="720"/>
      </w:pPr>
      <w:r w:rsidRPr="00994940">
        <w:t>No 2021</w:t>
      </w:r>
      <w:r>
        <w:t>. gad</w:t>
      </w:r>
      <w:r w:rsidRPr="00994940">
        <w:t xml:space="preserve">a </w:t>
      </w:r>
      <w:r>
        <w:t>1. mart</w:t>
      </w:r>
      <w:r w:rsidRPr="00994940">
        <w:t xml:space="preserve">a </w:t>
      </w:r>
      <w:r>
        <w:t>tika palielināta</w:t>
      </w:r>
      <w:r w:rsidRPr="00994940">
        <w:t xml:space="preserve"> alus nodokļa likme gan par absolūto spirta</w:t>
      </w:r>
      <w:r>
        <w:t> tilpumproc</w:t>
      </w:r>
      <w:r w:rsidRPr="00994940">
        <w:t>entu, gan arī minimālā likme.</w:t>
      </w:r>
    </w:p>
    <w:p w14:paraId="1A86EBBA" w14:textId="71B6DBB6" w:rsidR="002A5E08" w:rsidRPr="00994940" w:rsidRDefault="002A5E08" w:rsidP="00193ACF">
      <w:pPr>
        <w:ind w:firstLine="720"/>
      </w:pPr>
      <w:r w:rsidRPr="00994940">
        <w:t xml:space="preserve">Saskaņā ar </w:t>
      </w:r>
      <w:r w:rsidR="00AA7099">
        <w:t>VID</w:t>
      </w:r>
      <w:r w:rsidRPr="00994940">
        <w:t xml:space="preserve"> informāciju alus produktu kopējais patēriņš 2020</w:t>
      </w:r>
      <w:r>
        <w:t>. gad</w:t>
      </w:r>
      <w:r w:rsidRPr="00994940">
        <w:t>a decembrī un 2021</w:t>
      </w:r>
      <w:r>
        <w:t>. gad</w:t>
      </w:r>
      <w:r w:rsidRPr="00994940">
        <w:t>a piecos mēnešos un salīdzinājumā ar 2019. un 2020</w:t>
      </w:r>
      <w:r>
        <w:t>. gad</w:t>
      </w:r>
      <w:r w:rsidRPr="00994940">
        <w:t>a atbilstošo periodu ir samazinājies par 6,6</w:t>
      </w:r>
      <w:r>
        <w:t> procent</w:t>
      </w:r>
      <w:r w:rsidRPr="00994940">
        <w:t xml:space="preserve">iem. </w:t>
      </w:r>
    </w:p>
    <w:p w14:paraId="450DF1F9" w14:textId="77777777" w:rsidR="002A5E08" w:rsidRPr="00994940" w:rsidRDefault="002A5E08" w:rsidP="00193ACF">
      <w:pPr>
        <w:ind w:firstLine="720"/>
      </w:pPr>
      <w:r w:rsidRPr="00994940">
        <w:t>3.1</w:t>
      </w:r>
      <w:r>
        <w:t>1. tab</w:t>
      </w:r>
      <w:r w:rsidRPr="00994940">
        <w:t>ulā atspoguļotas akcīzes nodokļa alum likmes Baltijas valstīs. 2022</w:t>
      </w:r>
      <w:r>
        <w:t>. gad</w:t>
      </w:r>
      <w:r w:rsidRPr="00994940">
        <w:t>ā alus akcīzes nodokļa likme paliks nemainīga Latvijā un Igaunijā. Ar 2022</w:t>
      </w:r>
      <w:r>
        <w:t>. gad</w:t>
      </w:r>
      <w:r w:rsidRPr="00994940">
        <w:t>u Lietuv</w:t>
      </w:r>
      <w:r>
        <w:t>ā tiek</w:t>
      </w:r>
      <w:r w:rsidRPr="00994940">
        <w:t xml:space="preserve"> pakāpeniski paaugstin</w:t>
      </w:r>
      <w:r>
        <w:t>āta</w:t>
      </w:r>
      <w:r w:rsidRPr="00994940">
        <w:t xml:space="preserve"> akcīzes nodokļu likm</w:t>
      </w:r>
      <w:r>
        <w:t>e,</w:t>
      </w:r>
      <w:r w:rsidRPr="00994940">
        <w:t xml:space="preserve"> pamazām pietuvojoties pārējo Baltijas valstu nodokļa likmei.</w:t>
      </w:r>
    </w:p>
    <w:p w14:paraId="4308A829" w14:textId="77777777" w:rsidR="002A5E08" w:rsidRPr="00AC3042" w:rsidRDefault="002A5E08" w:rsidP="002A5E08">
      <w:pPr>
        <w:keepNext/>
        <w:spacing w:before="240" w:after="240"/>
        <w:ind w:firstLine="0"/>
        <w:jc w:val="center"/>
        <w:rPr>
          <w:b/>
          <w:i/>
          <w:szCs w:val="24"/>
        </w:rPr>
      </w:pPr>
      <w:r w:rsidRPr="00E86687">
        <w:rPr>
          <w:b/>
          <w:i/>
          <w:szCs w:val="24"/>
        </w:rPr>
        <w:t>3.11. tabula</w:t>
      </w:r>
      <w:r w:rsidRPr="00AC3042">
        <w:rPr>
          <w:b/>
          <w:i/>
          <w:szCs w:val="24"/>
        </w:rPr>
        <w:t>.</w:t>
      </w:r>
      <w:r w:rsidRPr="00E86687">
        <w:rPr>
          <w:b/>
          <w:i/>
          <w:szCs w:val="24"/>
        </w:rPr>
        <w:t xml:space="preserve"> </w:t>
      </w:r>
      <w:r w:rsidRPr="00AC3042">
        <w:rPr>
          <w:b/>
          <w:i/>
          <w:szCs w:val="24"/>
        </w:rPr>
        <w:t>Akcīzes nodokļa likmes alum Baltijas valstīs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2028"/>
        <w:gridCol w:w="2028"/>
        <w:gridCol w:w="1680"/>
      </w:tblGrid>
      <w:tr w:rsidR="002A5E08" w:rsidRPr="00E86687" w14:paraId="1400AB57" w14:textId="77777777" w:rsidTr="00AA7099">
        <w:trPr>
          <w:trHeight w:val="20"/>
          <w:jc w:val="center"/>
        </w:trPr>
        <w:tc>
          <w:tcPr>
            <w:tcW w:w="1835" w:type="pct"/>
            <w:shd w:val="clear" w:color="auto" w:fill="B8CCE4" w:themeFill="accent1" w:themeFillTint="66"/>
            <w:noWrap/>
            <w:vAlign w:val="bottom"/>
            <w:hideMark/>
          </w:tcPr>
          <w:p w14:paraId="3E280A68" w14:textId="77777777" w:rsidR="002A5E08" w:rsidRPr="00E86687" w:rsidRDefault="002A5E08" w:rsidP="00970743">
            <w:pPr>
              <w:keepNext/>
              <w:keepLines/>
              <w:spacing w:after="0"/>
              <w:rPr>
                <w:b/>
                <w:sz w:val="18"/>
                <w:szCs w:val="18"/>
                <w:lang w:eastAsia="lv-LV"/>
              </w:rPr>
            </w:pPr>
          </w:p>
        </w:tc>
        <w:tc>
          <w:tcPr>
            <w:tcW w:w="1119" w:type="pct"/>
            <w:shd w:val="clear" w:color="auto" w:fill="B8CCE4" w:themeFill="accent1" w:themeFillTint="66"/>
            <w:noWrap/>
            <w:vAlign w:val="center"/>
            <w:hideMark/>
          </w:tcPr>
          <w:p w14:paraId="212405A2" w14:textId="77777777" w:rsidR="002A5E08" w:rsidRPr="00E86687" w:rsidRDefault="002A5E08" w:rsidP="00970743">
            <w:pPr>
              <w:keepNext/>
              <w:keepLines/>
              <w:spacing w:after="0"/>
              <w:jc w:val="center"/>
              <w:rPr>
                <w:b/>
                <w:bCs/>
                <w:sz w:val="18"/>
                <w:szCs w:val="18"/>
                <w:lang w:eastAsia="lv-LV"/>
              </w:rPr>
            </w:pPr>
            <w:r w:rsidRPr="00E86687">
              <w:rPr>
                <w:b/>
                <w:bCs/>
                <w:sz w:val="18"/>
                <w:szCs w:val="18"/>
                <w:lang w:eastAsia="lv-LV"/>
              </w:rPr>
              <w:t>2020</w:t>
            </w:r>
          </w:p>
        </w:tc>
        <w:tc>
          <w:tcPr>
            <w:tcW w:w="1119" w:type="pct"/>
            <w:shd w:val="clear" w:color="auto" w:fill="B8CCE4" w:themeFill="accent1" w:themeFillTint="66"/>
            <w:noWrap/>
            <w:vAlign w:val="center"/>
            <w:hideMark/>
          </w:tcPr>
          <w:p w14:paraId="7DF8E71F" w14:textId="77777777" w:rsidR="002A5E08" w:rsidRPr="00E86687" w:rsidRDefault="002A5E08" w:rsidP="00970743">
            <w:pPr>
              <w:keepNext/>
              <w:keepLines/>
              <w:spacing w:after="0"/>
              <w:jc w:val="center"/>
              <w:rPr>
                <w:b/>
                <w:bCs/>
                <w:sz w:val="18"/>
                <w:szCs w:val="18"/>
                <w:lang w:eastAsia="lv-LV"/>
              </w:rPr>
            </w:pPr>
            <w:r w:rsidRPr="00E86687">
              <w:rPr>
                <w:b/>
                <w:bCs/>
                <w:sz w:val="18"/>
                <w:szCs w:val="18"/>
                <w:lang w:eastAsia="lv-LV"/>
              </w:rPr>
              <w:t>2021</w:t>
            </w:r>
          </w:p>
        </w:tc>
        <w:tc>
          <w:tcPr>
            <w:tcW w:w="927" w:type="pct"/>
            <w:shd w:val="clear" w:color="auto" w:fill="B8CCE4" w:themeFill="accent1" w:themeFillTint="66"/>
            <w:vAlign w:val="center"/>
          </w:tcPr>
          <w:p w14:paraId="50C79735" w14:textId="77777777" w:rsidR="002A5E08" w:rsidRPr="00E86687" w:rsidRDefault="002A5E08" w:rsidP="00970743">
            <w:pPr>
              <w:keepNext/>
              <w:keepLines/>
              <w:spacing w:after="0"/>
              <w:jc w:val="center"/>
              <w:rPr>
                <w:b/>
                <w:bCs/>
                <w:sz w:val="18"/>
                <w:szCs w:val="18"/>
                <w:lang w:eastAsia="lv-LV"/>
              </w:rPr>
            </w:pPr>
            <w:r w:rsidRPr="00E86687">
              <w:rPr>
                <w:b/>
                <w:bCs/>
                <w:sz w:val="18"/>
                <w:szCs w:val="18"/>
                <w:lang w:eastAsia="lv-LV"/>
              </w:rPr>
              <w:t>2022</w:t>
            </w:r>
          </w:p>
        </w:tc>
      </w:tr>
      <w:tr w:rsidR="002A5E08" w:rsidRPr="00E86687" w14:paraId="101FA211" w14:textId="77777777" w:rsidTr="00AA7099">
        <w:trPr>
          <w:trHeight w:val="20"/>
          <w:jc w:val="center"/>
        </w:trPr>
        <w:tc>
          <w:tcPr>
            <w:tcW w:w="5000" w:type="pct"/>
            <w:gridSpan w:val="4"/>
            <w:shd w:val="clear" w:color="auto" w:fill="B8CCE4" w:themeFill="accent1" w:themeFillTint="66"/>
            <w:noWrap/>
            <w:vAlign w:val="center"/>
            <w:hideMark/>
          </w:tcPr>
          <w:p w14:paraId="78B9EF56" w14:textId="77777777" w:rsidR="002A5E08" w:rsidRPr="00E86687" w:rsidRDefault="002A5E08" w:rsidP="00970743">
            <w:pPr>
              <w:keepNext/>
              <w:keepLines/>
              <w:spacing w:after="0"/>
              <w:ind w:firstLine="28"/>
              <w:rPr>
                <w:b/>
                <w:sz w:val="18"/>
                <w:szCs w:val="18"/>
                <w:lang w:eastAsia="lv-LV"/>
              </w:rPr>
            </w:pPr>
            <w:r w:rsidRPr="005D0F9F">
              <w:rPr>
                <w:sz w:val="18"/>
                <w:szCs w:val="18"/>
                <w:lang w:eastAsia="lv-LV"/>
              </w:rPr>
              <w:t>Alus</w:t>
            </w:r>
            <w:r w:rsidRPr="00E86687">
              <w:rPr>
                <w:sz w:val="18"/>
                <w:szCs w:val="18"/>
                <w:lang w:eastAsia="lv-LV"/>
              </w:rPr>
              <w:t xml:space="preserve">, </w:t>
            </w:r>
            <w:proofErr w:type="spellStart"/>
            <w:r w:rsidRPr="00D705E7">
              <w:rPr>
                <w:i/>
                <w:sz w:val="18"/>
                <w:szCs w:val="18"/>
                <w:lang w:eastAsia="lv-LV"/>
              </w:rPr>
              <w:t>euro</w:t>
            </w:r>
            <w:proofErr w:type="spellEnd"/>
            <w:r w:rsidRPr="00E86687">
              <w:rPr>
                <w:sz w:val="18"/>
                <w:szCs w:val="18"/>
                <w:lang w:eastAsia="lv-LV"/>
              </w:rPr>
              <w:t xml:space="preserve"> par katru spirta</w:t>
            </w:r>
            <w:r>
              <w:rPr>
                <w:sz w:val="18"/>
                <w:szCs w:val="18"/>
                <w:lang w:eastAsia="lv-LV"/>
              </w:rPr>
              <w:t> tilpumproc</w:t>
            </w:r>
            <w:r w:rsidRPr="00E86687">
              <w:rPr>
                <w:sz w:val="18"/>
                <w:szCs w:val="18"/>
                <w:lang w:eastAsia="lv-LV"/>
              </w:rPr>
              <w:t>entu par 100</w:t>
            </w:r>
            <w:r>
              <w:rPr>
                <w:sz w:val="18"/>
                <w:szCs w:val="18"/>
                <w:lang w:eastAsia="lv-LV"/>
              </w:rPr>
              <w:t> </w:t>
            </w:r>
            <w:r w:rsidRPr="00E86687">
              <w:rPr>
                <w:sz w:val="18"/>
                <w:szCs w:val="18"/>
                <w:lang w:eastAsia="lv-LV"/>
              </w:rPr>
              <w:t>l</w:t>
            </w:r>
            <w:r>
              <w:rPr>
                <w:sz w:val="18"/>
                <w:szCs w:val="18"/>
                <w:lang w:eastAsia="lv-LV"/>
              </w:rPr>
              <w:t>.</w:t>
            </w:r>
            <w:r w:rsidRPr="00E86687">
              <w:rPr>
                <w:sz w:val="18"/>
                <w:szCs w:val="18"/>
                <w:lang w:eastAsia="lv-LV"/>
              </w:rPr>
              <w:t xml:space="preserve"> </w:t>
            </w:r>
          </w:p>
        </w:tc>
      </w:tr>
      <w:tr w:rsidR="002A5E08" w:rsidRPr="00E86687" w14:paraId="2229555D" w14:textId="77777777" w:rsidTr="00970743">
        <w:trPr>
          <w:trHeight w:val="20"/>
          <w:jc w:val="center"/>
        </w:trPr>
        <w:tc>
          <w:tcPr>
            <w:tcW w:w="1835" w:type="pct"/>
            <w:shd w:val="clear" w:color="auto" w:fill="auto"/>
            <w:noWrap/>
            <w:vAlign w:val="center"/>
            <w:hideMark/>
          </w:tcPr>
          <w:p w14:paraId="28992857" w14:textId="77777777" w:rsidR="002A5E08" w:rsidRPr="00677361" w:rsidRDefault="002A5E08" w:rsidP="00970743">
            <w:pPr>
              <w:keepNext/>
              <w:keepLines/>
              <w:spacing w:after="0"/>
              <w:ind w:left="1134" w:firstLine="0"/>
              <w:rPr>
                <w:sz w:val="18"/>
                <w:szCs w:val="18"/>
                <w:lang w:eastAsia="lv-LV"/>
              </w:rPr>
            </w:pPr>
            <w:r w:rsidRPr="00677361">
              <w:rPr>
                <w:sz w:val="18"/>
                <w:szCs w:val="18"/>
                <w:lang w:eastAsia="lv-LV"/>
              </w:rPr>
              <w:t>Latvija</w:t>
            </w:r>
            <w:r w:rsidRPr="00677361">
              <w:rPr>
                <w:snapToGrid w:val="0"/>
                <w:sz w:val="18"/>
                <w:szCs w:val="18"/>
                <w:vertAlign w:val="superscript"/>
              </w:rPr>
              <w:t>1</w:t>
            </w:r>
          </w:p>
        </w:tc>
        <w:tc>
          <w:tcPr>
            <w:tcW w:w="1119" w:type="pct"/>
            <w:shd w:val="clear" w:color="auto" w:fill="auto"/>
            <w:noWrap/>
          </w:tcPr>
          <w:p w14:paraId="16AD53FF" w14:textId="77777777" w:rsidR="002A5E08" w:rsidRPr="00677361" w:rsidRDefault="002A5E08" w:rsidP="00970743">
            <w:pPr>
              <w:keepNext/>
              <w:keepLines/>
              <w:spacing w:after="0"/>
              <w:jc w:val="right"/>
              <w:rPr>
                <w:bCs/>
                <w:iCs/>
                <w:sz w:val="18"/>
                <w:szCs w:val="18"/>
                <w:lang w:eastAsia="lv-LV"/>
              </w:rPr>
            </w:pPr>
            <w:r w:rsidRPr="00677361">
              <w:rPr>
                <w:bCs/>
                <w:iCs/>
                <w:sz w:val="18"/>
                <w:szCs w:val="18"/>
                <w:lang w:eastAsia="lv-LV"/>
              </w:rPr>
              <w:t>7,40 / 7,80</w:t>
            </w:r>
          </w:p>
        </w:tc>
        <w:tc>
          <w:tcPr>
            <w:tcW w:w="1119" w:type="pct"/>
            <w:shd w:val="clear" w:color="auto" w:fill="auto"/>
            <w:noWrap/>
          </w:tcPr>
          <w:p w14:paraId="127C0E91" w14:textId="77777777" w:rsidR="002A5E08" w:rsidRPr="00677361" w:rsidRDefault="002A5E08" w:rsidP="00970743">
            <w:pPr>
              <w:keepNext/>
              <w:keepLines/>
              <w:spacing w:after="0"/>
              <w:jc w:val="right"/>
              <w:rPr>
                <w:bCs/>
                <w:iCs/>
                <w:sz w:val="18"/>
                <w:szCs w:val="18"/>
                <w:lang w:eastAsia="lv-LV"/>
              </w:rPr>
            </w:pPr>
            <w:r w:rsidRPr="00677361">
              <w:rPr>
                <w:bCs/>
                <w:iCs/>
                <w:sz w:val="18"/>
                <w:szCs w:val="18"/>
                <w:lang w:eastAsia="lv-LV"/>
              </w:rPr>
              <w:t>7,80 / 8,20</w:t>
            </w:r>
          </w:p>
        </w:tc>
        <w:tc>
          <w:tcPr>
            <w:tcW w:w="927" w:type="pct"/>
          </w:tcPr>
          <w:p w14:paraId="3C479B9B" w14:textId="77777777" w:rsidR="002A5E08" w:rsidRPr="00677361" w:rsidRDefault="002A5E08" w:rsidP="00970743">
            <w:pPr>
              <w:keepNext/>
              <w:keepLines/>
              <w:spacing w:after="0"/>
              <w:jc w:val="right"/>
              <w:rPr>
                <w:bCs/>
                <w:iCs/>
                <w:sz w:val="18"/>
                <w:szCs w:val="18"/>
                <w:lang w:eastAsia="lv-LV"/>
              </w:rPr>
            </w:pPr>
            <w:r w:rsidRPr="00677361">
              <w:rPr>
                <w:bCs/>
                <w:iCs/>
                <w:sz w:val="18"/>
                <w:szCs w:val="18"/>
                <w:lang w:eastAsia="lv-LV"/>
              </w:rPr>
              <w:t>8,20</w:t>
            </w:r>
          </w:p>
        </w:tc>
      </w:tr>
      <w:tr w:rsidR="002A5E08" w:rsidRPr="00E86687" w14:paraId="62D09079" w14:textId="77777777" w:rsidTr="00970743">
        <w:trPr>
          <w:trHeight w:val="20"/>
          <w:jc w:val="center"/>
        </w:trPr>
        <w:tc>
          <w:tcPr>
            <w:tcW w:w="1835" w:type="pct"/>
            <w:shd w:val="clear" w:color="auto" w:fill="auto"/>
            <w:noWrap/>
            <w:vAlign w:val="center"/>
            <w:hideMark/>
          </w:tcPr>
          <w:p w14:paraId="26BC9246" w14:textId="77777777" w:rsidR="002A5E08" w:rsidRPr="00AC3042" w:rsidRDefault="002A5E08" w:rsidP="00970743">
            <w:pPr>
              <w:keepNext/>
              <w:keepLines/>
              <w:spacing w:after="0"/>
              <w:ind w:left="1134" w:firstLine="0"/>
              <w:rPr>
                <w:sz w:val="18"/>
                <w:szCs w:val="18"/>
                <w:lang w:eastAsia="lv-LV"/>
              </w:rPr>
            </w:pPr>
            <w:r w:rsidRPr="00AC3042">
              <w:rPr>
                <w:sz w:val="18"/>
                <w:szCs w:val="18"/>
                <w:lang w:eastAsia="lv-LV"/>
              </w:rPr>
              <w:t>Lietuva</w:t>
            </w:r>
          </w:p>
        </w:tc>
        <w:tc>
          <w:tcPr>
            <w:tcW w:w="1119" w:type="pct"/>
            <w:shd w:val="clear" w:color="auto" w:fill="auto"/>
            <w:noWrap/>
          </w:tcPr>
          <w:p w14:paraId="2B4457D4" w14:textId="77777777" w:rsidR="002A5E08" w:rsidRPr="00E86687" w:rsidRDefault="002A5E08" w:rsidP="00970743">
            <w:pPr>
              <w:keepNext/>
              <w:keepLines/>
              <w:spacing w:after="0"/>
              <w:jc w:val="right"/>
              <w:rPr>
                <w:sz w:val="18"/>
                <w:szCs w:val="18"/>
                <w:lang w:eastAsia="lv-LV"/>
              </w:rPr>
            </w:pPr>
            <w:r w:rsidRPr="00AC3042">
              <w:rPr>
                <w:sz w:val="18"/>
                <w:szCs w:val="18"/>
                <w:lang w:eastAsia="lv-LV"/>
              </w:rPr>
              <w:t>7,11</w:t>
            </w:r>
          </w:p>
        </w:tc>
        <w:tc>
          <w:tcPr>
            <w:tcW w:w="1119" w:type="pct"/>
            <w:shd w:val="clear" w:color="auto" w:fill="auto"/>
            <w:noWrap/>
          </w:tcPr>
          <w:p w14:paraId="77EA3608" w14:textId="77777777" w:rsidR="002A5E08" w:rsidRPr="00E86687" w:rsidRDefault="002A5E08" w:rsidP="00970743">
            <w:pPr>
              <w:keepNext/>
              <w:keepLines/>
              <w:spacing w:after="0"/>
              <w:jc w:val="right"/>
              <w:rPr>
                <w:sz w:val="18"/>
                <w:szCs w:val="18"/>
                <w:lang w:eastAsia="lv-LV"/>
              </w:rPr>
            </w:pPr>
            <w:r w:rsidRPr="00E86687">
              <w:rPr>
                <w:sz w:val="18"/>
                <w:szCs w:val="18"/>
                <w:lang w:eastAsia="lv-LV"/>
              </w:rPr>
              <w:t>7,11</w:t>
            </w:r>
          </w:p>
        </w:tc>
        <w:tc>
          <w:tcPr>
            <w:tcW w:w="927" w:type="pct"/>
          </w:tcPr>
          <w:p w14:paraId="6F27BED3" w14:textId="77777777" w:rsidR="002A5E08" w:rsidRPr="00E86687" w:rsidRDefault="002A5E08" w:rsidP="00970743">
            <w:pPr>
              <w:keepNext/>
              <w:keepLines/>
              <w:spacing w:after="0"/>
              <w:jc w:val="right"/>
              <w:rPr>
                <w:sz w:val="18"/>
                <w:szCs w:val="18"/>
                <w:lang w:eastAsia="lv-LV"/>
              </w:rPr>
            </w:pPr>
            <w:r w:rsidRPr="00E86687">
              <w:rPr>
                <w:sz w:val="18"/>
                <w:szCs w:val="18"/>
                <w:lang w:eastAsia="lv-LV"/>
              </w:rPr>
              <w:t>7,82</w:t>
            </w:r>
          </w:p>
        </w:tc>
      </w:tr>
      <w:tr w:rsidR="002A5E08" w:rsidRPr="00E86687" w14:paraId="2FF5FC5A" w14:textId="77777777" w:rsidTr="00970743">
        <w:trPr>
          <w:trHeight w:val="20"/>
          <w:jc w:val="center"/>
        </w:trPr>
        <w:tc>
          <w:tcPr>
            <w:tcW w:w="1835" w:type="pct"/>
            <w:shd w:val="clear" w:color="auto" w:fill="auto"/>
            <w:noWrap/>
            <w:vAlign w:val="center"/>
            <w:hideMark/>
          </w:tcPr>
          <w:p w14:paraId="76435A7B" w14:textId="77777777" w:rsidR="002A5E08" w:rsidRPr="00AC3042" w:rsidRDefault="002A5E08" w:rsidP="00970743">
            <w:pPr>
              <w:keepNext/>
              <w:keepLines/>
              <w:spacing w:after="0"/>
              <w:ind w:left="1134" w:firstLine="0"/>
              <w:rPr>
                <w:sz w:val="18"/>
                <w:szCs w:val="18"/>
                <w:lang w:eastAsia="lv-LV"/>
              </w:rPr>
            </w:pPr>
            <w:r w:rsidRPr="00AC3042">
              <w:rPr>
                <w:sz w:val="18"/>
                <w:szCs w:val="18"/>
                <w:lang w:eastAsia="lv-LV"/>
              </w:rPr>
              <w:t>Igaunija</w:t>
            </w:r>
          </w:p>
        </w:tc>
        <w:tc>
          <w:tcPr>
            <w:tcW w:w="1119" w:type="pct"/>
            <w:shd w:val="clear" w:color="auto" w:fill="auto"/>
            <w:noWrap/>
          </w:tcPr>
          <w:p w14:paraId="10F30970" w14:textId="77777777" w:rsidR="002A5E08" w:rsidRPr="00E86687" w:rsidRDefault="002A5E08" w:rsidP="00970743">
            <w:pPr>
              <w:keepNext/>
              <w:keepLines/>
              <w:spacing w:after="0"/>
              <w:jc w:val="right"/>
              <w:rPr>
                <w:sz w:val="18"/>
                <w:szCs w:val="18"/>
                <w:lang w:eastAsia="lv-LV"/>
              </w:rPr>
            </w:pPr>
            <w:r w:rsidRPr="00AC3042">
              <w:rPr>
                <w:sz w:val="18"/>
                <w:szCs w:val="18"/>
                <w:lang w:eastAsia="lv-LV"/>
              </w:rPr>
              <w:t>12,70</w:t>
            </w:r>
          </w:p>
        </w:tc>
        <w:tc>
          <w:tcPr>
            <w:tcW w:w="1119" w:type="pct"/>
            <w:shd w:val="clear" w:color="auto" w:fill="auto"/>
            <w:noWrap/>
          </w:tcPr>
          <w:p w14:paraId="56BDBEC4" w14:textId="77777777" w:rsidR="002A5E08" w:rsidRPr="00E86687" w:rsidRDefault="002A5E08" w:rsidP="00970743">
            <w:pPr>
              <w:keepNext/>
              <w:keepLines/>
              <w:spacing w:after="0"/>
              <w:jc w:val="right"/>
              <w:rPr>
                <w:sz w:val="18"/>
                <w:szCs w:val="18"/>
                <w:lang w:eastAsia="lv-LV"/>
              </w:rPr>
            </w:pPr>
            <w:r w:rsidRPr="00E86687">
              <w:rPr>
                <w:sz w:val="18"/>
                <w:szCs w:val="18"/>
                <w:lang w:eastAsia="lv-LV"/>
              </w:rPr>
              <w:t>12,70</w:t>
            </w:r>
          </w:p>
        </w:tc>
        <w:tc>
          <w:tcPr>
            <w:tcW w:w="927" w:type="pct"/>
          </w:tcPr>
          <w:p w14:paraId="484C3E11" w14:textId="77777777" w:rsidR="002A5E08" w:rsidRPr="00E86687" w:rsidRDefault="002A5E08" w:rsidP="00970743">
            <w:pPr>
              <w:keepNext/>
              <w:keepLines/>
              <w:spacing w:after="0"/>
              <w:jc w:val="right"/>
              <w:rPr>
                <w:sz w:val="18"/>
                <w:szCs w:val="18"/>
                <w:lang w:eastAsia="lv-LV"/>
              </w:rPr>
            </w:pPr>
            <w:r w:rsidRPr="00E86687">
              <w:rPr>
                <w:sz w:val="18"/>
                <w:szCs w:val="18"/>
                <w:lang w:eastAsia="lv-LV"/>
              </w:rPr>
              <w:t>12,70</w:t>
            </w:r>
          </w:p>
        </w:tc>
      </w:tr>
    </w:tbl>
    <w:p w14:paraId="0ADECAEF" w14:textId="77777777" w:rsidR="002A5E08" w:rsidRPr="00E86687" w:rsidRDefault="002A5E08" w:rsidP="00AA7099">
      <w:pPr>
        <w:spacing w:before="120" w:after="240"/>
        <w:ind w:left="425" w:firstLine="0"/>
        <w:jc w:val="left"/>
        <w:rPr>
          <w:sz w:val="18"/>
          <w:szCs w:val="18"/>
        </w:rPr>
      </w:pPr>
      <w:r w:rsidRPr="00E86687">
        <w:rPr>
          <w:sz w:val="18"/>
          <w:szCs w:val="18"/>
          <w:vertAlign w:val="superscript"/>
        </w:rPr>
        <w:t>1</w:t>
      </w:r>
      <w:r w:rsidRPr="00E86687">
        <w:rPr>
          <w:sz w:val="18"/>
          <w:szCs w:val="18"/>
        </w:rPr>
        <w:t xml:space="preserve"> Latvijā likme tiek paaugstināta ar katra gada </w:t>
      </w:r>
      <w:r>
        <w:rPr>
          <w:sz w:val="18"/>
          <w:szCs w:val="18"/>
        </w:rPr>
        <w:t>1. mart</w:t>
      </w:r>
      <w:r w:rsidRPr="00E86687">
        <w:rPr>
          <w:sz w:val="18"/>
          <w:szCs w:val="18"/>
        </w:rPr>
        <w:t>u, izņemot 2022. gadā</w:t>
      </w:r>
      <w:r>
        <w:rPr>
          <w:sz w:val="18"/>
          <w:szCs w:val="18"/>
        </w:rPr>
        <w:t>.</w:t>
      </w:r>
    </w:p>
    <w:p w14:paraId="201BFC2E" w14:textId="77777777" w:rsidR="002A5E08" w:rsidRPr="00994940" w:rsidRDefault="002A5E08" w:rsidP="002A5E08">
      <w:pPr>
        <w:spacing w:after="0"/>
        <w:ind w:firstLine="720"/>
        <w:rPr>
          <w:highlight w:val="yellow"/>
        </w:rPr>
      </w:pPr>
      <w:r w:rsidRPr="00994940">
        <w:t>2022</w:t>
      </w:r>
      <w:r>
        <w:t>. gad</w:t>
      </w:r>
      <w:r w:rsidRPr="00994940">
        <w:t>a akcīzes nodokļa no alus ieņēmumi saskaņā ar likumprojektu</w:t>
      </w:r>
      <w:r>
        <w:t xml:space="preserve"> </w:t>
      </w:r>
      <w:r w:rsidRPr="00994940">
        <w:t>„Par valsts budžetu 2022</w:t>
      </w:r>
      <w:r>
        <w:t>. gad</w:t>
      </w:r>
      <w:r w:rsidRPr="00994940">
        <w:t>am” tiek plānoti 58,2</w:t>
      </w:r>
      <w:r>
        <w:rPr>
          <w:rFonts w:eastAsia="Calibri"/>
          <w:szCs w:val="28"/>
          <w:lang w:eastAsia="lv-LV"/>
        </w:rPr>
        <w:t> milj.</w:t>
      </w:r>
      <w:r>
        <w:t> </w:t>
      </w:r>
      <w:proofErr w:type="spellStart"/>
      <w:r w:rsidRPr="00D705E7">
        <w:rPr>
          <w:i/>
        </w:rPr>
        <w:t>euro</w:t>
      </w:r>
      <w:proofErr w:type="spellEnd"/>
      <w:r w:rsidRPr="00994940">
        <w:t xml:space="preserve"> apmērā, kas ir par 2,9</w:t>
      </w:r>
      <w:r>
        <w:rPr>
          <w:rFonts w:eastAsia="Calibri"/>
          <w:szCs w:val="28"/>
          <w:lang w:eastAsia="lv-LV"/>
        </w:rPr>
        <w:t> milj.</w:t>
      </w:r>
      <w:r>
        <w:t> </w:t>
      </w:r>
      <w:proofErr w:type="spellStart"/>
      <w:r w:rsidRPr="00D705E7">
        <w:rPr>
          <w:i/>
        </w:rPr>
        <w:t>euro</w:t>
      </w:r>
      <w:proofErr w:type="spellEnd"/>
      <w:r w:rsidRPr="00994940">
        <w:t xml:space="preserve"> jeb 5,2% vairāk nekā prognozēts 2021</w:t>
      </w:r>
      <w:r>
        <w:t>. gad</w:t>
      </w:r>
      <w:r w:rsidRPr="00994940">
        <w:t>am.</w:t>
      </w:r>
    </w:p>
    <w:p w14:paraId="6CA643E1" w14:textId="77777777" w:rsidR="002A5E08" w:rsidRPr="00994940" w:rsidRDefault="002A5E08" w:rsidP="002A5E08">
      <w:pPr>
        <w:pStyle w:val="H5"/>
      </w:pPr>
      <w:r w:rsidRPr="00994940">
        <w:lastRenderedPageBreak/>
        <w:t>Akcīzes nodoklis tabakas izstrādājumiem</w:t>
      </w:r>
    </w:p>
    <w:p w14:paraId="41870068" w14:textId="77777777" w:rsidR="002A5E08" w:rsidRPr="001C32C8" w:rsidRDefault="002A5E08" w:rsidP="00AA7099">
      <w:pPr>
        <w:ind w:firstLine="720"/>
        <w:rPr>
          <w:rFonts w:eastAsia="Calibri"/>
          <w:szCs w:val="24"/>
        </w:rPr>
      </w:pPr>
      <w:r w:rsidRPr="001C32C8">
        <w:rPr>
          <w:rFonts w:eastAsia="Calibri"/>
          <w:szCs w:val="24"/>
        </w:rPr>
        <w:t>Akcīzes nodokļa tabakas izstrādājumiem ieņēmumi 2021</w:t>
      </w:r>
      <w:r>
        <w:rPr>
          <w:rFonts w:eastAsia="Calibri"/>
          <w:szCs w:val="24"/>
        </w:rPr>
        <w:t>. gad</w:t>
      </w:r>
      <w:r w:rsidRPr="001C32C8">
        <w:rPr>
          <w:rFonts w:eastAsia="Calibri"/>
          <w:szCs w:val="24"/>
        </w:rPr>
        <w:t xml:space="preserve">a </w:t>
      </w:r>
      <w:r>
        <w:rPr>
          <w:rFonts w:eastAsia="Calibri"/>
          <w:szCs w:val="24"/>
        </w:rPr>
        <w:t>pirmajā pusgadā</w:t>
      </w:r>
      <w:r w:rsidRPr="001C32C8">
        <w:rPr>
          <w:rFonts w:eastAsia="Calibri"/>
          <w:szCs w:val="24"/>
        </w:rPr>
        <w:t xml:space="preserve"> bija 109,7</w:t>
      </w:r>
      <w:r>
        <w:rPr>
          <w:rFonts w:eastAsia="Calibri"/>
          <w:szCs w:val="28"/>
          <w:lang w:eastAsia="lv-LV"/>
        </w:rPr>
        <w:t> milj.</w:t>
      </w:r>
      <w:r>
        <w:rPr>
          <w:rFonts w:eastAsia="Calibri"/>
          <w:szCs w:val="24"/>
        </w:rPr>
        <w:t> </w:t>
      </w:r>
      <w:proofErr w:type="spellStart"/>
      <w:r w:rsidRPr="00D705E7">
        <w:rPr>
          <w:rFonts w:eastAsia="Calibri"/>
          <w:i/>
          <w:szCs w:val="24"/>
        </w:rPr>
        <w:t>euro</w:t>
      </w:r>
      <w:proofErr w:type="spellEnd"/>
      <w:r w:rsidRPr="001C32C8">
        <w:rPr>
          <w:rFonts w:eastAsia="Calibri"/>
          <w:szCs w:val="24"/>
        </w:rPr>
        <w:t>. Salīdzinot ar 2020</w:t>
      </w:r>
      <w:r>
        <w:rPr>
          <w:rFonts w:eastAsia="Calibri"/>
          <w:szCs w:val="24"/>
        </w:rPr>
        <w:t>. gad</w:t>
      </w:r>
      <w:r w:rsidRPr="001C32C8">
        <w:rPr>
          <w:rFonts w:eastAsia="Calibri"/>
          <w:szCs w:val="24"/>
        </w:rPr>
        <w:t xml:space="preserve">a </w:t>
      </w:r>
      <w:r>
        <w:rPr>
          <w:rFonts w:eastAsia="Calibri"/>
          <w:szCs w:val="24"/>
        </w:rPr>
        <w:t>pirmo pusgadu</w:t>
      </w:r>
      <w:r w:rsidRPr="001C32C8">
        <w:rPr>
          <w:rFonts w:eastAsia="Calibri"/>
          <w:szCs w:val="24"/>
        </w:rPr>
        <w:t>, akcīzes nodokļa ieņēmumi no tabakas izstrādājumiem ir palielinājušies par 8,8</w:t>
      </w:r>
      <w:r>
        <w:rPr>
          <w:rFonts w:eastAsia="Calibri"/>
          <w:szCs w:val="28"/>
          <w:lang w:eastAsia="lv-LV"/>
        </w:rPr>
        <w:t> milj.</w:t>
      </w:r>
      <w:r>
        <w:rPr>
          <w:rFonts w:eastAsia="Calibri"/>
          <w:szCs w:val="24"/>
        </w:rPr>
        <w:t> </w:t>
      </w:r>
      <w:proofErr w:type="spellStart"/>
      <w:r w:rsidRPr="00D705E7">
        <w:rPr>
          <w:rFonts w:eastAsia="Calibri"/>
          <w:i/>
          <w:szCs w:val="24"/>
        </w:rPr>
        <w:t>euro</w:t>
      </w:r>
      <w:proofErr w:type="spellEnd"/>
      <w:r w:rsidRPr="001C32C8">
        <w:rPr>
          <w:rFonts w:eastAsia="Calibri"/>
          <w:szCs w:val="24"/>
        </w:rPr>
        <w:t xml:space="preserve"> jeb 8,7%, bet, salīdzinot ar </w:t>
      </w:r>
      <w:r>
        <w:rPr>
          <w:rFonts w:eastAsia="Calibri"/>
          <w:szCs w:val="24"/>
        </w:rPr>
        <w:t xml:space="preserve">pirmajā pusgadā </w:t>
      </w:r>
      <w:r w:rsidRPr="001C32C8">
        <w:rPr>
          <w:rFonts w:eastAsia="Calibri"/>
          <w:szCs w:val="24"/>
        </w:rPr>
        <w:t>plānoto, iekasēts par 1,1</w:t>
      </w:r>
      <w:r>
        <w:rPr>
          <w:rFonts w:eastAsia="Calibri"/>
          <w:szCs w:val="28"/>
          <w:lang w:eastAsia="lv-LV"/>
        </w:rPr>
        <w:t> milj.</w:t>
      </w:r>
      <w:r>
        <w:rPr>
          <w:rFonts w:eastAsia="Calibri"/>
          <w:szCs w:val="24"/>
        </w:rPr>
        <w:t> </w:t>
      </w:r>
      <w:proofErr w:type="spellStart"/>
      <w:r w:rsidRPr="00D705E7">
        <w:rPr>
          <w:rFonts w:eastAsia="Calibri"/>
          <w:i/>
          <w:szCs w:val="24"/>
        </w:rPr>
        <w:t>euro</w:t>
      </w:r>
      <w:proofErr w:type="spellEnd"/>
      <w:r w:rsidRPr="001C32C8">
        <w:rPr>
          <w:rFonts w:eastAsia="Calibri"/>
          <w:szCs w:val="24"/>
        </w:rPr>
        <w:t xml:space="preserve"> jeb 1,0% vairāk.</w:t>
      </w:r>
    </w:p>
    <w:p w14:paraId="73275E62" w14:textId="77777777" w:rsidR="002A5E08" w:rsidRPr="001C32C8" w:rsidRDefault="002A5E08" w:rsidP="00AA7099">
      <w:pPr>
        <w:ind w:firstLine="720"/>
        <w:rPr>
          <w:rFonts w:eastAsia="Calibri"/>
          <w:szCs w:val="24"/>
        </w:rPr>
      </w:pPr>
      <w:r w:rsidRPr="001C32C8">
        <w:rPr>
          <w:rFonts w:eastAsia="Calibri"/>
          <w:szCs w:val="24"/>
        </w:rPr>
        <w:t>Atbilstoši likumam “Par akcīzes nodokli” ar 2021</w:t>
      </w:r>
      <w:r>
        <w:rPr>
          <w:rFonts w:eastAsia="Calibri"/>
          <w:szCs w:val="24"/>
        </w:rPr>
        <w:t>. gad</w:t>
      </w:r>
      <w:r w:rsidRPr="001C32C8">
        <w:rPr>
          <w:rFonts w:eastAsia="Calibri"/>
          <w:szCs w:val="24"/>
        </w:rPr>
        <w:t xml:space="preserve">a </w:t>
      </w:r>
      <w:r>
        <w:rPr>
          <w:rFonts w:eastAsia="Calibri"/>
          <w:szCs w:val="24"/>
        </w:rPr>
        <w:t>1. janv</w:t>
      </w:r>
      <w:r w:rsidRPr="001C32C8">
        <w:rPr>
          <w:rFonts w:eastAsia="Calibri"/>
          <w:szCs w:val="24"/>
        </w:rPr>
        <w:t xml:space="preserve">āri paaugstinātas akcīzes nodokļa likmes cigāriem, </w:t>
      </w:r>
      <w:proofErr w:type="spellStart"/>
      <w:r w:rsidRPr="001C32C8">
        <w:rPr>
          <w:rFonts w:eastAsia="Calibri"/>
          <w:szCs w:val="24"/>
        </w:rPr>
        <w:t>cigarillām</w:t>
      </w:r>
      <w:proofErr w:type="spellEnd"/>
      <w:r w:rsidRPr="001C32C8">
        <w:rPr>
          <w:rFonts w:eastAsia="Calibri"/>
          <w:szCs w:val="24"/>
        </w:rPr>
        <w:t>, smēķējamajai un karsējamajai tabakai un tabakas lapām. Ar 2021</w:t>
      </w:r>
      <w:r>
        <w:rPr>
          <w:rFonts w:eastAsia="Calibri"/>
          <w:szCs w:val="24"/>
        </w:rPr>
        <w:t>. gad</w:t>
      </w:r>
      <w:r w:rsidRPr="001C32C8">
        <w:rPr>
          <w:rFonts w:eastAsia="Calibri"/>
          <w:szCs w:val="24"/>
        </w:rPr>
        <w:t xml:space="preserve">a </w:t>
      </w:r>
      <w:r>
        <w:rPr>
          <w:rFonts w:eastAsia="Calibri"/>
          <w:szCs w:val="24"/>
        </w:rPr>
        <w:t>1. mart</w:t>
      </w:r>
      <w:r w:rsidRPr="001C32C8">
        <w:rPr>
          <w:rFonts w:eastAsia="Calibri"/>
          <w:szCs w:val="24"/>
        </w:rPr>
        <w:t>u tika paaugstinātas akcīzes nodokļa likmes cigaretēm.</w:t>
      </w:r>
    </w:p>
    <w:p w14:paraId="485CD62E" w14:textId="3465F4A8" w:rsidR="002A5E08" w:rsidRPr="001C32C8" w:rsidRDefault="002A5E08" w:rsidP="00AA7099">
      <w:pPr>
        <w:ind w:firstLine="720"/>
        <w:rPr>
          <w:rFonts w:eastAsia="Calibri"/>
          <w:szCs w:val="24"/>
        </w:rPr>
      </w:pPr>
      <w:r w:rsidRPr="001C32C8">
        <w:rPr>
          <w:rFonts w:eastAsia="Calibri"/>
          <w:szCs w:val="24"/>
        </w:rPr>
        <w:t xml:space="preserve">Saskaņā ar </w:t>
      </w:r>
      <w:r w:rsidR="00AA7099">
        <w:rPr>
          <w:rFonts w:eastAsia="Calibri"/>
          <w:szCs w:val="24"/>
        </w:rPr>
        <w:t>VID</w:t>
      </w:r>
      <w:r w:rsidRPr="001C32C8">
        <w:rPr>
          <w:rFonts w:eastAsia="Calibri"/>
          <w:szCs w:val="24"/>
        </w:rPr>
        <w:t xml:space="preserve"> informāciju kopējais patēriņam Latvijā nodoto cigarešu apjoms 2020</w:t>
      </w:r>
      <w:r>
        <w:rPr>
          <w:rFonts w:eastAsia="Calibri"/>
          <w:szCs w:val="24"/>
        </w:rPr>
        <w:t>. gad</w:t>
      </w:r>
      <w:r w:rsidRPr="001C32C8">
        <w:rPr>
          <w:rFonts w:eastAsia="Calibri"/>
          <w:szCs w:val="24"/>
        </w:rPr>
        <w:t>a decembrī</w:t>
      </w:r>
      <w:r>
        <w:rPr>
          <w:rFonts w:eastAsia="Calibri"/>
          <w:szCs w:val="24"/>
        </w:rPr>
        <w:t xml:space="preserve"> </w:t>
      </w:r>
      <w:r w:rsidRPr="001C32C8">
        <w:rPr>
          <w:rFonts w:eastAsia="Calibri"/>
          <w:szCs w:val="24"/>
        </w:rPr>
        <w:t>un 2021</w:t>
      </w:r>
      <w:r>
        <w:rPr>
          <w:rFonts w:eastAsia="Calibri"/>
          <w:szCs w:val="24"/>
        </w:rPr>
        <w:t>. gad</w:t>
      </w:r>
      <w:r w:rsidRPr="001C32C8">
        <w:rPr>
          <w:rFonts w:eastAsia="Calibri"/>
          <w:szCs w:val="24"/>
        </w:rPr>
        <w:t>a piecos mēnešos un salīdzinājumā ar 2019. un 2020</w:t>
      </w:r>
      <w:r>
        <w:rPr>
          <w:rFonts w:eastAsia="Calibri"/>
          <w:szCs w:val="24"/>
        </w:rPr>
        <w:t>. gad</w:t>
      </w:r>
      <w:r w:rsidRPr="001C32C8">
        <w:rPr>
          <w:rFonts w:eastAsia="Calibri"/>
          <w:szCs w:val="24"/>
        </w:rPr>
        <w:t xml:space="preserve">a atbilstošo periodu ir samazinājies par 0,1%, cigāru un </w:t>
      </w:r>
      <w:proofErr w:type="spellStart"/>
      <w:r w:rsidRPr="001C32C8">
        <w:rPr>
          <w:rFonts w:eastAsia="Calibri"/>
          <w:szCs w:val="24"/>
        </w:rPr>
        <w:t>cigarillu</w:t>
      </w:r>
      <w:proofErr w:type="spellEnd"/>
      <w:r w:rsidRPr="001C32C8">
        <w:rPr>
          <w:rFonts w:eastAsia="Calibri"/>
          <w:szCs w:val="24"/>
        </w:rPr>
        <w:t xml:space="preserve"> patēriņš palielinājies par 33,2%, smēķējamās tabakas patēriņš palielinājies par 24,7</w:t>
      </w:r>
      <w:bookmarkStart w:id="19" w:name="_Hlk83109322"/>
      <w:r w:rsidRPr="000F3DB2">
        <w:t> </w:t>
      </w:r>
      <w:bookmarkEnd w:id="19"/>
      <w:r>
        <w:rPr>
          <w:rFonts w:eastAsia="Calibri"/>
          <w:szCs w:val="24"/>
        </w:rPr>
        <w:t>%</w:t>
      </w:r>
      <w:r w:rsidRPr="001C32C8">
        <w:rPr>
          <w:rFonts w:eastAsia="Calibri"/>
          <w:szCs w:val="24"/>
        </w:rPr>
        <w:t xml:space="preserve"> un karsējamai tabakai par 12,3</w:t>
      </w:r>
      <w:r>
        <w:t> procent</w:t>
      </w:r>
      <w:r>
        <w:rPr>
          <w:rFonts w:eastAsia="Calibri"/>
          <w:szCs w:val="24"/>
        </w:rPr>
        <w:t>iem</w:t>
      </w:r>
      <w:r w:rsidRPr="001C32C8">
        <w:rPr>
          <w:rFonts w:eastAsia="Calibri"/>
          <w:szCs w:val="24"/>
        </w:rPr>
        <w:t>.</w:t>
      </w:r>
    </w:p>
    <w:p w14:paraId="2C9170DD" w14:textId="77777777" w:rsidR="002A5E08" w:rsidRPr="001C32C8" w:rsidRDefault="002A5E08" w:rsidP="00AA7099">
      <w:pPr>
        <w:ind w:firstLine="720"/>
        <w:rPr>
          <w:rFonts w:eastAsia="Calibri"/>
          <w:szCs w:val="28"/>
        </w:rPr>
      </w:pPr>
      <w:r w:rsidRPr="001C32C8">
        <w:rPr>
          <w:rFonts w:eastAsia="Calibri"/>
          <w:szCs w:val="28"/>
        </w:rPr>
        <w:t>Likums “Par akcīzes nodokli” paredz ar 2022</w:t>
      </w:r>
      <w:r>
        <w:rPr>
          <w:rFonts w:eastAsia="Calibri"/>
          <w:szCs w:val="28"/>
        </w:rPr>
        <w:t>. gad</w:t>
      </w:r>
      <w:r w:rsidRPr="001C32C8">
        <w:rPr>
          <w:rFonts w:eastAsia="Calibri"/>
          <w:szCs w:val="28"/>
        </w:rPr>
        <w:t xml:space="preserve">a </w:t>
      </w:r>
      <w:r>
        <w:rPr>
          <w:rFonts w:eastAsia="Calibri"/>
          <w:szCs w:val="28"/>
        </w:rPr>
        <w:t>1. janv</w:t>
      </w:r>
      <w:r w:rsidRPr="001C32C8">
        <w:rPr>
          <w:rFonts w:eastAsia="Calibri"/>
          <w:szCs w:val="28"/>
        </w:rPr>
        <w:t xml:space="preserve">āri paaugstināt akcīzes nodokļa likmes cigaretēm; cigāriem un </w:t>
      </w:r>
      <w:proofErr w:type="spellStart"/>
      <w:r w:rsidRPr="001C32C8">
        <w:rPr>
          <w:rFonts w:eastAsia="Calibri"/>
          <w:szCs w:val="28"/>
        </w:rPr>
        <w:t>cigarillām</w:t>
      </w:r>
      <w:proofErr w:type="spellEnd"/>
      <w:r w:rsidRPr="001C32C8">
        <w:rPr>
          <w:rFonts w:eastAsia="Calibri"/>
          <w:szCs w:val="28"/>
        </w:rPr>
        <w:t>; smēķējamajai tabakai</w:t>
      </w:r>
      <w:r w:rsidRPr="00994940">
        <w:rPr>
          <w:rFonts w:eastAsia="Calibri"/>
          <w:szCs w:val="28"/>
        </w:rPr>
        <w:t>,</w:t>
      </w:r>
      <w:r w:rsidRPr="001C32C8">
        <w:rPr>
          <w:rFonts w:eastAsia="Calibri"/>
          <w:szCs w:val="28"/>
        </w:rPr>
        <w:t xml:space="preserve"> tabakas lapām</w:t>
      </w:r>
      <w:r w:rsidRPr="00994940">
        <w:rPr>
          <w:rFonts w:eastAsia="Calibri"/>
          <w:szCs w:val="28"/>
        </w:rPr>
        <w:t xml:space="preserve"> un </w:t>
      </w:r>
      <w:r w:rsidRPr="001C32C8">
        <w:rPr>
          <w:rFonts w:eastAsia="Calibri"/>
          <w:szCs w:val="28"/>
        </w:rPr>
        <w:t>karsējamajai tabakai</w:t>
      </w:r>
      <w:r w:rsidRPr="00994940">
        <w:rPr>
          <w:rFonts w:eastAsia="Calibri"/>
          <w:szCs w:val="28"/>
        </w:rPr>
        <w:t>.</w:t>
      </w:r>
    </w:p>
    <w:p w14:paraId="62A39311" w14:textId="77777777" w:rsidR="002A5E08" w:rsidRPr="00E86687" w:rsidRDefault="002A5E08" w:rsidP="002A5E08">
      <w:pPr>
        <w:keepNext/>
        <w:spacing w:before="240" w:after="240"/>
        <w:ind w:firstLine="0"/>
        <w:jc w:val="center"/>
        <w:rPr>
          <w:b/>
          <w:i/>
          <w:szCs w:val="24"/>
        </w:rPr>
      </w:pPr>
      <w:r w:rsidRPr="00E86687">
        <w:rPr>
          <w:b/>
          <w:i/>
          <w:szCs w:val="24"/>
        </w:rPr>
        <w:t>3.12. tabula. Akcīzes nodokļa likmes tabakas izstrādājumiem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417"/>
        <w:gridCol w:w="1276"/>
        <w:gridCol w:w="1276"/>
        <w:gridCol w:w="1269"/>
      </w:tblGrid>
      <w:tr w:rsidR="002A5E08" w:rsidRPr="009240FC" w14:paraId="4BD6A9EB" w14:textId="77777777" w:rsidTr="00AA7099">
        <w:trPr>
          <w:trHeight w:val="221"/>
          <w:jc w:val="center"/>
        </w:trPr>
        <w:tc>
          <w:tcPr>
            <w:tcW w:w="2110" w:type="pct"/>
            <w:shd w:val="clear" w:color="auto" w:fill="B8CCE4" w:themeFill="accent1" w:themeFillTint="66"/>
            <w:noWrap/>
            <w:vAlign w:val="center"/>
          </w:tcPr>
          <w:p w14:paraId="384DE9A3" w14:textId="77777777" w:rsidR="002A5E08" w:rsidRPr="009240FC" w:rsidRDefault="002A5E08" w:rsidP="00970743">
            <w:pPr>
              <w:keepNext/>
              <w:keepLines/>
              <w:spacing w:after="0"/>
              <w:ind w:firstLine="0"/>
              <w:jc w:val="center"/>
              <w:rPr>
                <w:rFonts w:eastAsia="Calibri"/>
                <w:b/>
                <w:bCs/>
                <w:sz w:val="18"/>
                <w:szCs w:val="18"/>
                <w:lang w:eastAsia="lv-LV"/>
              </w:rPr>
            </w:pPr>
          </w:p>
        </w:tc>
        <w:tc>
          <w:tcPr>
            <w:tcW w:w="782" w:type="pct"/>
            <w:shd w:val="clear" w:color="auto" w:fill="B8CCE4" w:themeFill="accent1" w:themeFillTint="66"/>
            <w:noWrap/>
            <w:vAlign w:val="center"/>
          </w:tcPr>
          <w:p w14:paraId="2008F2BA" w14:textId="77777777" w:rsidR="002A5E08" w:rsidRPr="009240FC" w:rsidRDefault="002A5E08" w:rsidP="00970743">
            <w:pPr>
              <w:keepNext/>
              <w:keepLines/>
              <w:spacing w:after="0"/>
              <w:ind w:firstLine="0"/>
              <w:jc w:val="center"/>
              <w:rPr>
                <w:rFonts w:eastAsia="Calibri"/>
                <w:b/>
                <w:sz w:val="18"/>
                <w:szCs w:val="18"/>
                <w:highlight w:val="yellow"/>
                <w:lang w:eastAsia="lv-LV"/>
              </w:rPr>
            </w:pPr>
            <w:r w:rsidRPr="009240FC">
              <w:rPr>
                <w:rFonts w:eastAsia="Calibri"/>
                <w:b/>
                <w:sz w:val="18"/>
                <w:szCs w:val="18"/>
                <w:lang w:eastAsia="lv-LV"/>
              </w:rPr>
              <w:t>Iepriekšējās likmes</w:t>
            </w:r>
          </w:p>
        </w:tc>
        <w:tc>
          <w:tcPr>
            <w:tcW w:w="704" w:type="pct"/>
            <w:shd w:val="clear" w:color="auto" w:fill="B8CCE4" w:themeFill="accent1" w:themeFillTint="66"/>
            <w:noWrap/>
            <w:vAlign w:val="center"/>
          </w:tcPr>
          <w:p w14:paraId="12547B40" w14:textId="77777777" w:rsidR="002A5E08" w:rsidRPr="009240FC" w:rsidRDefault="002A5E08" w:rsidP="00970743">
            <w:pPr>
              <w:keepNext/>
              <w:keepLines/>
              <w:spacing w:after="0"/>
              <w:ind w:firstLine="0"/>
              <w:jc w:val="center"/>
              <w:rPr>
                <w:rFonts w:eastAsia="Calibri"/>
                <w:b/>
                <w:sz w:val="18"/>
                <w:szCs w:val="18"/>
                <w:lang w:eastAsia="lv-LV"/>
              </w:rPr>
            </w:pPr>
            <w:r w:rsidRPr="009240FC">
              <w:rPr>
                <w:rFonts w:eastAsia="Calibri"/>
                <w:b/>
                <w:sz w:val="18"/>
                <w:szCs w:val="18"/>
                <w:lang w:eastAsia="lv-LV"/>
              </w:rPr>
              <w:t>Spēkā esošās likmes</w:t>
            </w:r>
          </w:p>
        </w:tc>
        <w:tc>
          <w:tcPr>
            <w:tcW w:w="1404" w:type="pct"/>
            <w:gridSpan w:val="2"/>
            <w:shd w:val="clear" w:color="auto" w:fill="B8CCE4" w:themeFill="accent1" w:themeFillTint="66"/>
            <w:vAlign w:val="center"/>
          </w:tcPr>
          <w:p w14:paraId="4E090A22" w14:textId="77777777" w:rsidR="002A5E08" w:rsidRPr="009240FC" w:rsidRDefault="002A5E08" w:rsidP="00970743">
            <w:pPr>
              <w:keepNext/>
              <w:keepLines/>
              <w:spacing w:after="0"/>
              <w:ind w:firstLine="0"/>
              <w:jc w:val="center"/>
              <w:rPr>
                <w:rFonts w:eastAsia="Calibri"/>
                <w:b/>
                <w:sz w:val="18"/>
                <w:szCs w:val="18"/>
                <w:lang w:eastAsia="lv-LV"/>
              </w:rPr>
            </w:pPr>
            <w:r w:rsidRPr="009240FC">
              <w:rPr>
                <w:rFonts w:eastAsia="Calibri"/>
                <w:b/>
                <w:sz w:val="18"/>
                <w:szCs w:val="18"/>
                <w:lang w:eastAsia="lv-LV"/>
              </w:rPr>
              <w:t>Plānotās likmes</w:t>
            </w:r>
          </w:p>
        </w:tc>
      </w:tr>
      <w:tr w:rsidR="002A5E08" w:rsidRPr="009240FC" w14:paraId="6325FDD2" w14:textId="77777777" w:rsidTr="00AA7099">
        <w:trPr>
          <w:trHeight w:val="221"/>
          <w:jc w:val="center"/>
        </w:trPr>
        <w:tc>
          <w:tcPr>
            <w:tcW w:w="2110" w:type="pct"/>
            <w:shd w:val="clear" w:color="auto" w:fill="B8CCE4" w:themeFill="accent1" w:themeFillTint="66"/>
            <w:noWrap/>
            <w:vAlign w:val="bottom"/>
            <w:hideMark/>
          </w:tcPr>
          <w:p w14:paraId="054187F9" w14:textId="77777777" w:rsidR="002A5E08" w:rsidRPr="009240FC" w:rsidRDefault="002A5E08" w:rsidP="00970743">
            <w:pPr>
              <w:keepNext/>
              <w:keepLines/>
              <w:spacing w:after="0"/>
              <w:ind w:firstLine="0"/>
              <w:jc w:val="left"/>
              <w:rPr>
                <w:rFonts w:eastAsia="Calibri"/>
                <w:bCs/>
                <w:sz w:val="18"/>
                <w:szCs w:val="18"/>
                <w:lang w:eastAsia="lv-LV"/>
              </w:rPr>
            </w:pPr>
            <w:r w:rsidRPr="009240FC">
              <w:rPr>
                <w:rFonts w:eastAsia="Calibri"/>
                <w:bCs/>
                <w:sz w:val="18"/>
                <w:szCs w:val="18"/>
                <w:lang w:eastAsia="lv-LV"/>
              </w:rPr>
              <w:t>Cigaretes</w:t>
            </w:r>
          </w:p>
        </w:tc>
        <w:tc>
          <w:tcPr>
            <w:tcW w:w="782" w:type="pct"/>
            <w:shd w:val="clear" w:color="auto" w:fill="B8CCE4" w:themeFill="accent1" w:themeFillTint="66"/>
            <w:noWrap/>
            <w:vAlign w:val="bottom"/>
            <w:hideMark/>
          </w:tcPr>
          <w:p w14:paraId="3E0A08A4"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01.07.2019.</w:t>
            </w:r>
          </w:p>
        </w:tc>
        <w:tc>
          <w:tcPr>
            <w:tcW w:w="704" w:type="pct"/>
            <w:shd w:val="clear" w:color="auto" w:fill="B8CCE4" w:themeFill="accent1" w:themeFillTint="66"/>
            <w:noWrap/>
            <w:vAlign w:val="bottom"/>
            <w:hideMark/>
          </w:tcPr>
          <w:p w14:paraId="21FA435D"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01.03.2021.</w:t>
            </w:r>
          </w:p>
        </w:tc>
        <w:tc>
          <w:tcPr>
            <w:tcW w:w="704" w:type="pct"/>
            <w:shd w:val="clear" w:color="auto" w:fill="B8CCE4" w:themeFill="accent1" w:themeFillTint="66"/>
            <w:noWrap/>
            <w:vAlign w:val="bottom"/>
            <w:hideMark/>
          </w:tcPr>
          <w:p w14:paraId="18F6FAB7"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01.01.2022.</w:t>
            </w:r>
          </w:p>
        </w:tc>
        <w:tc>
          <w:tcPr>
            <w:tcW w:w="700" w:type="pct"/>
            <w:shd w:val="clear" w:color="auto" w:fill="B8CCE4" w:themeFill="accent1" w:themeFillTint="66"/>
            <w:noWrap/>
            <w:vAlign w:val="bottom"/>
            <w:hideMark/>
          </w:tcPr>
          <w:p w14:paraId="55FCED3C"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01.01.2023.</w:t>
            </w:r>
          </w:p>
        </w:tc>
      </w:tr>
      <w:tr w:rsidR="002A5E08" w:rsidRPr="009240FC" w14:paraId="34FF1359" w14:textId="77777777" w:rsidTr="00970743">
        <w:trPr>
          <w:trHeight w:val="221"/>
          <w:jc w:val="center"/>
        </w:trPr>
        <w:tc>
          <w:tcPr>
            <w:tcW w:w="2110" w:type="pct"/>
            <w:shd w:val="clear" w:color="auto" w:fill="auto"/>
            <w:noWrap/>
            <w:vAlign w:val="bottom"/>
            <w:hideMark/>
          </w:tcPr>
          <w:p w14:paraId="43875820" w14:textId="77777777" w:rsidR="002A5E08" w:rsidRPr="009240FC" w:rsidRDefault="002A5E08" w:rsidP="00970743">
            <w:pPr>
              <w:keepNext/>
              <w:keepLines/>
              <w:spacing w:after="0"/>
              <w:ind w:firstLine="0"/>
              <w:jc w:val="left"/>
              <w:rPr>
                <w:rFonts w:eastAsia="Calibri"/>
                <w:sz w:val="18"/>
                <w:szCs w:val="18"/>
                <w:lang w:eastAsia="lv-LV"/>
              </w:rPr>
            </w:pPr>
            <w:r w:rsidRPr="009240FC">
              <w:rPr>
                <w:rFonts w:eastAsia="Calibri"/>
                <w:sz w:val="18"/>
                <w:szCs w:val="18"/>
                <w:lang w:eastAsia="lv-LV"/>
              </w:rPr>
              <w:t>Nodokļa likme par 1 000 </w:t>
            </w:r>
            <w:proofErr w:type="spellStart"/>
            <w:r w:rsidRPr="009240FC">
              <w:rPr>
                <w:rFonts w:eastAsia="Calibri"/>
                <w:sz w:val="18"/>
                <w:szCs w:val="18"/>
                <w:lang w:eastAsia="lv-LV"/>
              </w:rPr>
              <w:t>cig</w:t>
            </w:r>
            <w:proofErr w:type="spellEnd"/>
            <w:r w:rsidRPr="009240FC">
              <w:rPr>
                <w:rFonts w:eastAsia="Calibri"/>
                <w:sz w:val="18"/>
                <w:szCs w:val="18"/>
                <w:lang w:eastAsia="lv-LV"/>
              </w:rPr>
              <w:t xml:space="preserve">., </w:t>
            </w:r>
            <w:proofErr w:type="spellStart"/>
            <w:r w:rsidRPr="009240FC">
              <w:rPr>
                <w:rFonts w:eastAsia="Calibri"/>
                <w:i/>
                <w:sz w:val="18"/>
                <w:szCs w:val="18"/>
                <w:lang w:eastAsia="lv-LV"/>
              </w:rPr>
              <w:t>euro</w:t>
            </w:r>
            <w:proofErr w:type="spellEnd"/>
          </w:p>
        </w:tc>
        <w:tc>
          <w:tcPr>
            <w:tcW w:w="782" w:type="pct"/>
            <w:shd w:val="clear" w:color="auto" w:fill="auto"/>
            <w:noWrap/>
            <w:hideMark/>
          </w:tcPr>
          <w:p w14:paraId="3A4CA09D"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78,70</w:t>
            </w:r>
          </w:p>
        </w:tc>
        <w:tc>
          <w:tcPr>
            <w:tcW w:w="704" w:type="pct"/>
            <w:shd w:val="clear" w:color="auto" w:fill="auto"/>
            <w:noWrap/>
            <w:hideMark/>
          </w:tcPr>
          <w:p w14:paraId="28BA6A79"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92,50</w:t>
            </w:r>
          </w:p>
        </w:tc>
        <w:tc>
          <w:tcPr>
            <w:tcW w:w="704" w:type="pct"/>
            <w:shd w:val="clear" w:color="auto" w:fill="auto"/>
            <w:noWrap/>
            <w:hideMark/>
          </w:tcPr>
          <w:p w14:paraId="129369B8"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98,00</w:t>
            </w:r>
          </w:p>
        </w:tc>
        <w:tc>
          <w:tcPr>
            <w:tcW w:w="700" w:type="pct"/>
            <w:shd w:val="clear" w:color="auto" w:fill="auto"/>
            <w:noWrap/>
            <w:hideMark/>
          </w:tcPr>
          <w:p w14:paraId="3C4B6F71"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104,00</w:t>
            </w:r>
          </w:p>
        </w:tc>
      </w:tr>
      <w:tr w:rsidR="002A5E08" w:rsidRPr="009240FC" w14:paraId="5A2943AF" w14:textId="77777777" w:rsidTr="00970743">
        <w:trPr>
          <w:trHeight w:val="221"/>
          <w:jc w:val="center"/>
        </w:trPr>
        <w:tc>
          <w:tcPr>
            <w:tcW w:w="2110" w:type="pct"/>
            <w:shd w:val="clear" w:color="auto" w:fill="auto"/>
            <w:noWrap/>
            <w:vAlign w:val="bottom"/>
            <w:hideMark/>
          </w:tcPr>
          <w:p w14:paraId="38961A3E" w14:textId="77777777" w:rsidR="002A5E08" w:rsidRPr="009240FC" w:rsidRDefault="002A5E08" w:rsidP="00970743">
            <w:pPr>
              <w:keepNext/>
              <w:keepLines/>
              <w:spacing w:after="0"/>
              <w:ind w:firstLine="0"/>
              <w:jc w:val="left"/>
              <w:rPr>
                <w:rFonts w:eastAsia="Calibri"/>
                <w:sz w:val="18"/>
                <w:szCs w:val="18"/>
                <w:lang w:eastAsia="lv-LV"/>
              </w:rPr>
            </w:pPr>
            <w:r w:rsidRPr="009240FC">
              <w:rPr>
                <w:rFonts w:eastAsia="Calibri"/>
                <w:sz w:val="18"/>
                <w:szCs w:val="18"/>
                <w:lang w:eastAsia="lv-LV"/>
              </w:rPr>
              <w:t>Nodokļa minimālais līmenis par 1000 </w:t>
            </w:r>
            <w:proofErr w:type="spellStart"/>
            <w:r w:rsidRPr="009240FC">
              <w:rPr>
                <w:rFonts w:eastAsia="Calibri"/>
                <w:sz w:val="18"/>
                <w:szCs w:val="18"/>
                <w:lang w:eastAsia="lv-LV"/>
              </w:rPr>
              <w:t>cig</w:t>
            </w:r>
            <w:proofErr w:type="spellEnd"/>
            <w:r w:rsidRPr="009240FC">
              <w:rPr>
                <w:rFonts w:eastAsia="Calibri"/>
                <w:sz w:val="18"/>
                <w:szCs w:val="18"/>
                <w:lang w:eastAsia="lv-LV"/>
              </w:rPr>
              <w:t xml:space="preserve">., </w:t>
            </w:r>
            <w:proofErr w:type="spellStart"/>
            <w:r w:rsidRPr="009240FC">
              <w:rPr>
                <w:rFonts w:eastAsia="Calibri"/>
                <w:i/>
                <w:sz w:val="18"/>
                <w:szCs w:val="18"/>
                <w:lang w:eastAsia="lv-LV"/>
              </w:rPr>
              <w:t>euro</w:t>
            </w:r>
            <w:proofErr w:type="spellEnd"/>
            <w:r w:rsidRPr="009240FC">
              <w:rPr>
                <w:rFonts w:eastAsia="Calibri"/>
                <w:sz w:val="18"/>
                <w:szCs w:val="18"/>
                <w:lang w:eastAsia="lv-LV"/>
              </w:rPr>
              <w:t xml:space="preserve"> </w:t>
            </w:r>
          </w:p>
        </w:tc>
        <w:tc>
          <w:tcPr>
            <w:tcW w:w="782" w:type="pct"/>
            <w:shd w:val="clear" w:color="auto" w:fill="auto"/>
            <w:noWrap/>
            <w:hideMark/>
          </w:tcPr>
          <w:p w14:paraId="71799F5A"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114,70</w:t>
            </w:r>
          </w:p>
        </w:tc>
        <w:tc>
          <w:tcPr>
            <w:tcW w:w="704" w:type="pct"/>
            <w:shd w:val="clear" w:color="auto" w:fill="auto"/>
            <w:noWrap/>
            <w:hideMark/>
          </w:tcPr>
          <w:p w14:paraId="61E32FF0"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121,40</w:t>
            </w:r>
          </w:p>
        </w:tc>
        <w:tc>
          <w:tcPr>
            <w:tcW w:w="704" w:type="pct"/>
            <w:shd w:val="clear" w:color="auto" w:fill="auto"/>
            <w:noWrap/>
            <w:hideMark/>
          </w:tcPr>
          <w:p w14:paraId="63B2E7EC"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128,40</w:t>
            </w:r>
          </w:p>
        </w:tc>
        <w:tc>
          <w:tcPr>
            <w:tcW w:w="700" w:type="pct"/>
            <w:shd w:val="clear" w:color="auto" w:fill="auto"/>
            <w:noWrap/>
            <w:hideMark/>
          </w:tcPr>
          <w:p w14:paraId="61782B7D"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135,90</w:t>
            </w:r>
          </w:p>
        </w:tc>
      </w:tr>
      <w:tr w:rsidR="002A5E08" w:rsidRPr="009240FC" w14:paraId="278C2985" w14:textId="77777777" w:rsidTr="00970743">
        <w:trPr>
          <w:trHeight w:val="221"/>
          <w:jc w:val="center"/>
        </w:trPr>
        <w:tc>
          <w:tcPr>
            <w:tcW w:w="2110" w:type="pct"/>
            <w:shd w:val="clear" w:color="auto" w:fill="auto"/>
            <w:noWrap/>
            <w:vAlign w:val="bottom"/>
            <w:hideMark/>
          </w:tcPr>
          <w:p w14:paraId="7C167247" w14:textId="77777777" w:rsidR="002A5E08" w:rsidRPr="009240FC" w:rsidRDefault="002A5E08" w:rsidP="00970743">
            <w:pPr>
              <w:keepNext/>
              <w:keepLines/>
              <w:spacing w:after="0"/>
              <w:ind w:firstLine="0"/>
              <w:jc w:val="left"/>
              <w:rPr>
                <w:rFonts w:eastAsia="Calibri"/>
                <w:sz w:val="18"/>
                <w:szCs w:val="18"/>
                <w:lang w:eastAsia="lv-LV"/>
              </w:rPr>
            </w:pPr>
            <w:proofErr w:type="spellStart"/>
            <w:r w:rsidRPr="009240FC">
              <w:rPr>
                <w:rFonts w:eastAsia="Calibri"/>
                <w:i/>
                <w:sz w:val="18"/>
                <w:szCs w:val="18"/>
                <w:lang w:eastAsia="lv-LV"/>
              </w:rPr>
              <w:t>Ad</w:t>
            </w:r>
            <w:proofErr w:type="spellEnd"/>
            <w:r w:rsidRPr="009240FC">
              <w:rPr>
                <w:rFonts w:eastAsia="Calibri"/>
                <w:i/>
                <w:sz w:val="18"/>
                <w:szCs w:val="18"/>
                <w:lang w:eastAsia="lv-LV"/>
              </w:rPr>
              <w:t xml:space="preserve"> </w:t>
            </w:r>
            <w:proofErr w:type="spellStart"/>
            <w:r w:rsidRPr="009240FC">
              <w:rPr>
                <w:rFonts w:eastAsia="Calibri"/>
                <w:i/>
                <w:sz w:val="18"/>
                <w:szCs w:val="18"/>
                <w:lang w:eastAsia="lv-LV"/>
              </w:rPr>
              <w:t>valorem</w:t>
            </w:r>
            <w:proofErr w:type="spellEnd"/>
            <w:r w:rsidRPr="009240FC">
              <w:rPr>
                <w:rFonts w:eastAsia="Calibri"/>
                <w:sz w:val="18"/>
                <w:szCs w:val="18"/>
                <w:lang w:eastAsia="lv-LV"/>
              </w:rPr>
              <w:t>, %</w:t>
            </w:r>
          </w:p>
        </w:tc>
        <w:tc>
          <w:tcPr>
            <w:tcW w:w="782" w:type="pct"/>
            <w:shd w:val="clear" w:color="auto" w:fill="auto"/>
            <w:noWrap/>
            <w:hideMark/>
          </w:tcPr>
          <w:p w14:paraId="042B089B"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20,0%</w:t>
            </w:r>
          </w:p>
        </w:tc>
        <w:tc>
          <w:tcPr>
            <w:tcW w:w="704" w:type="pct"/>
            <w:shd w:val="clear" w:color="auto" w:fill="auto"/>
            <w:noWrap/>
            <w:hideMark/>
          </w:tcPr>
          <w:p w14:paraId="01F5CAB3"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15,0%</w:t>
            </w:r>
          </w:p>
        </w:tc>
        <w:tc>
          <w:tcPr>
            <w:tcW w:w="704" w:type="pct"/>
            <w:shd w:val="clear" w:color="auto" w:fill="auto"/>
            <w:noWrap/>
            <w:hideMark/>
          </w:tcPr>
          <w:p w14:paraId="4D6DE4D5"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15,0%</w:t>
            </w:r>
          </w:p>
        </w:tc>
        <w:tc>
          <w:tcPr>
            <w:tcW w:w="700" w:type="pct"/>
            <w:shd w:val="clear" w:color="auto" w:fill="auto"/>
            <w:noWrap/>
            <w:hideMark/>
          </w:tcPr>
          <w:p w14:paraId="0BF094E1"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15,0%</w:t>
            </w:r>
          </w:p>
        </w:tc>
      </w:tr>
      <w:tr w:rsidR="002A5E08" w:rsidRPr="009240FC" w14:paraId="404A48E1" w14:textId="77777777" w:rsidTr="00AA7099">
        <w:trPr>
          <w:trHeight w:val="221"/>
          <w:jc w:val="center"/>
        </w:trPr>
        <w:tc>
          <w:tcPr>
            <w:tcW w:w="2110" w:type="pct"/>
            <w:shd w:val="clear" w:color="auto" w:fill="B8CCE4" w:themeFill="accent1" w:themeFillTint="66"/>
            <w:noWrap/>
            <w:vAlign w:val="bottom"/>
            <w:hideMark/>
          </w:tcPr>
          <w:p w14:paraId="4721AC7B" w14:textId="77777777" w:rsidR="002A5E08" w:rsidRPr="009240FC" w:rsidRDefault="002A5E08" w:rsidP="00970743">
            <w:pPr>
              <w:keepNext/>
              <w:keepLines/>
              <w:spacing w:after="0"/>
              <w:ind w:firstLine="0"/>
              <w:jc w:val="left"/>
              <w:rPr>
                <w:rFonts w:eastAsia="Calibri"/>
                <w:bCs/>
                <w:sz w:val="18"/>
                <w:szCs w:val="18"/>
                <w:lang w:eastAsia="lv-LV"/>
              </w:rPr>
            </w:pPr>
            <w:r w:rsidRPr="009240FC">
              <w:rPr>
                <w:rFonts w:eastAsia="Calibri"/>
                <w:bCs/>
                <w:sz w:val="18"/>
                <w:szCs w:val="18"/>
                <w:lang w:eastAsia="lv-LV"/>
              </w:rPr>
              <w:t xml:space="preserve">Cigāri, </w:t>
            </w:r>
            <w:proofErr w:type="spellStart"/>
            <w:r w:rsidRPr="009240FC">
              <w:rPr>
                <w:rFonts w:eastAsia="Calibri"/>
                <w:bCs/>
                <w:sz w:val="18"/>
                <w:szCs w:val="18"/>
                <w:lang w:eastAsia="lv-LV"/>
              </w:rPr>
              <w:t>cigarillas</w:t>
            </w:r>
            <w:proofErr w:type="spellEnd"/>
            <w:r w:rsidRPr="009240FC">
              <w:rPr>
                <w:rFonts w:eastAsia="Calibri"/>
                <w:bCs/>
                <w:sz w:val="18"/>
                <w:szCs w:val="18"/>
                <w:lang w:eastAsia="lv-LV"/>
              </w:rPr>
              <w:t xml:space="preserve"> </w:t>
            </w:r>
          </w:p>
        </w:tc>
        <w:tc>
          <w:tcPr>
            <w:tcW w:w="782" w:type="pct"/>
            <w:shd w:val="clear" w:color="auto" w:fill="B8CCE4" w:themeFill="accent1" w:themeFillTint="66"/>
            <w:noWrap/>
            <w:vAlign w:val="center"/>
            <w:hideMark/>
          </w:tcPr>
          <w:p w14:paraId="71E2CA5D"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01.01.2020.</w:t>
            </w:r>
          </w:p>
        </w:tc>
        <w:tc>
          <w:tcPr>
            <w:tcW w:w="704" w:type="pct"/>
            <w:shd w:val="clear" w:color="auto" w:fill="B8CCE4" w:themeFill="accent1" w:themeFillTint="66"/>
            <w:noWrap/>
            <w:vAlign w:val="center"/>
            <w:hideMark/>
          </w:tcPr>
          <w:p w14:paraId="247A5044"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01.01.2021.</w:t>
            </w:r>
          </w:p>
        </w:tc>
        <w:tc>
          <w:tcPr>
            <w:tcW w:w="704" w:type="pct"/>
            <w:shd w:val="clear" w:color="auto" w:fill="B8CCE4" w:themeFill="accent1" w:themeFillTint="66"/>
            <w:noWrap/>
            <w:vAlign w:val="center"/>
            <w:hideMark/>
          </w:tcPr>
          <w:p w14:paraId="03660B8F"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01.01.2022.</w:t>
            </w:r>
          </w:p>
        </w:tc>
        <w:tc>
          <w:tcPr>
            <w:tcW w:w="700" w:type="pct"/>
            <w:shd w:val="clear" w:color="auto" w:fill="B8CCE4" w:themeFill="accent1" w:themeFillTint="66"/>
            <w:noWrap/>
            <w:vAlign w:val="center"/>
            <w:hideMark/>
          </w:tcPr>
          <w:p w14:paraId="7CD63208"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01.01.2023.</w:t>
            </w:r>
          </w:p>
        </w:tc>
      </w:tr>
      <w:tr w:rsidR="002A5E08" w:rsidRPr="009240FC" w14:paraId="7512E312" w14:textId="77777777" w:rsidTr="00970743">
        <w:trPr>
          <w:trHeight w:val="221"/>
          <w:jc w:val="center"/>
        </w:trPr>
        <w:tc>
          <w:tcPr>
            <w:tcW w:w="2110" w:type="pct"/>
            <w:shd w:val="clear" w:color="auto" w:fill="auto"/>
            <w:noWrap/>
            <w:vAlign w:val="bottom"/>
            <w:hideMark/>
          </w:tcPr>
          <w:p w14:paraId="7CDAAFD5" w14:textId="77777777" w:rsidR="002A5E08" w:rsidRPr="009240FC" w:rsidRDefault="002A5E08" w:rsidP="00970743">
            <w:pPr>
              <w:keepNext/>
              <w:keepLines/>
              <w:spacing w:after="0"/>
              <w:ind w:firstLine="0"/>
              <w:jc w:val="left"/>
              <w:rPr>
                <w:rFonts w:eastAsia="Calibri"/>
                <w:sz w:val="18"/>
                <w:szCs w:val="18"/>
                <w:lang w:eastAsia="lv-LV"/>
              </w:rPr>
            </w:pPr>
            <w:r w:rsidRPr="009240FC">
              <w:rPr>
                <w:rFonts w:eastAsia="Calibri"/>
                <w:sz w:val="18"/>
                <w:szCs w:val="18"/>
                <w:lang w:eastAsia="lv-LV"/>
              </w:rPr>
              <w:t xml:space="preserve">Nodokļa likme par 1 000 gab., </w:t>
            </w:r>
            <w:proofErr w:type="spellStart"/>
            <w:r w:rsidRPr="009240FC">
              <w:rPr>
                <w:rFonts w:eastAsia="Calibri"/>
                <w:i/>
                <w:sz w:val="18"/>
                <w:szCs w:val="18"/>
                <w:lang w:eastAsia="lv-LV"/>
              </w:rPr>
              <w:t>euro</w:t>
            </w:r>
            <w:proofErr w:type="spellEnd"/>
            <w:r w:rsidRPr="009240FC">
              <w:rPr>
                <w:rFonts w:eastAsia="Calibri"/>
                <w:sz w:val="18"/>
                <w:szCs w:val="18"/>
                <w:lang w:eastAsia="lv-LV"/>
              </w:rPr>
              <w:t xml:space="preserve"> </w:t>
            </w:r>
          </w:p>
        </w:tc>
        <w:tc>
          <w:tcPr>
            <w:tcW w:w="782" w:type="pct"/>
            <w:shd w:val="clear" w:color="auto" w:fill="auto"/>
            <w:noWrap/>
            <w:hideMark/>
          </w:tcPr>
          <w:p w14:paraId="6C98853F"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95,20</w:t>
            </w:r>
          </w:p>
        </w:tc>
        <w:tc>
          <w:tcPr>
            <w:tcW w:w="704" w:type="pct"/>
            <w:shd w:val="clear" w:color="auto" w:fill="auto"/>
            <w:noWrap/>
            <w:hideMark/>
          </w:tcPr>
          <w:p w14:paraId="323CC04B"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104,70</w:t>
            </w:r>
          </w:p>
        </w:tc>
        <w:tc>
          <w:tcPr>
            <w:tcW w:w="704" w:type="pct"/>
            <w:shd w:val="clear" w:color="auto" w:fill="auto"/>
            <w:noWrap/>
            <w:hideMark/>
          </w:tcPr>
          <w:p w14:paraId="5FA9C134"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115,2</w:t>
            </w:r>
          </w:p>
        </w:tc>
        <w:tc>
          <w:tcPr>
            <w:tcW w:w="700" w:type="pct"/>
            <w:shd w:val="clear" w:color="auto" w:fill="auto"/>
            <w:noWrap/>
            <w:hideMark/>
          </w:tcPr>
          <w:p w14:paraId="0E65DE6E"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126,7</w:t>
            </w:r>
          </w:p>
        </w:tc>
      </w:tr>
      <w:tr w:rsidR="002A5E08" w:rsidRPr="009240FC" w14:paraId="7D983662" w14:textId="77777777" w:rsidTr="00AA7099">
        <w:trPr>
          <w:trHeight w:val="221"/>
          <w:jc w:val="center"/>
        </w:trPr>
        <w:tc>
          <w:tcPr>
            <w:tcW w:w="2110" w:type="pct"/>
            <w:shd w:val="clear" w:color="auto" w:fill="B8CCE4" w:themeFill="accent1" w:themeFillTint="66"/>
            <w:noWrap/>
            <w:vAlign w:val="bottom"/>
            <w:hideMark/>
          </w:tcPr>
          <w:p w14:paraId="709E23D2" w14:textId="77777777" w:rsidR="002A5E08" w:rsidRPr="009240FC" w:rsidRDefault="002A5E08" w:rsidP="00970743">
            <w:pPr>
              <w:keepNext/>
              <w:keepLines/>
              <w:spacing w:after="0"/>
              <w:ind w:firstLine="0"/>
              <w:jc w:val="left"/>
              <w:rPr>
                <w:rFonts w:eastAsia="Calibri"/>
                <w:bCs/>
                <w:sz w:val="18"/>
                <w:szCs w:val="18"/>
                <w:lang w:eastAsia="lv-LV"/>
              </w:rPr>
            </w:pPr>
            <w:r w:rsidRPr="009240FC">
              <w:rPr>
                <w:rFonts w:eastAsia="Calibri"/>
                <w:bCs/>
                <w:sz w:val="18"/>
                <w:szCs w:val="18"/>
                <w:lang w:eastAsia="lv-LV"/>
              </w:rPr>
              <w:t>Smēķējamā tabaka, tabakas lapas</w:t>
            </w:r>
          </w:p>
        </w:tc>
        <w:tc>
          <w:tcPr>
            <w:tcW w:w="782" w:type="pct"/>
            <w:shd w:val="clear" w:color="auto" w:fill="B8CCE4" w:themeFill="accent1" w:themeFillTint="66"/>
            <w:noWrap/>
            <w:vAlign w:val="center"/>
            <w:hideMark/>
          </w:tcPr>
          <w:p w14:paraId="7DD119E9"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01.01.2020.</w:t>
            </w:r>
          </w:p>
        </w:tc>
        <w:tc>
          <w:tcPr>
            <w:tcW w:w="704" w:type="pct"/>
            <w:shd w:val="clear" w:color="auto" w:fill="B8CCE4" w:themeFill="accent1" w:themeFillTint="66"/>
            <w:noWrap/>
            <w:vAlign w:val="center"/>
            <w:hideMark/>
          </w:tcPr>
          <w:p w14:paraId="59DBEBC4"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01.01.2021.</w:t>
            </w:r>
          </w:p>
        </w:tc>
        <w:tc>
          <w:tcPr>
            <w:tcW w:w="704" w:type="pct"/>
            <w:shd w:val="clear" w:color="auto" w:fill="B8CCE4" w:themeFill="accent1" w:themeFillTint="66"/>
            <w:noWrap/>
            <w:vAlign w:val="center"/>
            <w:hideMark/>
          </w:tcPr>
          <w:p w14:paraId="64F09C3C"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01.01.2022.</w:t>
            </w:r>
          </w:p>
        </w:tc>
        <w:tc>
          <w:tcPr>
            <w:tcW w:w="700" w:type="pct"/>
            <w:shd w:val="clear" w:color="auto" w:fill="B8CCE4" w:themeFill="accent1" w:themeFillTint="66"/>
            <w:noWrap/>
            <w:vAlign w:val="center"/>
            <w:hideMark/>
          </w:tcPr>
          <w:p w14:paraId="7DA6A86C"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01.01.2023.</w:t>
            </w:r>
          </w:p>
        </w:tc>
      </w:tr>
      <w:tr w:rsidR="002A5E08" w:rsidRPr="009240FC" w14:paraId="3DD00A4C" w14:textId="77777777" w:rsidTr="00970743">
        <w:trPr>
          <w:trHeight w:val="221"/>
          <w:jc w:val="center"/>
        </w:trPr>
        <w:tc>
          <w:tcPr>
            <w:tcW w:w="2110" w:type="pct"/>
            <w:shd w:val="clear" w:color="auto" w:fill="auto"/>
            <w:noWrap/>
            <w:vAlign w:val="bottom"/>
            <w:hideMark/>
          </w:tcPr>
          <w:p w14:paraId="536B573E" w14:textId="77777777" w:rsidR="002A5E08" w:rsidRPr="009240FC" w:rsidRDefault="002A5E08" w:rsidP="00970743">
            <w:pPr>
              <w:keepNext/>
              <w:keepLines/>
              <w:spacing w:after="0"/>
              <w:ind w:firstLine="0"/>
              <w:jc w:val="left"/>
              <w:rPr>
                <w:rFonts w:eastAsia="Calibri"/>
                <w:sz w:val="18"/>
                <w:szCs w:val="18"/>
                <w:lang w:eastAsia="lv-LV"/>
              </w:rPr>
            </w:pPr>
            <w:r w:rsidRPr="009240FC">
              <w:rPr>
                <w:rFonts w:eastAsia="Calibri"/>
                <w:sz w:val="18"/>
                <w:szCs w:val="18"/>
                <w:lang w:eastAsia="lv-LV"/>
              </w:rPr>
              <w:t xml:space="preserve">Nodokļa likme par 1 000 g., </w:t>
            </w:r>
            <w:proofErr w:type="spellStart"/>
            <w:r w:rsidRPr="009240FC">
              <w:rPr>
                <w:rFonts w:eastAsia="Calibri"/>
                <w:i/>
                <w:sz w:val="18"/>
                <w:szCs w:val="18"/>
                <w:lang w:eastAsia="lv-LV"/>
              </w:rPr>
              <w:t>euro</w:t>
            </w:r>
            <w:proofErr w:type="spellEnd"/>
          </w:p>
        </w:tc>
        <w:tc>
          <w:tcPr>
            <w:tcW w:w="782" w:type="pct"/>
            <w:shd w:val="clear" w:color="auto" w:fill="auto"/>
            <w:noWrap/>
            <w:hideMark/>
          </w:tcPr>
          <w:p w14:paraId="57FED949"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75,00</w:t>
            </w:r>
          </w:p>
        </w:tc>
        <w:tc>
          <w:tcPr>
            <w:tcW w:w="704" w:type="pct"/>
            <w:shd w:val="clear" w:color="auto" w:fill="auto"/>
            <w:noWrap/>
            <w:hideMark/>
          </w:tcPr>
          <w:p w14:paraId="66E2B7B5"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80,25</w:t>
            </w:r>
          </w:p>
        </w:tc>
        <w:tc>
          <w:tcPr>
            <w:tcW w:w="704" w:type="pct"/>
            <w:shd w:val="clear" w:color="auto" w:fill="auto"/>
            <w:noWrap/>
            <w:hideMark/>
          </w:tcPr>
          <w:p w14:paraId="22AE9411"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85,90</w:t>
            </w:r>
          </w:p>
        </w:tc>
        <w:tc>
          <w:tcPr>
            <w:tcW w:w="700" w:type="pct"/>
            <w:shd w:val="clear" w:color="auto" w:fill="auto"/>
            <w:noWrap/>
            <w:hideMark/>
          </w:tcPr>
          <w:p w14:paraId="1E730693"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91,90</w:t>
            </w:r>
          </w:p>
        </w:tc>
      </w:tr>
      <w:tr w:rsidR="002A5E08" w:rsidRPr="009240FC" w14:paraId="5CAFAB62" w14:textId="77777777" w:rsidTr="00AA7099">
        <w:trPr>
          <w:trHeight w:val="221"/>
          <w:jc w:val="center"/>
        </w:trPr>
        <w:tc>
          <w:tcPr>
            <w:tcW w:w="2110" w:type="pct"/>
            <w:shd w:val="clear" w:color="auto" w:fill="B8CCE4" w:themeFill="accent1" w:themeFillTint="66"/>
            <w:noWrap/>
            <w:vAlign w:val="bottom"/>
            <w:hideMark/>
          </w:tcPr>
          <w:p w14:paraId="7127D7BA" w14:textId="77777777" w:rsidR="002A5E08" w:rsidRPr="009240FC" w:rsidRDefault="002A5E08" w:rsidP="00970743">
            <w:pPr>
              <w:keepNext/>
              <w:keepLines/>
              <w:spacing w:after="0"/>
              <w:ind w:firstLine="0"/>
              <w:jc w:val="left"/>
              <w:rPr>
                <w:rFonts w:eastAsia="Calibri"/>
                <w:bCs/>
                <w:sz w:val="18"/>
                <w:szCs w:val="18"/>
                <w:lang w:eastAsia="lv-LV"/>
              </w:rPr>
            </w:pPr>
            <w:r w:rsidRPr="009240FC">
              <w:rPr>
                <w:rFonts w:eastAsia="Calibri"/>
                <w:bCs/>
                <w:sz w:val="18"/>
                <w:szCs w:val="18"/>
                <w:lang w:eastAsia="lv-LV"/>
              </w:rPr>
              <w:t>Karsējamā tabaka</w:t>
            </w:r>
          </w:p>
        </w:tc>
        <w:tc>
          <w:tcPr>
            <w:tcW w:w="782" w:type="pct"/>
            <w:shd w:val="clear" w:color="auto" w:fill="B8CCE4" w:themeFill="accent1" w:themeFillTint="66"/>
            <w:noWrap/>
            <w:vAlign w:val="center"/>
            <w:hideMark/>
          </w:tcPr>
          <w:p w14:paraId="208BFDC6"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01.01.2020.</w:t>
            </w:r>
          </w:p>
        </w:tc>
        <w:tc>
          <w:tcPr>
            <w:tcW w:w="704" w:type="pct"/>
            <w:shd w:val="clear" w:color="auto" w:fill="B8CCE4" w:themeFill="accent1" w:themeFillTint="66"/>
            <w:noWrap/>
            <w:vAlign w:val="center"/>
            <w:hideMark/>
          </w:tcPr>
          <w:p w14:paraId="35934A81"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01.01.2021.</w:t>
            </w:r>
          </w:p>
        </w:tc>
        <w:tc>
          <w:tcPr>
            <w:tcW w:w="704" w:type="pct"/>
            <w:shd w:val="clear" w:color="auto" w:fill="B8CCE4" w:themeFill="accent1" w:themeFillTint="66"/>
            <w:noWrap/>
            <w:vAlign w:val="center"/>
            <w:hideMark/>
          </w:tcPr>
          <w:p w14:paraId="6E9E0BD4"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01.01.2022.</w:t>
            </w:r>
          </w:p>
        </w:tc>
        <w:tc>
          <w:tcPr>
            <w:tcW w:w="700" w:type="pct"/>
            <w:shd w:val="clear" w:color="auto" w:fill="B8CCE4" w:themeFill="accent1" w:themeFillTint="66"/>
            <w:noWrap/>
            <w:vAlign w:val="center"/>
            <w:hideMark/>
          </w:tcPr>
          <w:p w14:paraId="4038C378" w14:textId="77777777" w:rsidR="002A5E08" w:rsidRPr="009240FC" w:rsidRDefault="002A5E08" w:rsidP="00970743">
            <w:pPr>
              <w:keepNext/>
              <w:keepLines/>
              <w:spacing w:after="0"/>
              <w:ind w:firstLine="0"/>
              <w:jc w:val="center"/>
              <w:rPr>
                <w:rFonts w:eastAsia="Calibri"/>
                <w:sz w:val="18"/>
                <w:szCs w:val="18"/>
                <w:lang w:eastAsia="lv-LV"/>
              </w:rPr>
            </w:pPr>
            <w:r w:rsidRPr="009240FC">
              <w:rPr>
                <w:rFonts w:eastAsia="Calibri"/>
                <w:sz w:val="18"/>
                <w:szCs w:val="18"/>
                <w:lang w:eastAsia="lv-LV"/>
              </w:rPr>
              <w:t>ar 01.01.2023.</w:t>
            </w:r>
          </w:p>
        </w:tc>
      </w:tr>
      <w:tr w:rsidR="002A5E08" w:rsidRPr="009240FC" w14:paraId="439D8CEC" w14:textId="77777777" w:rsidTr="00970743">
        <w:trPr>
          <w:trHeight w:val="221"/>
          <w:jc w:val="center"/>
        </w:trPr>
        <w:tc>
          <w:tcPr>
            <w:tcW w:w="2110" w:type="pct"/>
            <w:shd w:val="clear" w:color="auto" w:fill="auto"/>
            <w:noWrap/>
            <w:vAlign w:val="bottom"/>
            <w:hideMark/>
          </w:tcPr>
          <w:p w14:paraId="5A4EB1CE" w14:textId="77777777" w:rsidR="002A5E08" w:rsidRPr="009240FC" w:rsidRDefault="002A5E08" w:rsidP="00970743">
            <w:pPr>
              <w:keepNext/>
              <w:keepLines/>
              <w:spacing w:after="0"/>
              <w:ind w:firstLine="0"/>
              <w:jc w:val="left"/>
              <w:rPr>
                <w:rFonts w:eastAsia="Calibri"/>
                <w:sz w:val="18"/>
                <w:szCs w:val="18"/>
                <w:lang w:eastAsia="lv-LV"/>
              </w:rPr>
            </w:pPr>
            <w:r w:rsidRPr="009240FC">
              <w:rPr>
                <w:rFonts w:eastAsia="Calibri"/>
                <w:sz w:val="18"/>
                <w:szCs w:val="18"/>
                <w:lang w:eastAsia="lv-LV"/>
              </w:rPr>
              <w:t xml:space="preserve">Nodokļa likme par 1 000 g., </w:t>
            </w:r>
            <w:proofErr w:type="spellStart"/>
            <w:r w:rsidRPr="009240FC">
              <w:rPr>
                <w:rFonts w:eastAsia="Calibri"/>
                <w:i/>
                <w:sz w:val="18"/>
                <w:szCs w:val="18"/>
                <w:lang w:eastAsia="lv-LV"/>
              </w:rPr>
              <w:t>euro</w:t>
            </w:r>
            <w:proofErr w:type="spellEnd"/>
          </w:p>
        </w:tc>
        <w:tc>
          <w:tcPr>
            <w:tcW w:w="782" w:type="pct"/>
            <w:shd w:val="clear" w:color="auto" w:fill="auto"/>
            <w:noWrap/>
            <w:hideMark/>
          </w:tcPr>
          <w:p w14:paraId="1808188F"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75,00</w:t>
            </w:r>
          </w:p>
        </w:tc>
        <w:tc>
          <w:tcPr>
            <w:tcW w:w="704" w:type="pct"/>
            <w:shd w:val="clear" w:color="auto" w:fill="auto"/>
            <w:noWrap/>
            <w:hideMark/>
          </w:tcPr>
          <w:p w14:paraId="09A2EEEF"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160,00</w:t>
            </w:r>
          </w:p>
        </w:tc>
        <w:tc>
          <w:tcPr>
            <w:tcW w:w="704" w:type="pct"/>
            <w:shd w:val="clear" w:color="auto" w:fill="auto"/>
            <w:noWrap/>
            <w:hideMark/>
          </w:tcPr>
          <w:p w14:paraId="4AB4F727"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207,00</w:t>
            </w:r>
          </w:p>
        </w:tc>
        <w:tc>
          <w:tcPr>
            <w:tcW w:w="700" w:type="pct"/>
            <w:shd w:val="clear" w:color="auto" w:fill="auto"/>
            <w:noWrap/>
            <w:hideMark/>
          </w:tcPr>
          <w:p w14:paraId="1B7A7314" w14:textId="77777777" w:rsidR="002A5E08" w:rsidRPr="009240FC" w:rsidRDefault="002A5E08" w:rsidP="00970743">
            <w:pPr>
              <w:keepNext/>
              <w:keepLines/>
              <w:spacing w:after="0"/>
              <w:ind w:firstLine="0"/>
              <w:jc w:val="right"/>
              <w:rPr>
                <w:rFonts w:eastAsia="Calibri"/>
                <w:sz w:val="18"/>
                <w:szCs w:val="18"/>
                <w:lang w:eastAsia="lv-LV"/>
              </w:rPr>
            </w:pPr>
            <w:r w:rsidRPr="009240FC">
              <w:rPr>
                <w:rFonts w:eastAsia="Calibri"/>
                <w:sz w:val="18"/>
                <w:szCs w:val="18"/>
                <w:lang w:eastAsia="lv-LV"/>
              </w:rPr>
              <w:t>218,00</w:t>
            </w:r>
          </w:p>
        </w:tc>
      </w:tr>
    </w:tbl>
    <w:p w14:paraId="0E341E97" w14:textId="77777777" w:rsidR="002A5E08" w:rsidRPr="008701B1" w:rsidRDefault="002A5E08" w:rsidP="002A5E08">
      <w:pPr>
        <w:spacing w:after="0"/>
        <w:ind w:firstLine="720"/>
        <w:rPr>
          <w:rFonts w:eastAsia="Calibri"/>
          <w:szCs w:val="28"/>
        </w:rPr>
      </w:pPr>
    </w:p>
    <w:p w14:paraId="00864D11" w14:textId="77777777" w:rsidR="002A5E08" w:rsidRPr="001C32C8" w:rsidRDefault="002A5E08" w:rsidP="00AA7099">
      <w:pPr>
        <w:keepNext/>
        <w:rPr>
          <w:rFonts w:eastAsia="Calibri"/>
          <w:szCs w:val="24"/>
        </w:rPr>
      </w:pPr>
      <w:r>
        <w:rPr>
          <w:rFonts w:eastAsia="Calibri"/>
          <w:szCs w:val="24"/>
        </w:rPr>
        <w:t>Ak</w:t>
      </w:r>
      <w:r w:rsidRPr="001C32C8">
        <w:rPr>
          <w:rFonts w:eastAsia="Calibri"/>
          <w:szCs w:val="24"/>
        </w:rPr>
        <w:t>cīzes nodokļa likmju paaugstināšanas rezultātā ar 2022</w:t>
      </w:r>
      <w:r>
        <w:rPr>
          <w:rFonts w:eastAsia="Calibri"/>
          <w:szCs w:val="24"/>
        </w:rPr>
        <w:t>. gad</w:t>
      </w:r>
      <w:r w:rsidRPr="001C32C8">
        <w:rPr>
          <w:rFonts w:eastAsia="Calibri"/>
          <w:szCs w:val="24"/>
        </w:rPr>
        <w:t xml:space="preserve">a </w:t>
      </w:r>
      <w:r>
        <w:rPr>
          <w:rFonts w:eastAsia="Calibri"/>
          <w:szCs w:val="24"/>
        </w:rPr>
        <w:t>1. janv</w:t>
      </w:r>
      <w:r w:rsidRPr="001C32C8">
        <w:rPr>
          <w:rFonts w:eastAsia="Calibri"/>
          <w:szCs w:val="24"/>
        </w:rPr>
        <w:t>āri:</w:t>
      </w:r>
    </w:p>
    <w:p w14:paraId="3B474038" w14:textId="77777777" w:rsidR="002A5E08" w:rsidRPr="001C32C8" w:rsidRDefault="002A5E08" w:rsidP="00AA7099">
      <w:pPr>
        <w:numPr>
          <w:ilvl w:val="0"/>
          <w:numId w:val="33"/>
        </w:numPr>
        <w:ind w:left="1418" w:hanging="284"/>
        <w:rPr>
          <w:rFonts w:eastAsia="Calibri"/>
          <w:szCs w:val="24"/>
        </w:rPr>
      </w:pPr>
      <w:r w:rsidRPr="001C32C8">
        <w:rPr>
          <w:rFonts w:eastAsia="Calibri"/>
          <w:szCs w:val="24"/>
        </w:rPr>
        <w:t xml:space="preserve">cigāru vai </w:t>
      </w:r>
      <w:proofErr w:type="spellStart"/>
      <w:r w:rsidRPr="001C32C8">
        <w:rPr>
          <w:rFonts w:eastAsia="Calibri"/>
          <w:szCs w:val="24"/>
        </w:rPr>
        <w:t>cigarillu</w:t>
      </w:r>
      <w:proofErr w:type="spellEnd"/>
      <w:r w:rsidRPr="001C32C8">
        <w:rPr>
          <w:rFonts w:eastAsia="Calibri"/>
          <w:szCs w:val="24"/>
        </w:rPr>
        <w:t xml:space="preserve"> paciņas (10</w:t>
      </w:r>
      <w:r>
        <w:rPr>
          <w:rFonts w:eastAsia="Calibri"/>
          <w:szCs w:val="24"/>
        </w:rPr>
        <w:t> gab.</w:t>
      </w:r>
      <w:r w:rsidRPr="001C32C8">
        <w:rPr>
          <w:rFonts w:eastAsia="Calibri"/>
          <w:szCs w:val="24"/>
        </w:rPr>
        <w:t>) mazumtirdzniecības cenas nodokļu daļas pieaugums būs +0,13</w:t>
      </w:r>
      <w:r w:rsidRPr="000F3DB2">
        <w:t> </w:t>
      </w:r>
      <w:proofErr w:type="spellStart"/>
      <w:r w:rsidRPr="00D705E7">
        <w:rPr>
          <w:rFonts w:eastAsia="Calibri"/>
          <w:i/>
          <w:iCs/>
          <w:szCs w:val="24"/>
        </w:rPr>
        <w:t>euro</w:t>
      </w:r>
      <w:proofErr w:type="spellEnd"/>
      <w:r w:rsidRPr="001C32C8">
        <w:rPr>
          <w:rFonts w:eastAsia="Calibri"/>
          <w:szCs w:val="24"/>
        </w:rPr>
        <w:t>;</w:t>
      </w:r>
    </w:p>
    <w:p w14:paraId="37778348" w14:textId="77777777" w:rsidR="002A5E08" w:rsidRPr="001C32C8" w:rsidRDefault="002A5E08" w:rsidP="00AA7099">
      <w:pPr>
        <w:numPr>
          <w:ilvl w:val="0"/>
          <w:numId w:val="33"/>
        </w:numPr>
        <w:ind w:left="1418" w:hanging="284"/>
        <w:rPr>
          <w:rFonts w:eastAsia="Calibri"/>
          <w:szCs w:val="24"/>
        </w:rPr>
      </w:pPr>
      <w:r w:rsidRPr="001C32C8">
        <w:rPr>
          <w:rFonts w:eastAsia="Calibri"/>
          <w:szCs w:val="24"/>
        </w:rPr>
        <w:t>viena smēķējamās tabakas 40 gramu iepakojuma mazumtirdzniecības cenas nodokļu daļas pieaugums būs +0,27</w:t>
      </w:r>
      <w:r w:rsidRPr="00321BC2">
        <w:rPr>
          <w:rFonts w:eastAsia="Calibri"/>
          <w:szCs w:val="24"/>
        </w:rPr>
        <w:t> </w:t>
      </w:r>
      <w:proofErr w:type="spellStart"/>
      <w:r w:rsidRPr="00D705E7">
        <w:rPr>
          <w:rFonts w:eastAsia="Calibri"/>
          <w:i/>
          <w:szCs w:val="24"/>
        </w:rPr>
        <w:t>euro</w:t>
      </w:r>
      <w:proofErr w:type="spellEnd"/>
      <w:r w:rsidRPr="001C32C8">
        <w:rPr>
          <w:rFonts w:eastAsia="Calibri"/>
          <w:szCs w:val="24"/>
        </w:rPr>
        <w:t>;</w:t>
      </w:r>
    </w:p>
    <w:p w14:paraId="7EF4256A" w14:textId="77777777" w:rsidR="002A5E08" w:rsidRPr="001C32C8" w:rsidRDefault="002A5E08" w:rsidP="00AA7099">
      <w:pPr>
        <w:numPr>
          <w:ilvl w:val="0"/>
          <w:numId w:val="33"/>
        </w:numPr>
        <w:ind w:left="1418" w:hanging="284"/>
        <w:rPr>
          <w:rFonts w:eastAsia="Calibri"/>
          <w:szCs w:val="24"/>
        </w:rPr>
      </w:pPr>
      <w:r w:rsidRPr="001C32C8">
        <w:rPr>
          <w:rFonts w:eastAsia="Calibri"/>
          <w:szCs w:val="24"/>
        </w:rPr>
        <w:t>vienas karsējamās tabakas paciņas (20</w:t>
      </w:r>
      <w:r>
        <w:rPr>
          <w:rFonts w:eastAsia="Calibri"/>
          <w:szCs w:val="24"/>
        </w:rPr>
        <w:t> gab.</w:t>
      </w:r>
      <w:r w:rsidRPr="001C32C8">
        <w:rPr>
          <w:rFonts w:eastAsia="Calibri"/>
          <w:szCs w:val="24"/>
        </w:rPr>
        <w:t>, 5,4 grami tabakas) mazumtirdzniecības cenas nodokļu daļas pieaugums 2021</w:t>
      </w:r>
      <w:r>
        <w:rPr>
          <w:rFonts w:eastAsia="Calibri"/>
          <w:szCs w:val="24"/>
        </w:rPr>
        <w:t>. gad</w:t>
      </w:r>
      <w:r w:rsidRPr="001C32C8">
        <w:rPr>
          <w:rFonts w:eastAsia="Calibri"/>
          <w:szCs w:val="24"/>
        </w:rPr>
        <w:t>ā būs +0,31</w:t>
      </w:r>
      <w:r w:rsidRPr="000F3DB2">
        <w:t> </w:t>
      </w:r>
      <w:proofErr w:type="spellStart"/>
      <w:r w:rsidRPr="00D705E7">
        <w:rPr>
          <w:rFonts w:eastAsia="Calibri"/>
          <w:i/>
          <w:iCs/>
          <w:szCs w:val="24"/>
        </w:rPr>
        <w:t>euro</w:t>
      </w:r>
      <w:proofErr w:type="spellEnd"/>
      <w:r w:rsidRPr="001C32C8">
        <w:rPr>
          <w:rFonts w:eastAsia="Calibri"/>
          <w:szCs w:val="24"/>
        </w:rPr>
        <w:t>;</w:t>
      </w:r>
    </w:p>
    <w:p w14:paraId="774C3F8D" w14:textId="77777777" w:rsidR="002A5E08" w:rsidRPr="001C32C8" w:rsidRDefault="002A5E08" w:rsidP="00AA7099">
      <w:pPr>
        <w:numPr>
          <w:ilvl w:val="0"/>
          <w:numId w:val="33"/>
        </w:numPr>
        <w:ind w:left="1418" w:hanging="284"/>
        <w:rPr>
          <w:rFonts w:eastAsia="Calibri"/>
          <w:szCs w:val="24"/>
        </w:rPr>
      </w:pPr>
      <w:r w:rsidRPr="001C32C8">
        <w:rPr>
          <w:rFonts w:eastAsia="Calibri"/>
          <w:szCs w:val="24"/>
        </w:rPr>
        <w:t xml:space="preserve">vienas cigarešu paciņas (20 cigaretes) nodokļu daļas pieaugums būs ap </w:t>
      </w:r>
      <w:r>
        <w:rPr>
          <w:rFonts w:eastAsia="Calibri"/>
          <w:szCs w:val="24"/>
        </w:rPr>
        <w:t>+</w:t>
      </w:r>
      <w:r w:rsidRPr="001C32C8">
        <w:rPr>
          <w:rFonts w:eastAsia="Calibri"/>
          <w:szCs w:val="24"/>
        </w:rPr>
        <w:t>0,13</w:t>
      </w:r>
      <w:r w:rsidRPr="000F3DB2">
        <w:t> </w:t>
      </w:r>
      <w:proofErr w:type="spellStart"/>
      <w:r w:rsidRPr="00D705E7">
        <w:rPr>
          <w:rFonts w:eastAsia="Calibri"/>
          <w:i/>
          <w:iCs/>
          <w:szCs w:val="24"/>
        </w:rPr>
        <w:t>euro</w:t>
      </w:r>
      <w:proofErr w:type="spellEnd"/>
      <w:r w:rsidRPr="001C32C8">
        <w:rPr>
          <w:rFonts w:eastAsia="Calibri"/>
          <w:szCs w:val="24"/>
        </w:rPr>
        <w:t xml:space="preserve"> pie nemainīgas mazumtirdzniecības cenas. Nodokļu daļas pieaugums var mainīties atkarībā no noteiktās mazumtirdzniecības cenas.</w:t>
      </w:r>
    </w:p>
    <w:p w14:paraId="432F01BA" w14:textId="77777777" w:rsidR="002A5E08" w:rsidRPr="00856ECF" w:rsidRDefault="002A5E08" w:rsidP="00AA7099">
      <w:pPr>
        <w:ind w:firstLine="720"/>
        <w:rPr>
          <w:rFonts w:eastAsia="Calibri"/>
          <w:szCs w:val="24"/>
        </w:rPr>
      </w:pPr>
      <w:r w:rsidRPr="001C32C8">
        <w:rPr>
          <w:rFonts w:eastAsia="Calibri"/>
          <w:szCs w:val="28"/>
        </w:rPr>
        <w:t>2022</w:t>
      </w:r>
      <w:r>
        <w:rPr>
          <w:rFonts w:eastAsia="Calibri"/>
          <w:szCs w:val="28"/>
        </w:rPr>
        <w:t>. gad</w:t>
      </w:r>
      <w:r w:rsidRPr="001C32C8">
        <w:rPr>
          <w:rFonts w:eastAsia="Calibri"/>
          <w:szCs w:val="28"/>
        </w:rPr>
        <w:t>a akcīzes nodokļa no tabakas izstrādājumiem ieņēmumi saskaņā ar likumprojektu „Par valsts budžetu 2022</w:t>
      </w:r>
      <w:r>
        <w:rPr>
          <w:rFonts w:eastAsia="Calibri"/>
          <w:szCs w:val="28"/>
        </w:rPr>
        <w:t>. gad</w:t>
      </w:r>
      <w:r w:rsidRPr="001C32C8">
        <w:rPr>
          <w:rFonts w:eastAsia="Calibri"/>
          <w:szCs w:val="28"/>
        </w:rPr>
        <w:t>am” tiek plānoti 247,0</w:t>
      </w:r>
      <w:r>
        <w:rPr>
          <w:rFonts w:eastAsia="Calibri"/>
          <w:szCs w:val="28"/>
        </w:rPr>
        <w:t> milj. </w:t>
      </w:r>
      <w:proofErr w:type="spellStart"/>
      <w:r w:rsidRPr="00D705E7">
        <w:rPr>
          <w:rFonts w:eastAsia="Calibri"/>
          <w:i/>
          <w:szCs w:val="28"/>
        </w:rPr>
        <w:t>euro</w:t>
      </w:r>
      <w:proofErr w:type="spellEnd"/>
      <w:r w:rsidRPr="001C32C8">
        <w:rPr>
          <w:rFonts w:eastAsia="Calibri"/>
          <w:i/>
          <w:iCs/>
          <w:szCs w:val="28"/>
        </w:rPr>
        <w:t xml:space="preserve"> </w:t>
      </w:r>
      <w:r w:rsidRPr="001C32C8">
        <w:rPr>
          <w:rFonts w:eastAsia="Calibri"/>
          <w:szCs w:val="28"/>
        </w:rPr>
        <w:t>apmērā, kas, salīdzinot ar 2021</w:t>
      </w:r>
      <w:r>
        <w:rPr>
          <w:rFonts w:eastAsia="Calibri"/>
          <w:szCs w:val="28"/>
        </w:rPr>
        <w:t>. gad</w:t>
      </w:r>
      <w:r w:rsidRPr="001C32C8">
        <w:rPr>
          <w:rFonts w:eastAsia="Calibri"/>
          <w:szCs w:val="28"/>
        </w:rPr>
        <w:t>a prognozi, ir par 8,7</w:t>
      </w:r>
      <w:r>
        <w:rPr>
          <w:rFonts w:eastAsia="Calibri"/>
          <w:szCs w:val="28"/>
        </w:rPr>
        <w:t> milj. </w:t>
      </w:r>
      <w:proofErr w:type="spellStart"/>
      <w:r w:rsidRPr="00D705E7">
        <w:rPr>
          <w:rFonts w:eastAsia="Calibri"/>
          <w:i/>
          <w:szCs w:val="28"/>
        </w:rPr>
        <w:t>euro</w:t>
      </w:r>
      <w:proofErr w:type="spellEnd"/>
      <w:r w:rsidRPr="001C32C8">
        <w:rPr>
          <w:rFonts w:eastAsia="Calibri"/>
          <w:szCs w:val="28"/>
        </w:rPr>
        <w:t xml:space="preserve"> jeb 3,7% vairāk. </w:t>
      </w:r>
    </w:p>
    <w:p w14:paraId="7D621FFF" w14:textId="77777777" w:rsidR="002A5E08" w:rsidRPr="00CF02D2" w:rsidRDefault="002A5E08" w:rsidP="002A5E08">
      <w:pPr>
        <w:pStyle w:val="H5"/>
      </w:pPr>
      <w:r w:rsidRPr="00CF02D2">
        <w:lastRenderedPageBreak/>
        <w:t>Akcīzes nodoklis dabasgāzei</w:t>
      </w:r>
    </w:p>
    <w:p w14:paraId="38727B43" w14:textId="77777777" w:rsidR="002A5E08" w:rsidRDefault="002A5E08" w:rsidP="00AA7099">
      <w:pPr>
        <w:ind w:firstLine="720"/>
      </w:pPr>
      <w:r w:rsidRPr="006105B5">
        <w:t>2021</w:t>
      </w:r>
      <w:r>
        <w:t>. gad</w:t>
      </w:r>
      <w:r w:rsidRPr="006105B5">
        <w:t xml:space="preserve">a </w:t>
      </w:r>
      <w:r>
        <w:t>pirmajā pusgadā</w:t>
      </w:r>
      <w:r w:rsidRPr="006105B5">
        <w:t xml:space="preserve"> akcīzes nodokļa ieņēmumi par dabasgāzi bija 12,2</w:t>
      </w:r>
      <w:r>
        <w:rPr>
          <w:rFonts w:eastAsia="Calibri"/>
          <w:szCs w:val="28"/>
          <w:lang w:eastAsia="lv-LV"/>
        </w:rPr>
        <w:t> milj.</w:t>
      </w:r>
      <w:r>
        <w:t> </w:t>
      </w:r>
      <w:proofErr w:type="spellStart"/>
      <w:r w:rsidRPr="00D705E7">
        <w:rPr>
          <w:i/>
        </w:rPr>
        <w:t>euro</w:t>
      </w:r>
      <w:proofErr w:type="spellEnd"/>
      <w:r w:rsidRPr="006105B5">
        <w:t>. Salīdzinot ar 2020</w:t>
      </w:r>
      <w:r>
        <w:t>. gad</w:t>
      </w:r>
      <w:r w:rsidRPr="006105B5">
        <w:t xml:space="preserve">a </w:t>
      </w:r>
      <w:r>
        <w:t>pirmo pusgadu</w:t>
      </w:r>
      <w:r w:rsidRPr="006105B5">
        <w:t>, akcīzes nodoklis par dabasgāzi iekasēts par 2,2</w:t>
      </w:r>
      <w:r>
        <w:rPr>
          <w:rFonts w:eastAsia="Calibri"/>
          <w:szCs w:val="28"/>
          <w:lang w:eastAsia="lv-LV"/>
        </w:rPr>
        <w:t> milj.</w:t>
      </w:r>
      <w:r>
        <w:t> </w:t>
      </w:r>
      <w:proofErr w:type="spellStart"/>
      <w:r w:rsidRPr="00D705E7">
        <w:rPr>
          <w:i/>
        </w:rPr>
        <w:t>euro</w:t>
      </w:r>
      <w:proofErr w:type="spellEnd"/>
      <w:r w:rsidRPr="006105B5">
        <w:t xml:space="preserve"> jeb 22,5% vairāk. Salīdzinot ar plānoto, iekasēts par 0,4</w:t>
      </w:r>
      <w:r>
        <w:rPr>
          <w:rFonts w:eastAsia="Calibri"/>
          <w:szCs w:val="28"/>
          <w:lang w:eastAsia="lv-LV"/>
        </w:rPr>
        <w:t> milj.</w:t>
      </w:r>
      <w:r>
        <w:t> </w:t>
      </w:r>
      <w:proofErr w:type="spellStart"/>
      <w:r w:rsidRPr="00D705E7">
        <w:rPr>
          <w:i/>
        </w:rPr>
        <w:t>euro</w:t>
      </w:r>
      <w:proofErr w:type="spellEnd"/>
      <w:r w:rsidRPr="006105B5">
        <w:t xml:space="preserve"> jeb 3,1% vairāk.</w:t>
      </w:r>
    </w:p>
    <w:p w14:paraId="1AEF9C79" w14:textId="77777777" w:rsidR="002A5E08" w:rsidRDefault="002A5E08" w:rsidP="00AA7099">
      <w:pPr>
        <w:ind w:firstLine="720"/>
      </w:pPr>
      <w:r>
        <w:t xml:space="preserve">Likums “Par akcīzes nodokli” nosaka, ka </w:t>
      </w:r>
      <w:r w:rsidRPr="00720C36">
        <w:t>no 2021</w:t>
      </w:r>
      <w:r>
        <w:t>. gad</w:t>
      </w:r>
      <w:r w:rsidRPr="00720C36">
        <w:t xml:space="preserve">a </w:t>
      </w:r>
      <w:r>
        <w:t>1. janv</w:t>
      </w:r>
      <w:r w:rsidRPr="00720C36">
        <w:t>āra līdz 2025</w:t>
      </w:r>
      <w:r>
        <w:t xml:space="preserve">. gada 31. decembrim </w:t>
      </w:r>
      <w:r w:rsidRPr="00720C36">
        <w:t>tiek samazināta akcīzes nodokļa likme dabasgāzei, ko izmanto par degvielu transportā.</w:t>
      </w:r>
    </w:p>
    <w:p w14:paraId="75528D58" w14:textId="7E1F46AB" w:rsidR="002A5E08" w:rsidRDefault="002A5E08" w:rsidP="00AA7099">
      <w:pPr>
        <w:ind w:firstLine="720"/>
      </w:pPr>
      <w:r>
        <w:t xml:space="preserve">Saskaņā ar </w:t>
      </w:r>
      <w:r w:rsidR="00AA7099">
        <w:t>VID</w:t>
      </w:r>
      <w:r w:rsidRPr="00F65321">
        <w:t xml:space="preserve"> informāciju par dabasgāzes patēriņu</w:t>
      </w:r>
      <w:r>
        <w:t xml:space="preserve"> </w:t>
      </w:r>
      <w:r w:rsidRPr="008C1377">
        <w:t>–</w:t>
      </w:r>
      <w:r>
        <w:t xml:space="preserve"> </w:t>
      </w:r>
      <w:r w:rsidRPr="00F65321">
        <w:t>dabasgāzes daudzums, ko izmanto par kurināmo, 2020</w:t>
      </w:r>
      <w:r>
        <w:t>. gad</w:t>
      </w:r>
      <w:r w:rsidRPr="00F65321">
        <w:t>a decembrī un 2021</w:t>
      </w:r>
      <w:r>
        <w:t>. gad</w:t>
      </w:r>
      <w:r w:rsidRPr="00F65321">
        <w:t>a piecos mēnešos, salīdzinot ar attiecīgo periodu pērn, palielinājies par 24,4</w:t>
      </w:r>
      <w:r>
        <w:t> procent</w:t>
      </w:r>
      <w:r w:rsidRPr="00F65321">
        <w:t xml:space="preserve">iem. </w:t>
      </w:r>
      <w:r w:rsidRPr="001A12B8">
        <w:t>Dabasgāzes,</w:t>
      </w:r>
      <w:r w:rsidRPr="00403766">
        <w:t xml:space="preserve"> ko izmanto par kurināmo, patēriņa dinamika ir tieši saistīta ar laikapstākļiem</w:t>
      </w:r>
      <w:r w:rsidRPr="0001485C">
        <w:t xml:space="preserve">. Saskaņā ar </w:t>
      </w:r>
      <w:r w:rsidR="00D26551">
        <w:t>CSP</w:t>
      </w:r>
      <w:r w:rsidRPr="0001485C">
        <w:t xml:space="preserve"> apkopoto informāciju 2020</w:t>
      </w:r>
      <w:r>
        <w:t>. gad</w:t>
      </w:r>
      <w:r w:rsidRPr="0001485C">
        <w:t>a decembrī un 2021</w:t>
      </w:r>
      <w:r>
        <w:t>. gad</w:t>
      </w:r>
      <w:r w:rsidRPr="00403766">
        <w:t>a pirmajos piecos mēnešos vidējā gaisa temperatūra, salīdzinot ar 2019. un 2020</w:t>
      </w:r>
      <w:r>
        <w:t>. gad</w:t>
      </w:r>
      <w:r w:rsidRPr="00403766">
        <w:t xml:space="preserve">a atbilstošo periodu, </w:t>
      </w:r>
      <w:r w:rsidRPr="005D360C">
        <w:t>samazinājusies par 2,8</w:t>
      </w:r>
      <w:r>
        <w:t> </w:t>
      </w:r>
      <w:proofErr w:type="spellStart"/>
      <w:r w:rsidRPr="005D360C">
        <w:t>C</w:t>
      </w:r>
      <w:r>
        <w:rPr>
          <w:vertAlign w:val="superscript"/>
        </w:rPr>
        <w:t>o</w:t>
      </w:r>
      <w:proofErr w:type="spellEnd"/>
      <w:r w:rsidRPr="005D360C">
        <w:t xml:space="preserve">, </w:t>
      </w:r>
      <w:r w:rsidRPr="00F65321">
        <w:t>kas atspoguļojas gan dabasgāzes, ko izmanto par kurināmo, patēriņa dinamikā, gan akcīzes nodokļa ieņēmumos.</w:t>
      </w:r>
    </w:p>
    <w:p w14:paraId="7B055C6E" w14:textId="77777777" w:rsidR="002A5E08" w:rsidRDefault="002A5E08" w:rsidP="00AA7099">
      <w:pPr>
        <w:ind w:firstLine="720"/>
      </w:pPr>
      <w:r w:rsidRPr="00F1392D">
        <w:t>2022</w:t>
      </w:r>
      <w:r>
        <w:t>. gad</w:t>
      </w:r>
      <w:r w:rsidRPr="00F1392D">
        <w:t>a akcīzes nodokļa ieņēmumi no dabasgāzes tiek plānoti 20,8</w:t>
      </w:r>
      <w:r>
        <w:rPr>
          <w:rFonts w:eastAsia="Calibri"/>
          <w:szCs w:val="28"/>
          <w:lang w:eastAsia="lv-LV"/>
        </w:rPr>
        <w:t> milj.</w:t>
      </w:r>
      <w:r>
        <w:t> </w:t>
      </w:r>
      <w:proofErr w:type="spellStart"/>
      <w:r w:rsidRPr="00D705E7">
        <w:rPr>
          <w:i/>
        </w:rPr>
        <w:t>euro</w:t>
      </w:r>
      <w:proofErr w:type="spellEnd"/>
      <w:r w:rsidRPr="00F1392D">
        <w:t xml:space="preserve"> apmērā, kas ir par 0,1</w:t>
      </w:r>
      <w:r>
        <w:rPr>
          <w:rFonts w:eastAsia="Calibri"/>
          <w:szCs w:val="28"/>
          <w:lang w:eastAsia="lv-LV"/>
        </w:rPr>
        <w:t> milj.</w:t>
      </w:r>
      <w:r>
        <w:t> </w:t>
      </w:r>
      <w:proofErr w:type="spellStart"/>
      <w:r w:rsidRPr="00D705E7">
        <w:rPr>
          <w:i/>
        </w:rPr>
        <w:t>euro</w:t>
      </w:r>
      <w:proofErr w:type="spellEnd"/>
      <w:r w:rsidRPr="00F1392D">
        <w:t xml:space="preserve"> jeb par 0,5% vairāk nekā prognozēts 2021</w:t>
      </w:r>
      <w:r>
        <w:t>. gad</w:t>
      </w:r>
      <w:r w:rsidRPr="00F1392D">
        <w:t>am.</w:t>
      </w:r>
    </w:p>
    <w:p w14:paraId="17B7E4B8" w14:textId="77777777" w:rsidR="002A5E08" w:rsidRPr="00CF02D2" w:rsidRDefault="002A5E08" w:rsidP="002A5E08">
      <w:pPr>
        <w:pStyle w:val="H5"/>
      </w:pPr>
      <w:r w:rsidRPr="00CF02D2">
        <w:t>Akcīzes nodoklis pārējām akcīzes precēm</w:t>
      </w:r>
    </w:p>
    <w:p w14:paraId="04CE2AF5" w14:textId="77777777" w:rsidR="002A5E08" w:rsidRDefault="002A5E08" w:rsidP="00D26551">
      <w:pPr>
        <w:ind w:firstLine="720"/>
      </w:pPr>
      <w:r w:rsidRPr="006105B5">
        <w:t>2021</w:t>
      </w:r>
      <w:r>
        <w:t>. gad</w:t>
      </w:r>
      <w:r w:rsidRPr="006105B5">
        <w:t xml:space="preserve">a </w:t>
      </w:r>
      <w:r>
        <w:t>pirmajā pusgadā</w:t>
      </w:r>
      <w:r w:rsidRPr="006105B5">
        <w:t xml:space="preserve"> akcīzes nodokļa ieņēmumi no pārējām akcīzes precēm – kafiju, bezalkoholiskajiem dzērieniem un elektroniskajās cigaretēs izmantojamajiem šķidrumiem – bija 9,0</w:t>
      </w:r>
      <w:r>
        <w:rPr>
          <w:rFonts w:eastAsia="Calibri"/>
          <w:szCs w:val="28"/>
          <w:lang w:eastAsia="lv-LV"/>
        </w:rPr>
        <w:t> milj.</w:t>
      </w:r>
      <w:r>
        <w:t> </w:t>
      </w:r>
      <w:proofErr w:type="spellStart"/>
      <w:r w:rsidRPr="00D705E7">
        <w:rPr>
          <w:i/>
        </w:rPr>
        <w:t>euro</w:t>
      </w:r>
      <w:proofErr w:type="spellEnd"/>
      <w:r w:rsidRPr="006105B5">
        <w:t>. Salīdzinājumā ar 2020</w:t>
      </w:r>
      <w:r>
        <w:t>. gad</w:t>
      </w:r>
      <w:r w:rsidRPr="006105B5">
        <w:t>a atbilstošo periodu akcīzes nodokļa ieņēmumi no tām ir palielinājušies par 0,5</w:t>
      </w:r>
      <w:r>
        <w:rPr>
          <w:rFonts w:eastAsia="Calibri"/>
          <w:szCs w:val="28"/>
          <w:lang w:eastAsia="lv-LV"/>
        </w:rPr>
        <w:t> milj.</w:t>
      </w:r>
      <w:r>
        <w:t> </w:t>
      </w:r>
      <w:proofErr w:type="spellStart"/>
      <w:r w:rsidRPr="00D705E7">
        <w:rPr>
          <w:i/>
        </w:rPr>
        <w:t>euro</w:t>
      </w:r>
      <w:proofErr w:type="spellEnd"/>
      <w:r w:rsidRPr="006105B5">
        <w:t xml:space="preserve"> jeb 5,8</w:t>
      </w:r>
      <w:r>
        <w:rPr>
          <w:rFonts w:eastAsia="Calibri"/>
          <w:szCs w:val="28"/>
          <w:lang w:eastAsia="lv-LV"/>
        </w:rPr>
        <w:t> procent</w:t>
      </w:r>
      <w:r>
        <w:t>iem</w:t>
      </w:r>
      <w:r w:rsidRPr="006105B5">
        <w:t xml:space="preserve">. </w:t>
      </w:r>
      <w:r>
        <w:t>S</w:t>
      </w:r>
      <w:r w:rsidRPr="006105B5">
        <w:t xml:space="preserve">alīdzinot ar </w:t>
      </w:r>
      <w:r>
        <w:t>pirmajā pusgadā</w:t>
      </w:r>
      <w:r w:rsidRPr="006105B5">
        <w:t xml:space="preserve"> plānoto, iekasēts par </w:t>
      </w:r>
      <w:r>
        <w:t>0,3</w:t>
      </w:r>
      <w:r>
        <w:rPr>
          <w:rFonts w:eastAsia="Calibri"/>
          <w:szCs w:val="28"/>
          <w:lang w:eastAsia="lv-LV"/>
        </w:rPr>
        <w:t> milj.</w:t>
      </w:r>
      <w:r>
        <w:t> </w:t>
      </w:r>
      <w:proofErr w:type="spellStart"/>
      <w:r w:rsidRPr="00D705E7">
        <w:rPr>
          <w:i/>
        </w:rPr>
        <w:t>euro</w:t>
      </w:r>
      <w:proofErr w:type="spellEnd"/>
      <w:r w:rsidRPr="00A0545A">
        <w:rPr>
          <w:i/>
          <w:iCs/>
        </w:rPr>
        <w:t xml:space="preserve"> </w:t>
      </w:r>
      <w:r w:rsidRPr="006105B5">
        <w:t xml:space="preserve">jeb </w:t>
      </w:r>
      <w:r>
        <w:t>3</w:t>
      </w:r>
      <w:r w:rsidRPr="006105B5">
        <w:t>,</w:t>
      </w:r>
      <w:r>
        <w:t>4</w:t>
      </w:r>
      <w:r w:rsidRPr="006105B5">
        <w:t>% vairāk.</w:t>
      </w:r>
    </w:p>
    <w:p w14:paraId="7452B0BF" w14:textId="456313F1" w:rsidR="002A5E08" w:rsidRDefault="002A5E08" w:rsidP="00D26551">
      <w:pPr>
        <w:ind w:firstLine="720"/>
      </w:pPr>
      <w:r w:rsidRPr="000F3DB2">
        <w:t xml:space="preserve">Saskaņā ar </w:t>
      </w:r>
      <w:r w:rsidR="00D26551">
        <w:t>VID</w:t>
      </w:r>
      <w:r w:rsidRPr="000F3DB2">
        <w:t xml:space="preserve"> sniegto informāciju bezalkoholisko dzērienu patēriņš 2020</w:t>
      </w:r>
      <w:r>
        <w:t>. gad</w:t>
      </w:r>
      <w:r w:rsidRPr="000F3DB2">
        <w:t>a decembrī un 2021</w:t>
      </w:r>
      <w:r>
        <w:t>. gad</w:t>
      </w:r>
      <w:r w:rsidRPr="000F3DB2">
        <w:t>a piecos</w:t>
      </w:r>
      <w:bookmarkStart w:id="20" w:name="_Hlk82809113"/>
      <w:r w:rsidRPr="000F3DB2">
        <w:t> </w:t>
      </w:r>
      <w:bookmarkEnd w:id="20"/>
      <w:r w:rsidRPr="000F3DB2">
        <w:t>mēnešos un salīdzinājumā ar 2019. un 2020</w:t>
      </w:r>
      <w:r>
        <w:t>. gad</w:t>
      </w:r>
      <w:r w:rsidRPr="000F3DB2">
        <w:t>a atbilstošo periodu ir samazinājies par 7,0%, bet kafijas patēriņš tai pašā periodā palielinājies par 1,8</w:t>
      </w:r>
      <w:r>
        <w:t> procent</w:t>
      </w:r>
      <w:r w:rsidRPr="000F3DB2">
        <w:t xml:space="preserve">iem. Elektroniskajās cigaretēs izmantojamo šķidrumu patēriņš palielinājies par </w:t>
      </w:r>
      <w:r>
        <w:t>4,3</w:t>
      </w:r>
      <w:r w:rsidRPr="000F3DB2">
        <w:t> </w:t>
      </w:r>
      <w:r>
        <w:t>reizēm</w:t>
      </w:r>
      <w:r w:rsidRPr="000F3DB2">
        <w:t>.</w:t>
      </w:r>
      <w:r>
        <w:t xml:space="preserve"> </w:t>
      </w:r>
    </w:p>
    <w:p w14:paraId="235394FC" w14:textId="0FB938F9" w:rsidR="002A5E08" w:rsidRDefault="002A5E08" w:rsidP="00D26551">
      <w:pPr>
        <w:ind w:firstLine="720"/>
      </w:pPr>
      <w:r>
        <w:t>Likums “Par akcīzes nodokli” nosaka, ka no</w:t>
      </w:r>
      <w:r w:rsidRPr="00CF6C3B">
        <w:t xml:space="preserve"> 2021</w:t>
      </w:r>
      <w:r>
        <w:t>. gad</w:t>
      </w:r>
      <w:r w:rsidRPr="00CF6C3B">
        <w:t xml:space="preserve">a </w:t>
      </w:r>
      <w:r>
        <w:t>1. janv</w:t>
      </w:r>
      <w:r w:rsidRPr="00CF6C3B">
        <w:t>āra elektroniskajās cigaretēs izmantojamiem šķidrumiem noteikta akcīzes nodokļa likme par vienu mililitru e</w:t>
      </w:r>
      <w:r w:rsidR="00D26551">
        <w:noBreakHyphen/>
      </w:r>
      <w:r w:rsidRPr="00CF6C3B">
        <w:t>šķidruma neatkarīgi no nikotīna daudzuma produktā</w:t>
      </w:r>
      <w:r>
        <w:t>, un</w:t>
      </w:r>
      <w:r w:rsidRPr="00154FF1">
        <w:t xml:space="preserve"> nodoklis tiek piemērots arī elektroniskajās cigaretēs izmantojamo šķidrumu sagatavošanas sastāvdaļām</w:t>
      </w:r>
      <w:r>
        <w:t xml:space="preserve"> </w:t>
      </w:r>
      <w:r w:rsidRPr="005F0867">
        <w:t>(</w:t>
      </w:r>
      <w:proofErr w:type="spellStart"/>
      <w:r w:rsidRPr="005F0867">
        <w:t>propilenglikols</w:t>
      </w:r>
      <w:proofErr w:type="spellEnd"/>
      <w:r w:rsidRPr="005F0867">
        <w:t xml:space="preserve">, </w:t>
      </w:r>
      <w:proofErr w:type="spellStart"/>
      <w:r w:rsidRPr="005F0867">
        <w:t>aromatizatori</w:t>
      </w:r>
      <w:proofErr w:type="spellEnd"/>
      <w:r w:rsidRPr="005F0867">
        <w:t>, augu izcelsmes glicerīns un nikotīna ekstrakti).</w:t>
      </w:r>
      <w:r>
        <w:t xml:space="preserve"> </w:t>
      </w:r>
      <w:r w:rsidRPr="00ED42ED">
        <w:t>Iepriekš šīs sastāvdaļas plaši tika piedāvātas Latvijas tirgū un patērētāji tās iegādājas, lai sagatavotu elektroniskajās cigaretēs izmantojamo šķidrumu, tādējādi izvairoties no akcīzes nodokļa nomaksas.</w:t>
      </w:r>
      <w:r>
        <w:t xml:space="preserve"> Kā arī tiek piemērots akcīzes nodoklis tabakas aizstājējproduktiem.</w:t>
      </w:r>
    </w:p>
    <w:p w14:paraId="58875C4A" w14:textId="77777777" w:rsidR="002A5E08" w:rsidRPr="0049618E" w:rsidRDefault="002A5E08" w:rsidP="00D26551">
      <w:pPr>
        <w:ind w:firstLine="720"/>
        <w:rPr>
          <w:highlight w:val="yellow"/>
        </w:rPr>
      </w:pPr>
      <w:r>
        <w:t>Saskaņā ar likumu “Par akcīzes nodokli” no 2022. gada janvāra paredzētas izmaiņas bezalkoholisko dzērienu, tabakas aizstājējproduktu un elektroniskajās cigaretēs izmantojamo šķidrumu akcīzes nodokļa likmēs.</w:t>
      </w:r>
    </w:p>
    <w:p w14:paraId="5BEC6D6E" w14:textId="77777777" w:rsidR="002A5E08" w:rsidRDefault="002A5E08" w:rsidP="00D26551">
      <w:pPr>
        <w:ind w:firstLine="720"/>
      </w:pPr>
      <w:r w:rsidRPr="00FC70E3">
        <w:rPr>
          <w:szCs w:val="24"/>
        </w:rPr>
        <w:t>2022</w:t>
      </w:r>
      <w:r>
        <w:rPr>
          <w:szCs w:val="24"/>
        </w:rPr>
        <w:t>. gad</w:t>
      </w:r>
      <w:r w:rsidRPr="00FC70E3">
        <w:rPr>
          <w:szCs w:val="24"/>
        </w:rPr>
        <w:t>a akcīzes nodokļa ieņēmumi no pārējām akcīzes precēm s</w:t>
      </w:r>
      <w:r w:rsidRPr="00FC70E3">
        <w:t>askaņā ar likumprojektu „Par valsts budžetu 2022</w:t>
      </w:r>
      <w:r>
        <w:t>. gad</w:t>
      </w:r>
      <w:r w:rsidRPr="00FC70E3">
        <w:t>am” tiek plānoti 21,9</w:t>
      </w:r>
      <w:r>
        <w:t> milj. </w:t>
      </w:r>
      <w:proofErr w:type="spellStart"/>
      <w:r w:rsidRPr="00D705E7">
        <w:rPr>
          <w:i/>
        </w:rPr>
        <w:t>euro</w:t>
      </w:r>
      <w:proofErr w:type="spellEnd"/>
      <w:r w:rsidRPr="00FC70E3">
        <w:t xml:space="preserve"> apmērā, kas ir par 1,8</w:t>
      </w:r>
      <w:r>
        <w:t> milj. </w:t>
      </w:r>
      <w:proofErr w:type="spellStart"/>
      <w:r w:rsidRPr="00D705E7">
        <w:rPr>
          <w:i/>
        </w:rPr>
        <w:t>euro</w:t>
      </w:r>
      <w:proofErr w:type="spellEnd"/>
      <w:r w:rsidRPr="00FC70E3">
        <w:t xml:space="preserve"> jeb 9,0% vairāk nekā prognozēts 2021</w:t>
      </w:r>
      <w:r>
        <w:t>. gad</w:t>
      </w:r>
      <w:r w:rsidRPr="00FC70E3">
        <w:t>am.</w:t>
      </w:r>
    </w:p>
    <w:bookmarkEnd w:id="15"/>
    <w:bookmarkEnd w:id="16"/>
    <w:bookmarkEnd w:id="17"/>
    <w:bookmarkEnd w:id="18"/>
    <w:p w14:paraId="4FBDEC58" w14:textId="77777777" w:rsidR="00D26551" w:rsidRDefault="00D26551" w:rsidP="002A5E08">
      <w:pPr>
        <w:pStyle w:val="H4"/>
      </w:pPr>
    </w:p>
    <w:p w14:paraId="182EFA0B" w14:textId="1A1FC464" w:rsidR="002A5E08" w:rsidRPr="00856ECF" w:rsidRDefault="002A5E08" w:rsidP="007E056F">
      <w:pPr>
        <w:pStyle w:val="H4"/>
        <w:spacing w:after="240"/>
      </w:pPr>
      <w:r w:rsidRPr="00856ECF">
        <w:lastRenderedPageBreak/>
        <w:t>Muitas nodoklis</w:t>
      </w:r>
    </w:p>
    <w:p w14:paraId="5D3B2CBF" w14:textId="77777777" w:rsidR="002A5E08" w:rsidRPr="000F63AB" w:rsidRDefault="002A5E08" w:rsidP="007E056F">
      <w:pPr>
        <w:ind w:firstLine="720"/>
        <w:rPr>
          <w:highlight w:val="yellow"/>
        </w:rPr>
      </w:pPr>
      <w:r w:rsidRPr="00F9081A">
        <w:t>Muitas nodokļa ieņēmumi 2021</w:t>
      </w:r>
      <w:r>
        <w:t>. gad</w:t>
      </w:r>
      <w:r w:rsidRPr="00F9081A">
        <w:t xml:space="preserve">a </w:t>
      </w:r>
      <w:r>
        <w:t>pirmajā pusgadā</w:t>
      </w:r>
      <w:r w:rsidRPr="00F9081A">
        <w:t xml:space="preserve"> bija 29,1</w:t>
      </w:r>
      <w:r>
        <w:t> milj. </w:t>
      </w:r>
      <w:proofErr w:type="spellStart"/>
      <w:r w:rsidRPr="00D705E7">
        <w:rPr>
          <w:i/>
        </w:rPr>
        <w:t>euro</w:t>
      </w:r>
      <w:proofErr w:type="spellEnd"/>
      <w:r w:rsidRPr="002853DD">
        <w:rPr>
          <w:i/>
          <w:iCs/>
        </w:rPr>
        <w:t>,</w:t>
      </w:r>
      <w:r w:rsidRPr="00F9081A">
        <w:t xml:space="preserve"> kas ir par 4,7</w:t>
      </w:r>
      <w:r>
        <w:t> milj. </w:t>
      </w:r>
      <w:proofErr w:type="spellStart"/>
      <w:r w:rsidRPr="00D705E7">
        <w:rPr>
          <w:i/>
        </w:rPr>
        <w:t>euro</w:t>
      </w:r>
      <w:proofErr w:type="spellEnd"/>
      <w:r w:rsidRPr="00F9081A">
        <w:t xml:space="preserve"> jeb 19,3% vairāk nekā 2020</w:t>
      </w:r>
      <w:r>
        <w:t>. gad</w:t>
      </w:r>
      <w:r w:rsidRPr="00F9081A">
        <w:t>a atbilstošajā periodā. Salīdzinot ar plānoto, iekasēts par 1,8</w:t>
      </w:r>
      <w:r>
        <w:t> milj. </w:t>
      </w:r>
      <w:proofErr w:type="spellStart"/>
      <w:r w:rsidRPr="00D705E7">
        <w:rPr>
          <w:i/>
        </w:rPr>
        <w:t>euro</w:t>
      </w:r>
      <w:proofErr w:type="spellEnd"/>
      <w:r w:rsidRPr="00F9081A">
        <w:t xml:space="preserve"> jeb 6,8% vairāk. </w:t>
      </w:r>
      <w:r w:rsidRPr="00E0365B">
        <w:t>Muitas nodokļa plāns 2021</w:t>
      </w:r>
      <w:r>
        <w:t>. gad</w:t>
      </w:r>
      <w:r w:rsidRPr="00E0365B">
        <w:t xml:space="preserve">ā tiek izpildīts kopš aprīļa, kas galvenokārt saistīts ar ievedmuitas nodokļa </w:t>
      </w:r>
      <w:r>
        <w:t>ieņēmumiem.</w:t>
      </w:r>
    </w:p>
    <w:p w14:paraId="4230706E" w14:textId="19D005EC" w:rsidR="002A5E08" w:rsidRDefault="002A5E08" w:rsidP="007E056F">
      <w:pPr>
        <w:ind w:firstLine="720"/>
      </w:pPr>
      <w:r w:rsidRPr="00955DF0">
        <w:t>Analizējot muitas nodokļa ieņēmumu komponentes, secināms, ka ieņēmumi no ievedmuitas nodokļa, salīdzinot ar 2020</w:t>
      </w:r>
      <w:r>
        <w:t>. gad</w:t>
      </w:r>
      <w:r w:rsidRPr="00955DF0">
        <w:t xml:space="preserve">a </w:t>
      </w:r>
      <w:r>
        <w:t>pirmo pusgadu</w:t>
      </w:r>
      <w:r w:rsidRPr="00955DF0">
        <w:t>, palielinājušies par 4,4</w:t>
      </w:r>
      <w:r>
        <w:t> milj. </w:t>
      </w:r>
      <w:proofErr w:type="spellStart"/>
      <w:r w:rsidRPr="00D705E7">
        <w:rPr>
          <w:i/>
        </w:rPr>
        <w:t>euro</w:t>
      </w:r>
      <w:proofErr w:type="spellEnd"/>
      <w:r w:rsidRPr="00955DF0">
        <w:t xml:space="preserve"> jeb 19,9%, savukārt antidempinga maksājumi pieauguši par 0,3</w:t>
      </w:r>
      <w:r>
        <w:t> milj. </w:t>
      </w:r>
      <w:proofErr w:type="spellStart"/>
      <w:r w:rsidRPr="00D705E7">
        <w:rPr>
          <w:i/>
        </w:rPr>
        <w:t>euro</w:t>
      </w:r>
      <w:proofErr w:type="spellEnd"/>
      <w:r w:rsidRPr="00955DF0">
        <w:t xml:space="preserve"> jeb 13,9</w:t>
      </w:r>
      <w:r>
        <w:t> procent</w:t>
      </w:r>
      <w:r w:rsidRPr="00955DF0">
        <w:t>iem.</w:t>
      </w:r>
      <w:r>
        <w:t xml:space="preserve"> </w:t>
      </w:r>
      <w:r w:rsidRPr="00C70D8B">
        <w:t xml:space="preserve">Saskaņā ar </w:t>
      </w:r>
      <w:r w:rsidR="007E056F">
        <w:t>CSP</w:t>
      </w:r>
      <w:r w:rsidRPr="00C70D8B">
        <w:t xml:space="preserve"> datiem 2021</w:t>
      </w:r>
      <w:r>
        <w:t>. gad</w:t>
      </w:r>
      <w:r w:rsidRPr="00C70D8B">
        <w:t xml:space="preserve">a </w:t>
      </w:r>
      <w:r>
        <w:t>pirmajā pusgadā</w:t>
      </w:r>
      <w:r w:rsidRPr="00C70D8B">
        <w:t>, salīdzinot ar 2020</w:t>
      </w:r>
      <w:r>
        <w:t>. gad</w:t>
      </w:r>
      <w:r w:rsidRPr="00C70D8B">
        <w:t xml:space="preserve">a </w:t>
      </w:r>
      <w:r>
        <w:t>pirmo pusgadu</w:t>
      </w:r>
      <w:r w:rsidRPr="00C70D8B">
        <w:t xml:space="preserve">, imports no valstīm, kas nav </w:t>
      </w:r>
      <w:r w:rsidR="007E056F">
        <w:t>ES</w:t>
      </w:r>
      <w:r w:rsidRPr="00C70D8B">
        <w:t xml:space="preserve"> dalībvalstis, </w:t>
      </w:r>
      <w:r w:rsidRPr="00823E2F">
        <w:t>palielinājies par 60,4</w:t>
      </w:r>
      <w:r>
        <w:t> procentiem</w:t>
      </w:r>
      <w:r w:rsidRPr="00823E2F">
        <w:t xml:space="preserve">. </w:t>
      </w:r>
    </w:p>
    <w:p w14:paraId="57560C05" w14:textId="7D3E080B" w:rsidR="002A5E08" w:rsidRPr="00561944" w:rsidRDefault="002A5E08" w:rsidP="007E056F">
      <w:pPr>
        <w:tabs>
          <w:tab w:val="left" w:pos="8080"/>
        </w:tabs>
        <w:ind w:firstLine="720"/>
        <w:rPr>
          <w:szCs w:val="26"/>
          <w:highlight w:val="green"/>
        </w:rPr>
      </w:pPr>
      <w:r w:rsidRPr="00823E2F">
        <w:t>Savukārt sa</w:t>
      </w:r>
      <w:r w:rsidRPr="00823E2F">
        <w:rPr>
          <w:szCs w:val="26"/>
        </w:rPr>
        <w:t xml:space="preserve">skaņā ar </w:t>
      </w:r>
      <w:r w:rsidR="007E056F">
        <w:rPr>
          <w:szCs w:val="26"/>
        </w:rPr>
        <w:t>VID</w:t>
      </w:r>
      <w:r w:rsidRPr="00823E2F">
        <w:rPr>
          <w:szCs w:val="26"/>
        </w:rPr>
        <w:t xml:space="preserve"> sniegto informāciju šī gada </w:t>
      </w:r>
      <w:r>
        <w:rPr>
          <w:szCs w:val="26"/>
        </w:rPr>
        <w:t>pirmajā pusgadā</w:t>
      </w:r>
      <w:r w:rsidRPr="00823E2F">
        <w:rPr>
          <w:szCs w:val="26"/>
        </w:rPr>
        <w:t>, salīdzinot ar 2020</w:t>
      </w:r>
      <w:r>
        <w:rPr>
          <w:szCs w:val="26"/>
        </w:rPr>
        <w:t>. gad</w:t>
      </w:r>
      <w:r w:rsidRPr="00823E2F">
        <w:rPr>
          <w:szCs w:val="26"/>
        </w:rPr>
        <w:t xml:space="preserve">a atbilstošo periodu, brīvā apgrozībā laisto preču </w:t>
      </w:r>
      <w:r w:rsidRPr="00D00477">
        <w:rPr>
          <w:szCs w:val="26"/>
        </w:rPr>
        <w:t>apjoms palielinājies par 20,</w:t>
      </w:r>
      <w:r>
        <w:rPr>
          <w:szCs w:val="26"/>
        </w:rPr>
        <w:t>4</w:t>
      </w:r>
      <w:r w:rsidRPr="00D00477">
        <w:rPr>
          <w:szCs w:val="26"/>
        </w:rPr>
        <w:t>% jeb 616,</w:t>
      </w:r>
      <w:r>
        <w:rPr>
          <w:szCs w:val="26"/>
        </w:rPr>
        <w:t>6</w:t>
      </w:r>
      <w:r w:rsidRPr="000F3DB2">
        <w:t> </w:t>
      </w:r>
      <w:r w:rsidRPr="00D00477">
        <w:rPr>
          <w:szCs w:val="26"/>
        </w:rPr>
        <w:t>tūkst. tonnām</w:t>
      </w:r>
      <w:r w:rsidRPr="00D90866">
        <w:rPr>
          <w:szCs w:val="26"/>
        </w:rPr>
        <w:t xml:space="preserve">, </w:t>
      </w:r>
      <w:r w:rsidRPr="000E5608">
        <w:rPr>
          <w:szCs w:val="26"/>
        </w:rPr>
        <w:t>bet statistiskā vērtība palielinājusies par 5</w:t>
      </w:r>
      <w:r>
        <w:rPr>
          <w:szCs w:val="26"/>
        </w:rPr>
        <w:t>7</w:t>
      </w:r>
      <w:r w:rsidRPr="000E5608">
        <w:rPr>
          <w:szCs w:val="26"/>
        </w:rPr>
        <w:t>,</w:t>
      </w:r>
      <w:r>
        <w:rPr>
          <w:szCs w:val="26"/>
        </w:rPr>
        <w:t>3</w:t>
      </w:r>
      <w:r w:rsidRPr="000E5608">
        <w:rPr>
          <w:szCs w:val="26"/>
        </w:rPr>
        <w:t xml:space="preserve">% </w:t>
      </w:r>
      <w:r w:rsidRPr="00416D9B">
        <w:rPr>
          <w:szCs w:val="26"/>
        </w:rPr>
        <w:t>jeb 870,5</w:t>
      </w:r>
      <w:r>
        <w:rPr>
          <w:szCs w:val="26"/>
        </w:rPr>
        <w:t> milj. </w:t>
      </w:r>
      <w:proofErr w:type="spellStart"/>
      <w:r w:rsidRPr="00D705E7">
        <w:rPr>
          <w:i/>
          <w:szCs w:val="26"/>
        </w:rPr>
        <w:t>euro</w:t>
      </w:r>
      <w:proofErr w:type="spellEnd"/>
      <w:r w:rsidRPr="00416D9B">
        <w:rPr>
          <w:szCs w:val="26"/>
        </w:rPr>
        <w:t>.</w:t>
      </w:r>
    </w:p>
    <w:p w14:paraId="1B17F06A" w14:textId="13D7B813" w:rsidR="002A5E08" w:rsidRDefault="002A5E08" w:rsidP="007E056F">
      <w:pPr>
        <w:tabs>
          <w:tab w:val="left" w:pos="8080"/>
        </w:tabs>
        <w:ind w:firstLine="720"/>
        <w:rPr>
          <w:szCs w:val="26"/>
        </w:rPr>
      </w:pPr>
      <w:r w:rsidRPr="006F16E2">
        <w:rPr>
          <w:szCs w:val="26"/>
        </w:rPr>
        <w:t xml:space="preserve">Papildus muitas nodokļa ieņēmumus ietekmēja Apvienotās Karalistes izstāšanās no </w:t>
      </w:r>
      <w:r w:rsidR="007E056F">
        <w:rPr>
          <w:szCs w:val="26"/>
        </w:rPr>
        <w:t>ES</w:t>
      </w:r>
      <w:r w:rsidRPr="006F16E2">
        <w:rPr>
          <w:szCs w:val="26"/>
        </w:rPr>
        <w:t>. Līdz ar to no 2021</w:t>
      </w:r>
      <w:r>
        <w:rPr>
          <w:szCs w:val="26"/>
        </w:rPr>
        <w:t>. gad</w:t>
      </w:r>
      <w:r w:rsidRPr="006F16E2">
        <w:rPr>
          <w:szCs w:val="26"/>
        </w:rPr>
        <w:t>a</w:t>
      </w:r>
      <w:r>
        <w:rPr>
          <w:szCs w:val="26"/>
        </w:rPr>
        <w:t xml:space="preserve"> 1. janvāra,</w:t>
      </w:r>
      <w:r w:rsidRPr="006F16E2">
        <w:rPr>
          <w:szCs w:val="26"/>
        </w:rPr>
        <w:t xml:space="preserve"> importējot preces no Apvienotās Karalistes</w:t>
      </w:r>
      <w:r>
        <w:rPr>
          <w:szCs w:val="26"/>
        </w:rPr>
        <w:t>,</w:t>
      </w:r>
      <w:r w:rsidRPr="006F16E2">
        <w:rPr>
          <w:szCs w:val="26"/>
        </w:rPr>
        <w:t xml:space="preserve"> tiek iekasēts muitas un citi nodokļi.</w:t>
      </w:r>
    </w:p>
    <w:p w14:paraId="006EC8C3" w14:textId="55BD7FF3" w:rsidR="002A5E08" w:rsidRPr="006F16E2" w:rsidRDefault="002A5E08" w:rsidP="007E056F">
      <w:pPr>
        <w:tabs>
          <w:tab w:val="left" w:pos="8080"/>
        </w:tabs>
        <w:ind w:firstLine="720"/>
        <w:rPr>
          <w:szCs w:val="26"/>
        </w:rPr>
      </w:pPr>
      <w:r>
        <w:rPr>
          <w:szCs w:val="26"/>
        </w:rPr>
        <w:t>2021. gada 1. jūlija izmaiņas darījumos ar preču sūtījumiem no trešajām valstīm nerada ietekmi uz muitas nodokļa ieņēmumiem, jo muitas nodokli nepiemēros, ja sūtījuma preču vērtība nepārsniegs 150 </w:t>
      </w:r>
      <w:proofErr w:type="spellStart"/>
      <w:r w:rsidRPr="007E056F">
        <w:rPr>
          <w:i/>
          <w:iCs/>
          <w:szCs w:val="26"/>
        </w:rPr>
        <w:t>euro</w:t>
      </w:r>
      <w:proofErr w:type="spellEnd"/>
      <w:r>
        <w:rPr>
          <w:szCs w:val="26"/>
        </w:rPr>
        <w:t>, kā tas ir bijis līdz šim.</w:t>
      </w:r>
    </w:p>
    <w:p w14:paraId="3518816F" w14:textId="77777777" w:rsidR="002A5E08" w:rsidRPr="000345A6" w:rsidRDefault="002A5E08" w:rsidP="007E056F">
      <w:pPr>
        <w:ind w:firstLine="720"/>
        <w:rPr>
          <w:highlight w:val="yellow"/>
        </w:rPr>
      </w:pPr>
      <w:r w:rsidRPr="0097086C">
        <w:t>2022</w:t>
      </w:r>
      <w:r>
        <w:t>. gad</w:t>
      </w:r>
      <w:r w:rsidRPr="0097086C">
        <w:t>a ieņēmumi no muitas nodokļa saskaņā ar likumprojektu</w:t>
      </w:r>
      <w:r>
        <w:t xml:space="preserve"> </w:t>
      </w:r>
      <w:r w:rsidRPr="0097086C">
        <w:t>„Par valsts budžetu 2022</w:t>
      </w:r>
      <w:r>
        <w:t>. gad</w:t>
      </w:r>
      <w:r w:rsidRPr="0097086C">
        <w:t xml:space="preserve">am” tiek </w:t>
      </w:r>
      <w:r w:rsidRPr="00012B77">
        <w:t>plānoti 61,9</w:t>
      </w:r>
      <w:r>
        <w:t> milj. </w:t>
      </w:r>
      <w:proofErr w:type="spellStart"/>
      <w:r w:rsidRPr="00D705E7">
        <w:rPr>
          <w:i/>
        </w:rPr>
        <w:t>euro</w:t>
      </w:r>
      <w:proofErr w:type="spellEnd"/>
      <w:r w:rsidRPr="00012B77">
        <w:t xml:space="preserve"> apmērā, kas salīdzinājumā ar 2021</w:t>
      </w:r>
      <w:r>
        <w:t>. gad</w:t>
      </w:r>
      <w:r w:rsidRPr="00012B77">
        <w:t>a prognozētajiem ieņēmumiem ir par 3,4</w:t>
      </w:r>
      <w:r>
        <w:t> milj. </w:t>
      </w:r>
      <w:proofErr w:type="spellStart"/>
      <w:r w:rsidRPr="00D705E7">
        <w:rPr>
          <w:i/>
        </w:rPr>
        <w:t>euro</w:t>
      </w:r>
      <w:proofErr w:type="spellEnd"/>
      <w:r w:rsidRPr="00012B77">
        <w:t xml:space="preserve"> jeb 5,8% vairāk.</w:t>
      </w:r>
    </w:p>
    <w:p w14:paraId="082A59B1" w14:textId="77777777" w:rsidR="002A5E08" w:rsidRPr="00E86687" w:rsidRDefault="002A5E08" w:rsidP="002A5E08">
      <w:pPr>
        <w:keepNext/>
        <w:spacing w:before="240" w:after="240"/>
        <w:ind w:firstLine="0"/>
        <w:jc w:val="center"/>
        <w:rPr>
          <w:b/>
          <w:i/>
          <w:szCs w:val="24"/>
        </w:rPr>
      </w:pPr>
      <w:r w:rsidRPr="00E86687">
        <w:rPr>
          <w:b/>
          <w:i/>
          <w:szCs w:val="24"/>
        </w:rPr>
        <w:t>3.13. tabula. Muitas nodokļa ieņēmumi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4285"/>
        <w:gridCol w:w="1194"/>
        <w:gridCol w:w="1194"/>
        <w:gridCol w:w="1194"/>
        <w:gridCol w:w="1194"/>
      </w:tblGrid>
      <w:tr w:rsidR="002A5E08" w:rsidRPr="00E86687" w14:paraId="30761478" w14:textId="77777777" w:rsidTr="007E056F">
        <w:trPr>
          <w:trHeight w:val="20"/>
          <w:jc w:val="center"/>
        </w:trPr>
        <w:tc>
          <w:tcPr>
            <w:tcW w:w="2365" w:type="pct"/>
            <w:vMerge w:val="restart"/>
            <w:shd w:val="clear" w:color="auto" w:fill="B8CCE4" w:themeFill="accent1" w:themeFillTint="66"/>
          </w:tcPr>
          <w:p w14:paraId="5BBF9C86" w14:textId="77777777" w:rsidR="002A5E08" w:rsidRPr="00E86687" w:rsidRDefault="002A5E08" w:rsidP="00970743">
            <w:pPr>
              <w:pStyle w:val="tabtekst"/>
              <w:keepNext/>
              <w:keepLines/>
              <w:jc w:val="center"/>
              <w:rPr>
                <w:b/>
                <w:color w:val="auto"/>
                <w:sz w:val="18"/>
                <w:szCs w:val="18"/>
              </w:rPr>
            </w:pPr>
          </w:p>
        </w:tc>
        <w:tc>
          <w:tcPr>
            <w:tcW w:w="659" w:type="pct"/>
            <w:shd w:val="clear" w:color="auto" w:fill="B8CCE4" w:themeFill="accent1" w:themeFillTint="66"/>
          </w:tcPr>
          <w:p w14:paraId="60E4B23B" w14:textId="77777777" w:rsidR="002A5E08" w:rsidRPr="00E86687" w:rsidRDefault="002A5E08" w:rsidP="00970743">
            <w:pPr>
              <w:pStyle w:val="tabtekst"/>
              <w:keepNext/>
              <w:keepLines/>
              <w:jc w:val="center"/>
              <w:rPr>
                <w:b/>
                <w:color w:val="auto"/>
                <w:sz w:val="18"/>
                <w:szCs w:val="18"/>
              </w:rPr>
            </w:pPr>
            <w:r w:rsidRPr="00E86687">
              <w:rPr>
                <w:b/>
                <w:color w:val="auto"/>
                <w:sz w:val="18"/>
                <w:szCs w:val="18"/>
              </w:rPr>
              <w:t>2019</w:t>
            </w:r>
          </w:p>
        </w:tc>
        <w:tc>
          <w:tcPr>
            <w:tcW w:w="659" w:type="pct"/>
            <w:shd w:val="clear" w:color="auto" w:fill="B8CCE4" w:themeFill="accent1" w:themeFillTint="66"/>
          </w:tcPr>
          <w:p w14:paraId="40967905" w14:textId="77777777" w:rsidR="002A5E08" w:rsidRPr="00E86687" w:rsidRDefault="002A5E08" w:rsidP="00970743">
            <w:pPr>
              <w:pStyle w:val="tabtekst"/>
              <w:keepNext/>
              <w:keepLines/>
              <w:jc w:val="center"/>
              <w:rPr>
                <w:b/>
                <w:color w:val="auto"/>
                <w:sz w:val="18"/>
                <w:szCs w:val="18"/>
              </w:rPr>
            </w:pPr>
            <w:r w:rsidRPr="00E86687">
              <w:rPr>
                <w:b/>
                <w:color w:val="auto"/>
                <w:sz w:val="18"/>
                <w:szCs w:val="18"/>
              </w:rPr>
              <w:t>2020</w:t>
            </w:r>
          </w:p>
        </w:tc>
        <w:tc>
          <w:tcPr>
            <w:tcW w:w="659" w:type="pct"/>
            <w:shd w:val="clear" w:color="auto" w:fill="B8CCE4" w:themeFill="accent1" w:themeFillTint="66"/>
          </w:tcPr>
          <w:p w14:paraId="67AD8AC2" w14:textId="77777777" w:rsidR="002A5E08" w:rsidRPr="00E86687" w:rsidRDefault="002A5E08" w:rsidP="00970743">
            <w:pPr>
              <w:pStyle w:val="tabtekst"/>
              <w:keepNext/>
              <w:keepLines/>
              <w:jc w:val="center"/>
              <w:rPr>
                <w:b/>
                <w:color w:val="auto"/>
                <w:sz w:val="18"/>
                <w:szCs w:val="18"/>
              </w:rPr>
            </w:pPr>
            <w:r w:rsidRPr="00E86687">
              <w:rPr>
                <w:b/>
                <w:color w:val="auto"/>
                <w:sz w:val="18"/>
                <w:szCs w:val="18"/>
              </w:rPr>
              <w:t>2021</w:t>
            </w:r>
          </w:p>
        </w:tc>
        <w:tc>
          <w:tcPr>
            <w:tcW w:w="659" w:type="pct"/>
            <w:shd w:val="clear" w:color="auto" w:fill="B8CCE4" w:themeFill="accent1" w:themeFillTint="66"/>
          </w:tcPr>
          <w:p w14:paraId="07B11B6F" w14:textId="77777777" w:rsidR="002A5E08" w:rsidRPr="00E86687" w:rsidRDefault="002A5E08" w:rsidP="00970743">
            <w:pPr>
              <w:pStyle w:val="tabtekst"/>
              <w:keepNext/>
              <w:keepLines/>
              <w:jc w:val="center"/>
              <w:rPr>
                <w:b/>
                <w:color w:val="auto"/>
                <w:sz w:val="18"/>
                <w:szCs w:val="18"/>
              </w:rPr>
            </w:pPr>
            <w:r w:rsidRPr="00E86687">
              <w:rPr>
                <w:b/>
                <w:color w:val="auto"/>
                <w:sz w:val="18"/>
                <w:szCs w:val="18"/>
              </w:rPr>
              <w:t>2022</w:t>
            </w:r>
          </w:p>
        </w:tc>
      </w:tr>
      <w:tr w:rsidR="002A5E08" w:rsidRPr="00E86687" w14:paraId="6703992F" w14:textId="77777777" w:rsidTr="007E056F">
        <w:trPr>
          <w:trHeight w:val="20"/>
          <w:jc w:val="center"/>
        </w:trPr>
        <w:tc>
          <w:tcPr>
            <w:tcW w:w="2365" w:type="pct"/>
            <w:vMerge/>
            <w:shd w:val="clear" w:color="auto" w:fill="B8CCE4" w:themeFill="accent1" w:themeFillTint="66"/>
          </w:tcPr>
          <w:p w14:paraId="3CFBFA57" w14:textId="77777777" w:rsidR="002A5E08" w:rsidRPr="00E86687" w:rsidRDefault="002A5E08" w:rsidP="00970743">
            <w:pPr>
              <w:pStyle w:val="tabtekst"/>
              <w:keepNext/>
              <w:keepLines/>
              <w:jc w:val="center"/>
              <w:rPr>
                <w:b/>
                <w:color w:val="auto"/>
                <w:sz w:val="18"/>
                <w:szCs w:val="18"/>
              </w:rPr>
            </w:pPr>
          </w:p>
        </w:tc>
        <w:tc>
          <w:tcPr>
            <w:tcW w:w="1318" w:type="pct"/>
            <w:gridSpan w:val="2"/>
            <w:shd w:val="clear" w:color="auto" w:fill="B8CCE4" w:themeFill="accent1" w:themeFillTint="66"/>
          </w:tcPr>
          <w:p w14:paraId="29BF9EAB" w14:textId="77777777" w:rsidR="002A5E08" w:rsidRPr="00E86687" w:rsidRDefault="002A5E08" w:rsidP="00970743">
            <w:pPr>
              <w:pStyle w:val="tabtekst"/>
              <w:keepNext/>
              <w:keepLines/>
              <w:jc w:val="center"/>
              <w:rPr>
                <w:color w:val="auto"/>
                <w:sz w:val="18"/>
                <w:szCs w:val="18"/>
              </w:rPr>
            </w:pPr>
            <w:r w:rsidRPr="00E86687">
              <w:rPr>
                <w:color w:val="auto"/>
                <w:sz w:val="18"/>
                <w:szCs w:val="18"/>
              </w:rPr>
              <w:t>fakts</w:t>
            </w:r>
          </w:p>
        </w:tc>
        <w:tc>
          <w:tcPr>
            <w:tcW w:w="659" w:type="pct"/>
            <w:shd w:val="clear" w:color="auto" w:fill="B8CCE4" w:themeFill="accent1" w:themeFillTint="66"/>
          </w:tcPr>
          <w:p w14:paraId="3736CF67" w14:textId="77777777" w:rsidR="002A5E08" w:rsidRPr="00E86687" w:rsidRDefault="002A5E08" w:rsidP="00970743">
            <w:pPr>
              <w:pStyle w:val="tabtekst"/>
              <w:keepNext/>
              <w:keepLines/>
              <w:jc w:val="center"/>
              <w:rPr>
                <w:color w:val="auto"/>
                <w:sz w:val="18"/>
                <w:szCs w:val="18"/>
              </w:rPr>
            </w:pPr>
            <w:r w:rsidRPr="00E86687">
              <w:rPr>
                <w:color w:val="auto"/>
                <w:sz w:val="18"/>
                <w:szCs w:val="18"/>
              </w:rPr>
              <w:t>prognoze</w:t>
            </w:r>
          </w:p>
        </w:tc>
        <w:tc>
          <w:tcPr>
            <w:tcW w:w="659" w:type="pct"/>
            <w:shd w:val="clear" w:color="auto" w:fill="B8CCE4" w:themeFill="accent1" w:themeFillTint="66"/>
          </w:tcPr>
          <w:p w14:paraId="4CBF6E9F" w14:textId="77777777" w:rsidR="002A5E08" w:rsidRPr="00E86687" w:rsidRDefault="002A5E08" w:rsidP="00970743">
            <w:pPr>
              <w:pStyle w:val="tabtekst"/>
              <w:keepNext/>
              <w:keepLines/>
              <w:jc w:val="center"/>
              <w:rPr>
                <w:color w:val="auto"/>
                <w:sz w:val="18"/>
                <w:szCs w:val="18"/>
              </w:rPr>
            </w:pPr>
            <w:r w:rsidRPr="00E86687">
              <w:rPr>
                <w:color w:val="auto"/>
                <w:sz w:val="18"/>
                <w:szCs w:val="18"/>
              </w:rPr>
              <w:t>plāns</w:t>
            </w:r>
            <w:r w:rsidRPr="00FE519F">
              <w:rPr>
                <w:sz w:val="18"/>
                <w:szCs w:val="18"/>
                <w:vertAlign w:val="superscript"/>
              </w:rPr>
              <w:t>1</w:t>
            </w:r>
          </w:p>
        </w:tc>
      </w:tr>
      <w:tr w:rsidR="002A5E08" w:rsidRPr="00E86687" w14:paraId="12D8CCD1" w14:textId="77777777" w:rsidTr="00970743">
        <w:trPr>
          <w:trHeight w:val="20"/>
          <w:jc w:val="center"/>
        </w:trPr>
        <w:tc>
          <w:tcPr>
            <w:tcW w:w="2365" w:type="pct"/>
          </w:tcPr>
          <w:p w14:paraId="10188E99" w14:textId="77777777" w:rsidR="002A5E08" w:rsidRPr="00E86687" w:rsidRDefault="002A5E08" w:rsidP="00970743">
            <w:pPr>
              <w:pStyle w:val="tabtekst"/>
              <w:keepNext/>
              <w:keepLines/>
              <w:rPr>
                <w:color w:val="auto"/>
                <w:sz w:val="18"/>
                <w:szCs w:val="18"/>
                <w:lang w:eastAsia="lv-LV"/>
              </w:rPr>
            </w:pPr>
            <w:r w:rsidRPr="00E86687">
              <w:rPr>
                <w:color w:val="auto"/>
                <w:sz w:val="18"/>
                <w:szCs w:val="18"/>
                <w:lang w:eastAsia="lv-LV"/>
              </w:rPr>
              <w:t>milj</w:t>
            </w:r>
            <w:r>
              <w:rPr>
                <w:color w:val="auto"/>
                <w:sz w:val="18"/>
                <w:szCs w:val="18"/>
                <w:lang w:eastAsia="lv-LV"/>
              </w:rPr>
              <w:t>. </w:t>
            </w:r>
            <w:proofErr w:type="spellStart"/>
            <w:r w:rsidRPr="00D705E7">
              <w:rPr>
                <w:i/>
                <w:color w:val="auto"/>
                <w:sz w:val="18"/>
                <w:szCs w:val="18"/>
                <w:lang w:eastAsia="lv-LV"/>
              </w:rPr>
              <w:t>euro</w:t>
            </w:r>
            <w:proofErr w:type="spellEnd"/>
          </w:p>
        </w:tc>
        <w:tc>
          <w:tcPr>
            <w:tcW w:w="659" w:type="pct"/>
          </w:tcPr>
          <w:p w14:paraId="192333FD" w14:textId="77777777" w:rsidR="002A5E08" w:rsidRPr="00E86687" w:rsidRDefault="002A5E08" w:rsidP="00970743">
            <w:pPr>
              <w:keepNext/>
              <w:keepLines/>
              <w:tabs>
                <w:tab w:val="decimal" w:pos="547"/>
              </w:tabs>
              <w:spacing w:after="0"/>
              <w:jc w:val="right"/>
              <w:rPr>
                <w:sz w:val="18"/>
                <w:szCs w:val="18"/>
              </w:rPr>
            </w:pPr>
            <w:r w:rsidRPr="00E86687">
              <w:rPr>
                <w:sz w:val="18"/>
                <w:szCs w:val="18"/>
              </w:rPr>
              <w:t>49,7</w:t>
            </w:r>
          </w:p>
        </w:tc>
        <w:tc>
          <w:tcPr>
            <w:tcW w:w="659" w:type="pct"/>
          </w:tcPr>
          <w:p w14:paraId="768E316C" w14:textId="77777777" w:rsidR="002A5E08" w:rsidRPr="00E86687" w:rsidRDefault="002A5E08" w:rsidP="00970743">
            <w:pPr>
              <w:keepNext/>
              <w:keepLines/>
              <w:tabs>
                <w:tab w:val="decimal" w:pos="547"/>
              </w:tabs>
              <w:spacing w:after="0"/>
              <w:jc w:val="right"/>
              <w:rPr>
                <w:sz w:val="18"/>
                <w:szCs w:val="18"/>
              </w:rPr>
            </w:pPr>
            <w:r w:rsidRPr="00E86687">
              <w:rPr>
                <w:sz w:val="18"/>
                <w:szCs w:val="18"/>
              </w:rPr>
              <w:t>47,7</w:t>
            </w:r>
          </w:p>
        </w:tc>
        <w:tc>
          <w:tcPr>
            <w:tcW w:w="659" w:type="pct"/>
          </w:tcPr>
          <w:p w14:paraId="480AE522" w14:textId="77777777" w:rsidR="002A5E08" w:rsidRPr="00E86687" w:rsidRDefault="002A5E08" w:rsidP="00970743">
            <w:pPr>
              <w:keepNext/>
              <w:keepLines/>
              <w:tabs>
                <w:tab w:val="decimal" w:pos="547"/>
              </w:tabs>
              <w:spacing w:after="0"/>
              <w:jc w:val="right"/>
              <w:rPr>
                <w:sz w:val="18"/>
                <w:szCs w:val="18"/>
              </w:rPr>
            </w:pPr>
            <w:r w:rsidRPr="00E86687">
              <w:rPr>
                <w:sz w:val="18"/>
                <w:szCs w:val="18"/>
              </w:rPr>
              <w:t>58,5</w:t>
            </w:r>
          </w:p>
        </w:tc>
        <w:tc>
          <w:tcPr>
            <w:tcW w:w="659" w:type="pct"/>
          </w:tcPr>
          <w:p w14:paraId="65052E94" w14:textId="77777777" w:rsidR="002A5E08" w:rsidRPr="00E86687" w:rsidRDefault="002A5E08" w:rsidP="00970743">
            <w:pPr>
              <w:keepNext/>
              <w:keepLines/>
              <w:tabs>
                <w:tab w:val="decimal" w:pos="547"/>
              </w:tabs>
              <w:spacing w:after="0"/>
              <w:jc w:val="right"/>
              <w:rPr>
                <w:sz w:val="18"/>
                <w:szCs w:val="18"/>
              </w:rPr>
            </w:pPr>
            <w:r w:rsidRPr="00E86687">
              <w:rPr>
                <w:sz w:val="18"/>
                <w:szCs w:val="18"/>
              </w:rPr>
              <w:t>61,9</w:t>
            </w:r>
          </w:p>
        </w:tc>
      </w:tr>
      <w:tr w:rsidR="002A5E08" w:rsidRPr="00E86687" w14:paraId="3C06DBBD" w14:textId="77777777" w:rsidTr="00970743">
        <w:trPr>
          <w:trHeight w:val="20"/>
          <w:jc w:val="center"/>
        </w:trPr>
        <w:tc>
          <w:tcPr>
            <w:tcW w:w="2365" w:type="pct"/>
          </w:tcPr>
          <w:p w14:paraId="22363ABB" w14:textId="77777777" w:rsidR="002A5E08" w:rsidRPr="00E86687" w:rsidRDefault="002A5E08" w:rsidP="00970743">
            <w:pPr>
              <w:pStyle w:val="tabtekst"/>
              <w:keepNext/>
              <w:keepLines/>
              <w:rPr>
                <w:i/>
                <w:color w:val="auto"/>
                <w:sz w:val="18"/>
                <w:szCs w:val="18"/>
                <w:lang w:eastAsia="lv-LV"/>
              </w:rPr>
            </w:pPr>
            <w:r w:rsidRPr="00E86687">
              <w:rPr>
                <w:i/>
                <w:color w:val="auto"/>
                <w:sz w:val="18"/>
                <w:szCs w:val="18"/>
                <w:lang w:eastAsia="lv-LV"/>
              </w:rPr>
              <w:t>pieauguma tempi faktiskās cenās, %</w:t>
            </w:r>
          </w:p>
        </w:tc>
        <w:tc>
          <w:tcPr>
            <w:tcW w:w="659" w:type="pct"/>
          </w:tcPr>
          <w:p w14:paraId="1577D261" w14:textId="77777777" w:rsidR="002A5E08" w:rsidRPr="00E86687" w:rsidRDefault="002A5E08" w:rsidP="00970743">
            <w:pPr>
              <w:keepNext/>
              <w:keepLines/>
              <w:tabs>
                <w:tab w:val="decimal" w:pos="547"/>
              </w:tabs>
              <w:spacing w:after="0"/>
              <w:jc w:val="right"/>
              <w:rPr>
                <w:i/>
                <w:sz w:val="18"/>
                <w:szCs w:val="18"/>
              </w:rPr>
            </w:pPr>
            <w:r w:rsidRPr="00E86687">
              <w:rPr>
                <w:i/>
                <w:sz w:val="18"/>
                <w:szCs w:val="18"/>
              </w:rPr>
              <w:t>-5,9</w:t>
            </w:r>
          </w:p>
        </w:tc>
        <w:tc>
          <w:tcPr>
            <w:tcW w:w="659" w:type="pct"/>
          </w:tcPr>
          <w:p w14:paraId="30CEA0CA" w14:textId="77777777" w:rsidR="002A5E08" w:rsidRPr="00E86687" w:rsidRDefault="002A5E08" w:rsidP="00970743">
            <w:pPr>
              <w:keepNext/>
              <w:keepLines/>
              <w:tabs>
                <w:tab w:val="decimal" w:pos="547"/>
              </w:tabs>
              <w:spacing w:after="0"/>
              <w:jc w:val="right"/>
              <w:rPr>
                <w:i/>
                <w:sz w:val="18"/>
                <w:szCs w:val="18"/>
              </w:rPr>
            </w:pPr>
            <w:r w:rsidRPr="00E86687">
              <w:rPr>
                <w:i/>
                <w:sz w:val="18"/>
                <w:szCs w:val="18"/>
              </w:rPr>
              <w:t>-3,9</w:t>
            </w:r>
          </w:p>
        </w:tc>
        <w:tc>
          <w:tcPr>
            <w:tcW w:w="659" w:type="pct"/>
          </w:tcPr>
          <w:p w14:paraId="01FB3F27" w14:textId="77777777" w:rsidR="002A5E08" w:rsidRPr="00E86687" w:rsidRDefault="002A5E08" w:rsidP="00970743">
            <w:pPr>
              <w:keepNext/>
              <w:keepLines/>
              <w:tabs>
                <w:tab w:val="decimal" w:pos="547"/>
              </w:tabs>
              <w:spacing w:after="0"/>
              <w:jc w:val="right"/>
              <w:rPr>
                <w:i/>
                <w:sz w:val="18"/>
                <w:szCs w:val="18"/>
              </w:rPr>
            </w:pPr>
            <w:r w:rsidRPr="00E86687">
              <w:rPr>
                <w:i/>
                <w:sz w:val="18"/>
                <w:szCs w:val="18"/>
              </w:rPr>
              <w:t>22,6</w:t>
            </w:r>
          </w:p>
        </w:tc>
        <w:tc>
          <w:tcPr>
            <w:tcW w:w="659" w:type="pct"/>
          </w:tcPr>
          <w:p w14:paraId="1EB25F83" w14:textId="77777777" w:rsidR="002A5E08" w:rsidRPr="00E86687" w:rsidRDefault="002A5E08" w:rsidP="00970743">
            <w:pPr>
              <w:keepNext/>
              <w:keepLines/>
              <w:tabs>
                <w:tab w:val="decimal" w:pos="547"/>
              </w:tabs>
              <w:spacing w:after="0"/>
              <w:jc w:val="right"/>
              <w:rPr>
                <w:i/>
                <w:sz w:val="18"/>
                <w:szCs w:val="18"/>
              </w:rPr>
            </w:pPr>
            <w:r w:rsidRPr="00E86687">
              <w:rPr>
                <w:i/>
                <w:sz w:val="18"/>
                <w:szCs w:val="18"/>
              </w:rPr>
              <w:t>5,8</w:t>
            </w:r>
          </w:p>
        </w:tc>
      </w:tr>
      <w:tr w:rsidR="002A5E08" w:rsidRPr="00E86687" w14:paraId="49C845F4" w14:textId="77777777" w:rsidTr="00970743">
        <w:trPr>
          <w:trHeight w:val="20"/>
          <w:jc w:val="center"/>
        </w:trPr>
        <w:tc>
          <w:tcPr>
            <w:tcW w:w="2365" w:type="pct"/>
          </w:tcPr>
          <w:p w14:paraId="6E28C683" w14:textId="77777777" w:rsidR="002A5E08" w:rsidRPr="00E86687" w:rsidRDefault="002A5E08" w:rsidP="00970743">
            <w:pPr>
              <w:pStyle w:val="tabtekst"/>
              <w:keepNext/>
              <w:keepLines/>
              <w:rPr>
                <w:i/>
                <w:color w:val="auto"/>
                <w:sz w:val="18"/>
                <w:szCs w:val="18"/>
                <w:lang w:eastAsia="lv-LV"/>
              </w:rPr>
            </w:pPr>
            <w:r w:rsidRPr="00E86687">
              <w:rPr>
                <w:i/>
                <w:color w:val="auto"/>
                <w:sz w:val="18"/>
                <w:szCs w:val="18"/>
                <w:lang w:eastAsia="lv-LV"/>
              </w:rPr>
              <w:t>% no IKP</w:t>
            </w:r>
          </w:p>
        </w:tc>
        <w:tc>
          <w:tcPr>
            <w:tcW w:w="659" w:type="pct"/>
          </w:tcPr>
          <w:p w14:paraId="2D547C2A" w14:textId="77777777" w:rsidR="002A5E08" w:rsidRPr="00E86687" w:rsidRDefault="002A5E08" w:rsidP="00970743">
            <w:pPr>
              <w:keepNext/>
              <w:keepLines/>
              <w:tabs>
                <w:tab w:val="decimal" w:pos="547"/>
              </w:tabs>
              <w:spacing w:after="0"/>
              <w:jc w:val="right"/>
              <w:rPr>
                <w:i/>
                <w:sz w:val="18"/>
                <w:szCs w:val="18"/>
              </w:rPr>
            </w:pPr>
            <w:r w:rsidRPr="00E86687">
              <w:rPr>
                <w:i/>
                <w:sz w:val="18"/>
                <w:szCs w:val="18"/>
              </w:rPr>
              <w:t>0,2</w:t>
            </w:r>
          </w:p>
        </w:tc>
        <w:tc>
          <w:tcPr>
            <w:tcW w:w="659" w:type="pct"/>
          </w:tcPr>
          <w:p w14:paraId="1D2C1261" w14:textId="77777777" w:rsidR="002A5E08" w:rsidRPr="00E86687" w:rsidRDefault="002A5E08" w:rsidP="00970743">
            <w:pPr>
              <w:keepNext/>
              <w:keepLines/>
              <w:tabs>
                <w:tab w:val="decimal" w:pos="547"/>
              </w:tabs>
              <w:spacing w:after="0"/>
              <w:jc w:val="right"/>
              <w:rPr>
                <w:i/>
                <w:sz w:val="18"/>
                <w:szCs w:val="18"/>
              </w:rPr>
            </w:pPr>
            <w:r w:rsidRPr="00E86687">
              <w:rPr>
                <w:i/>
                <w:sz w:val="18"/>
                <w:szCs w:val="18"/>
              </w:rPr>
              <w:t>0,2</w:t>
            </w:r>
          </w:p>
        </w:tc>
        <w:tc>
          <w:tcPr>
            <w:tcW w:w="659" w:type="pct"/>
          </w:tcPr>
          <w:p w14:paraId="3EC9D2C7" w14:textId="77777777" w:rsidR="002A5E08" w:rsidRPr="00E86687" w:rsidRDefault="002A5E08" w:rsidP="00970743">
            <w:pPr>
              <w:keepNext/>
              <w:keepLines/>
              <w:tabs>
                <w:tab w:val="decimal" w:pos="547"/>
              </w:tabs>
              <w:spacing w:after="0"/>
              <w:jc w:val="right"/>
              <w:rPr>
                <w:i/>
                <w:sz w:val="18"/>
                <w:szCs w:val="18"/>
              </w:rPr>
            </w:pPr>
            <w:r w:rsidRPr="00E86687">
              <w:rPr>
                <w:i/>
                <w:sz w:val="18"/>
                <w:szCs w:val="18"/>
              </w:rPr>
              <w:t>0,2</w:t>
            </w:r>
          </w:p>
        </w:tc>
        <w:tc>
          <w:tcPr>
            <w:tcW w:w="659" w:type="pct"/>
          </w:tcPr>
          <w:p w14:paraId="5FA7F754" w14:textId="77777777" w:rsidR="002A5E08" w:rsidRPr="00E86687" w:rsidRDefault="002A5E08" w:rsidP="00970743">
            <w:pPr>
              <w:keepNext/>
              <w:keepLines/>
              <w:tabs>
                <w:tab w:val="decimal" w:pos="547"/>
              </w:tabs>
              <w:spacing w:after="0"/>
              <w:jc w:val="right"/>
              <w:rPr>
                <w:i/>
                <w:sz w:val="18"/>
                <w:szCs w:val="18"/>
              </w:rPr>
            </w:pPr>
            <w:r w:rsidRPr="00E86687">
              <w:rPr>
                <w:i/>
                <w:sz w:val="18"/>
                <w:szCs w:val="18"/>
              </w:rPr>
              <w:t>0,2</w:t>
            </w:r>
          </w:p>
        </w:tc>
      </w:tr>
    </w:tbl>
    <w:p w14:paraId="233085D2" w14:textId="77777777" w:rsidR="002A5E08" w:rsidRPr="00120F96" w:rsidRDefault="002A5E08" w:rsidP="007E056F">
      <w:pPr>
        <w:spacing w:before="120" w:after="240"/>
        <w:ind w:left="425" w:firstLine="0"/>
        <w:jc w:val="left"/>
        <w:rPr>
          <w:sz w:val="18"/>
          <w:szCs w:val="18"/>
        </w:rPr>
      </w:pPr>
      <w:r w:rsidRPr="00FE519F">
        <w:rPr>
          <w:sz w:val="18"/>
          <w:szCs w:val="18"/>
          <w:vertAlign w:val="superscript"/>
        </w:rPr>
        <w:t>1</w:t>
      </w:r>
      <w:r>
        <w:rPr>
          <w:sz w:val="18"/>
          <w:szCs w:val="18"/>
        </w:rPr>
        <w:t xml:space="preserve"> S</w:t>
      </w:r>
      <w:r w:rsidRPr="00120F96">
        <w:rPr>
          <w:sz w:val="18"/>
          <w:szCs w:val="18"/>
        </w:rPr>
        <w:t>askaņā ar likumprojektu „Par valsts budžetu 2022. gadam”.</w:t>
      </w:r>
    </w:p>
    <w:p w14:paraId="178A9D83" w14:textId="77777777" w:rsidR="002A5E08" w:rsidRPr="00856ECF" w:rsidRDefault="002A5E08" w:rsidP="007E056F">
      <w:pPr>
        <w:pStyle w:val="H4"/>
        <w:spacing w:before="240" w:after="240"/>
      </w:pPr>
      <w:r w:rsidRPr="00856ECF">
        <w:t>Transportlīdzekļu ekspluatācijas nodoklis</w:t>
      </w:r>
    </w:p>
    <w:p w14:paraId="3BC9645C" w14:textId="67531EDA" w:rsidR="002A5E08" w:rsidRDefault="002A5E08" w:rsidP="007E056F">
      <w:pPr>
        <w:ind w:firstLine="720"/>
      </w:pPr>
      <w:r w:rsidRPr="009F4E78">
        <w:t>Transportlīdzekļu ekspluatācijas nodokļa</w:t>
      </w:r>
      <w:r w:rsidRPr="009D0DD8">
        <w:t xml:space="preserve"> ieņēmumi 2021.</w:t>
      </w:r>
      <w:r w:rsidR="007E056F">
        <w:t xml:space="preserve"> </w:t>
      </w:r>
      <w:r w:rsidRPr="009D0DD8">
        <w:t>gada sešos mēnešos bija</w:t>
      </w:r>
      <w:r>
        <w:t xml:space="preserve"> 53,0 milj.</w:t>
      </w:r>
      <w:r w:rsidRPr="009F4E78">
        <w:t> </w:t>
      </w:r>
      <w:proofErr w:type="spellStart"/>
      <w:r w:rsidRPr="009F4E78">
        <w:rPr>
          <w:i/>
        </w:rPr>
        <w:t>euro</w:t>
      </w:r>
      <w:proofErr w:type="spellEnd"/>
      <w:r>
        <w:t>, kas salīdzinājumā ar 2020.</w:t>
      </w:r>
      <w:r w:rsidR="007E056F">
        <w:t xml:space="preserve"> </w:t>
      </w:r>
      <w:r>
        <w:t>gada 1.</w:t>
      </w:r>
      <w:r w:rsidR="007E056F">
        <w:t xml:space="preserve"> </w:t>
      </w:r>
      <w:r>
        <w:t>pusgadu ir par 2,2 milj.</w:t>
      </w:r>
      <w:r w:rsidRPr="009F4E78">
        <w:t> </w:t>
      </w:r>
      <w:proofErr w:type="spellStart"/>
      <w:r w:rsidRPr="009F4E78">
        <w:rPr>
          <w:i/>
        </w:rPr>
        <w:t>euro</w:t>
      </w:r>
      <w:proofErr w:type="spellEnd"/>
      <w:r>
        <w:t xml:space="preserve"> jeb 4,3% vairāk. Salīdzinājumā ar 2021.</w:t>
      </w:r>
      <w:r w:rsidR="007E056F">
        <w:t xml:space="preserve"> </w:t>
      </w:r>
      <w:r>
        <w:t>gada sešu mēnešu plānu ieņēmumi atpaliek par 3,0 milj.</w:t>
      </w:r>
      <w:r w:rsidRPr="009F4E78">
        <w:t> </w:t>
      </w:r>
      <w:proofErr w:type="spellStart"/>
      <w:r w:rsidRPr="009F4E78">
        <w:rPr>
          <w:i/>
        </w:rPr>
        <w:t>euro</w:t>
      </w:r>
      <w:proofErr w:type="spellEnd"/>
      <w:r>
        <w:t xml:space="preserve"> jeb 5,4 procentiem. Nodokļa plāna neizpilde izveidojās galvenokārt pateicoties zemākiem nekā bija plānots nodokļa ieņēmumiem janvārī un saistāma ar nodokļa likmju pieaugumu kopš gada sākuma, kā rezultātā daļa no transportlīdzekļu īpašniekiem samaksāja nodokli par 2021.</w:t>
      </w:r>
      <w:r w:rsidR="007E056F">
        <w:t xml:space="preserve"> </w:t>
      </w:r>
      <w:r>
        <w:t>gadu 2020.</w:t>
      </w:r>
      <w:r w:rsidR="007E056F">
        <w:t xml:space="preserve"> </w:t>
      </w:r>
      <w:r>
        <w:t>gada beigās</w:t>
      </w:r>
      <w:r w:rsidRPr="00746F7D">
        <w:t>. Līdz ar to prognoze 2021.</w:t>
      </w:r>
      <w:r w:rsidR="007E056F">
        <w:t xml:space="preserve"> </w:t>
      </w:r>
      <w:r w:rsidRPr="00746F7D">
        <w:t>gadam ir samazināta par 1,5</w:t>
      </w:r>
      <w:r>
        <w:t> milj.</w:t>
      </w:r>
      <w:r w:rsidRPr="009F4E78">
        <w:t> </w:t>
      </w:r>
      <w:proofErr w:type="spellStart"/>
      <w:r w:rsidRPr="009F4E78">
        <w:rPr>
          <w:i/>
        </w:rPr>
        <w:t>euro</w:t>
      </w:r>
      <w:proofErr w:type="spellEnd"/>
      <w:r w:rsidRPr="00746F7D">
        <w:t xml:space="preserve"> jeb 1,4% no plāna</w:t>
      </w:r>
      <w:r>
        <w:t xml:space="preserve"> un </w:t>
      </w:r>
      <w:r w:rsidRPr="001104D6">
        <w:t>nodok</w:t>
      </w:r>
      <w:r>
        <w:t>ļa ieņēmumi</w:t>
      </w:r>
      <w:r w:rsidRPr="001104D6">
        <w:t xml:space="preserve"> prognozēti </w:t>
      </w:r>
      <w:r>
        <w:t>102,2 milj.</w:t>
      </w:r>
      <w:r w:rsidRPr="009F4E78">
        <w:t> </w:t>
      </w:r>
      <w:proofErr w:type="spellStart"/>
      <w:r w:rsidRPr="009F4E78">
        <w:rPr>
          <w:i/>
        </w:rPr>
        <w:t>euro</w:t>
      </w:r>
      <w:proofErr w:type="spellEnd"/>
      <w:r w:rsidRPr="001104D6">
        <w:t xml:space="preserve"> </w:t>
      </w:r>
      <w:r>
        <w:t xml:space="preserve">apmērā. </w:t>
      </w:r>
    </w:p>
    <w:p w14:paraId="381BF8FC" w14:textId="7AD36EDA" w:rsidR="002A5E08" w:rsidRPr="005E6DD9" w:rsidRDefault="002A5E08" w:rsidP="007E056F">
      <w:pPr>
        <w:ind w:firstLine="720"/>
      </w:pPr>
      <w:r w:rsidRPr="00746F7D">
        <w:t>Ņemot vērā, ka nodokļa ieņēmumi 2021.</w:t>
      </w:r>
      <w:r w:rsidR="007E056F">
        <w:t xml:space="preserve"> </w:t>
      </w:r>
      <w:r w:rsidRPr="00746F7D">
        <w:t>gada februārī</w:t>
      </w:r>
      <w:r w:rsidRPr="00746F7D">
        <w:noBreakHyphen/>
        <w:t xml:space="preserve">jūnijā lielākoties atbilst plānam un </w:t>
      </w:r>
      <w:r>
        <w:t>2022. </w:t>
      </w:r>
      <w:r w:rsidRPr="00746F7D">
        <w:t>gad</w:t>
      </w:r>
      <w:r>
        <w:t>ā</w:t>
      </w:r>
      <w:r w:rsidRPr="00746F7D">
        <w:t xml:space="preserve"> nav </w:t>
      </w:r>
      <w:r>
        <w:t xml:space="preserve">plānotas </w:t>
      </w:r>
      <w:r w:rsidRPr="00746F7D">
        <w:t>nodokļa likmju izmaiņas, prognozē</w:t>
      </w:r>
      <w:r>
        <w:t>jams, ka nodokļa ieņēmumi 2022. </w:t>
      </w:r>
      <w:r w:rsidRPr="00746F7D">
        <w:t>gadā būs iepriekš plānotajā apmērā</w:t>
      </w:r>
      <w:r>
        <w:t xml:space="preserve"> (skat. 3.14. tabulu). </w:t>
      </w:r>
      <w:r w:rsidRPr="003A39D3">
        <w:t>Saskaņā ar likumprojektu „Par valsts budžetu 2022</w:t>
      </w:r>
      <w:r>
        <w:t>. gad</w:t>
      </w:r>
      <w:r w:rsidRPr="003A39D3">
        <w:t xml:space="preserve">am” transportlīdzekļu ekspluatācijas nodokļa </w:t>
      </w:r>
      <w:r w:rsidRPr="005E6DD9">
        <w:t>ieņēmumi 2022</w:t>
      </w:r>
      <w:r>
        <w:t>. gad</w:t>
      </w:r>
      <w:r w:rsidRPr="005E6DD9">
        <w:t>ā tiek plānoti 106,1</w:t>
      </w:r>
      <w:r>
        <w:t> milj. </w:t>
      </w:r>
      <w:proofErr w:type="spellStart"/>
      <w:r w:rsidRPr="00D705E7">
        <w:rPr>
          <w:i/>
        </w:rPr>
        <w:t>euro</w:t>
      </w:r>
      <w:proofErr w:type="spellEnd"/>
      <w:r w:rsidRPr="005E6DD9">
        <w:t>, kas salīdzinājumā prognozi 2021</w:t>
      </w:r>
      <w:r>
        <w:t>. gad</w:t>
      </w:r>
      <w:r w:rsidRPr="005E6DD9">
        <w:t>am prognozi ir par 4,0</w:t>
      </w:r>
      <w:r>
        <w:t> milj. </w:t>
      </w:r>
      <w:proofErr w:type="spellStart"/>
      <w:r w:rsidRPr="00D705E7">
        <w:rPr>
          <w:i/>
        </w:rPr>
        <w:t>euro</w:t>
      </w:r>
      <w:proofErr w:type="spellEnd"/>
      <w:r w:rsidRPr="005E6DD9">
        <w:t xml:space="preserve"> jeb 3,9%</w:t>
      </w:r>
      <w:r w:rsidRPr="005E6DD9" w:rsidDel="0045001E">
        <w:t xml:space="preserve"> </w:t>
      </w:r>
      <w:r w:rsidRPr="005E6DD9">
        <w:t>vairāk.</w:t>
      </w:r>
      <w:r w:rsidRPr="006254C2">
        <w:t xml:space="preserve"> </w:t>
      </w:r>
      <w:r>
        <w:t>T</w:t>
      </w:r>
      <w:r w:rsidRPr="00FE2FBA">
        <w:t xml:space="preserve">ransportlīdzekļu ekspluatācijas nodokļa </w:t>
      </w:r>
      <w:r w:rsidRPr="00F11E53">
        <w:t>2022</w:t>
      </w:r>
      <w:r>
        <w:t xml:space="preserve">. gada </w:t>
      </w:r>
      <w:r w:rsidRPr="00F11E53">
        <w:t xml:space="preserve">ieņēmumu </w:t>
      </w:r>
      <w:r w:rsidRPr="00F11E53">
        <w:lastRenderedPageBreak/>
        <w:t>plānu</w:t>
      </w:r>
      <w:r>
        <w:t xml:space="preserve"> </w:t>
      </w:r>
      <w:r w:rsidRPr="0043231D">
        <w:rPr>
          <w:szCs w:val="24"/>
        </w:rPr>
        <w:t xml:space="preserve">ietekmēs </w:t>
      </w:r>
      <w:r>
        <w:rPr>
          <w:szCs w:val="24"/>
        </w:rPr>
        <w:t xml:space="preserve">prognozējamas </w:t>
      </w:r>
      <w:r w:rsidRPr="00311975">
        <w:rPr>
          <w:szCs w:val="24"/>
        </w:rPr>
        <w:t>ar nodokli apliekamo transportlīdzekļu struktūra</w:t>
      </w:r>
      <w:r>
        <w:rPr>
          <w:szCs w:val="24"/>
        </w:rPr>
        <w:t>s</w:t>
      </w:r>
      <w:r w:rsidRPr="00311975">
        <w:rPr>
          <w:szCs w:val="24"/>
        </w:rPr>
        <w:t xml:space="preserve"> un skaita pārmaiņas</w:t>
      </w:r>
      <w:r>
        <w:rPr>
          <w:szCs w:val="24"/>
        </w:rPr>
        <w:t>, kā arī</w:t>
      </w:r>
      <w:r w:rsidRPr="0043231D">
        <w:rPr>
          <w:szCs w:val="24"/>
        </w:rPr>
        <w:t xml:space="preserve"> 2021</w:t>
      </w:r>
      <w:r>
        <w:rPr>
          <w:szCs w:val="24"/>
        </w:rPr>
        <w:t>. gad</w:t>
      </w:r>
      <w:r w:rsidRPr="0043231D">
        <w:rPr>
          <w:szCs w:val="24"/>
        </w:rPr>
        <w:t>a pirmā pusgada izpilde</w:t>
      </w:r>
      <w:r w:rsidRPr="00FE2FBA">
        <w:rPr>
          <w:rFonts w:eastAsia="Calibri"/>
          <w:szCs w:val="24"/>
        </w:rPr>
        <w:t>.</w:t>
      </w:r>
    </w:p>
    <w:p w14:paraId="242BB40A" w14:textId="77777777" w:rsidR="002A5E08" w:rsidRPr="00E86687" w:rsidRDefault="002A5E08" w:rsidP="002A5E08">
      <w:pPr>
        <w:keepNext/>
        <w:spacing w:before="240" w:after="240"/>
        <w:ind w:firstLine="0"/>
        <w:jc w:val="center"/>
        <w:rPr>
          <w:b/>
          <w:i/>
          <w:szCs w:val="24"/>
        </w:rPr>
      </w:pPr>
      <w:r w:rsidRPr="00E86687">
        <w:rPr>
          <w:b/>
          <w:i/>
          <w:szCs w:val="24"/>
        </w:rPr>
        <w:t>3.14. tabula. Transportlīdzekļa ekspluatācijas nodokļa ieņēmumi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4661"/>
        <w:gridCol w:w="1100"/>
        <w:gridCol w:w="1100"/>
        <w:gridCol w:w="1100"/>
        <w:gridCol w:w="1100"/>
      </w:tblGrid>
      <w:tr w:rsidR="002A5E08" w:rsidRPr="00E86687" w14:paraId="3071AC22" w14:textId="77777777" w:rsidTr="007E056F">
        <w:trPr>
          <w:cantSplit/>
          <w:trHeight w:val="20"/>
          <w:jc w:val="center"/>
        </w:trPr>
        <w:tc>
          <w:tcPr>
            <w:tcW w:w="2572" w:type="pct"/>
            <w:vMerge w:val="restart"/>
            <w:shd w:val="clear" w:color="auto" w:fill="B8CCE4" w:themeFill="accent1" w:themeFillTint="66"/>
          </w:tcPr>
          <w:p w14:paraId="3BA6AAF7" w14:textId="77777777" w:rsidR="002A5E08" w:rsidRPr="00E86687" w:rsidRDefault="002A5E08" w:rsidP="00970743">
            <w:pPr>
              <w:pStyle w:val="tabtekst"/>
              <w:keepNext/>
              <w:rPr>
                <w:b/>
                <w:color w:val="auto"/>
                <w:sz w:val="18"/>
                <w:szCs w:val="18"/>
              </w:rPr>
            </w:pPr>
          </w:p>
        </w:tc>
        <w:tc>
          <w:tcPr>
            <w:tcW w:w="607" w:type="pct"/>
            <w:tcBorders>
              <w:bottom w:val="single" w:sz="4" w:space="0" w:color="auto"/>
            </w:tcBorders>
            <w:shd w:val="clear" w:color="auto" w:fill="B8CCE4" w:themeFill="accent1" w:themeFillTint="66"/>
            <w:vAlign w:val="center"/>
          </w:tcPr>
          <w:p w14:paraId="03F99C94" w14:textId="77777777" w:rsidR="002A5E08" w:rsidRPr="00E86687" w:rsidRDefault="002A5E08" w:rsidP="00970743">
            <w:pPr>
              <w:pStyle w:val="tabtekst"/>
              <w:keepNext/>
              <w:jc w:val="center"/>
              <w:rPr>
                <w:b/>
                <w:color w:val="auto"/>
                <w:sz w:val="18"/>
                <w:szCs w:val="18"/>
              </w:rPr>
            </w:pPr>
            <w:r w:rsidRPr="00E86687">
              <w:rPr>
                <w:b/>
                <w:color w:val="auto"/>
                <w:sz w:val="18"/>
                <w:szCs w:val="18"/>
              </w:rPr>
              <w:t>2019</w:t>
            </w:r>
          </w:p>
        </w:tc>
        <w:tc>
          <w:tcPr>
            <w:tcW w:w="607" w:type="pct"/>
            <w:tcBorders>
              <w:bottom w:val="single" w:sz="4" w:space="0" w:color="auto"/>
            </w:tcBorders>
            <w:shd w:val="clear" w:color="auto" w:fill="B8CCE4" w:themeFill="accent1" w:themeFillTint="66"/>
            <w:vAlign w:val="center"/>
          </w:tcPr>
          <w:p w14:paraId="19F87AE3" w14:textId="77777777" w:rsidR="002A5E08" w:rsidRPr="00E86687" w:rsidRDefault="002A5E08" w:rsidP="00970743">
            <w:pPr>
              <w:pStyle w:val="tabtekst"/>
              <w:keepNext/>
              <w:jc w:val="center"/>
              <w:rPr>
                <w:b/>
                <w:color w:val="auto"/>
                <w:sz w:val="18"/>
                <w:szCs w:val="18"/>
              </w:rPr>
            </w:pPr>
            <w:r w:rsidRPr="00E86687">
              <w:rPr>
                <w:b/>
                <w:color w:val="auto"/>
                <w:sz w:val="18"/>
                <w:szCs w:val="18"/>
              </w:rPr>
              <w:t>2020</w:t>
            </w:r>
          </w:p>
        </w:tc>
        <w:tc>
          <w:tcPr>
            <w:tcW w:w="607" w:type="pct"/>
            <w:shd w:val="clear" w:color="auto" w:fill="B8CCE4" w:themeFill="accent1" w:themeFillTint="66"/>
            <w:vAlign w:val="center"/>
          </w:tcPr>
          <w:p w14:paraId="6C8F14E1" w14:textId="77777777" w:rsidR="002A5E08" w:rsidRPr="00E86687" w:rsidRDefault="002A5E08" w:rsidP="00970743">
            <w:pPr>
              <w:pStyle w:val="tabtekst"/>
              <w:keepNext/>
              <w:jc w:val="center"/>
              <w:rPr>
                <w:b/>
                <w:color w:val="auto"/>
                <w:sz w:val="18"/>
                <w:szCs w:val="18"/>
              </w:rPr>
            </w:pPr>
            <w:r w:rsidRPr="00E86687">
              <w:rPr>
                <w:b/>
                <w:color w:val="auto"/>
                <w:sz w:val="18"/>
                <w:szCs w:val="18"/>
              </w:rPr>
              <w:t>2021</w:t>
            </w:r>
          </w:p>
        </w:tc>
        <w:tc>
          <w:tcPr>
            <w:tcW w:w="607" w:type="pct"/>
            <w:shd w:val="clear" w:color="auto" w:fill="B8CCE4" w:themeFill="accent1" w:themeFillTint="66"/>
            <w:vAlign w:val="center"/>
          </w:tcPr>
          <w:p w14:paraId="4820E157" w14:textId="77777777" w:rsidR="002A5E08" w:rsidRPr="00E86687" w:rsidRDefault="002A5E08" w:rsidP="00970743">
            <w:pPr>
              <w:pStyle w:val="tabtekst"/>
              <w:keepNext/>
              <w:jc w:val="center"/>
              <w:rPr>
                <w:b/>
                <w:color w:val="auto"/>
                <w:sz w:val="18"/>
                <w:szCs w:val="18"/>
              </w:rPr>
            </w:pPr>
            <w:r w:rsidRPr="00E86687">
              <w:rPr>
                <w:b/>
                <w:color w:val="auto"/>
                <w:sz w:val="18"/>
                <w:szCs w:val="18"/>
              </w:rPr>
              <w:t>2022</w:t>
            </w:r>
          </w:p>
        </w:tc>
      </w:tr>
      <w:tr w:rsidR="002A5E08" w:rsidRPr="00E86687" w14:paraId="462DFBF3" w14:textId="77777777" w:rsidTr="007E056F">
        <w:trPr>
          <w:cantSplit/>
          <w:trHeight w:val="20"/>
          <w:jc w:val="center"/>
        </w:trPr>
        <w:tc>
          <w:tcPr>
            <w:tcW w:w="2572" w:type="pct"/>
            <w:vMerge/>
            <w:shd w:val="clear" w:color="auto" w:fill="B8CCE4" w:themeFill="accent1" w:themeFillTint="66"/>
          </w:tcPr>
          <w:p w14:paraId="13E572EA" w14:textId="77777777" w:rsidR="002A5E08" w:rsidRPr="00E86687" w:rsidRDefault="002A5E08" w:rsidP="00970743">
            <w:pPr>
              <w:pStyle w:val="tabtekst"/>
              <w:keepNext/>
              <w:rPr>
                <w:b/>
                <w:color w:val="auto"/>
                <w:sz w:val="18"/>
                <w:szCs w:val="18"/>
              </w:rPr>
            </w:pPr>
          </w:p>
        </w:tc>
        <w:tc>
          <w:tcPr>
            <w:tcW w:w="1214" w:type="pct"/>
            <w:gridSpan w:val="2"/>
            <w:tcBorders>
              <w:bottom w:val="single" w:sz="4" w:space="0" w:color="auto"/>
            </w:tcBorders>
            <w:shd w:val="clear" w:color="auto" w:fill="B8CCE4" w:themeFill="accent1" w:themeFillTint="66"/>
            <w:vAlign w:val="center"/>
          </w:tcPr>
          <w:p w14:paraId="64763753" w14:textId="77777777" w:rsidR="002A5E08" w:rsidRPr="00E86687" w:rsidRDefault="002A5E08" w:rsidP="00970743">
            <w:pPr>
              <w:pStyle w:val="tabtekst"/>
              <w:keepNext/>
              <w:jc w:val="center"/>
              <w:rPr>
                <w:b/>
                <w:color w:val="auto"/>
                <w:sz w:val="18"/>
                <w:szCs w:val="18"/>
              </w:rPr>
            </w:pPr>
            <w:r w:rsidRPr="00E86687">
              <w:rPr>
                <w:color w:val="auto"/>
                <w:sz w:val="18"/>
                <w:szCs w:val="18"/>
              </w:rPr>
              <w:t>fakts</w:t>
            </w:r>
          </w:p>
        </w:tc>
        <w:tc>
          <w:tcPr>
            <w:tcW w:w="607" w:type="pct"/>
            <w:shd w:val="clear" w:color="auto" w:fill="B8CCE4" w:themeFill="accent1" w:themeFillTint="66"/>
            <w:vAlign w:val="center"/>
          </w:tcPr>
          <w:p w14:paraId="26354D76" w14:textId="77777777" w:rsidR="002A5E08" w:rsidRPr="00E86687" w:rsidRDefault="002A5E08" w:rsidP="00970743">
            <w:pPr>
              <w:pStyle w:val="tabtekst"/>
              <w:keepNext/>
              <w:jc w:val="center"/>
              <w:rPr>
                <w:b/>
                <w:color w:val="auto"/>
                <w:sz w:val="18"/>
                <w:szCs w:val="18"/>
              </w:rPr>
            </w:pPr>
            <w:r w:rsidRPr="00E86687">
              <w:rPr>
                <w:color w:val="auto"/>
                <w:sz w:val="18"/>
                <w:szCs w:val="18"/>
              </w:rPr>
              <w:t>prognoze</w:t>
            </w:r>
          </w:p>
        </w:tc>
        <w:tc>
          <w:tcPr>
            <w:tcW w:w="607" w:type="pct"/>
            <w:shd w:val="clear" w:color="auto" w:fill="B8CCE4" w:themeFill="accent1" w:themeFillTint="66"/>
            <w:vAlign w:val="center"/>
          </w:tcPr>
          <w:p w14:paraId="65E96754" w14:textId="77777777" w:rsidR="002A5E08" w:rsidRPr="00E86687" w:rsidRDefault="002A5E08" w:rsidP="00970743">
            <w:pPr>
              <w:pStyle w:val="tabtekst"/>
              <w:keepNext/>
              <w:jc w:val="center"/>
              <w:rPr>
                <w:b/>
                <w:color w:val="auto"/>
                <w:sz w:val="18"/>
                <w:szCs w:val="18"/>
              </w:rPr>
            </w:pPr>
            <w:r w:rsidRPr="00E86687">
              <w:rPr>
                <w:color w:val="auto"/>
                <w:sz w:val="18"/>
                <w:szCs w:val="18"/>
              </w:rPr>
              <w:t>plāns</w:t>
            </w:r>
            <w:r w:rsidRPr="00FE519F">
              <w:rPr>
                <w:sz w:val="18"/>
                <w:szCs w:val="18"/>
                <w:vertAlign w:val="superscript"/>
              </w:rPr>
              <w:t>1</w:t>
            </w:r>
          </w:p>
        </w:tc>
      </w:tr>
      <w:tr w:rsidR="002A5E08" w:rsidRPr="00E86687" w14:paraId="6710E752" w14:textId="77777777" w:rsidTr="00970743">
        <w:trPr>
          <w:cantSplit/>
          <w:trHeight w:val="20"/>
          <w:jc w:val="center"/>
        </w:trPr>
        <w:tc>
          <w:tcPr>
            <w:tcW w:w="2572" w:type="pct"/>
            <w:shd w:val="clear" w:color="auto" w:fill="auto"/>
            <w:vAlign w:val="center"/>
          </w:tcPr>
          <w:p w14:paraId="6D276B79" w14:textId="77777777" w:rsidR="002A5E08" w:rsidRPr="00E86687" w:rsidRDefault="002A5E08" w:rsidP="00970743">
            <w:pPr>
              <w:pStyle w:val="tabtekst"/>
              <w:keepNext/>
              <w:rPr>
                <w:color w:val="auto"/>
                <w:sz w:val="18"/>
                <w:szCs w:val="18"/>
              </w:rPr>
            </w:pPr>
            <w:r w:rsidRPr="00E86687">
              <w:rPr>
                <w:color w:val="auto"/>
                <w:sz w:val="18"/>
                <w:szCs w:val="18"/>
                <w:lang w:eastAsia="lv-LV"/>
              </w:rPr>
              <w:t>milj</w:t>
            </w:r>
            <w:r>
              <w:rPr>
                <w:color w:val="auto"/>
                <w:sz w:val="18"/>
                <w:szCs w:val="18"/>
                <w:lang w:eastAsia="lv-LV"/>
              </w:rPr>
              <w:t>. </w:t>
            </w:r>
            <w:proofErr w:type="spellStart"/>
            <w:r w:rsidRPr="00D705E7">
              <w:rPr>
                <w:i/>
                <w:color w:val="auto"/>
                <w:sz w:val="18"/>
                <w:szCs w:val="18"/>
                <w:lang w:eastAsia="lv-LV"/>
              </w:rPr>
              <w:t>euro</w:t>
            </w:r>
            <w:proofErr w:type="spellEnd"/>
          </w:p>
        </w:tc>
        <w:tc>
          <w:tcPr>
            <w:tcW w:w="607" w:type="pct"/>
            <w:tcBorders>
              <w:bottom w:val="single" w:sz="4" w:space="0" w:color="auto"/>
            </w:tcBorders>
            <w:shd w:val="clear" w:color="auto" w:fill="auto"/>
          </w:tcPr>
          <w:p w14:paraId="1C52E4C4" w14:textId="77777777" w:rsidR="002A5E08" w:rsidRPr="00E86687" w:rsidRDefault="002A5E08" w:rsidP="00970743">
            <w:pPr>
              <w:keepNext/>
              <w:keepLines/>
              <w:tabs>
                <w:tab w:val="decimal" w:pos="547"/>
              </w:tabs>
              <w:spacing w:after="0"/>
              <w:ind w:firstLine="0"/>
              <w:jc w:val="right"/>
              <w:rPr>
                <w:sz w:val="18"/>
                <w:szCs w:val="18"/>
              </w:rPr>
            </w:pPr>
            <w:r w:rsidRPr="00E86687">
              <w:rPr>
                <w:sz w:val="18"/>
                <w:szCs w:val="18"/>
              </w:rPr>
              <w:t>95,3</w:t>
            </w:r>
          </w:p>
        </w:tc>
        <w:tc>
          <w:tcPr>
            <w:tcW w:w="607" w:type="pct"/>
            <w:tcBorders>
              <w:bottom w:val="single" w:sz="4" w:space="0" w:color="auto"/>
            </w:tcBorders>
            <w:shd w:val="clear" w:color="auto" w:fill="auto"/>
          </w:tcPr>
          <w:p w14:paraId="331EE495" w14:textId="77777777" w:rsidR="002A5E08" w:rsidRPr="00E86687" w:rsidRDefault="002A5E08" w:rsidP="00970743">
            <w:pPr>
              <w:keepNext/>
              <w:keepLines/>
              <w:tabs>
                <w:tab w:val="decimal" w:pos="547"/>
              </w:tabs>
              <w:spacing w:after="0"/>
              <w:ind w:firstLine="0"/>
              <w:jc w:val="right"/>
              <w:rPr>
                <w:sz w:val="18"/>
                <w:szCs w:val="18"/>
              </w:rPr>
            </w:pPr>
            <w:r w:rsidRPr="00E86687">
              <w:rPr>
                <w:sz w:val="18"/>
                <w:szCs w:val="18"/>
              </w:rPr>
              <w:t>97,4</w:t>
            </w:r>
          </w:p>
        </w:tc>
        <w:tc>
          <w:tcPr>
            <w:tcW w:w="607" w:type="pct"/>
            <w:tcBorders>
              <w:bottom w:val="single" w:sz="4" w:space="0" w:color="auto"/>
            </w:tcBorders>
          </w:tcPr>
          <w:p w14:paraId="4333F681" w14:textId="77777777" w:rsidR="002A5E08" w:rsidRPr="00E86687" w:rsidRDefault="002A5E08" w:rsidP="00970743">
            <w:pPr>
              <w:keepNext/>
              <w:keepLines/>
              <w:tabs>
                <w:tab w:val="decimal" w:pos="547"/>
              </w:tabs>
              <w:spacing w:after="0"/>
              <w:ind w:firstLine="0"/>
              <w:jc w:val="right"/>
              <w:rPr>
                <w:sz w:val="18"/>
                <w:szCs w:val="18"/>
              </w:rPr>
            </w:pPr>
            <w:r w:rsidRPr="00E86687">
              <w:rPr>
                <w:sz w:val="18"/>
                <w:szCs w:val="18"/>
              </w:rPr>
              <w:t>102,2</w:t>
            </w:r>
          </w:p>
        </w:tc>
        <w:tc>
          <w:tcPr>
            <w:tcW w:w="607" w:type="pct"/>
            <w:tcBorders>
              <w:bottom w:val="single" w:sz="4" w:space="0" w:color="auto"/>
            </w:tcBorders>
            <w:shd w:val="clear" w:color="auto" w:fill="auto"/>
          </w:tcPr>
          <w:p w14:paraId="3B848C8E" w14:textId="77777777" w:rsidR="002A5E08" w:rsidRPr="00E86687" w:rsidRDefault="002A5E08" w:rsidP="00970743">
            <w:pPr>
              <w:keepNext/>
              <w:keepLines/>
              <w:tabs>
                <w:tab w:val="decimal" w:pos="547"/>
              </w:tabs>
              <w:spacing w:after="0"/>
              <w:ind w:firstLine="0"/>
              <w:jc w:val="right"/>
              <w:rPr>
                <w:sz w:val="18"/>
                <w:szCs w:val="18"/>
              </w:rPr>
            </w:pPr>
            <w:r w:rsidRPr="00E86687">
              <w:rPr>
                <w:sz w:val="18"/>
                <w:szCs w:val="18"/>
              </w:rPr>
              <w:t>106,1</w:t>
            </w:r>
          </w:p>
        </w:tc>
      </w:tr>
      <w:tr w:rsidR="002A5E08" w:rsidRPr="00E86687" w14:paraId="29625438" w14:textId="77777777" w:rsidTr="00970743">
        <w:trPr>
          <w:cantSplit/>
          <w:trHeight w:val="20"/>
          <w:jc w:val="center"/>
        </w:trPr>
        <w:tc>
          <w:tcPr>
            <w:tcW w:w="2572" w:type="pct"/>
            <w:shd w:val="clear" w:color="auto" w:fill="auto"/>
            <w:vAlign w:val="center"/>
          </w:tcPr>
          <w:p w14:paraId="0E87166D" w14:textId="77777777" w:rsidR="002A5E08" w:rsidRPr="00E86687" w:rsidRDefault="002A5E08" w:rsidP="00970743">
            <w:pPr>
              <w:pStyle w:val="tabtekst"/>
              <w:keepNext/>
              <w:rPr>
                <w:i/>
                <w:color w:val="auto"/>
                <w:sz w:val="18"/>
                <w:szCs w:val="18"/>
              </w:rPr>
            </w:pPr>
            <w:r w:rsidRPr="00E86687">
              <w:rPr>
                <w:i/>
                <w:color w:val="auto"/>
                <w:sz w:val="18"/>
                <w:szCs w:val="18"/>
              </w:rPr>
              <w:t>pieauguma tempi faktiskās cenās, %</w:t>
            </w:r>
          </w:p>
        </w:tc>
        <w:tc>
          <w:tcPr>
            <w:tcW w:w="607" w:type="pct"/>
            <w:tcBorders>
              <w:top w:val="single" w:sz="4" w:space="0" w:color="auto"/>
              <w:left w:val="nil"/>
              <w:bottom w:val="single" w:sz="4" w:space="0" w:color="auto"/>
              <w:right w:val="single" w:sz="4" w:space="0" w:color="auto"/>
            </w:tcBorders>
            <w:shd w:val="clear" w:color="auto" w:fill="auto"/>
          </w:tcPr>
          <w:p w14:paraId="6F73FAB5"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1,1</w:t>
            </w: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4F65EAEA"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2,3</w:t>
            </w:r>
          </w:p>
        </w:tc>
        <w:tc>
          <w:tcPr>
            <w:tcW w:w="607" w:type="pct"/>
            <w:tcBorders>
              <w:top w:val="single" w:sz="4" w:space="0" w:color="auto"/>
              <w:left w:val="single" w:sz="4" w:space="0" w:color="auto"/>
              <w:bottom w:val="single" w:sz="4" w:space="0" w:color="auto"/>
              <w:right w:val="single" w:sz="4" w:space="0" w:color="auto"/>
            </w:tcBorders>
          </w:tcPr>
          <w:p w14:paraId="13F1E1E9"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4,8</w:t>
            </w: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41746563"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3,9</w:t>
            </w:r>
          </w:p>
        </w:tc>
      </w:tr>
      <w:tr w:rsidR="002A5E08" w:rsidRPr="00E86687" w14:paraId="527DC290" w14:textId="77777777" w:rsidTr="00970743">
        <w:trPr>
          <w:cantSplit/>
          <w:trHeight w:val="20"/>
          <w:jc w:val="center"/>
        </w:trPr>
        <w:tc>
          <w:tcPr>
            <w:tcW w:w="2572" w:type="pct"/>
            <w:vAlign w:val="center"/>
          </w:tcPr>
          <w:p w14:paraId="3C45A63C" w14:textId="77777777" w:rsidR="002A5E08" w:rsidRPr="00E86687" w:rsidRDefault="002A5E08" w:rsidP="00970743">
            <w:pPr>
              <w:pStyle w:val="tabtekst"/>
              <w:keepNext/>
              <w:rPr>
                <w:i/>
                <w:color w:val="auto"/>
                <w:sz w:val="18"/>
                <w:szCs w:val="18"/>
              </w:rPr>
            </w:pPr>
            <w:r w:rsidRPr="00E86687">
              <w:rPr>
                <w:i/>
                <w:color w:val="auto"/>
                <w:sz w:val="18"/>
                <w:szCs w:val="18"/>
              </w:rPr>
              <w:t>% no IKP</w:t>
            </w:r>
          </w:p>
        </w:tc>
        <w:tc>
          <w:tcPr>
            <w:tcW w:w="607" w:type="pct"/>
            <w:tcBorders>
              <w:top w:val="single" w:sz="4" w:space="0" w:color="auto"/>
              <w:left w:val="nil"/>
              <w:bottom w:val="single" w:sz="4" w:space="0" w:color="auto"/>
              <w:right w:val="single" w:sz="4" w:space="0" w:color="auto"/>
            </w:tcBorders>
            <w:shd w:val="clear" w:color="auto" w:fill="auto"/>
          </w:tcPr>
          <w:p w14:paraId="570726FC"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0,3</w:t>
            </w: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486F6D8F"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0,3</w:t>
            </w:r>
          </w:p>
        </w:tc>
        <w:tc>
          <w:tcPr>
            <w:tcW w:w="607" w:type="pct"/>
            <w:tcBorders>
              <w:top w:val="single" w:sz="4" w:space="0" w:color="auto"/>
              <w:left w:val="single" w:sz="4" w:space="0" w:color="auto"/>
              <w:bottom w:val="single" w:sz="4" w:space="0" w:color="auto"/>
              <w:right w:val="single" w:sz="4" w:space="0" w:color="auto"/>
            </w:tcBorders>
          </w:tcPr>
          <w:p w14:paraId="75CAE2E2"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0,3</w:t>
            </w: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036EF370"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0,3</w:t>
            </w:r>
          </w:p>
        </w:tc>
      </w:tr>
    </w:tbl>
    <w:p w14:paraId="3D9DF4F7" w14:textId="77777777" w:rsidR="002A5E08" w:rsidRPr="00120F96" w:rsidRDefault="002A5E08" w:rsidP="007E056F">
      <w:pPr>
        <w:spacing w:before="120" w:after="240"/>
        <w:ind w:left="425" w:firstLine="0"/>
        <w:jc w:val="left"/>
        <w:rPr>
          <w:sz w:val="18"/>
          <w:szCs w:val="18"/>
        </w:rPr>
      </w:pPr>
      <w:r w:rsidRPr="00FE519F">
        <w:rPr>
          <w:sz w:val="18"/>
          <w:szCs w:val="18"/>
          <w:vertAlign w:val="superscript"/>
        </w:rPr>
        <w:t>1</w:t>
      </w:r>
      <w:r>
        <w:rPr>
          <w:sz w:val="18"/>
          <w:szCs w:val="18"/>
        </w:rPr>
        <w:t xml:space="preserve"> S</w:t>
      </w:r>
      <w:r w:rsidRPr="00120F96">
        <w:rPr>
          <w:sz w:val="18"/>
          <w:szCs w:val="18"/>
        </w:rPr>
        <w:t>askaņā ar likumprojektu „Par valsts budžetu 2022. gadam”.</w:t>
      </w:r>
    </w:p>
    <w:p w14:paraId="6FCB7BB9" w14:textId="77777777" w:rsidR="002A5E08" w:rsidRPr="00856ECF" w:rsidRDefault="002A5E08" w:rsidP="007E056F">
      <w:pPr>
        <w:pStyle w:val="H4"/>
        <w:spacing w:before="240" w:after="240"/>
      </w:pPr>
      <w:r w:rsidRPr="00856ECF">
        <w:t>Uzņēmumu vieglo transportlīdzekļu nodoklis</w:t>
      </w:r>
    </w:p>
    <w:p w14:paraId="6C5659CC" w14:textId="77777777" w:rsidR="002A5E08" w:rsidRPr="009F4E78" w:rsidRDefault="002A5E08" w:rsidP="007E056F">
      <w:pPr>
        <w:ind w:firstLine="720"/>
      </w:pPr>
      <w:r w:rsidRPr="009F4E78">
        <w:t>Uzņēmumu vieglo transportlīdzekļu nodokļa</w:t>
      </w:r>
      <w:r w:rsidRPr="00AE2281">
        <w:t xml:space="preserve"> ieņēmumi 2021.</w:t>
      </w:r>
      <w:r>
        <w:t> </w:t>
      </w:r>
      <w:r w:rsidRPr="00AE2281">
        <w:t>gada sešos mēnešos</w:t>
      </w:r>
      <w:r>
        <w:t xml:space="preserve"> sastādīja 10,3 milj.</w:t>
      </w:r>
      <w:r w:rsidRPr="009F4E78">
        <w:t> </w:t>
      </w:r>
      <w:proofErr w:type="spellStart"/>
      <w:r w:rsidRPr="009F4E78">
        <w:rPr>
          <w:i/>
        </w:rPr>
        <w:t>euro</w:t>
      </w:r>
      <w:proofErr w:type="spellEnd"/>
      <w:r>
        <w:t>, kas salīdzinājumā ar 2020.gada 1. pusgadu ir par 0,2 milj.</w:t>
      </w:r>
      <w:r w:rsidRPr="009F4E78">
        <w:t> </w:t>
      </w:r>
      <w:proofErr w:type="spellStart"/>
      <w:r w:rsidRPr="009F4E78">
        <w:rPr>
          <w:i/>
        </w:rPr>
        <w:t>euro</w:t>
      </w:r>
      <w:proofErr w:type="spellEnd"/>
      <w:r>
        <w:t xml:space="preserve"> jeb 1,7% vairāk. Salīdzinājumā ar plānu 2021. gada 1. pusgadu ieņēmumi bija mazāki par 0,6 milj.</w:t>
      </w:r>
      <w:r w:rsidRPr="009F4E78">
        <w:t> </w:t>
      </w:r>
      <w:proofErr w:type="spellStart"/>
      <w:r w:rsidRPr="009F4E78">
        <w:rPr>
          <w:i/>
        </w:rPr>
        <w:t>euro</w:t>
      </w:r>
      <w:proofErr w:type="spellEnd"/>
      <w:r>
        <w:t xml:space="preserve"> jeb 5,3 procentiem. Nodokļa plāna neizpilde līdzīgi kā </w:t>
      </w:r>
      <w:r w:rsidRPr="009F4E78">
        <w:t xml:space="preserve">transportlīdzekļu ekspluatācijas nodokļa gadījumā </w:t>
      </w:r>
      <w:r>
        <w:t xml:space="preserve">izveidojās galvenokārt pateicoties zemākiem nekā bija plānots nodokļa ieņēmumiem janvārī un saistāma ar nodokļa likmju pieaugumu kopš gada </w:t>
      </w:r>
      <w:r w:rsidRPr="00255E57">
        <w:t>sākuma. Līdz</w:t>
      </w:r>
      <w:r w:rsidRPr="00746F7D">
        <w:t xml:space="preserve"> ar to prognoze 2021.</w:t>
      </w:r>
      <w:r>
        <w:t> </w:t>
      </w:r>
      <w:r w:rsidRPr="00746F7D">
        <w:t xml:space="preserve">gadam ir samazināta par </w:t>
      </w:r>
      <w:r>
        <w:t>0,4 milj.</w:t>
      </w:r>
      <w:r w:rsidRPr="009F4E78">
        <w:t> </w:t>
      </w:r>
      <w:proofErr w:type="spellStart"/>
      <w:r w:rsidRPr="009F4E78">
        <w:rPr>
          <w:i/>
        </w:rPr>
        <w:t>euro</w:t>
      </w:r>
      <w:proofErr w:type="spellEnd"/>
      <w:r w:rsidRPr="00746F7D">
        <w:t xml:space="preserve"> jeb 1,</w:t>
      </w:r>
      <w:r>
        <w:t>0</w:t>
      </w:r>
      <w:r w:rsidRPr="00746F7D">
        <w:t>% no plāna</w:t>
      </w:r>
      <w:r>
        <w:t xml:space="preserve"> un </w:t>
      </w:r>
      <w:r w:rsidRPr="001104D6">
        <w:t>nodok</w:t>
      </w:r>
      <w:r>
        <w:t>ļa ieņēmumi</w:t>
      </w:r>
      <w:r w:rsidRPr="001104D6">
        <w:t xml:space="preserve"> prognozēti</w:t>
      </w:r>
      <w:r>
        <w:t xml:space="preserve"> </w:t>
      </w:r>
      <w:r w:rsidRPr="001104D6">
        <w:t>22,9</w:t>
      </w:r>
      <w:r>
        <w:t> milj.</w:t>
      </w:r>
      <w:r w:rsidRPr="009F4E78">
        <w:t> </w:t>
      </w:r>
      <w:proofErr w:type="spellStart"/>
      <w:r w:rsidRPr="009F4E78">
        <w:rPr>
          <w:i/>
        </w:rPr>
        <w:t>euro</w:t>
      </w:r>
      <w:proofErr w:type="spellEnd"/>
      <w:r w:rsidRPr="001104D6">
        <w:t xml:space="preserve"> </w:t>
      </w:r>
      <w:r>
        <w:t>apmērā (skat. 3.15. tabulu).</w:t>
      </w:r>
    </w:p>
    <w:p w14:paraId="47BFCF09" w14:textId="77777777" w:rsidR="002A5E08" w:rsidRPr="00856ECF" w:rsidRDefault="002A5E08" w:rsidP="007E056F">
      <w:pPr>
        <w:ind w:firstLine="720"/>
        <w:rPr>
          <w:rFonts w:eastAsiaTheme="minorHAnsi"/>
          <w:szCs w:val="24"/>
          <w:highlight w:val="yellow"/>
        </w:rPr>
      </w:pPr>
      <w:r w:rsidRPr="00F11E53">
        <w:t>Saskaņā ar likumprojektu „Par valsts budžetu 2022</w:t>
      </w:r>
      <w:r>
        <w:t>. gad</w:t>
      </w:r>
      <w:r w:rsidRPr="00F11E53">
        <w:t>am” uzņēmumu vieglo transportlīdzekļu nodokļa ieņēmumi 2022</w:t>
      </w:r>
      <w:r>
        <w:t>. gad</w:t>
      </w:r>
      <w:r w:rsidRPr="00F11E53">
        <w:t xml:space="preserve">ā tiek </w:t>
      </w:r>
      <w:r w:rsidRPr="00E97916">
        <w:t>plānoti 22,9</w:t>
      </w:r>
      <w:r>
        <w:t> milj. </w:t>
      </w:r>
      <w:proofErr w:type="spellStart"/>
      <w:r w:rsidRPr="00D705E7">
        <w:rPr>
          <w:i/>
        </w:rPr>
        <w:t>euro</w:t>
      </w:r>
      <w:proofErr w:type="spellEnd"/>
      <w:r w:rsidRPr="00E97916">
        <w:t xml:space="preserve"> apmērā</w:t>
      </w:r>
      <w:r w:rsidRPr="0034655F">
        <w:t>, kas salīdzinājumā ar 2021</w:t>
      </w:r>
      <w:r>
        <w:t>. gad</w:t>
      </w:r>
      <w:r w:rsidRPr="0034655F">
        <w:t xml:space="preserve">a prognozētajiem ieņēmumiem ir par </w:t>
      </w:r>
      <w:r>
        <w:t>0,07 milj. </w:t>
      </w:r>
      <w:proofErr w:type="spellStart"/>
      <w:r w:rsidRPr="00D705E7">
        <w:rPr>
          <w:i/>
        </w:rPr>
        <w:t>euro</w:t>
      </w:r>
      <w:proofErr w:type="spellEnd"/>
      <w:r w:rsidRPr="0034655F">
        <w:t xml:space="preserve"> jeb</w:t>
      </w:r>
      <w:r>
        <w:t xml:space="preserve"> par</w:t>
      </w:r>
      <w:r w:rsidRPr="0034655F">
        <w:t xml:space="preserve"> </w:t>
      </w:r>
      <w:r>
        <w:t>0,3</w:t>
      </w:r>
      <w:r w:rsidRPr="0034655F">
        <w:t>% vairāk</w:t>
      </w:r>
      <w:r w:rsidRPr="00F11E53">
        <w:t>.</w:t>
      </w:r>
      <w:r w:rsidRPr="00B11F2E">
        <w:t xml:space="preserve"> </w:t>
      </w:r>
      <w:r>
        <w:t>U</w:t>
      </w:r>
      <w:r w:rsidRPr="00F11E53">
        <w:t>zņēmumu vieglo transportlīdzekļu nodokļa 2022</w:t>
      </w:r>
      <w:r>
        <w:t xml:space="preserve">. gada </w:t>
      </w:r>
      <w:r w:rsidRPr="00F11E53">
        <w:t>ieņēmumu plānu</w:t>
      </w:r>
      <w:r>
        <w:t xml:space="preserve"> </w:t>
      </w:r>
      <w:r w:rsidRPr="0043231D">
        <w:rPr>
          <w:szCs w:val="24"/>
        </w:rPr>
        <w:t xml:space="preserve">ietekmēs </w:t>
      </w:r>
      <w:r>
        <w:rPr>
          <w:szCs w:val="24"/>
        </w:rPr>
        <w:t xml:space="preserve">prognozētas </w:t>
      </w:r>
      <w:r w:rsidRPr="00311975">
        <w:rPr>
          <w:szCs w:val="24"/>
        </w:rPr>
        <w:t>ar nodokli apliekamo transportlīdzekļu struktūra</w:t>
      </w:r>
      <w:r>
        <w:rPr>
          <w:szCs w:val="24"/>
        </w:rPr>
        <w:t>s</w:t>
      </w:r>
      <w:r w:rsidRPr="00311975">
        <w:rPr>
          <w:szCs w:val="24"/>
        </w:rPr>
        <w:t xml:space="preserve"> un skaita</w:t>
      </w:r>
      <w:r>
        <w:rPr>
          <w:szCs w:val="24"/>
        </w:rPr>
        <w:t xml:space="preserve">, kā arī </w:t>
      </w:r>
      <w:r w:rsidRPr="0043231D">
        <w:rPr>
          <w:szCs w:val="24"/>
        </w:rPr>
        <w:t>2021</w:t>
      </w:r>
      <w:r>
        <w:rPr>
          <w:szCs w:val="24"/>
        </w:rPr>
        <w:t>. gad</w:t>
      </w:r>
      <w:r w:rsidRPr="0043231D">
        <w:rPr>
          <w:szCs w:val="24"/>
        </w:rPr>
        <w:t>a pirmā pusgada izpilde</w:t>
      </w:r>
      <w:r w:rsidRPr="00F11E53">
        <w:t>.</w:t>
      </w:r>
    </w:p>
    <w:p w14:paraId="247663B6" w14:textId="77777777" w:rsidR="002A5E08" w:rsidRPr="00E86687" w:rsidRDefault="002A5E08" w:rsidP="002A5E08">
      <w:pPr>
        <w:keepNext/>
        <w:spacing w:before="240" w:after="240"/>
        <w:ind w:firstLine="0"/>
        <w:jc w:val="center"/>
        <w:rPr>
          <w:b/>
          <w:i/>
          <w:szCs w:val="24"/>
        </w:rPr>
      </w:pPr>
      <w:r w:rsidRPr="00E86687">
        <w:rPr>
          <w:b/>
          <w:i/>
          <w:szCs w:val="24"/>
        </w:rPr>
        <w:t>3.15. tabula. Uzņēmumu vieglo transportlīdzekļu nodokļa ieņēmumi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4676"/>
        <w:gridCol w:w="1097"/>
        <w:gridCol w:w="1096"/>
        <w:gridCol w:w="1096"/>
        <w:gridCol w:w="1096"/>
      </w:tblGrid>
      <w:tr w:rsidR="002A5E08" w:rsidRPr="00E86687" w14:paraId="6B9A0C3D" w14:textId="77777777" w:rsidTr="007D50F1">
        <w:trPr>
          <w:cantSplit/>
          <w:trHeight w:val="20"/>
          <w:jc w:val="center"/>
        </w:trPr>
        <w:tc>
          <w:tcPr>
            <w:tcW w:w="2580" w:type="pct"/>
            <w:vMerge w:val="restart"/>
            <w:shd w:val="clear" w:color="auto" w:fill="B8CCE4" w:themeFill="accent1" w:themeFillTint="66"/>
          </w:tcPr>
          <w:p w14:paraId="6CDC15FB" w14:textId="77777777" w:rsidR="002A5E08" w:rsidRPr="00E86687" w:rsidRDefault="002A5E08" w:rsidP="00970743">
            <w:pPr>
              <w:pStyle w:val="tabtekst"/>
              <w:keepNext/>
              <w:keepLines/>
              <w:rPr>
                <w:b/>
                <w:color w:val="auto"/>
                <w:sz w:val="18"/>
                <w:szCs w:val="18"/>
              </w:rPr>
            </w:pPr>
          </w:p>
        </w:tc>
        <w:tc>
          <w:tcPr>
            <w:tcW w:w="605" w:type="pct"/>
            <w:tcBorders>
              <w:bottom w:val="single" w:sz="4" w:space="0" w:color="auto"/>
            </w:tcBorders>
            <w:shd w:val="clear" w:color="auto" w:fill="B8CCE4" w:themeFill="accent1" w:themeFillTint="66"/>
          </w:tcPr>
          <w:p w14:paraId="5244285B" w14:textId="77777777" w:rsidR="002A5E08" w:rsidRPr="00E86687" w:rsidRDefault="002A5E08" w:rsidP="00970743">
            <w:pPr>
              <w:pStyle w:val="tabtekst"/>
              <w:keepNext/>
              <w:keepLines/>
              <w:jc w:val="center"/>
              <w:rPr>
                <w:b/>
                <w:color w:val="auto"/>
                <w:sz w:val="18"/>
                <w:szCs w:val="18"/>
              </w:rPr>
            </w:pPr>
            <w:r w:rsidRPr="00E86687">
              <w:rPr>
                <w:b/>
                <w:color w:val="auto"/>
                <w:sz w:val="18"/>
                <w:szCs w:val="18"/>
              </w:rPr>
              <w:t>2019</w:t>
            </w:r>
          </w:p>
        </w:tc>
        <w:tc>
          <w:tcPr>
            <w:tcW w:w="605" w:type="pct"/>
            <w:tcBorders>
              <w:bottom w:val="single" w:sz="4" w:space="0" w:color="auto"/>
            </w:tcBorders>
            <w:shd w:val="clear" w:color="auto" w:fill="B8CCE4" w:themeFill="accent1" w:themeFillTint="66"/>
          </w:tcPr>
          <w:p w14:paraId="1BCD13BC" w14:textId="77777777" w:rsidR="002A5E08" w:rsidRPr="00E86687" w:rsidRDefault="002A5E08" w:rsidP="00970743">
            <w:pPr>
              <w:pStyle w:val="tabtekst"/>
              <w:keepNext/>
              <w:keepLines/>
              <w:jc w:val="center"/>
              <w:rPr>
                <w:b/>
                <w:color w:val="auto"/>
                <w:sz w:val="18"/>
                <w:szCs w:val="18"/>
              </w:rPr>
            </w:pPr>
            <w:r w:rsidRPr="00E86687">
              <w:rPr>
                <w:b/>
                <w:color w:val="auto"/>
                <w:sz w:val="18"/>
                <w:szCs w:val="18"/>
              </w:rPr>
              <w:t>2020</w:t>
            </w:r>
          </w:p>
        </w:tc>
        <w:tc>
          <w:tcPr>
            <w:tcW w:w="605" w:type="pct"/>
            <w:shd w:val="clear" w:color="auto" w:fill="B8CCE4" w:themeFill="accent1" w:themeFillTint="66"/>
          </w:tcPr>
          <w:p w14:paraId="257AE39F" w14:textId="77777777" w:rsidR="002A5E08" w:rsidRPr="00E86687" w:rsidRDefault="002A5E08" w:rsidP="00970743">
            <w:pPr>
              <w:pStyle w:val="tabtekst"/>
              <w:keepNext/>
              <w:keepLines/>
              <w:jc w:val="center"/>
              <w:rPr>
                <w:b/>
                <w:color w:val="auto"/>
                <w:sz w:val="18"/>
                <w:szCs w:val="18"/>
              </w:rPr>
            </w:pPr>
            <w:r w:rsidRPr="00E86687">
              <w:rPr>
                <w:b/>
                <w:color w:val="auto"/>
                <w:sz w:val="18"/>
                <w:szCs w:val="18"/>
              </w:rPr>
              <w:t>2021</w:t>
            </w:r>
          </w:p>
        </w:tc>
        <w:tc>
          <w:tcPr>
            <w:tcW w:w="605" w:type="pct"/>
            <w:shd w:val="clear" w:color="auto" w:fill="B8CCE4" w:themeFill="accent1" w:themeFillTint="66"/>
          </w:tcPr>
          <w:p w14:paraId="767B19CF" w14:textId="77777777" w:rsidR="002A5E08" w:rsidRPr="00E86687" w:rsidRDefault="002A5E08" w:rsidP="00970743">
            <w:pPr>
              <w:pStyle w:val="tabtekst"/>
              <w:keepNext/>
              <w:keepLines/>
              <w:jc w:val="center"/>
              <w:rPr>
                <w:b/>
                <w:color w:val="auto"/>
                <w:sz w:val="18"/>
                <w:szCs w:val="18"/>
              </w:rPr>
            </w:pPr>
            <w:r w:rsidRPr="00E86687">
              <w:rPr>
                <w:b/>
                <w:color w:val="auto"/>
                <w:sz w:val="18"/>
                <w:szCs w:val="18"/>
              </w:rPr>
              <w:t>2022</w:t>
            </w:r>
          </w:p>
        </w:tc>
      </w:tr>
      <w:tr w:rsidR="002A5E08" w:rsidRPr="00E86687" w14:paraId="5C7AA3FB" w14:textId="77777777" w:rsidTr="007D50F1">
        <w:trPr>
          <w:cantSplit/>
          <w:trHeight w:val="20"/>
          <w:jc w:val="center"/>
        </w:trPr>
        <w:tc>
          <w:tcPr>
            <w:tcW w:w="2580" w:type="pct"/>
            <w:vMerge/>
            <w:shd w:val="clear" w:color="auto" w:fill="B8CCE4" w:themeFill="accent1" w:themeFillTint="66"/>
          </w:tcPr>
          <w:p w14:paraId="0FD46BAF" w14:textId="77777777" w:rsidR="002A5E08" w:rsidRPr="00E86687" w:rsidRDefault="002A5E08" w:rsidP="00970743">
            <w:pPr>
              <w:pStyle w:val="tabtekst"/>
              <w:keepNext/>
              <w:keepLines/>
              <w:rPr>
                <w:b/>
                <w:color w:val="auto"/>
                <w:sz w:val="18"/>
                <w:szCs w:val="18"/>
              </w:rPr>
            </w:pPr>
          </w:p>
        </w:tc>
        <w:tc>
          <w:tcPr>
            <w:tcW w:w="1210" w:type="pct"/>
            <w:gridSpan w:val="2"/>
            <w:tcBorders>
              <w:bottom w:val="single" w:sz="4" w:space="0" w:color="auto"/>
            </w:tcBorders>
            <w:shd w:val="clear" w:color="auto" w:fill="B8CCE4" w:themeFill="accent1" w:themeFillTint="66"/>
          </w:tcPr>
          <w:p w14:paraId="6333E539" w14:textId="77777777" w:rsidR="002A5E08" w:rsidRPr="00E86687" w:rsidRDefault="002A5E08" w:rsidP="00970743">
            <w:pPr>
              <w:pStyle w:val="tabtekst"/>
              <w:keepNext/>
              <w:keepLines/>
              <w:jc w:val="center"/>
              <w:rPr>
                <w:b/>
                <w:color w:val="auto"/>
                <w:sz w:val="18"/>
                <w:szCs w:val="18"/>
              </w:rPr>
            </w:pPr>
            <w:r w:rsidRPr="00E86687">
              <w:rPr>
                <w:color w:val="auto"/>
                <w:sz w:val="18"/>
                <w:szCs w:val="18"/>
              </w:rPr>
              <w:t>fakts</w:t>
            </w:r>
          </w:p>
        </w:tc>
        <w:tc>
          <w:tcPr>
            <w:tcW w:w="605" w:type="pct"/>
            <w:shd w:val="clear" w:color="auto" w:fill="B8CCE4" w:themeFill="accent1" w:themeFillTint="66"/>
          </w:tcPr>
          <w:p w14:paraId="58EDB4F1" w14:textId="77777777" w:rsidR="002A5E08" w:rsidRPr="00E86687" w:rsidRDefault="002A5E08" w:rsidP="00970743">
            <w:pPr>
              <w:pStyle w:val="tabtekst"/>
              <w:keepNext/>
              <w:keepLines/>
              <w:jc w:val="center"/>
              <w:rPr>
                <w:b/>
                <w:color w:val="auto"/>
                <w:sz w:val="18"/>
                <w:szCs w:val="18"/>
              </w:rPr>
            </w:pPr>
            <w:r w:rsidRPr="00E86687">
              <w:rPr>
                <w:color w:val="auto"/>
                <w:sz w:val="18"/>
                <w:szCs w:val="18"/>
              </w:rPr>
              <w:t>prognoze</w:t>
            </w:r>
          </w:p>
        </w:tc>
        <w:tc>
          <w:tcPr>
            <w:tcW w:w="605" w:type="pct"/>
            <w:shd w:val="clear" w:color="auto" w:fill="B8CCE4" w:themeFill="accent1" w:themeFillTint="66"/>
          </w:tcPr>
          <w:p w14:paraId="32435758" w14:textId="77777777" w:rsidR="002A5E08" w:rsidRPr="00E86687" w:rsidRDefault="002A5E08" w:rsidP="00970743">
            <w:pPr>
              <w:pStyle w:val="tabtekst"/>
              <w:keepNext/>
              <w:keepLines/>
              <w:jc w:val="center"/>
              <w:rPr>
                <w:b/>
                <w:color w:val="auto"/>
                <w:sz w:val="18"/>
                <w:szCs w:val="18"/>
              </w:rPr>
            </w:pPr>
            <w:r w:rsidRPr="00E86687">
              <w:rPr>
                <w:color w:val="auto"/>
                <w:sz w:val="18"/>
                <w:szCs w:val="18"/>
              </w:rPr>
              <w:t>plāns</w:t>
            </w:r>
            <w:r w:rsidRPr="00FE519F">
              <w:rPr>
                <w:sz w:val="18"/>
                <w:szCs w:val="18"/>
                <w:vertAlign w:val="superscript"/>
              </w:rPr>
              <w:t>1</w:t>
            </w:r>
          </w:p>
        </w:tc>
      </w:tr>
      <w:tr w:rsidR="002A5E08" w:rsidRPr="00E86687" w14:paraId="235C0EC3" w14:textId="77777777" w:rsidTr="00970743">
        <w:trPr>
          <w:cantSplit/>
          <w:trHeight w:val="20"/>
          <w:jc w:val="center"/>
        </w:trPr>
        <w:tc>
          <w:tcPr>
            <w:tcW w:w="2580" w:type="pct"/>
            <w:shd w:val="clear" w:color="auto" w:fill="auto"/>
            <w:vAlign w:val="center"/>
          </w:tcPr>
          <w:p w14:paraId="67F1CC4B" w14:textId="77777777" w:rsidR="002A5E08" w:rsidRPr="00E86687" w:rsidRDefault="002A5E08" w:rsidP="00970743">
            <w:pPr>
              <w:pStyle w:val="tabtekst"/>
              <w:keepNext/>
              <w:keepLines/>
              <w:rPr>
                <w:color w:val="auto"/>
                <w:sz w:val="18"/>
                <w:szCs w:val="18"/>
              </w:rPr>
            </w:pPr>
            <w:r w:rsidRPr="00E86687">
              <w:rPr>
                <w:color w:val="auto"/>
                <w:sz w:val="18"/>
                <w:szCs w:val="18"/>
                <w:lang w:eastAsia="lv-LV"/>
              </w:rPr>
              <w:t>milj</w:t>
            </w:r>
            <w:r>
              <w:rPr>
                <w:color w:val="auto"/>
                <w:sz w:val="18"/>
                <w:szCs w:val="18"/>
                <w:lang w:eastAsia="lv-LV"/>
              </w:rPr>
              <w:t>. </w:t>
            </w:r>
            <w:proofErr w:type="spellStart"/>
            <w:r w:rsidRPr="00D705E7">
              <w:rPr>
                <w:i/>
                <w:color w:val="auto"/>
                <w:sz w:val="18"/>
                <w:szCs w:val="18"/>
                <w:lang w:eastAsia="lv-LV"/>
              </w:rPr>
              <w:t>euro</w:t>
            </w:r>
            <w:proofErr w:type="spellEnd"/>
          </w:p>
        </w:tc>
        <w:tc>
          <w:tcPr>
            <w:tcW w:w="605" w:type="pct"/>
            <w:tcBorders>
              <w:bottom w:val="single" w:sz="4" w:space="0" w:color="auto"/>
            </w:tcBorders>
            <w:shd w:val="clear" w:color="auto" w:fill="auto"/>
          </w:tcPr>
          <w:p w14:paraId="4237399B" w14:textId="77777777" w:rsidR="002A5E08" w:rsidRPr="00E86687" w:rsidRDefault="002A5E08" w:rsidP="00970743">
            <w:pPr>
              <w:keepNext/>
              <w:keepLines/>
              <w:tabs>
                <w:tab w:val="decimal" w:pos="547"/>
              </w:tabs>
              <w:spacing w:after="0"/>
              <w:ind w:firstLine="0"/>
              <w:jc w:val="right"/>
              <w:rPr>
                <w:sz w:val="18"/>
                <w:szCs w:val="18"/>
              </w:rPr>
            </w:pPr>
            <w:r w:rsidRPr="00E86687">
              <w:rPr>
                <w:sz w:val="18"/>
                <w:szCs w:val="18"/>
              </w:rPr>
              <w:t>21,1</w:t>
            </w:r>
          </w:p>
        </w:tc>
        <w:tc>
          <w:tcPr>
            <w:tcW w:w="605" w:type="pct"/>
            <w:tcBorders>
              <w:bottom w:val="single" w:sz="4" w:space="0" w:color="auto"/>
            </w:tcBorders>
            <w:shd w:val="clear" w:color="auto" w:fill="auto"/>
          </w:tcPr>
          <w:p w14:paraId="5BA9B969" w14:textId="77777777" w:rsidR="002A5E08" w:rsidRPr="00E86687" w:rsidRDefault="002A5E08" w:rsidP="00970743">
            <w:pPr>
              <w:keepNext/>
              <w:keepLines/>
              <w:tabs>
                <w:tab w:val="decimal" w:pos="547"/>
              </w:tabs>
              <w:spacing w:after="0"/>
              <w:ind w:firstLine="0"/>
              <w:jc w:val="right"/>
              <w:rPr>
                <w:sz w:val="18"/>
                <w:szCs w:val="18"/>
              </w:rPr>
            </w:pPr>
            <w:r w:rsidRPr="00E86687">
              <w:rPr>
                <w:sz w:val="18"/>
                <w:szCs w:val="18"/>
              </w:rPr>
              <w:t>21,8</w:t>
            </w:r>
          </w:p>
        </w:tc>
        <w:tc>
          <w:tcPr>
            <w:tcW w:w="605" w:type="pct"/>
            <w:tcBorders>
              <w:bottom w:val="single" w:sz="4" w:space="0" w:color="auto"/>
            </w:tcBorders>
          </w:tcPr>
          <w:p w14:paraId="193AE3A3" w14:textId="77777777" w:rsidR="002A5E08" w:rsidRPr="00E86687" w:rsidRDefault="002A5E08" w:rsidP="00970743">
            <w:pPr>
              <w:keepNext/>
              <w:keepLines/>
              <w:tabs>
                <w:tab w:val="decimal" w:pos="547"/>
              </w:tabs>
              <w:spacing w:after="0"/>
              <w:ind w:firstLine="0"/>
              <w:jc w:val="right"/>
              <w:rPr>
                <w:sz w:val="18"/>
                <w:szCs w:val="18"/>
              </w:rPr>
            </w:pPr>
            <w:r w:rsidRPr="00E86687">
              <w:rPr>
                <w:sz w:val="18"/>
                <w:szCs w:val="18"/>
              </w:rPr>
              <w:t>22,9</w:t>
            </w:r>
          </w:p>
        </w:tc>
        <w:tc>
          <w:tcPr>
            <w:tcW w:w="605" w:type="pct"/>
            <w:tcBorders>
              <w:bottom w:val="single" w:sz="4" w:space="0" w:color="auto"/>
            </w:tcBorders>
            <w:shd w:val="clear" w:color="auto" w:fill="auto"/>
          </w:tcPr>
          <w:p w14:paraId="033BACAD" w14:textId="77777777" w:rsidR="002A5E08" w:rsidRPr="00E86687" w:rsidRDefault="002A5E08" w:rsidP="00970743">
            <w:pPr>
              <w:keepNext/>
              <w:keepLines/>
              <w:tabs>
                <w:tab w:val="decimal" w:pos="547"/>
              </w:tabs>
              <w:spacing w:after="0"/>
              <w:ind w:firstLine="0"/>
              <w:jc w:val="right"/>
              <w:rPr>
                <w:sz w:val="18"/>
                <w:szCs w:val="18"/>
              </w:rPr>
            </w:pPr>
            <w:r w:rsidRPr="00E86687">
              <w:rPr>
                <w:sz w:val="18"/>
                <w:szCs w:val="18"/>
              </w:rPr>
              <w:t>22,9</w:t>
            </w:r>
          </w:p>
        </w:tc>
      </w:tr>
      <w:tr w:rsidR="002A5E08" w:rsidRPr="00E86687" w14:paraId="3F2AA6AD" w14:textId="77777777" w:rsidTr="00970743">
        <w:trPr>
          <w:cantSplit/>
          <w:trHeight w:val="20"/>
          <w:jc w:val="center"/>
        </w:trPr>
        <w:tc>
          <w:tcPr>
            <w:tcW w:w="2580" w:type="pct"/>
            <w:shd w:val="clear" w:color="auto" w:fill="auto"/>
            <w:vAlign w:val="center"/>
          </w:tcPr>
          <w:p w14:paraId="1DAF253D" w14:textId="77777777" w:rsidR="002A5E08" w:rsidRPr="00E86687" w:rsidRDefault="002A5E08" w:rsidP="00970743">
            <w:pPr>
              <w:pStyle w:val="tabtekst"/>
              <w:keepNext/>
              <w:keepLines/>
              <w:rPr>
                <w:i/>
                <w:color w:val="auto"/>
                <w:sz w:val="18"/>
                <w:szCs w:val="18"/>
              </w:rPr>
            </w:pPr>
            <w:r w:rsidRPr="00E86687">
              <w:rPr>
                <w:i/>
                <w:color w:val="auto"/>
                <w:sz w:val="18"/>
                <w:szCs w:val="18"/>
              </w:rPr>
              <w:t>pieauguma tempi faktiskās cenās, %</w:t>
            </w:r>
          </w:p>
        </w:tc>
        <w:tc>
          <w:tcPr>
            <w:tcW w:w="605" w:type="pct"/>
            <w:tcBorders>
              <w:top w:val="single" w:sz="4" w:space="0" w:color="auto"/>
              <w:left w:val="nil"/>
              <w:bottom w:val="single" w:sz="4" w:space="0" w:color="auto"/>
              <w:right w:val="single" w:sz="4" w:space="0" w:color="auto"/>
            </w:tcBorders>
            <w:shd w:val="clear" w:color="auto" w:fill="auto"/>
          </w:tcPr>
          <w:p w14:paraId="633449D5"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-1,8</w:t>
            </w: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680164D1"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3,1</w:t>
            </w:r>
          </w:p>
        </w:tc>
        <w:tc>
          <w:tcPr>
            <w:tcW w:w="605" w:type="pct"/>
            <w:tcBorders>
              <w:top w:val="single" w:sz="4" w:space="0" w:color="auto"/>
              <w:left w:val="single" w:sz="4" w:space="0" w:color="auto"/>
              <w:bottom w:val="single" w:sz="4" w:space="0" w:color="auto"/>
              <w:right w:val="single" w:sz="4" w:space="0" w:color="auto"/>
            </w:tcBorders>
          </w:tcPr>
          <w:p w14:paraId="18858A1C"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5,0</w:t>
            </w: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56100207"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0,3</w:t>
            </w:r>
          </w:p>
        </w:tc>
      </w:tr>
      <w:tr w:rsidR="002A5E08" w:rsidRPr="00E86687" w14:paraId="47055EF1" w14:textId="77777777" w:rsidTr="00970743">
        <w:trPr>
          <w:cantSplit/>
          <w:trHeight w:val="20"/>
          <w:jc w:val="center"/>
        </w:trPr>
        <w:tc>
          <w:tcPr>
            <w:tcW w:w="2580" w:type="pct"/>
            <w:vAlign w:val="center"/>
          </w:tcPr>
          <w:p w14:paraId="62491669" w14:textId="77777777" w:rsidR="002A5E08" w:rsidRPr="00E86687" w:rsidRDefault="002A5E08" w:rsidP="00970743">
            <w:pPr>
              <w:pStyle w:val="tabtekst"/>
              <w:keepNext/>
              <w:keepLines/>
              <w:rPr>
                <w:i/>
                <w:color w:val="auto"/>
                <w:sz w:val="18"/>
                <w:szCs w:val="18"/>
              </w:rPr>
            </w:pPr>
            <w:r w:rsidRPr="00E86687">
              <w:rPr>
                <w:i/>
                <w:color w:val="auto"/>
                <w:sz w:val="18"/>
                <w:szCs w:val="18"/>
              </w:rPr>
              <w:t>% no IKP</w:t>
            </w:r>
          </w:p>
        </w:tc>
        <w:tc>
          <w:tcPr>
            <w:tcW w:w="605" w:type="pct"/>
            <w:tcBorders>
              <w:top w:val="single" w:sz="4" w:space="0" w:color="auto"/>
              <w:left w:val="nil"/>
              <w:bottom w:val="single" w:sz="4" w:space="0" w:color="auto"/>
              <w:right w:val="single" w:sz="4" w:space="0" w:color="auto"/>
            </w:tcBorders>
            <w:shd w:val="clear" w:color="auto" w:fill="auto"/>
          </w:tcPr>
          <w:p w14:paraId="28ED92A3"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0,1</w:t>
            </w: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3D1F3E8C"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0,1</w:t>
            </w:r>
          </w:p>
        </w:tc>
        <w:tc>
          <w:tcPr>
            <w:tcW w:w="605" w:type="pct"/>
            <w:tcBorders>
              <w:top w:val="single" w:sz="4" w:space="0" w:color="auto"/>
              <w:left w:val="single" w:sz="4" w:space="0" w:color="auto"/>
              <w:bottom w:val="single" w:sz="4" w:space="0" w:color="auto"/>
              <w:right w:val="single" w:sz="4" w:space="0" w:color="auto"/>
            </w:tcBorders>
          </w:tcPr>
          <w:p w14:paraId="72AF57B3"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0,1</w:t>
            </w: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4BC45BDF" w14:textId="77777777" w:rsidR="002A5E08" w:rsidRPr="00E86687" w:rsidRDefault="002A5E08" w:rsidP="00970743">
            <w:pPr>
              <w:keepNext/>
              <w:keepLines/>
              <w:tabs>
                <w:tab w:val="decimal" w:pos="547"/>
              </w:tabs>
              <w:spacing w:after="0"/>
              <w:ind w:firstLine="0"/>
              <w:jc w:val="right"/>
              <w:rPr>
                <w:i/>
                <w:sz w:val="18"/>
                <w:szCs w:val="18"/>
              </w:rPr>
            </w:pPr>
            <w:r w:rsidRPr="00E86687">
              <w:rPr>
                <w:i/>
                <w:sz w:val="18"/>
                <w:szCs w:val="18"/>
              </w:rPr>
              <w:t>0,1</w:t>
            </w:r>
          </w:p>
        </w:tc>
      </w:tr>
    </w:tbl>
    <w:p w14:paraId="341810BA" w14:textId="77777777" w:rsidR="002A5E08" w:rsidRPr="00120F96" w:rsidRDefault="002A5E08" w:rsidP="007D50F1">
      <w:pPr>
        <w:spacing w:before="120" w:after="240"/>
        <w:ind w:left="425" w:firstLine="0"/>
        <w:jc w:val="left"/>
        <w:rPr>
          <w:sz w:val="18"/>
          <w:szCs w:val="18"/>
        </w:rPr>
      </w:pPr>
      <w:r w:rsidRPr="00FE519F">
        <w:rPr>
          <w:sz w:val="18"/>
          <w:szCs w:val="18"/>
          <w:vertAlign w:val="superscript"/>
        </w:rPr>
        <w:t>1</w:t>
      </w:r>
      <w:r>
        <w:rPr>
          <w:sz w:val="18"/>
          <w:szCs w:val="18"/>
        </w:rPr>
        <w:t xml:space="preserve"> S</w:t>
      </w:r>
      <w:r w:rsidRPr="00120F96">
        <w:rPr>
          <w:sz w:val="18"/>
          <w:szCs w:val="18"/>
        </w:rPr>
        <w:t>askaņā ar likumprojektu „Par valsts budžetu 2022. gadam”.</w:t>
      </w:r>
    </w:p>
    <w:bookmarkEnd w:id="0"/>
    <w:bookmarkEnd w:id="1"/>
    <w:bookmarkEnd w:id="2"/>
    <w:bookmarkEnd w:id="3"/>
    <w:bookmarkEnd w:id="4"/>
    <w:p w14:paraId="58B088FD" w14:textId="77777777" w:rsidR="007D50F1" w:rsidRDefault="003613E3" w:rsidP="007D50F1">
      <w:pPr>
        <w:pStyle w:val="H3"/>
        <w:spacing w:before="360" w:after="360"/>
      </w:pPr>
      <w:r w:rsidRPr="00221972">
        <w:t>3.</w:t>
      </w:r>
      <w:r w:rsidR="00BE4104">
        <w:t>2</w:t>
      </w:r>
      <w:r w:rsidRPr="00221972">
        <w:t>.3. Pārējie nodokļi</w:t>
      </w:r>
    </w:p>
    <w:p w14:paraId="078448D3" w14:textId="77777777" w:rsidR="007D50F1" w:rsidRPr="00856ECF" w:rsidRDefault="007D50F1" w:rsidP="007D50F1">
      <w:pPr>
        <w:pStyle w:val="H4"/>
      </w:pPr>
      <w:r w:rsidRPr="00856ECF">
        <w:t>Dabas resursu nodoklis</w:t>
      </w:r>
    </w:p>
    <w:p w14:paraId="78EA843E" w14:textId="77777777" w:rsidR="007D50F1" w:rsidRDefault="007D50F1" w:rsidP="007D50F1">
      <w:r w:rsidRPr="00CA2EA4">
        <w:rPr>
          <w:bCs/>
        </w:rPr>
        <w:t>Dabas resursu nodokļa</w:t>
      </w:r>
      <w:r w:rsidRPr="002F3670">
        <w:t xml:space="preserve"> maksājumi ir saistīti ar nodokļu maksātāju ekonomiskajām aktivitātēm un to izraisīto vides noslodzi, kā arī veiktajiem vides aizsardzības pasākumiem. Dabas resursu nodokļa ieņēmumi 2021</w:t>
      </w:r>
      <w:r>
        <w:t>. gad</w:t>
      </w:r>
      <w:r w:rsidRPr="002F3670">
        <w:t xml:space="preserve">a sešos mēnešos </w:t>
      </w:r>
      <w:r w:rsidRPr="00217023">
        <w:t>bija 19,4</w:t>
      </w:r>
      <w:r>
        <w:t> milj. </w:t>
      </w:r>
      <w:proofErr w:type="spellStart"/>
      <w:r w:rsidRPr="00D705E7">
        <w:rPr>
          <w:i/>
        </w:rPr>
        <w:t>euro</w:t>
      </w:r>
      <w:proofErr w:type="spellEnd"/>
      <w:r w:rsidRPr="00217023">
        <w:t>, kas ir par 2,4</w:t>
      </w:r>
      <w:r>
        <w:t> milj. </w:t>
      </w:r>
      <w:proofErr w:type="spellStart"/>
      <w:r w:rsidRPr="00D705E7">
        <w:rPr>
          <w:i/>
        </w:rPr>
        <w:t>euro</w:t>
      </w:r>
      <w:proofErr w:type="spellEnd"/>
      <w:r w:rsidRPr="00217023">
        <w:t xml:space="preserve"> jeb 14,3% vairāk nekā 2020</w:t>
      </w:r>
      <w:r>
        <w:t>. gad</w:t>
      </w:r>
      <w:r w:rsidRPr="00217023">
        <w:t>a atbilstošajā periodā</w:t>
      </w:r>
      <w:r>
        <w:t xml:space="preserve">. </w:t>
      </w:r>
      <w:r w:rsidRPr="00B16BD5">
        <w:t xml:space="preserve">Kopējie dabas resursu nodokļa ieņēmumi palielinājušies galvenokārt par </w:t>
      </w:r>
      <w:r w:rsidRPr="00B16BD5">
        <w:rPr>
          <w:bCs/>
        </w:rPr>
        <w:t xml:space="preserve">vides piesārņošanu, atkritumu apglabāšanu un </w:t>
      </w:r>
      <w:r w:rsidRPr="00B16BD5">
        <w:t>oglekļa dioksīda emisiju</w:t>
      </w:r>
      <w:r w:rsidRPr="00B16BD5">
        <w:rPr>
          <w:bCs/>
        </w:rPr>
        <w:t>.</w:t>
      </w:r>
      <w:r>
        <w:rPr>
          <w:bCs/>
        </w:rPr>
        <w:t xml:space="preserve"> </w:t>
      </w:r>
      <w:r>
        <w:t>2021. gadā 1. pusgadā d</w:t>
      </w:r>
      <w:r w:rsidRPr="002F3670">
        <w:t>abas resursu nodokļa ieņēmumi</w:t>
      </w:r>
      <w:r w:rsidRPr="00217023">
        <w:t xml:space="preserve"> </w:t>
      </w:r>
      <w:r>
        <w:t>bija</w:t>
      </w:r>
      <w:r w:rsidRPr="00217023">
        <w:t xml:space="preserve"> par 0,2</w:t>
      </w:r>
      <w:r>
        <w:t> milj. </w:t>
      </w:r>
      <w:proofErr w:type="spellStart"/>
      <w:r w:rsidRPr="00D705E7">
        <w:rPr>
          <w:i/>
        </w:rPr>
        <w:t>euro</w:t>
      </w:r>
      <w:proofErr w:type="spellEnd"/>
      <w:r w:rsidRPr="00217023">
        <w:t xml:space="preserve"> jeb 1,0% vairāk nekā plānots</w:t>
      </w:r>
      <w:r>
        <w:t>.</w:t>
      </w:r>
      <w:r w:rsidRPr="00212491">
        <w:t xml:space="preserve"> </w:t>
      </w:r>
      <w:r w:rsidRPr="001104D6">
        <w:t>2021</w:t>
      </w:r>
      <w:r>
        <w:t>. gad</w:t>
      </w:r>
      <w:r w:rsidRPr="001104D6">
        <w:t xml:space="preserve">ā nodoklim prognozēti </w:t>
      </w:r>
      <w:r>
        <w:t>38</w:t>
      </w:r>
      <w:r w:rsidRPr="001104D6">
        <w:t>,9</w:t>
      </w:r>
      <w:r>
        <w:t> milj. </w:t>
      </w:r>
      <w:proofErr w:type="spellStart"/>
      <w:r w:rsidRPr="00D705E7">
        <w:rPr>
          <w:i/>
        </w:rPr>
        <w:t>euro</w:t>
      </w:r>
      <w:proofErr w:type="spellEnd"/>
      <w:r w:rsidRPr="001104D6">
        <w:t xml:space="preserve"> ieņēmumi</w:t>
      </w:r>
      <w:r>
        <w:t>.</w:t>
      </w:r>
    </w:p>
    <w:p w14:paraId="57E02433" w14:textId="77777777" w:rsidR="007D50F1" w:rsidRDefault="007D50F1" w:rsidP="007D50F1">
      <w:r w:rsidRPr="008C1377">
        <w:t>Saskaņā ar likumprojektu „Par valsts budžetu 2022</w:t>
      </w:r>
      <w:r>
        <w:t>. gad</w:t>
      </w:r>
      <w:r w:rsidRPr="008C1377">
        <w:t xml:space="preserve">am” </w:t>
      </w:r>
      <w:r>
        <w:t>d</w:t>
      </w:r>
      <w:r w:rsidRPr="002F3670">
        <w:t xml:space="preserve">abas resursu nodokļa </w:t>
      </w:r>
      <w:r w:rsidRPr="008C1377">
        <w:t>ieņēmumi 2022</w:t>
      </w:r>
      <w:r>
        <w:t>. gad</w:t>
      </w:r>
      <w:r w:rsidRPr="008C1377">
        <w:t xml:space="preserve">ā tiek plānoti </w:t>
      </w:r>
      <w:r>
        <w:t>44,5 milj. </w:t>
      </w:r>
      <w:proofErr w:type="spellStart"/>
      <w:r w:rsidRPr="00D705E7">
        <w:rPr>
          <w:i/>
        </w:rPr>
        <w:t>euro</w:t>
      </w:r>
      <w:proofErr w:type="spellEnd"/>
      <w:r w:rsidRPr="008C1377">
        <w:t>, kas salīdzinājumā ar 2021</w:t>
      </w:r>
      <w:r>
        <w:t>. gad</w:t>
      </w:r>
      <w:r w:rsidRPr="008C1377">
        <w:t xml:space="preserve">a </w:t>
      </w:r>
      <w:r w:rsidRPr="008C1377">
        <w:lastRenderedPageBreak/>
        <w:t xml:space="preserve">prognozētajiem ieņēmumiem ir par </w:t>
      </w:r>
      <w:r>
        <w:t>5,7 milj. </w:t>
      </w:r>
      <w:proofErr w:type="spellStart"/>
      <w:r w:rsidRPr="00D705E7">
        <w:rPr>
          <w:i/>
        </w:rPr>
        <w:t>euro</w:t>
      </w:r>
      <w:proofErr w:type="spellEnd"/>
      <w:r w:rsidRPr="008C1377">
        <w:t xml:space="preserve"> jeb par </w:t>
      </w:r>
      <w:r>
        <w:t>14,5</w:t>
      </w:r>
      <w:r w:rsidRPr="008C1377">
        <w:t>% vairāk</w:t>
      </w:r>
      <w:r>
        <w:t xml:space="preserve"> (skat. 3.16. tabulu)</w:t>
      </w:r>
      <w:r w:rsidRPr="008C1377">
        <w:t xml:space="preserve">. </w:t>
      </w:r>
      <w:r>
        <w:t>D</w:t>
      </w:r>
      <w:r w:rsidRPr="002F3670">
        <w:t xml:space="preserve">abas resursu </w:t>
      </w:r>
      <w:r w:rsidRPr="008C1377">
        <w:t>nodokļa 2022</w:t>
      </w:r>
      <w:r>
        <w:t>. gad</w:t>
      </w:r>
      <w:r w:rsidRPr="008C1377">
        <w:t xml:space="preserve">a ieņēmumu plānu </w:t>
      </w:r>
      <w:r w:rsidRPr="008C1377">
        <w:rPr>
          <w:szCs w:val="24"/>
        </w:rPr>
        <w:t xml:space="preserve">ietekmēs </w:t>
      </w:r>
      <w:r>
        <w:rPr>
          <w:szCs w:val="24"/>
        </w:rPr>
        <w:t xml:space="preserve">prognozētā </w:t>
      </w:r>
      <w:r w:rsidRPr="008C6B41">
        <w:rPr>
          <w:szCs w:val="24"/>
        </w:rPr>
        <w:t>tautsaimniecības attīstības dinamika</w:t>
      </w:r>
      <w:r w:rsidRPr="008C1377">
        <w:rPr>
          <w:szCs w:val="24"/>
        </w:rPr>
        <w:t>, 2021</w:t>
      </w:r>
      <w:r>
        <w:rPr>
          <w:szCs w:val="24"/>
        </w:rPr>
        <w:t>. gad</w:t>
      </w:r>
      <w:r w:rsidRPr="008C1377">
        <w:rPr>
          <w:szCs w:val="24"/>
        </w:rPr>
        <w:t xml:space="preserve">a pirmā pusgada izpilde, </w:t>
      </w:r>
      <w:r w:rsidRPr="00904BDC">
        <w:rPr>
          <w:szCs w:val="24"/>
        </w:rPr>
        <w:t>kā arī</w:t>
      </w:r>
      <w:r w:rsidRPr="00904BDC">
        <w:rPr>
          <w:szCs w:val="24"/>
          <w:lang w:eastAsia="lv-LV"/>
        </w:rPr>
        <w:t xml:space="preserve"> 3.1</w:t>
      </w:r>
      <w:r>
        <w:rPr>
          <w:szCs w:val="24"/>
          <w:lang w:eastAsia="lv-LV"/>
        </w:rPr>
        <w:t>. sad</w:t>
      </w:r>
      <w:r w:rsidRPr="00904BDC">
        <w:rPr>
          <w:szCs w:val="24"/>
          <w:lang w:eastAsia="lv-LV"/>
        </w:rPr>
        <w:t>aļā minētie pasākumi</w:t>
      </w:r>
      <w:r w:rsidRPr="00904BDC">
        <w:rPr>
          <w:szCs w:val="24"/>
        </w:rPr>
        <w:t>.</w:t>
      </w:r>
    </w:p>
    <w:p w14:paraId="4CD9A519" w14:textId="77777777" w:rsidR="007D50F1" w:rsidRPr="00677361" w:rsidRDefault="007D50F1" w:rsidP="007D50F1">
      <w:pPr>
        <w:keepNext/>
        <w:spacing w:before="240" w:after="240"/>
        <w:ind w:firstLine="0"/>
        <w:jc w:val="center"/>
        <w:rPr>
          <w:b/>
          <w:i/>
          <w:szCs w:val="24"/>
        </w:rPr>
      </w:pPr>
      <w:r w:rsidRPr="00677361">
        <w:rPr>
          <w:b/>
          <w:i/>
          <w:szCs w:val="24"/>
        </w:rPr>
        <w:t>3.</w:t>
      </w:r>
      <w:r>
        <w:rPr>
          <w:b/>
          <w:i/>
          <w:szCs w:val="24"/>
        </w:rPr>
        <w:t>16</w:t>
      </w:r>
      <w:r w:rsidRPr="00677361">
        <w:rPr>
          <w:b/>
          <w:i/>
          <w:szCs w:val="24"/>
        </w:rPr>
        <w:t>. tabula. Dabas resursu nodokļa ieņēmumi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4530"/>
        <w:gridCol w:w="1132"/>
        <w:gridCol w:w="1133"/>
        <w:gridCol w:w="1133"/>
        <w:gridCol w:w="1133"/>
      </w:tblGrid>
      <w:tr w:rsidR="007D50F1" w:rsidRPr="00E86687" w14:paraId="19185A0B" w14:textId="77777777" w:rsidTr="007D50F1">
        <w:trPr>
          <w:jc w:val="center"/>
        </w:trPr>
        <w:tc>
          <w:tcPr>
            <w:tcW w:w="2500" w:type="pct"/>
            <w:vMerge w:val="restart"/>
            <w:shd w:val="clear" w:color="auto" w:fill="B8CCE4" w:themeFill="accent1" w:themeFillTint="66"/>
          </w:tcPr>
          <w:p w14:paraId="549F917D" w14:textId="77777777" w:rsidR="007D50F1" w:rsidRPr="00E86687" w:rsidRDefault="007D50F1" w:rsidP="00970743">
            <w:pPr>
              <w:pStyle w:val="tabtekst"/>
              <w:keepNext/>
              <w:keepLines/>
              <w:jc w:val="center"/>
              <w:rPr>
                <w:b/>
                <w:color w:val="auto"/>
                <w:sz w:val="18"/>
                <w:szCs w:val="18"/>
              </w:rPr>
            </w:pPr>
          </w:p>
        </w:tc>
        <w:tc>
          <w:tcPr>
            <w:tcW w:w="625" w:type="pct"/>
            <w:shd w:val="clear" w:color="auto" w:fill="B8CCE4" w:themeFill="accent1" w:themeFillTint="66"/>
            <w:vAlign w:val="center"/>
          </w:tcPr>
          <w:p w14:paraId="089D4759"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2019</w:t>
            </w:r>
          </w:p>
        </w:tc>
        <w:tc>
          <w:tcPr>
            <w:tcW w:w="625" w:type="pct"/>
            <w:shd w:val="clear" w:color="auto" w:fill="B8CCE4" w:themeFill="accent1" w:themeFillTint="66"/>
            <w:vAlign w:val="center"/>
          </w:tcPr>
          <w:p w14:paraId="14C6DA21"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2020</w:t>
            </w:r>
          </w:p>
        </w:tc>
        <w:tc>
          <w:tcPr>
            <w:tcW w:w="625" w:type="pct"/>
            <w:shd w:val="clear" w:color="auto" w:fill="B8CCE4" w:themeFill="accent1" w:themeFillTint="66"/>
            <w:vAlign w:val="center"/>
          </w:tcPr>
          <w:p w14:paraId="2BAAF1B1"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2021</w:t>
            </w:r>
          </w:p>
        </w:tc>
        <w:tc>
          <w:tcPr>
            <w:tcW w:w="625" w:type="pct"/>
            <w:shd w:val="clear" w:color="auto" w:fill="B8CCE4" w:themeFill="accent1" w:themeFillTint="66"/>
            <w:vAlign w:val="center"/>
          </w:tcPr>
          <w:p w14:paraId="5806D4A3"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2022</w:t>
            </w:r>
          </w:p>
        </w:tc>
      </w:tr>
      <w:tr w:rsidR="007D50F1" w:rsidRPr="00E86687" w14:paraId="115FFE42" w14:textId="77777777" w:rsidTr="007D50F1">
        <w:trPr>
          <w:jc w:val="center"/>
        </w:trPr>
        <w:tc>
          <w:tcPr>
            <w:tcW w:w="2500" w:type="pct"/>
            <w:vMerge/>
            <w:shd w:val="clear" w:color="auto" w:fill="B8CCE4" w:themeFill="accent1" w:themeFillTint="66"/>
          </w:tcPr>
          <w:p w14:paraId="56430FE4" w14:textId="77777777" w:rsidR="007D50F1" w:rsidRPr="00E86687" w:rsidRDefault="007D50F1" w:rsidP="00970743">
            <w:pPr>
              <w:pStyle w:val="tabtekst"/>
              <w:keepNext/>
              <w:keepLines/>
              <w:jc w:val="center"/>
              <w:rPr>
                <w:b/>
                <w:color w:val="auto"/>
                <w:sz w:val="18"/>
                <w:szCs w:val="18"/>
              </w:rPr>
            </w:pPr>
          </w:p>
        </w:tc>
        <w:tc>
          <w:tcPr>
            <w:tcW w:w="1250" w:type="pct"/>
            <w:gridSpan w:val="2"/>
            <w:shd w:val="clear" w:color="auto" w:fill="B8CCE4" w:themeFill="accent1" w:themeFillTint="66"/>
            <w:vAlign w:val="center"/>
          </w:tcPr>
          <w:p w14:paraId="65C58AFF" w14:textId="77777777" w:rsidR="007D50F1" w:rsidRPr="00E86687" w:rsidRDefault="007D50F1" w:rsidP="00970743">
            <w:pPr>
              <w:pStyle w:val="tabtekst"/>
              <w:keepNext/>
              <w:keepLines/>
              <w:jc w:val="center"/>
              <w:rPr>
                <w:b/>
                <w:color w:val="auto"/>
                <w:sz w:val="18"/>
                <w:szCs w:val="18"/>
              </w:rPr>
            </w:pPr>
            <w:r w:rsidRPr="00E86687">
              <w:rPr>
                <w:color w:val="auto"/>
                <w:sz w:val="18"/>
                <w:szCs w:val="18"/>
              </w:rPr>
              <w:t>fakts</w:t>
            </w:r>
          </w:p>
        </w:tc>
        <w:tc>
          <w:tcPr>
            <w:tcW w:w="625" w:type="pct"/>
            <w:shd w:val="clear" w:color="auto" w:fill="B8CCE4" w:themeFill="accent1" w:themeFillTint="66"/>
            <w:vAlign w:val="center"/>
          </w:tcPr>
          <w:p w14:paraId="66724B6D" w14:textId="77777777" w:rsidR="007D50F1" w:rsidRPr="00E86687" w:rsidRDefault="007D50F1" w:rsidP="00970743">
            <w:pPr>
              <w:pStyle w:val="tabtekst"/>
              <w:keepNext/>
              <w:keepLines/>
              <w:jc w:val="center"/>
              <w:rPr>
                <w:b/>
                <w:color w:val="auto"/>
                <w:sz w:val="18"/>
                <w:szCs w:val="18"/>
              </w:rPr>
            </w:pPr>
            <w:r w:rsidRPr="00E86687">
              <w:rPr>
                <w:color w:val="auto"/>
                <w:sz w:val="18"/>
                <w:szCs w:val="18"/>
              </w:rPr>
              <w:t>prognoze</w:t>
            </w:r>
          </w:p>
        </w:tc>
        <w:tc>
          <w:tcPr>
            <w:tcW w:w="625" w:type="pct"/>
            <w:shd w:val="clear" w:color="auto" w:fill="B8CCE4" w:themeFill="accent1" w:themeFillTint="66"/>
            <w:vAlign w:val="center"/>
          </w:tcPr>
          <w:p w14:paraId="49C478ED" w14:textId="77777777" w:rsidR="007D50F1" w:rsidRPr="00E86687" w:rsidRDefault="007D50F1" w:rsidP="00970743">
            <w:pPr>
              <w:pStyle w:val="tabtekst"/>
              <w:keepNext/>
              <w:keepLines/>
              <w:jc w:val="center"/>
              <w:rPr>
                <w:b/>
                <w:color w:val="auto"/>
                <w:sz w:val="18"/>
                <w:szCs w:val="18"/>
              </w:rPr>
            </w:pPr>
            <w:r w:rsidRPr="00E86687">
              <w:rPr>
                <w:color w:val="auto"/>
                <w:sz w:val="18"/>
                <w:szCs w:val="18"/>
              </w:rPr>
              <w:t>plāns</w:t>
            </w:r>
            <w:r w:rsidRPr="00FE519F">
              <w:rPr>
                <w:sz w:val="18"/>
                <w:szCs w:val="18"/>
                <w:vertAlign w:val="superscript"/>
              </w:rPr>
              <w:t>1</w:t>
            </w:r>
          </w:p>
        </w:tc>
      </w:tr>
      <w:tr w:rsidR="007D50F1" w:rsidRPr="00E86687" w14:paraId="39B45DD4" w14:textId="77777777" w:rsidTr="00970743">
        <w:trPr>
          <w:jc w:val="center"/>
        </w:trPr>
        <w:tc>
          <w:tcPr>
            <w:tcW w:w="2500" w:type="pct"/>
            <w:vAlign w:val="center"/>
          </w:tcPr>
          <w:p w14:paraId="2AA9DB81" w14:textId="77777777" w:rsidR="007D50F1" w:rsidRPr="00E86687" w:rsidRDefault="007D50F1" w:rsidP="00970743">
            <w:pPr>
              <w:pStyle w:val="tabtekst"/>
              <w:keepNext/>
              <w:keepLines/>
              <w:rPr>
                <w:b/>
                <w:color w:val="auto"/>
                <w:sz w:val="18"/>
                <w:szCs w:val="18"/>
                <w:lang w:eastAsia="lv-LV"/>
              </w:rPr>
            </w:pPr>
            <w:r w:rsidRPr="00E86687">
              <w:rPr>
                <w:color w:val="auto"/>
                <w:sz w:val="18"/>
                <w:szCs w:val="18"/>
              </w:rPr>
              <w:t>milj</w:t>
            </w:r>
            <w:r>
              <w:rPr>
                <w:color w:val="auto"/>
                <w:sz w:val="18"/>
                <w:szCs w:val="18"/>
              </w:rPr>
              <w:t>. </w:t>
            </w:r>
            <w:proofErr w:type="spellStart"/>
            <w:r w:rsidRPr="00D705E7">
              <w:rPr>
                <w:i/>
                <w:color w:val="auto"/>
                <w:sz w:val="18"/>
                <w:szCs w:val="18"/>
              </w:rPr>
              <w:t>euro</w:t>
            </w:r>
            <w:proofErr w:type="spellEnd"/>
          </w:p>
        </w:tc>
        <w:tc>
          <w:tcPr>
            <w:tcW w:w="625" w:type="pct"/>
            <w:shd w:val="clear" w:color="auto" w:fill="auto"/>
            <w:vAlign w:val="center"/>
          </w:tcPr>
          <w:p w14:paraId="5156C02D" w14:textId="77777777" w:rsidR="007D50F1" w:rsidRPr="00E86687" w:rsidRDefault="007D50F1" w:rsidP="00970743">
            <w:pPr>
              <w:keepNext/>
              <w:keepLines/>
              <w:tabs>
                <w:tab w:val="decimal" w:pos="547"/>
              </w:tabs>
              <w:spacing w:after="0"/>
              <w:ind w:firstLine="0"/>
              <w:jc w:val="center"/>
              <w:rPr>
                <w:sz w:val="18"/>
                <w:szCs w:val="18"/>
              </w:rPr>
            </w:pPr>
            <w:r w:rsidRPr="00E86687">
              <w:rPr>
                <w:sz w:val="18"/>
                <w:szCs w:val="18"/>
              </w:rPr>
              <w:t>30,4</w:t>
            </w:r>
          </w:p>
        </w:tc>
        <w:tc>
          <w:tcPr>
            <w:tcW w:w="625" w:type="pct"/>
            <w:shd w:val="clear" w:color="auto" w:fill="auto"/>
            <w:vAlign w:val="center"/>
          </w:tcPr>
          <w:p w14:paraId="08174FCC" w14:textId="77777777" w:rsidR="007D50F1" w:rsidRPr="00E86687" w:rsidRDefault="007D50F1" w:rsidP="00970743">
            <w:pPr>
              <w:keepNext/>
              <w:keepLines/>
              <w:tabs>
                <w:tab w:val="decimal" w:pos="547"/>
              </w:tabs>
              <w:spacing w:after="0"/>
              <w:ind w:firstLine="0"/>
              <w:jc w:val="center"/>
              <w:rPr>
                <w:sz w:val="18"/>
                <w:szCs w:val="18"/>
              </w:rPr>
            </w:pPr>
            <w:r w:rsidRPr="00E86687">
              <w:rPr>
                <w:sz w:val="18"/>
                <w:szCs w:val="18"/>
              </w:rPr>
              <w:t>34,2</w:t>
            </w:r>
          </w:p>
        </w:tc>
        <w:tc>
          <w:tcPr>
            <w:tcW w:w="625" w:type="pct"/>
            <w:shd w:val="clear" w:color="auto" w:fill="auto"/>
            <w:vAlign w:val="center"/>
          </w:tcPr>
          <w:p w14:paraId="015D0999" w14:textId="77777777" w:rsidR="007D50F1" w:rsidRPr="00E86687" w:rsidRDefault="007D50F1" w:rsidP="00970743">
            <w:pPr>
              <w:keepNext/>
              <w:keepLines/>
              <w:tabs>
                <w:tab w:val="decimal" w:pos="547"/>
              </w:tabs>
              <w:spacing w:after="0"/>
              <w:ind w:firstLine="0"/>
              <w:jc w:val="center"/>
              <w:rPr>
                <w:sz w:val="18"/>
                <w:szCs w:val="18"/>
              </w:rPr>
            </w:pPr>
            <w:r w:rsidRPr="00E86687">
              <w:rPr>
                <w:sz w:val="18"/>
                <w:szCs w:val="18"/>
              </w:rPr>
              <w:t>38,9</w:t>
            </w:r>
          </w:p>
        </w:tc>
        <w:tc>
          <w:tcPr>
            <w:tcW w:w="625" w:type="pct"/>
            <w:shd w:val="clear" w:color="auto" w:fill="auto"/>
            <w:vAlign w:val="center"/>
          </w:tcPr>
          <w:p w14:paraId="6945E6CE" w14:textId="77777777" w:rsidR="007D50F1" w:rsidRPr="00E86687" w:rsidRDefault="007D50F1" w:rsidP="00970743">
            <w:pPr>
              <w:keepNext/>
              <w:keepLines/>
              <w:tabs>
                <w:tab w:val="decimal" w:pos="547"/>
              </w:tabs>
              <w:spacing w:after="0"/>
              <w:ind w:firstLine="0"/>
              <w:jc w:val="center"/>
              <w:rPr>
                <w:sz w:val="18"/>
                <w:szCs w:val="18"/>
              </w:rPr>
            </w:pPr>
            <w:r w:rsidRPr="00E86687">
              <w:rPr>
                <w:sz w:val="18"/>
                <w:szCs w:val="18"/>
              </w:rPr>
              <w:t>44,5</w:t>
            </w:r>
          </w:p>
        </w:tc>
      </w:tr>
      <w:tr w:rsidR="007D50F1" w:rsidRPr="00E86687" w14:paraId="0D723F56" w14:textId="77777777" w:rsidTr="00970743">
        <w:trPr>
          <w:jc w:val="center"/>
        </w:trPr>
        <w:tc>
          <w:tcPr>
            <w:tcW w:w="2500" w:type="pct"/>
            <w:vAlign w:val="center"/>
          </w:tcPr>
          <w:p w14:paraId="57807005" w14:textId="77777777" w:rsidR="007D50F1" w:rsidRPr="00E86687" w:rsidRDefault="007D50F1" w:rsidP="00970743">
            <w:pPr>
              <w:pStyle w:val="tabtekst"/>
              <w:keepNext/>
              <w:keepLines/>
              <w:rPr>
                <w:i/>
                <w:color w:val="auto"/>
                <w:sz w:val="18"/>
                <w:szCs w:val="18"/>
                <w:lang w:eastAsia="lv-LV"/>
              </w:rPr>
            </w:pPr>
            <w:r w:rsidRPr="00E86687">
              <w:rPr>
                <w:i/>
                <w:color w:val="auto"/>
                <w:sz w:val="18"/>
                <w:szCs w:val="18"/>
                <w:lang w:eastAsia="lv-LV"/>
              </w:rPr>
              <w:t>pieauguma tempi faktiskās cenās, %</w:t>
            </w:r>
          </w:p>
        </w:tc>
        <w:tc>
          <w:tcPr>
            <w:tcW w:w="625" w:type="pct"/>
            <w:vAlign w:val="center"/>
          </w:tcPr>
          <w:p w14:paraId="75566022" w14:textId="77777777" w:rsidR="007D50F1" w:rsidRPr="00E86687" w:rsidRDefault="007D50F1" w:rsidP="00970743">
            <w:pPr>
              <w:keepNext/>
              <w:keepLines/>
              <w:tabs>
                <w:tab w:val="decimal" w:pos="547"/>
              </w:tabs>
              <w:spacing w:after="0"/>
              <w:ind w:firstLine="0"/>
              <w:jc w:val="center"/>
              <w:rPr>
                <w:i/>
                <w:sz w:val="18"/>
                <w:szCs w:val="18"/>
              </w:rPr>
            </w:pPr>
            <w:r w:rsidRPr="00E86687">
              <w:rPr>
                <w:i/>
                <w:sz w:val="18"/>
                <w:szCs w:val="18"/>
              </w:rPr>
              <w:t>1,0</w:t>
            </w:r>
          </w:p>
        </w:tc>
        <w:tc>
          <w:tcPr>
            <w:tcW w:w="625" w:type="pct"/>
            <w:vAlign w:val="center"/>
          </w:tcPr>
          <w:p w14:paraId="0DB2DCE9" w14:textId="77777777" w:rsidR="007D50F1" w:rsidRPr="00E86687" w:rsidRDefault="007D50F1" w:rsidP="00970743">
            <w:pPr>
              <w:keepNext/>
              <w:keepLines/>
              <w:tabs>
                <w:tab w:val="decimal" w:pos="547"/>
              </w:tabs>
              <w:spacing w:after="0"/>
              <w:ind w:firstLine="0"/>
              <w:jc w:val="center"/>
              <w:rPr>
                <w:i/>
                <w:sz w:val="18"/>
                <w:szCs w:val="18"/>
              </w:rPr>
            </w:pPr>
            <w:r w:rsidRPr="00E86687">
              <w:rPr>
                <w:i/>
                <w:sz w:val="18"/>
                <w:szCs w:val="18"/>
              </w:rPr>
              <w:t>12,4</w:t>
            </w:r>
          </w:p>
        </w:tc>
        <w:tc>
          <w:tcPr>
            <w:tcW w:w="625" w:type="pct"/>
            <w:vAlign w:val="center"/>
          </w:tcPr>
          <w:p w14:paraId="21D18122" w14:textId="77777777" w:rsidR="007D50F1" w:rsidRPr="00E86687" w:rsidRDefault="007D50F1" w:rsidP="00970743">
            <w:pPr>
              <w:keepNext/>
              <w:keepLines/>
              <w:tabs>
                <w:tab w:val="decimal" w:pos="547"/>
              </w:tabs>
              <w:spacing w:after="0"/>
              <w:ind w:firstLine="0"/>
              <w:jc w:val="center"/>
              <w:rPr>
                <w:i/>
                <w:sz w:val="18"/>
                <w:szCs w:val="18"/>
              </w:rPr>
            </w:pPr>
            <w:r w:rsidRPr="00E86687">
              <w:rPr>
                <w:i/>
                <w:sz w:val="18"/>
                <w:szCs w:val="18"/>
              </w:rPr>
              <w:t>13,7</w:t>
            </w:r>
          </w:p>
        </w:tc>
        <w:tc>
          <w:tcPr>
            <w:tcW w:w="625" w:type="pct"/>
            <w:vAlign w:val="center"/>
          </w:tcPr>
          <w:p w14:paraId="7D53A873" w14:textId="77777777" w:rsidR="007D50F1" w:rsidRPr="00E86687" w:rsidRDefault="007D50F1" w:rsidP="00970743">
            <w:pPr>
              <w:keepNext/>
              <w:keepLines/>
              <w:tabs>
                <w:tab w:val="decimal" w:pos="547"/>
              </w:tabs>
              <w:spacing w:after="0"/>
              <w:ind w:firstLine="0"/>
              <w:jc w:val="center"/>
              <w:rPr>
                <w:i/>
                <w:sz w:val="18"/>
                <w:szCs w:val="18"/>
              </w:rPr>
            </w:pPr>
            <w:r w:rsidRPr="00E86687">
              <w:rPr>
                <w:i/>
                <w:sz w:val="18"/>
                <w:szCs w:val="18"/>
              </w:rPr>
              <w:t>14,5</w:t>
            </w:r>
          </w:p>
        </w:tc>
      </w:tr>
      <w:tr w:rsidR="007D50F1" w:rsidRPr="00E86687" w14:paraId="21FE5517" w14:textId="77777777" w:rsidTr="00970743">
        <w:trPr>
          <w:jc w:val="center"/>
        </w:trPr>
        <w:tc>
          <w:tcPr>
            <w:tcW w:w="2500" w:type="pct"/>
            <w:vAlign w:val="center"/>
          </w:tcPr>
          <w:p w14:paraId="72F48DF2" w14:textId="77777777" w:rsidR="007D50F1" w:rsidRPr="00E86687" w:rsidRDefault="007D50F1" w:rsidP="00970743">
            <w:pPr>
              <w:pStyle w:val="tabtekst"/>
              <w:keepNext/>
              <w:keepLines/>
              <w:rPr>
                <w:i/>
                <w:color w:val="auto"/>
                <w:sz w:val="18"/>
                <w:szCs w:val="18"/>
                <w:lang w:eastAsia="lv-LV"/>
              </w:rPr>
            </w:pPr>
            <w:r w:rsidRPr="00E86687">
              <w:rPr>
                <w:i/>
                <w:color w:val="auto"/>
                <w:sz w:val="18"/>
                <w:szCs w:val="18"/>
                <w:lang w:eastAsia="lv-LV"/>
              </w:rPr>
              <w:t>% no IKP</w:t>
            </w:r>
          </w:p>
        </w:tc>
        <w:tc>
          <w:tcPr>
            <w:tcW w:w="625" w:type="pct"/>
            <w:vAlign w:val="center"/>
          </w:tcPr>
          <w:p w14:paraId="2AF67699" w14:textId="77777777" w:rsidR="007D50F1" w:rsidRPr="00E86687" w:rsidRDefault="007D50F1" w:rsidP="00970743">
            <w:pPr>
              <w:keepNext/>
              <w:keepLines/>
              <w:tabs>
                <w:tab w:val="decimal" w:pos="547"/>
              </w:tabs>
              <w:spacing w:after="0"/>
              <w:ind w:firstLine="0"/>
              <w:jc w:val="center"/>
              <w:rPr>
                <w:i/>
                <w:sz w:val="18"/>
                <w:szCs w:val="18"/>
              </w:rPr>
            </w:pPr>
            <w:r w:rsidRPr="00E86687">
              <w:rPr>
                <w:i/>
                <w:sz w:val="18"/>
                <w:szCs w:val="18"/>
              </w:rPr>
              <w:t>0,1</w:t>
            </w:r>
          </w:p>
        </w:tc>
        <w:tc>
          <w:tcPr>
            <w:tcW w:w="625" w:type="pct"/>
            <w:vAlign w:val="center"/>
          </w:tcPr>
          <w:p w14:paraId="4C30A4D2" w14:textId="77777777" w:rsidR="007D50F1" w:rsidRPr="00E86687" w:rsidRDefault="007D50F1" w:rsidP="00970743">
            <w:pPr>
              <w:keepNext/>
              <w:keepLines/>
              <w:tabs>
                <w:tab w:val="decimal" w:pos="547"/>
              </w:tabs>
              <w:spacing w:after="0"/>
              <w:ind w:firstLine="0"/>
              <w:jc w:val="center"/>
              <w:rPr>
                <w:i/>
                <w:sz w:val="18"/>
                <w:szCs w:val="18"/>
              </w:rPr>
            </w:pPr>
            <w:r w:rsidRPr="00E86687">
              <w:rPr>
                <w:i/>
                <w:sz w:val="18"/>
                <w:szCs w:val="18"/>
              </w:rPr>
              <w:t>0,1</w:t>
            </w:r>
          </w:p>
        </w:tc>
        <w:tc>
          <w:tcPr>
            <w:tcW w:w="625" w:type="pct"/>
            <w:vAlign w:val="center"/>
          </w:tcPr>
          <w:p w14:paraId="012FF2F2" w14:textId="77777777" w:rsidR="007D50F1" w:rsidRPr="00E86687" w:rsidRDefault="007D50F1" w:rsidP="00970743">
            <w:pPr>
              <w:keepNext/>
              <w:keepLines/>
              <w:tabs>
                <w:tab w:val="decimal" w:pos="547"/>
              </w:tabs>
              <w:spacing w:after="0"/>
              <w:ind w:firstLine="0"/>
              <w:jc w:val="center"/>
              <w:rPr>
                <w:i/>
                <w:sz w:val="18"/>
                <w:szCs w:val="18"/>
              </w:rPr>
            </w:pPr>
            <w:r w:rsidRPr="00E86687">
              <w:rPr>
                <w:i/>
                <w:sz w:val="18"/>
                <w:szCs w:val="18"/>
              </w:rPr>
              <w:t>0,1</w:t>
            </w:r>
          </w:p>
        </w:tc>
        <w:tc>
          <w:tcPr>
            <w:tcW w:w="625" w:type="pct"/>
            <w:vAlign w:val="center"/>
          </w:tcPr>
          <w:p w14:paraId="2787DB8C" w14:textId="77777777" w:rsidR="007D50F1" w:rsidRPr="00E86687" w:rsidRDefault="007D50F1" w:rsidP="00970743">
            <w:pPr>
              <w:keepNext/>
              <w:keepLines/>
              <w:tabs>
                <w:tab w:val="decimal" w:pos="547"/>
              </w:tabs>
              <w:spacing w:after="0"/>
              <w:ind w:firstLine="0"/>
              <w:jc w:val="center"/>
              <w:rPr>
                <w:i/>
                <w:sz w:val="18"/>
                <w:szCs w:val="18"/>
              </w:rPr>
            </w:pPr>
            <w:r w:rsidRPr="00E86687">
              <w:rPr>
                <w:i/>
                <w:sz w:val="18"/>
                <w:szCs w:val="18"/>
              </w:rPr>
              <w:t>0,1</w:t>
            </w:r>
          </w:p>
        </w:tc>
      </w:tr>
    </w:tbl>
    <w:p w14:paraId="3513206C" w14:textId="77777777" w:rsidR="007D50F1" w:rsidRPr="00120F96" w:rsidRDefault="007D50F1" w:rsidP="007D50F1">
      <w:pPr>
        <w:spacing w:before="120" w:after="240"/>
        <w:ind w:left="425" w:firstLine="0"/>
        <w:jc w:val="left"/>
        <w:rPr>
          <w:sz w:val="18"/>
          <w:szCs w:val="18"/>
        </w:rPr>
      </w:pPr>
      <w:r w:rsidRPr="00FE519F">
        <w:rPr>
          <w:sz w:val="18"/>
          <w:szCs w:val="18"/>
          <w:vertAlign w:val="superscript"/>
        </w:rPr>
        <w:t>1</w:t>
      </w:r>
      <w:r>
        <w:rPr>
          <w:sz w:val="18"/>
          <w:szCs w:val="18"/>
        </w:rPr>
        <w:t xml:space="preserve"> S</w:t>
      </w:r>
      <w:r w:rsidRPr="00120F96">
        <w:rPr>
          <w:sz w:val="18"/>
          <w:szCs w:val="18"/>
        </w:rPr>
        <w:t>askaņā ar likumprojektu „Par valsts budžetu 2022. gadam”.</w:t>
      </w:r>
    </w:p>
    <w:p w14:paraId="39CF8EE3" w14:textId="77777777" w:rsidR="007D50F1" w:rsidRPr="00856ECF" w:rsidRDefault="007D50F1" w:rsidP="007D50F1">
      <w:pPr>
        <w:pStyle w:val="H4"/>
        <w:spacing w:before="240" w:after="240"/>
      </w:pPr>
      <w:r w:rsidRPr="00856ECF">
        <w:t>Izložu un azartspēļu nodoklis</w:t>
      </w:r>
    </w:p>
    <w:p w14:paraId="6AA96CC5" w14:textId="77777777" w:rsidR="007D50F1" w:rsidRPr="00DB28EB" w:rsidRDefault="007D50F1" w:rsidP="007D50F1">
      <w:pPr>
        <w:ind w:firstLine="720"/>
      </w:pPr>
      <w:bookmarkStart w:id="21" w:name="_Hlk82440736"/>
      <w:r w:rsidRPr="00DB28EB">
        <w:t xml:space="preserve">Izložu un azartspēļu nodokli maksā uzņēmumi, kas likumā „Par izložu un azartspēļu nodevu un nodokli” noteiktajā kārtībā saņēmuši speciālu atļauju izložu un azartspēļu organizēšanai un uzturēšanai. </w:t>
      </w:r>
    </w:p>
    <w:p w14:paraId="00BEC30C" w14:textId="77777777" w:rsidR="007D50F1" w:rsidRPr="00DB28EB" w:rsidRDefault="007D50F1" w:rsidP="007D50F1">
      <w:pPr>
        <w:ind w:firstLine="720"/>
      </w:pPr>
      <w:r w:rsidRPr="00DB28EB">
        <w:t>2021</w:t>
      </w:r>
      <w:r>
        <w:t>. gad</w:t>
      </w:r>
      <w:r w:rsidRPr="00DB28EB">
        <w:t>a sešos mēnešos izložu un azartspēļu nodokļa ieņēmumi bija 7,0</w:t>
      </w:r>
      <w:r>
        <w:t> milj. </w:t>
      </w:r>
      <w:proofErr w:type="spellStart"/>
      <w:r w:rsidRPr="00D705E7">
        <w:rPr>
          <w:i/>
        </w:rPr>
        <w:t>euro</w:t>
      </w:r>
      <w:proofErr w:type="spellEnd"/>
      <w:r w:rsidRPr="00DB28EB">
        <w:t>, kas, salīdzinot ar 2020</w:t>
      </w:r>
      <w:r>
        <w:t>. gad</w:t>
      </w:r>
      <w:r w:rsidRPr="00DB28EB">
        <w:t>a sešiem mēnešiem, ir samazinājušies par 9,4</w:t>
      </w:r>
      <w:r>
        <w:t> milj. </w:t>
      </w:r>
      <w:proofErr w:type="spellStart"/>
      <w:r w:rsidRPr="00D705E7">
        <w:rPr>
          <w:i/>
        </w:rPr>
        <w:t>euro</w:t>
      </w:r>
      <w:proofErr w:type="spellEnd"/>
      <w:r w:rsidRPr="00DB28EB">
        <w:t xml:space="preserve"> jeb 57,3</w:t>
      </w:r>
      <w:r>
        <w:t> procent</w:t>
      </w:r>
      <w:r w:rsidRPr="00DB28EB">
        <w:t>iem. Salīdzinājumā ar plānu 2021</w:t>
      </w:r>
      <w:r>
        <w:t>. gad</w:t>
      </w:r>
      <w:r w:rsidRPr="00DB28EB">
        <w:t>a sešos mēnešos nodokļa ieņēmumi ir iekasēti par 15,9</w:t>
      </w:r>
      <w:r>
        <w:t> milj. </w:t>
      </w:r>
      <w:proofErr w:type="spellStart"/>
      <w:r w:rsidRPr="00D705E7">
        <w:rPr>
          <w:i/>
        </w:rPr>
        <w:t>euro</w:t>
      </w:r>
      <w:proofErr w:type="spellEnd"/>
      <w:r w:rsidRPr="00DB28EB">
        <w:t xml:space="preserve"> jeb 69,3% mazāk, kam </w:t>
      </w:r>
      <w:r w:rsidRPr="00DB28EB">
        <w:rPr>
          <w:bCs/>
        </w:rPr>
        <w:t xml:space="preserve">par iemeslu ir </w:t>
      </w:r>
      <w:r w:rsidRPr="00DB28EB">
        <w:t>Covid</w:t>
      </w:r>
      <w:r w:rsidRPr="00DB28EB">
        <w:noBreakHyphen/>
        <w:t xml:space="preserve">19 ierobežojumu rezultātā joprojām izsludinātais </w:t>
      </w:r>
      <w:r w:rsidRPr="00DB28EB">
        <w:rPr>
          <w:bCs/>
        </w:rPr>
        <w:t>azartspēļu organizēšanas aizliegums vis</w:t>
      </w:r>
      <w:r>
        <w:rPr>
          <w:bCs/>
        </w:rPr>
        <w:t>ā</w:t>
      </w:r>
      <w:r w:rsidRPr="00DB28EB">
        <w:rPr>
          <w:bCs/>
        </w:rPr>
        <w:t>s spēļu zāl</w:t>
      </w:r>
      <w:r>
        <w:rPr>
          <w:bCs/>
        </w:rPr>
        <w:t>ē</w:t>
      </w:r>
      <w:r w:rsidRPr="00DB28EB">
        <w:rPr>
          <w:bCs/>
        </w:rPr>
        <w:t xml:space="preserve">s, </w:t>
      </w:r>
      <w:proofErr w:type="spellStart"/>
      <w:r w:rsidRPr="00DB28EB">
        <w:rPr>
          <w:bCs/>
        </w:rPr>
        <w:t>bingo</w:t>
      </w:r>
      <w:proofErr w:type="spellEnd"/>
      <w:r w:rsidRPr="00DB28EB">
        <w:rPr>
          <w:bCs/>
        </w:rPr>
        <w:t xml:space="preserve"> zāl</w:t>
      </w:r>
      <w:r>
        <w:rPr>
          <w:bCs/>
        </w:rPr>
        <w:t>ē</w:t>
      </w:r>
      <w:r w:rsidRPr="00DB28EB">
        <w:rPr>
          <w:bCs/>
        </w:rPr>
        <w:t xml:space="preserve">s, kazino un </w:t>
      </w:r>
      <w:proofErr w:type="spellStart"/>
      <w:r w:rsidRPr="00DB28EB">
        <w:rPr>
          <w:bCs/>
        </w:rPr>
        <w:t>totalizatora</w:t>
      </w:r>
      <w:proofErr w:type="spellEnd"/>
      <w:r w:rsidRPr="00DB28EB">
        <w:rPr>
          <w:bCs/>
        </w:rPr>
        <w:t xml:space="preserve"> likmju pieņemšanas vietās Latvijas teritorijā</w:t>
      </w:r>
      <w:r w:rsidRPr="00DB28EB">
        <w:t>. Ņemot vērā minēto, kā arī Izložu un azartspēļu uzraudzības inspekcijas sniegtās prognozes un viedokli, prognoze 2021</w:t>
      </w:r>
      <w:r>
        <w:t>. gad</w:t>
      </w:r>
      <w:r w:rsidRPr="00DB28EB">
        <w:t>am ir samazināta par 28,3</w:t>
      </w:r>
      <w:r>
        <w:t> milj. </w:t>
      </w:r>
      <w:proofErr w:type="spellStart"/>
      <w:r w:rsidRPr="00D705E7">
        <w:rPr>
          <w:i/>
        </w:rPr>
        <w:t>euro</w:t>
      </w:r>
      <w:proofErr w:type="spellEnd"/>
      <w:r w:rsidRPr="00DB28EB">
        <w:t xml:space="preserve"> jeb par 52,9% no plāna.</w:t>
      </w:r>
    </w:p>
    <w:bookmarkEnd w:id="21"/>
    <w:p w14:paraId="314D520A" w14:textId="77777777" w:rsidR="007D50F1" w:rsidRPr="00DB28EB" w:rsidRDefault="007D50F1" w:rsidP="007D50F1">
      <w:pPr>
        <w:ind w:firstLine="720"/>
      </w:pPr>
      <w:r w:rsidRPr="00DB28EB">
        <w:t>2022</w:t>
      </w:r>
      <w:r>
        <w:t>. gad</w:t>
      </w:r>
      <w:r w:rsidRPr="00DB28EB">
        <w:t>ā kopējie izložu un azartspēļu nodokļa ieņēmumi tiek plānoti 47,9</w:t>
      </w:r>
      <w:r>
        <w:t> milj. </w:t>
      </w:r>
      <w:proofErr w:type="spellStart"/>
      <w:r w:rsidRPr="00D705E7">
        <w:rPr>
          <w:i/>
        </w:rPr>
        <w:t>euro</w:t>
      </w:r>
      <w:proofErr w:type="spellEnd"/>
      <w:r w:rsidRPr="00DB28EB">
        <w:t xml:space="preserve"> apmērā, kas salīdzinājumā ar 2021</w:t>
      </w:r>
      <w:r>
        <w:t>. gad</w:t>
      </w:r>
      <w:r w:rsidRPr="00DB28EB">
        <w:t>a ieņēmumiem ir par 22,7</w:t>
      </w:r>
      <w:r>
        <w:t> milj. </w:t>
      </w:r>
      <w:proofErr w:type="spellStart"/>
      <w:r w:rsidRPr="00D705E7">
        <w:rPr>
          <w:i/>
        </w:rPr>
        <w:t>euro</w:t>
      </w:r>
      <w:proofErr w:type="spellEnd"/>
      <w:r w:rsidRPr="00DB28EB">
        <w:t xml:space="preserve"> jeb 90,2% vairāk. Sagatavojot izložu un azartspēļu nodokļa ieņēmumu plānu 2022</w:t>
      </w:r>
      <w:r>
        <w:t>. gad</w:t>
      </w:r>
      <w:r w:rsidRPr="00DB28EB">
        <w:t xml:space="preserve">am, tika </w:t>
      </w:r>
      <w:r w:rsidRPr="00DB28EB">
        <w:rPr>
          <w:szCs w:val="24"/>
        </w:rPr>
        <w:t>ņemtas vērā</w:t>
      </w:r>
      <w:r w:rsidRPr="00DB28EB">
        <w:t xml:space="preserve"> nozares attīstības </w:t>
      </w:r>
      <w:r w:rsidRPr="00DB28EB">
        <w:rPr>
          <w:szCs w:val="24"/>
        </w:rPr>
        <w:t>tendences</w:t>
      </w:r>
      <w:r w:rsidRPr="00AE68E3">
        <w:rPr>
          <w:szCs w:val="24"/>
        </w:rPr>
        <w:t>, kā arī</w:t>
      </w:r>
      <w:r w:rsidRPr="00AE68E3">
        <w:rPr>
          <w:szCs w:val="24"/>
          <w:lang w:eastAsia="lv-LV"/>
        </w:rPr>
        <w:t xml:space="preserve"> </w:t>
      </w:r>
      <w:r w:rsidRPr="00DB28EB">
        <w:t>Covid</w:t>
      </w:r>
      <w:r w:rsidRPr="00DB28EB">
        <w:noBreakHyphen/>
        <w:t>19 ierobežojumu pakāpeniska atcelšana</w:t>
      </w:r>
      <w:r w:rsidRPr="00DB28EB">
        <w:rPr>
          <w:szCs w:val="24"/>
        </w:rPr>
        <w:t>.</w:t>
      </w:r>
    </w:p>
    <w:p w14:paraId="7E5129B0" w14:textId="77777777" w:rsidR="007D50F1" w:rsidRPr="00E86687" w:rsidRDefault="007D50F1" w:rsidP="007D50F1">
      <w:pPr>
        <w:keepNext/>
        <w:spacing w:before="240" w:after="240"/>
        <w:ind w:firstLine="0"/>
        <w:jc w:val="center"/>
        <w:rPr>
          <w:b/>
          <w:i/>
          <w:szCs w:val="24"/>
        </w:rPr>
      </w:pPr>
      <w:r w:rsidRPr="00E86687">
        <w:rPr>
          <w:b/>
          <w:i/>
          <w:szCs w:val="24"/>
        </w:rPr>
        <w:t>3.</w:t>
      </w:r>
      <w:r>
        <w:rPr>
          <w:b/>
          <w:i/>
          <w:szCs w:val="24"/>
        </w:rPr>
        <w:t>17</w:t>
      </w:r>
      <w:r w:rsidRPr="00E86687">
        <w:rPr>
          <w:b/>
          <w:i/>
          <w:szCs w:val="24"/>
        </w:rPr>
        <w:t>. tabula. Izložu un azartspēļu nodokļa ieņēmumi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4389"/>
        <w:gridCol w:w="1167"/>
        <w:gridCol w:w="1169"/>
        <w:gridCol w:w="1169"/>
        <w:gridCol w:w="1167"/>
      </w:tblGrid>
      <w:tr w:rsidR="007D50F1" w:rsidRPr="00E86687" w14:paraId="2523495D" w14:textId="77777777" w:rsidTr="007D50F1">
        <w:trPr>
          <w:cantSplit/>
          <w:trHeight w:val="20"/>
          <w:jc w:val="center"/>
        </w:trPr>
        <w:tc>
          <w:tcPr>
            <w:tcW w:w="2422" w:type="pct"/>
            <w:vMerge w:val="restart"/>
            <w:shd w:val="clear" w:color="auto" w:fill="B8CCE4" w:themeFill="accent1" w:themeFillTint="66"/>
          </w:tcPr>
          <w:p w14:paraId="0AB94B66" w14:textId="77777777" w:rsidR="007D50F1" w:rsidRPr="00E86687" w:rsidRDefault="007D50F1" w:rsidP="00970743">
            <w:pPr>
              <w:pStyle w:val="tabtekst"/>
              <w:keepNext/>
              <w:keepLines/>
              <w:rPr>
                <w:b/>
                <w:color w:val="auto"/>
                <w:sz w:val="18"/>
                <w:szCs w:val="18"/>
              </w:rPr>
            </w:pPr>
          </w:p>
        </w:tc>
        <w:tc>
          <w:tcPr>
            <w:tcW w:w="644" w:type="pct"/>
            <w:tcBorders>
              <w:bottom w:val="single" w:sz="4" w:space="0" w:color="auto"/>
            </w:tcBorders>
            <w:shd w:val="clear" w:color="auto" w:fill="B8CCE4" w:themeFill="accent1" w:themeFillTint="66"/>
          </w:tcPr>
          <w:p w14:paraId="018E4D11"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2019</w:t>
            </w:r>
          </w:p>
        </w:tc>
        <w:tc>
          <w:tcPr>
            <w:tcW w:w="645" w:type="pct"/>
            <w:tcBorders>
              <w:bottom w:val="single" w:sz="4" w:space="0" w:color="auto"/>
            </w:tcBorders>
            <w:shd w:val="clear" w:color="auto" w:fill="B8CCE4" w:themeFill="accent1" w:themeFillTint="66"/>
          </w:tcPr>
          <w:p w14:paraId="4B2F43D1"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2020</w:t>
            </w:r>
          </w:p>
        </w:tc>
        <w:tc>
          <w:tcPr>
            <w:tcW w:w="645" w:type="pct"/>
            <w:shd w:val="clear" w:color="auto" w:fill="B8CCE4" w:themeFill="accent1" w:themeFillTint="66"/>
          </w:tcPr>
          <w:p w14:paraId="6F497D12"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2021</w:t>
            </w:r>
          </w:p>
        </w:tc>
        <w:tc>
          <w:tcPr>
            <w:tcW w:w="644" w:type="pct"/>
            <w:shd w:val="clear" w:color="auto" w:fill="B8CCE4" w:themeFill="accent1" w:themeFillTint="66"/>
          </w:tcPr>
          <w:p w14:paraId="7150002A"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2022</w:t>
            </w:r>
          </w:p>
        </w:tc>
      </w:tr>
      <w:tr w:rsidR="007D50F1" w:rsidRPr="00E86687" w14:paraId="0618FF3D" w14:textId="77777777" w:rsidTr="007D50F1">
        <w:trPr>
          <w:cantSplit/>
          <w:trHeight w:val="20"/>
          <w:jc w:val="center"/>
        </w:trPr>
        <w:tc>
          <w:tcPr>
            <w:tcW w:w="2422" w:type="pct"/>
            <w:vMerge/>
            <w:shd w:val="clear" w:color="auto" w:fill="B8CCE4" w:themeFill="accent1" w:themeFillTint="66"/>
          </w:tcPr>
          <w:p w14:paraId="55C2433C" w14:textId="77777777" w:rsidR="007D50F1" w:rsidRPr="00E86687" w:rsidRDefault="007D50F1" w:rsidP="00970743">
            <w:pPr>
              <w:pStyle w:val="tabtekst"/>
              <w:keepNext/>
              <w:keepLines/>
              <w:rPr>
                <w:b/>
                <w:color w:val="auto"/>
                <w:sz w:val="18"/>
                <w:szCs w:val="18"/>
              </w:rPr>
            </w:pPr>
          </w:p>
        </w:tc>
        <w:tc>
          <w:tcPr>
            <w:tcW w:w="1289" w:type="pct"/>
            <w:gridSpan w:val="2"/>
            <w:tcBorders>
              <w:bottom w:val="single" w:sz="4" w:space="0" w:color="auto"/>
            </w:tcBorders>
            <w:shd w:val="clear" w:color="auto" w:fill="B8CCE4" w:themeFill="accent1" w:themeFillTint="66"/>
            <w:vAlign w:val="center"/>
          </w:tcPr>
          <w:p w14:paraId="189A3575" w14:textId="77777777" w:rsidR="007D50F1" w:rsidRPr="00E86687" w:rsidRDefault="007D50F1" w:rsidP="00970743">
            <w:pPr>
              <w:pStyle w:val="tabtekst"/>
              <w:keepNext/>
              <w:keepLines/>
              <w:jc w:val="center"/>
              <w:rPr>
                <w:color w:val="auto"/>
                <w:sz w:val="18"/>
                <w:szCs w:val="18"/>
              </w:rPr>
            </w:pPr>
            <w:r w:rsidRPr="00E86687">
              <w:rPr>
                <w:color w:val="auto"/>
                <w:sz w:val="18"/>
                <w:szCs w:val="18"/>
              </w:rPr>
              <w:t>fakts</w:t>
            </w:r>
          </w:p>
        </w:tc>
        <w:tc>
          <w:tcPr>
            <w:tcW w:w="645" w:type="pct"/>
            <w:shd w:val="clear" w:color="auto" w:fill="B8CCE4" w:themeFill="accent1" w:themeFillTint="66"/>
            <w:vAlign w:val="center"/>
          </w:tcPr>
          <w:p w14:paraId="6F01891E" w14:textId="77777777" w:rsidR="007D50F1" w:rsidRPr="00E86687" w:rsidRDefault="007D50F1" w:rsidP="00970743">
            <w:pPr>
              <w:pStyle w:val="tabtekst"/>
              <w:keepNext/>
              <w:keepLines/>
              <w:jc w:val="center"/>
              <w:rPr>
                <w:b/>
                <w:color w:val="auto"/>
                <w:sz w:val="18"/>
                <w:szCs w:val="18"/>
              </w:rPr>
            </w:pPr>
            <w:r w:rsidRPr="00E86687">
              <w:rPr>
                <w:color w:val="auto"/>
                <w:sz w:val="18"/>
                <w:szCs w:val="18"/>
              </w:rPr>
              <w:t>prognoze</w:t>
            </w:r>
          </w:p>
        </w:tc>
        <w:tc>
          <w:tcPr>
            <w:tcW w:w="644" w:type="pct"/>
            <w:shd w:val="clear" w:color="auto" w:fill="B8CCE4" w:themeFill="accent1" w:themeFillTint="66"/>
            <w:vAlign w:val="center"/>
          </w:tcPr>
          <w:p w14:paraId="28F625E8" w14:textId="77777777" w:rsidR="007D50F1" w:rsidRPr="00E86687" w:rsidRDefault="007D50F1" w:rsidP="00970743">
            <w:pPr>
              <w:pStyle w:val="tabtekst"/>
              <w:keepNext/>
              <w:keepLines/>
              <w:jc w:val="center"/>
              <w:rPr>
                <w:b/>
                <w:color w:val="auto"/>
                <w:sz w:val="18"/>
                <w:szCs w:val="18"/>
              </w:rPr>
            </w:pPr>
            <w:r>
              <w:rPr>
                <w:color w:val="auto"/>
                <w:sz w:val="18"/>
                <w:szCs w:val="18"/>
              </w:rPr>
              <w:t>p</w:t>
            </w:r>
            <w:r w:rsidRPr="00E86687">
              <w:rPr>
                <w:color w:val="auto"/>
                <w:sz w:val="18"/>
                <w:szCs w:val="18"/>
              </w:rPr>
              <w:t>lāns</w:t>
            </w:r>
            <w:r w:rsidRPr="00E86687">
              <w:rPr>
                <w:color w:val="auto"/>
                <w:sz w:val="18"/>
                <w:szCs w:val="18"/>
                <w:vertAlign w:val="superscript"/>
              </w:rPr>
              <w:t>1</w:t>
            </w:r>
          </w:p>
        </w:tc>
      </w:tr>
      <w:tr w:rsidR="007D50F1" w:rsidRPr="00E86687" w14:paraId="427A9187" w14:textId="77777777" w:rsidTr="00970743">
        <w:trPr>
          <w:cantSplit/>
          <w:trHeight w:val="20"/>
          <w:jc w:val="center"/>
        </w:trPr>
        <w:tc>
          <w:tcPr>
            <w:tcW w:w="2422" w:type="pct"/>
            <w:shd w:val="clear" w:color="auto" w:fill="auto"/>
            <w:vAlign w:val="center"/>
          </w:tcPr>
          <w:p w14:paraId="0804855B" w14:textId="77777777" w:rsidR="007D50F1" w:rsidRPr="00E86687" w:rsidRDefault="007D50F1" w:rsidP="00970743">
            <w:pPr>
              <w:pStyle w:val="tabtekst"/>
              <w:keepNext/>
              <w:keepLines/>
              <w:rPr>
                <w:color w:val="auto"/>
                <w:sz w:val="18"/>
                <w:szCs w:val="18"/>
              </w:rPr>
            </w:pPr>
            <w:r w:rsidRPr="00E86687">
              <w:rPr>
                <w:color w:val="auto"/>
                <w:sz w:val="18"/>
                <w:szCs w:val="18"/>
              </w:rPr>
              <w:t>milj</w:t>
            </w:r>
            <w:r>
              <w:rPr>
                <w:color w:val="auto"/>
                <w:sz w:val="18"/>
                <w:szCs w:val="18"/>
              </w:rPr>
              <w:t>. </w:t>
            </w:r>
            <w:proofErr w:type="spellStart"/>
            <w:r w:rsidRPr="00D705E7">
              <w:rPr>
                <w:i/>
                <w:color w:val="auto"/>
                <w:sz w:val="18"/>
                <w:szCs w:val="18"/>
              </w:rPr>
              <w:t>euro</w:t>
            </w:r>
            <w:proofErr w:type="spellEnd"/>
          </w:p>
        </w:tc>
        <w:tc>
          <w:tcPr>
            <w:tcW w:w="644" w:type="pct"/>
            <w:tcBorders>
              <w:bottom w:val="single" w:sz="4" w:space="0" w:color="auto"/>
            </w:tcBorders>
            <w:shd w:val="clear" w:color="auto" w:fill="auto"/>
          </w:tcPr>
          <w:p w14:paraId="307C9E65" w14:textId="77777777" w:rsidR="007D50F1" w:rsidRPr="00E86687" w:rsidRDefault="007D50F1" w:rsidP="00970743">
            <w:pPr>
              <w:keepNext/>
              <w:keepLines/>
              <w:tabs>
                <w:tab w:val="decimal" w:pos="547"/>
              </w:tabs>
              <w:spacing w:after="0"/>
              <w:ind w:firstLine="0"/>
              <w:jc w:val="center"/>
              <w:rPr>
                <w:bCs/>
                <w:sz w:val="18"/>
                <w:szCs w:val="18"/>
              </w:rPr>
            </w:pPr>
            <w:r w:rsidRPr="00E86687">
              <w:rPr>
                <w:bCs/>
                <w:sz w:val="18"/>
                <w:szCs w:val="18"/>
              </w:rPr>
              <w:t>46,9</w:t>
            </w:r>
          </w:p>
        </w:tc>
        <w:tc>
          <w:tcPr>
            <w:tcW w:w="645" w:type="pct"/>
            <w:tcBorders>
              <w:bottom w:val="single" w:sz="4" w:space="0" w:color="auto"/>
            </w:tcBorders>
            <w:shd w:val="clear" w:color="auto" w:fill="auto"/>
          </w:tcPr>
          <w:p w14:paraId="37D55438" w14:textId="77777777" w:rsidR="007D50F1" w:rsidRPr="00E86687" w:rsidRDefault="007D50F1" w:rsidP="00970743">
            <w:pPr>
              <w:keepNext/>
              <w:keepLines/>
              <w:tabs>
                <w:tab w:val="decimal" w:pos="547"/>
              </w:tabs>
              <w:spacing w:after="0"/>
              <w:ind w:firstLine="0"/>
              <w:jc w:val="center"/>
              <w:rPr>
                <w:bCs/>
                <w:sz w:val="18"/>
                <w:szCs w:val="18"/>
              </w:rPr>
            </w:pPr>
            <w:r w:rsidRPr="00E86687">
              <w:rPr>
                <w:bCs/>
                <w:sz w:val="18"/>
                <w:szCs w:val="18"/>
              </w:rPr>
              <w:t>33,8</w:t>
            </w:r>
          </w:p>
        </w:tc>
        <w:tc>
          <w:tcPr>
            <w:tcW w:w="645" w:type="pct"/>
            <w:tcBorders>
              <w:bottom w:val="single" w:sz="4" w:space="0" w:color="auto"/>
            </w:tcBorders>
          </w:tcPr>
          <w:p w14:paraId="0E0CC5C8" w14:textId="77777777" w:rsidR="007D50F1" w:rsidRPr="00E86687" w:rsidRDefault="007D50F1" w:rsidP="00970743">
            <w:pPr>
              <w:keepNext/>
              <w:keepLines/>
              <w:tabs>
                <w:tab w:val="decimal" w:pos="547"/>
              </w:tabs>
              <w:spacing w:after="0"/>
              <w:ind w:firstLine="0"/>
              <w:jc w:val="center"/>
              <w:rPr>
                <w:bCs/>
                <w:sz w:val="18"/>
                <w:szCs w:val="18"/>
              </w:rPr>
            </w:pPr>
            <w:r w:rsidRPr="00E86687">
              <w:rPr>
                <w:bCs/>
                <w:sz w:val="18"/>
                <w:szCs w:val="18"/>
              </w:rPr>
              <w:t>25,2</w:t>
            </w:r>
          </w:p>
        </w:tc>
        <w:tc>
          <w:tcPr>
            <w:tcW w:w="644" w:type="pct"/>
            <w:tcBorders>
              <w:bottom w:val="single" w:sz="4" w:space="0" w:color="auto"/>
            </w:tcBorders>
            <w:shd w:val="clear" w:color="auto" w:fill="auto"/>
          </w:tcPr>
          <w:p w14:paraId="1B0C508A" w14:textId="77777777" w:rsidR="007D50F1" w:rsidRPr="00E86687" w:rsidRDefault="007D50F1" w:rsidP="00970743">
            <w:pPr>
              <w:keepNext/>
              <w:keepLines/>
              <w:tabs>
                <w:tab w:val="decimal" w:pos="547"/>
              </w:tabs>
              <w:spacing w:after="0"/>
              <w:ind w:firstLine="0"/>
              <w:jc w:val="center"/>
              <w:rPr>
                <w:bCs/>
                <w:sz w:val="18"/>
                <w:szCs w:val="18"/>
              </w:rPr>
            </w:pPr>
            <w:r w:rsidRPr="00E86687">
              <w:rPr>
                <w:bCs/>
                <w:sz w:val="18"/>
                <w:szCs w:val="18"/>
              </w:rPr>
              <w:t>47,9</w:t>
            </w:r>
          </w:p>
        </w:tc>
      </w:tr>
      <w:tr w:rsidR="007D50F1" w:rsidRPr="00E86687" w14:paraId="4FF6F27B" w14:textId="77777777" w:rsidTr="00970743">
        <w:trPr>
          <w:cantSplit/>
          <w:trHeight w:val="20"/>
          <w:jc w:val="center"/>
        </w:trPr>
        <w:tc>
          <w:tcPr>
            <w:tcW w:w="2422" w:type="pct"/>
            <w:shd w:val="clear" w:color="auto" w:fill="auto"/>
            <w:vAlign w:val="center"/>
          </w:tcPr>
          <w:p w14:paraId="732DC840" w14:textId="77777777" w:rsidR="007D50F1" w:rsidRPr="00E86687" w:rsidRDefault="007D50F1" w:rsidP="00970743">
            <w:pPr>
              <w:pStyle w:val="tabtekst"/>
              <w:keepNext/>
              <w:keepLines/>
              <w:rPr>
                <w:i/>
                <w:color w:val="auto"/>
                <w:sz w:val="18"/>
                <w:szCs w:val="18"/>
                <w:lang w:eastAsia="lv-LV"/>
              </w:rPr>
            </w:pPr>
            <w:r w:rsidRPr="00E86687">
              <w:rPr>
                <w:i/>
                <w:color w:val="auto"/>
                <w:sz w:val="18"/>
                <w:szCs w:val="18"/>
                <w:lang w:eastAsia="lv-LV"/>
              </w:rPr>
              <w:t>pieauguma tempi, faktiskās cenās, %</w:t>
            </w:r>
          </w:p>
        </w:tc>
        <w:tc>
          <w:tcPr>
            <w:tcW w:w="644" w:type="pct"/>
            <w:tcBorders>
              <w:top w:val="single" w:sz="4" w:space="0" w:color="auto"/>
              <w:left w:val="nil"/>
              <w:bottom w:val="single" w:sz="4" w:space="0" w:color="auto"/>
              <w:right w:val="single" w:sz="4" w:space="0" w:color="auto"/>
            </w:tcBorders>
            <w:shd w:val="clear" w:color="auto" w:fill="auto"/>
          </w:tcPr>
          <w:p w14:paraId="3E6821C8" w14:textId="77777777" w:rsidR="007D50F1" w:rsidRPr="00E86687" w:rsidRDefault="007D50F1" w:rsidP="00970743">
            <w:pPr>
              <w:keepNext/>
              <w:keepLines/>
              <w:tabs>
                <w:tab w:val="decimal" w:pos="547"/>
              </w:tabs>
              <w:spacing w:after="0"/>
              <w:ind w:firstLine="0"/>
              <w:jc w:val="center"/>
              <w:rPr>
                <w:i/>
                <w:iCs/>
                <w:sz w:val="18"/>
                <w:szCs w:val="18"/>
              </w:rPr>
            </w:pPr>
            <w:r w:rsidRPr="00E86687">
              <w:rPr>
                <w:i/>
                <w:iCs/>
                <w:sz w:val="18"/>
                <w:szCs w:val="18"/>
              </w:rPr>
              <w:t>5,6</w:t>
            </w: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3BE4CA1A" w14:textId="77777777" w:rsidR="007D50F1" w:rsidRPr="00E86687" w:rsidRDefault="007D50F1" w:rsidP="00970743">
            <w:pPr>
              <w:keepNext/>
              <w:keepLines/>
              <w:tabs>
                <w:tab w:val="decimal" w:pos="547"/>
              </w:tabs>
              <w:spacing w:after="0"/>
              <w:ind w:firstLine="0"/>
              <w:jc w:val="center"/>
              <w:rPr>
                <w:i/>
                <w:iCs/>
                <w:sz w:val="18"/>
                <w:szCs w:val="18"/>
              </w:rPr>
            </w:pPr>
            <w:r w:rsidRPr="00E86687">
              <w:rPr>
                <w:i/>
                <w:iCs/>
                <w:sz w:val="18"/>
                <w:szCs w:val="18"/>
              </w:rPr>
              <w:t>-28,0</w:t>
            </w:r>
          </w:p>
        </w:tc>
        <w:tc>
          <w:tcPr>
            <w:tcW w:w="645" w:type="pct"/>
            <w:tcBorders>
              <w:top w:val="single" w:sz="4" w:space="0" w:color="auto"/>
              <w:left w:val="single" w:sz="4" w:space="0" w:color="auto"/>
              <w:bottom w:val="single" w:sz="4" w:space="0" w:color="auto"/>
              <w:right w:val="single" w:sz="4" w:space="0" w:color="auto"/>
            </w:tcBorders>
          </w:tcPr>
          <w:p w14:paraId="532A161F" w14:textId="77777777" w:rsidR="007D50F1" w:rsidRPr="00E86687" w:rsidRDefault="007D50F1" w:rsidP="00970743">
            <w:pPr>
              <w:keepNext/>
              <w:keepLines/>
              <w:tabs>
                <w:tab w:val="decimal" w:pos="547"/>
              </w:tabs>
              <w:spacing w:after="0"/>
              <w:ind w:firstLine="0"/>
              <w:jc w:val="center"/>
              <w:rPr>
                <w:i/>
                <w:iCs/>
                <w:sz w:val="18"/>
                <w:szCs w:val="18"/>
              </w:rPr>
            </w:pPr>
            <w:r w:rsidRPr="00E86687">
              <w:rPr>
                <w:i/>
                <w:iCs/>
                <w:sz w:val="18"/>
                <w:szCs w:val="18"/>
              </w:rPr>
              <w:t>-25,5</w:t>
            </w:r>
          </w:p>
        </w:tc>
        <w:tc>
          <w:tcPr>
            <w:tcW w:w="644" w:type="pct"/>
            <w:tcBorders>
              <w:top w:val="single" w:sz="4" w:space="0" w:color="auto"/>
              <w:left w:val="single" w:sz="4" w:space="0" w:color="auto"/>
              <w:bottom w:val="single" w:sz="4" w:space="0" w:color="auto"/>
              <w:right w:val="single" w:sz="4" w:space="0" w:color="auto"/>
            </w:tcBorders>
            <w:shd w:val="clear" w:color="auto" w:fill="auto"/>
          </w:tcPr>
          <w:p w14:paraId="109F7277" w14:textId="77777777" w:rsidR="007D50F1" w:rsidRPr="00E86687" w:rsidRDefault="007D50F1" w:rsidP="00970743">
            <w:pPr>
              <w:keepNext/>
              <w:keepLines/>
              <w:tabs>
                <w:tab w:val="decimal" w:pos="547"/>
              </w:tabs>
              <w:spacing w:after="0"/>
              <w:ind w:firstLine="0"/>
              <w:jc w:val="center"/>
              <w:rPr>
                <w:i/>
                <w:iCs/>
                <w:sz w:val="18"/>
                <w:szCs w:val="18"/>
              </w:rPr>
            </w:pPr>
            <w:r w:rsidRPr="00E86687">
              <w:rPr>
                <w:i/>
                <w:iCs/>
                <w:sz w:val="18"/>
                <w:szCs w:val="18"/>
              </w:rPr>
              <w:t>90,2</w:t>
            </w:r>
          </w:p>
        </w:tc>
      </w:tr>
      <w:tr w:rsidR="007D50F1" w:rsidRPr="00E86687" w14:paraId="02EE8B76" w14:textId="77777777" w:rsidTr="00970743">
        <w:trPr>
          <w:cantSplit/>
          <w:trHeight w:val="20"/>
          <w:jc w:val="center"/>
        </w:trPr>
        <w:tc>
          <w:tcPr>
            <w:tcW w:w="2422" w:type="pct"/>
            <w:vAlign w:val="center"/>
          </w:tcPr>
          <w:p w14:paraId="4FC13BD0" w14:textId="77777777" w:rsidR="007D50F1" w:rsidRPr="00E86687" w:rsidRDefault="007D50F1" w:rsidP="00970743">
            <w:pPr>
              <w:pStyle w:val="tabtekst"/>
              <w:keepNext/>
              <w:keepLines/>
              <w:rPr>
                <w:i/>
                <w:color w:val="auto"/>
                <w:sz w:val="18"/>
                <w:szCs w:val="18"/>
                <w:lang w:eastAsia="lv-LV"/>
              </w:rPr>
            </w:pPr>
            <w:r w:rsidRPr="00E86687">
              <w:rPr>
                <w:i/>
                <w:color w:val="auto"/>
                <w:sz w:val="18"/>
                <w:szCs w:val="18"/>
                <w:lang w:eastAsia="lv-LV"/>
              </w:rPr>
              <w:t>% no IKP</w:t>
            </w:r>
          </w:p>
        </w:tc>
        <w:tc>
          <w:tcPr>
            <w:tcW w:w="644" w:type="pct"/>
            <w:tcBorders>
              <w:top w:val="single" w:sz="4" w:space="0" w:color="auto"/>
              <w:left w:val="nil"/>
              <w:bottom w:val="single" w:sz="4" w:space="0" w:color="auto"/>
              <w:right w:val="single" w:sz="4" w:space="0" w:color="auto"/>
            </w:tcBorders>
            <w:shd w:val="clear" w:color="auto" w:fill="auto"/>
          </w:tcPr>
          <w:p w14:paraId="43208051" w14:textId="77777777" w:rsidR="007D50F1" w:rsidRPr="00E86687" w:rsidRDefault="007D50F1" w:rsidP="00970743">
            <w:pPr>
              <w:keepNext/>
              <w:keepLines/>
              <w:tabs>
                <w:tab w:val="decimal" w:pos="547"/>
              </w:tabs>
              <w:spacing w:after="0"/>
              <w:ind w:firstLine="0"/>
              <w:jc w:val="center"/>
              <w:rPr>
                <w:i/>
                <w:iCs/>
                <w:sz w:val="18"/>
                <w:szCs w:val="18"/>
              </w:rPr>
            </w:pPr>
            <w:r w:rsidRPr="00E86687">
              <w:rPr>
                <w:i/>
                <w:iCs/>
                <w:sz w:val="18"/>
                <w:szCs w:val="18"/>
              </w:rPr>
              <w:t>0,2</w:t>
            </w: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50E77087" w14:textId="77777777" w:rsidR="007D50F1" w:rsidRPr="00E86687" w:rsidRDefault="007D50F1" w:rsidP="00970743">
            <w:pPr>
              <w:keepNext/>
              <w:keepLines/>
              <w:tabs>
                <w:tab w:val="decimal" w:pos="547"/>
              </w:tabs>
              <w:spacing w:after="0"/>
              <w:ind w:firstLine="0"/>
              <w:jc w:val="center"/>
              <w:rPr>
                <w:i/>
                <w:iCs/>
                <w:sz w:val="18"/>
                <w:szCs w:val="18"/>
              </w:rPr>
            </w:pPr>
            <w:r w:rsidRPr="00E86687">
              <w:rPr>
                <w:i/>
                <w:iCs/>
                <w:sz w:val="18"/>
                <w:szCs w:val="18"/>
              </w:rPr>
              <w:t>0,1</w:t>
            </w:r>
          </w:p>
        </w:tc>
        <w:tc>
          <w:tcPr>
            <w:tcW w:w="645" w:type="pct"/>
            <w:tcBorders>
              <w:top w:val="single" w:sz="4" w:space="0" w:color="auto"/>
              <w:left w:val="single" w:sz="4" w:space="0" w:color="auto"/>
              <w:bottom w:val="single" w:sz="4" w:space="0" w:color="auto"/>
              <w:right w:val="single" w:sz="4" w:space="0" w:color="auto"/>
            </w:tcBorders>
          </w:tcPr>
          <w:p w14:paraId="59D4C15C" w14:textId="77777777" w:rsidR="007D50F1" w:rsidRPr="00E86687" w:rsidRDefault="007D50F1" w:rsidP="00970743">
            <w:pPr>
              <w:keepNext/>
              <w:keepLines/>
              <w:tabs>
                <w:tab w:val="decimal" w:pos="547"/>
              </w:tabs>
              <w:spacing w:after="0"/>
              <w:ind w:firstLine="0"/>
              <w:jc w:val="center"/>
              <w:rPr>
                <w:i/>
                <w:iCs/>
                <w:sz w:val="18"/>
                <w:szCs w:val="18"/>
              </w:rPr>
            </w:pPr>
            <w:r w:rsidRPr="00E86687">
              <w:rPr>
                <w:i/>
                <w:iCs/>
                <w:sz w:val="18"/>
                <w:szCs w:val="18"/>
              </w:rPr>
              <w:t>0,1</w:t>
            </w:r>
          </w:p>
        </w:tc>
        <w:tc>
          <w:tcPr>
            <w:tcW w:w="644" w:type="pct"/>
            <w:tcBorders>
              <w:top w:val="single" w:sz="4" w:space="0" w:color="auto"/>
              <w:left w:val="single" w:sz="4" w:space="0" w:color="auto"/>
              <w:bottom w:val="single" w:sz="4" w:space="0" w:color="auto"/>
              <w:right w:val="single" w:sz="4" w:space="0" w:color="auto"/>
            </w:tcBorders>
            <w:shd w:val="clear" w:color="auto" w:fill="auto"/>
          </w:tcPr>
          <w:p w14:paraId="520AC9DA" w14:textId="77777777" w:rsidR="007D50F1" w:rsidRPr="00E86687" w:rsidRDefault="007D50F1" w:rsidP="00970743">
            <w:pPr>
              <w:keepNext/>
              <w:keepLines/>
              <w:tabs>
                <w:tab w:val="decimal" w:pos="547"/>
              </w:tabs>
              <w:spacing w:after="0"/>
              <w:ind w:firstLine="0"/>
              <w:jc w:val="center"/>
              <w:rPr>
                <w:i/>
                <w:iCs/>
                <w:sz w:val="18"/>
                <w:szCs w:val="18"/>
              </w:rPr>
            </w:pPr>
            <w:r w:rsidRPr="00E86687">
              <w:rPr>
                <w:i/>
                <w:iCs/>
                <w:sz w:val="18"/>
                <w:szCs w:val="18"/>
              </w:rPr>
              <w:t>0,1</w:t>
            </w:r>
          </w:p>
        </w:tc>
      </w:tr>
    </w:tbl>
    <w:p w14:paraId="1468EA7D" w14:textId="77777777" w:rsidR="007D50F1" w:rsidRPr="00120F96" w:rsidRDefault="007D50F1" w:rsidP="007D50F1">
      <w:pPr>
        <w:spacing w:before="120" w:after="240"/>
        <w:ind w:left="425" w:firstLine="0"/>
        <w:jc w:val="left"/>
        <w:rPr>
          <w:sz w:val="18"/>
          <w:szCs w:val="18"/>
        </w:rPr>
      </w:pPr>
      <w:r w:rsidRPr="00FE519F">
        <w:rPr>
          <w:sz w:val="18"/>
          <w:szCs w:val="18"/>
          <w:vertAlign w:val="superscript"/>
        </w:rPr>
        <w:t>1</w:t>
      </w:r>
      <w:r>
        <w:rPr>
          <w:sz w:val="18"/>
          <w:szCs w:val="18"/>
        </w:rPr>
        <w:t xml:space="preserve"> S</w:t>
      </w:r>
      <w:r w:rsidRPr="00120F96">
        <w:rPr>
          <w:sz w:val="18"/>
          <w:szCs w:val="18"/>
        </w:rPr>
        <w:t>askaņā ar likumprojektu „Par valsts budžetu 2022. gadam”.</w:t>
      </w:r>
    </w:p>
    <w:p w14:paraId="17F86EDE" w14:textId="77777777" w:rsidR="007D50F1" w:rsidRPr="00856ECF" w:rsidRDefault="007D50F1" w:rsidP="007D50F1">
      <w:pPr>
        <w:pStyle w:val="H4"/>
        <w:spacing w:before="240" w:after="240"/>
      </w:pPr>
      <w:r w:rsidRPr="00856ECF">
        <w:t>Elektroenerģijas nodoklis</w:t>
      </w:r>
    </w:p>
    <w:p w14:paraId="30C200A2" w14:textId="77777777" w:rsidR="007D50F1" w:rsidRPr="009E623C" w:rsidRDefault="007D50F1" w:rsidP="007D50F1">
      <w:pPr>
        <w:ind w:firstLine="720"/>
        <w:rPr>
          <w:i/>
        </w:rPr>
      </w:pPr>
      <w:bookmarkStart w:id="22" w:name="_Hlk82440779"/>
      <w:r w:rsidRPr="009E623C">
        <w:t>Elektroenerģijas nodoklis ir daļa no izmaksām, kuras tiek iecenotas tirdzniecības pakalpojumu cenā, jo nodokļu maksātājs ir elektroenerģijas tirgotājs un elektroenerģijas ražotājs. Elektroenerģijas nodokļa likme ir 1,01</w:t>
      </w:r>
      <w:r w:rsidRPr="009E623C">
        <w:rPr>
          <w:i/>
        </w:rPr>
        <w:t> </w:t>
      </w:r>
      <w:proofErr w:type="spellStart"/>
      <w:r w:rsidRPr="00D705E7">
        <w:rPr>
          <w:i/>
        </w:rPr>
        <w:t>euro</w:t>
      </w:r>
      <w:proofErr w:type="spellEnd"/>
      <w:r w:rsidRPr="009E623C">
        <w:t xml:space="preserve"> par megavatstundu, tas ir 0,1</w:t>
      </w:r>
      <w:r>
        <w:t>0 </w:t>
      </w:r>
      <w:proofErr w:type="spellStart"/>
      <w:r w:rsidRPr="007D50F1">
        <w:rPr>
          <w:i/>
          <w:iCs/>
        </w:rPr>
        <w:t>euro</w:t>
      </w:r>
      <w:proofErr w:type="spellEnd"/>
      <w:r w:rsidRPr="009E623C">
        <w:t xml:space="preserve"> par 100 kilovatiem</w:t>
      </w:r>
      <w:r w:rsidRPr="009E623C">
        <w:rPr>
          <w:i/>
        </w:rPr>
        <w:t>.</w:t>
      </w:r>
    </w:p>
    <w:p w14:paraId="1D9F135B" w14:textId="77777777" w:rsidR="007D50F1" w:rsidRPr="009E623C" w:rsidRDefault="007D50F1" w:rsidP="007D50F1">
      <w:pPr>
        <w:ind w:firstLine="720"/>
      </w:pPr>
      <w:r w:rsidRPr="009E623C">
        <w:t>Elektroenerģijas nodokļa ieņēmumi 2021</w:t>
      </w:r>
      <w:r>
        <w:t>. gad</w:t>
      </w:r>
      <w:r w:rsidRPr="009E623C">
        <w:t>a sešos mēnešos bija 2,6</w:t>
      </w:r>
      <w:r>
        <w:t> milj. </w:t>
      </w:r>
      <w:proofErr w:type="spellStart"/>
      <w:r w:rsidRPr="00D705E7">
        <w:rPr>
          <w:i/>
        </w:rPr>
        <w:t>euro</w:t>
      </w:r>
      <w:proofErr w:type="spellEnd"/>
      <w:r w:rsidRPr="009E623C">
        <w:t>, kas salīdzinājumā ar 2020</w:t>
      </w:r>
      <w:r>
        <w:t>. gad</w:t>
      </w:r>
      <w:r w:rsidRPr="009E623C">
        <w:t>a sešiem mēnešiem ir par 0,1</w:t>
      </w:r>
      <w:r>
        <w:t> milj. </w:t>
      </w:r>
      <w:proofErr w:type="spellStart"/>
      <w:r w:rsidRPr="00D705E7">
        <w:rPr>
          <w:i/>
        </w:rPr>
        <w:t>euro</w:t>
      </w:r>
      <w:proofErr w:type="spellEnd"/>
      <w:r w:rsidRPr="009E623C">
        <w:t xml:space="preserve"> jeb 4,2% vairāk. Ieņēmumi šajā periodā ir plānotajā apmērā – pārsniegums vien 1,2%. Līdz ar to prognoze 2021</w:t>
      </w:r>
      <w:r>
        <w:t>. gad</w:t>
      </w:r>
      <w:r w:rsidRPr="009E623C">
        <w:t>am ir atstāta iepriekšējā līmenī.</w:t>
      </w:r>
    </w:p>
    <w:bookmarkEnd w:id="22"/>
    <w:p w14:paraId="7AB64EFD" w14:textId="77777777" w:rsidR="007D50F1" w:rsidRPr="009E623C" w:rsidRDefault="007D50F1" w:rsidP="007D50F1">
      <w:pPr>
        <w:ind w:firstLine="720"/>
      </w:pPr>
      <w:r w:rsidRPr="009E623C">
        <w:t>2022</w:t>
      </w:r>
      <w:r>
        <w:t>. gad</w:t>
      </w:r>
      <w:r w:rsidRPr="009E623C">
        <w:t>ā elektroenerģijas nodokļa ieņēmumi tiek plānoti 4,9</w:t>
      </w:r>
      <w:r>
        <w:t> milj. </w:t>
      </w:r>
      <w:proofErr w:type="spellStart"/>
      <w:r w:rsidRPr="00D705E7">
        <w:rPr>
          <w:i/>
        </w:rPr>
        <w:t>euro</w:t>
      </w:r>
      <w:proofErr w:type="spellEnd"/>
      <w:r w:rsidRPr="009E623C">
        <w:rPr>
          <w:i/>
        </w:rPr>
        <w:t xml:space="preserve"> </w:t>
      </w:r>
      <w:r w:rsidRPr="009E623C">
        <w:t>apmērā, kas ir par 0,05</w:t>
      </w:r>
      <w:r>
        <w:t> milj. </w:t>
      </w:r>
      <w:proofErr w:type="spellStart"/>
      <w:r w:rsidRPr="00D705E7">
        <w:rPr>
          <w:i/>
        </w:rPr>
        <w:t>euro</w:t>
      </w:r>
      <w:proofErr w:type="spellEnd"/>
      <w:r w:rsidRPr="009E623C">
        <w:t xml:space="preserve"> jeb 1,0% vairāk nekā prognozēts 2021</w:t>
      </w:r>
      <w:r>
        <w:t>. gad</w:t>
      </w:r>
      <w:r w:rsidRPr="009E623C">
        <w:t xml:space="preserve">ā. </w:t>
      </w:r>
    </w:p>
    <w:p w14:paraId="3F01444F" w14:textId="77777777" w:rsidR="007D50F1" w:rsidRPr="004F0EB6" w:rsidRDefault="007D50F1" w:rsidP="007D50F1">
      <w:pPr>
        <w:keepNext/>
        <w:spacing w:before="240" w:after="240"/>
        <w:ind w:firstLine="0"/>
        <w:jc w:val="center"/>
        <w:rPr>
          <w:b/>
          <w:i/>
          <w:szCs w:val="24"/>
        </w:rPr>
      </w:pPr>
      <w:r w:rsidRPr="004F0EB6">
        <w:rPr>
          <w:b/>
          <w:i/>
          <w:szCs w:val="24"/>
        </w:rPr>
        <w:lastRenderedPageBreak/>
        <w:t>3.</w:t>
      </w:r>
      <w:r>
        <w:rPr>
          <w:b/>
          <w:i/>
          <w:szCs w:val="24"/>
        </w:rPr>
        <w:t>18. tab</w:t>
      </w:r>
      <w:r w:rsidRPr="004F0EB6">
        <w:rPr>
          <w:b/>
          <w:i/>
          <w:szCs w:val="24"/>
        </w:rPr>
        <w:t>ula. Elektroenerģijas nodokļa ieņēmumi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4389"/>
        <w:gridCol w:w="1167"/>
        <w:gridCol w:w="1169"/>
        <w:gridCol w:w="1169"/>
        <w:gridCol w:w="1167"/>
      </w:tblGrid>
      <w:tr w:rsidR="007D50F1" w:rsidRPr="00E86687" w14:paraId="770B26A1" w14:textId="77777777" w:rsidTr="007D50F1">
        <w:trPr>
          <w:cantSplit/>
          <w:trHeight w:val="20"/>
          <w:jc w:val="center"/>
        </w:trPr>
        <w:tc>
          <w:tcPr>
            <w:tcW w:w="2422" w:type="pct"/>
            <w:vMerge w:val="restart"/>
            <w:shd w:val="clear" w:color="auto" w:fill="B8CCE4" w:themeFill="accent1" w:themeFillTint="66"/>
          </w:tcPr>
          <w:p w14:paraId="2EA6630B" w14:textId="77777777" w:rsidR="007D50F1" w:rsidRPr="00E86687" w:rsidRDefault="007D50F1" w:rsidP="00970743">
            <w:pPr>
              <w:pStyle w:val="tabtekst"/>
              <w:keepNext/>
              <w:keepLines/>
              <w:rPr>
                <w:b/>
                <w:color w:val="auto"/>
                <w:sz w:val="18"/>
                <w:szCs w:val="18"/>
              </w:rPr>
            </w:pPr>
          </w:p>
        </w:tc>
        <w:tc>
          <w:tcPr>
            <w:tcW w:w="644" w:type="pct"/>
            <w:tcBorders>
              <w:bottom w:val="single" w:sz="4" w:space="0" w:color="auto"/>
            </w:tcBorders>
            <w:shd w:val="clear" w:color="auto" w:fill="B8CCE4" w:themeFill="accent1" w:themeFillTint="66"/>
            <w:vAlign w:val="center"/>
          </w:tcPr>
          <w:p w14:paraId="40325664"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2019</w:t>
            </w:r>
          </w:p>
        </w:tc>
        <w:tc>
          <w:tcPr>
            <w:tcW w:w="645" w:type="pct"/>
            <w:tcBorders>
              <w:bottom w:val="single" w:sz="4" w:space="0" w:color="auto"/>
            </w:tcBorders>
            <w:shd w:val="clear" w:color="auto" w:fill="B8CCE4" w:themeFill="accent1" w:themeFillTint="66"/>
            <w:vAlign w:val="center"/>
          </w:tcPr>
          <w:p w14:paraId="66291969"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2020</w:t>
            </w:r>
          </w:p>
        </w:tc>
        <w:tc>
          <w:tcPr>
            <w:tcW w:w="645" w:type="pct"/>
            <w:shd w:val="clear" w:color="auto" w:fill="B8CCE4" w:themeFill="accent1" w:themeFillTint="66"/>
            <w:vAlign w:val="center"/>
          </w:tcPr>
          <w:p w14:paraId="51C0BE3D"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2021</w:t>
            </w:r>
          </w:p>
        </w:tc>
        <w:tc>
          <w:tcPr>
            <w:tcW w:w="644" w:type="pct"/>
            <w:shd w:val="clear" w:color="auto" w:fill="B8CCE4" w:themeFill="accent1" w:themeFillTint="66"/>
            <w:vAlign w:val="center"/>
          </w:tcPr>
          <w:p w14:paraId="6A4F15FB"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2022</w:t>
            </w:r>
          </w:p>
        </w:tc>
      </w:tr>
      <w:tr w:rsidR="007D50F1" w:rsidRPr="00E86687" w14:paraId="3EFCFDF4" w14:textId="77777777" w:rsidTr="007D50F1">
        <w:trPr>
          <w:cantSplit/>
          <w:trHeight w:val="20"/>
          <w:jc w:val="center"/>
        </w:trPr>
        <w:tc>
          <w:tcPr>
            <w:tcW w:w="2422" w:type="pct"/>
            <w:vMerge/>
            <w:shd w:val="clear" w:color="auto" w:fill="B8CCE4" w:themeFill="accent1" w:themeFillTint="66"/>
          </w:tcPr>
          <w:p w14:paraId="01D5F6A3" w14:textId="77777777" w:rsidR="007D50F1" w:rsidRPr="00E86687" w:rsidRDefault="007D50F1" w:rsidP="00970743">
            <w:pPr>
              <w:pStyle w:val="tabtekst"/>
              <w:keepNext/>
              <w:keepLines/>
              <w:rPr>
                <w:b/>
                <w:color w:val="auto"/>
                <w:sz w:val="18"/>
                <w:szCs w:val="18"/>
              </w:rPr>
            </w:pPr>
          </w:p>
        </w:tc>
        <w:tc>
          <w:tcPr>
            <w:tcW w:w="1289" w:type="pct"/>
            <w:gridSpan w:val="2"/>
            <w:tcBorders>
              <w:bottom w:val="single" w:sz="4" w:space="0" w:color="auto"/>
            </w:tcBorders>
            <w:shd w:val="clear" w:color="auto" w:fill="B8CCE4" w:themeFill="accent1" w:themeFillTint="66"/>
            <w:vAlign w:val="center"/>
          </w:tcPr>
          <w:p w14:paraId="08638058" w14:textId="77777777" w:rsidR="007D50F1" w:rsidRPr="00E86687" w:rsidRDefault="007D50F1" w:rsidP="00970743">
            <w:pPr>
              <w:pStyle w:val="tabtekst"/>
              <w:keepNext/>
              <w:keepLines/>
              <w:jc w:val="center"/>
              <w:rPr>
                <w:b/>
                <w:color w:val="auto"/>
                <w:sz w:val="18"/>
                <w:szCs w:val="18"/>
              </w:rPr>
            </w:pPr>
            <w:r w:rsidRPr="00E86687">
              <w:rPr>
                <w:color w:val="auto"/>
                <w:sz w:val="18"/>
                <w:szCs w:val="18"/>
              </w:rPr>
              <w:t>fakts</w:t>
            </w:r>
          </w:p>
        </w:tc>
        <w:tc>
          <w:tcPr>
            <w:tcW w:w="645" w:type="pct"/>
            <w:shd w:val="clear" w:color="auto" w:fill="B8CCE4" w:themeFill="accent1" w:themeFillTint="66"/>
            <w:vAlign w:val="center"/>
          </w:tcPr>
          <w:p w14:paraId="6C3F5B21" w14:textId="77777777" w:rsidR="007D50F1" w:rsidRPr="00E86687" w:rsidRDefault="007D50F1" w:rsidP="00970743">
            <w:pPr>
              <w:pStyle w:val="tabtekst"/>
              <w:keepNext/>
              <w:keepLines/>
              <w:jc w:val="center"/>
              <w:rPr>
                <w:b/>
                <w:color w:val="auto"/>
                <w:sz w:val="18"/>
                <w:szCs w:val="18"/>
              </w:rPr>
            </w:pPr>
            <w:r w:rsidRPr="00E86687">
              <w:rPr>
                <w:color w:val="auto"/>
                <w:sz w:val="18"/>
                <w:szCs w:val="18"/>
              </w:rPr>
              <w:t>prognoze</w:t>
            </w:r>
          </w:p>
        </w:tc>
        <w:tc>
          <w:tcPr>
            <w:tcW w:w="644" w:type="pct"/>
            <w:shd w:val="clear" w:color="auto" w:fill="B8CCE4" w:themeFill="accent1" w:themeFillTint="66"/>
            <w:vAlign w:val="center"/>
          </w:tcPr>
          <w:p w14:paraId="5597E36F" w14:textId="77777777" w:rsidR="007D50F1" w:rsidRPr="00E86687" w:rsidRDefault="007D50F1" w:rsidP="00970743">
            <w:pPr>
              <w:pStyle w:val="tabtekst"/>
              <w:keepNext/>
              <w:keepLines/>
              <w:jc w:val="center"/>
              <w:rPr>
                <w:b/>
                <w:color w:val="auto"/>
                <w:sz w:val="18"/>
                <w:szCs w:val="18"/>
              </w:rPr>
            </w:pPr>
            <w:r>
              <w:rPr>
                <w:color w:val="auto"/>
                <w:sz w:val="18"/>
                <w:szCs w:val="18"/>
              </w:rPr>
              <w:t>p</w:t>
            </w:r>
            <w:r w:rsidRPr="00FE519F">
              <w:rPr>
                <w:color w:val="auto"/>
                <w:sz w:val="18"/>
                <w:szCs w:val="18"/>
              </w:rPr>
              <w:t>lāns</w:t>
            </w:r>
            <w:r w:rsidRPr="00FE519F">
              <w:rPr>
                <w:color w:val="auto"/>
                <w:sz w:val="18"/>
                <w:szCs w:val="18"/>
                <w:vertAlign w:val="superscript"/>
              </w:rPr>
              <w:t>1</w:t>
            </w:r>
          </w:p>
        </w:tc>
      </w:tr>
      <w:tr w:rsidR="007D50F1" w:rsidRPr="00E86687" w14:paraId="6099DD88" w14:textId="77777777" w:rsidTr="00970743">
        <w:trPr>
          <w:cantSplit/>
          <w:trHeight w:val="20"/>
          <w:jc w:val="center"/>
        </w:trPr>
        <w:tc>
          <w:tcPr>
            <w:tcW w:w="2422" w:type="pct"/>
            <w:shd w:val="clear" w:color="auto" w:fill="auto"/>
            <w:vAlign w:val="center"/>
          </w:tcPr>
          <w:p w14:paraId="0AA7514F" w14:textId="77777777" w:rsidR="007D50F1" w:rsidRPr="00E86687" w:rsidRDefault="007D50F1" w:rsidP="00970743">
            <w:pPr>
              <w:pStyle w:val="tabtekst"/>
              <w:keepNext/>
              <w:keepLines/>
              <w:rPr>
                <w:color w:val="auto"/>
                <w:sz w:val="18"/>
                <w:szCs w:val="18"/>
              </w:rPr>
            </w:pPr>
            <w:r w:rsidRPr="00E86687">
              <w:rPr>
                <w:color w:val="auto"/>
                <w:sz w:val="18"/>
                <w:szCs w:val="18"/>
                <w:lang w:eastAsia="lv-LV"/>
              </w:rPr>
              <w:t>milj</w:t>
            </w:r>
            <w:r>
              <w:rPr>
                <w:color w:val="auto"/>
                <w:sz w:val="18"/>
                <w:szCs w:val="18"/>
                <w:lang w:eastAsia="lv-LV"/>
              </w:rPr>
              <w:t>. </w:t>
            </w:r>
            <w:proofErr w:type="spellStart"/>
            <w:r w:rsidRPr="00D705E7">
              <w:rPr>
                <w:i/>
                <w:color w:val="auto"/>
                <w:sz w:val="18"/>
                <w:szCs w:val="18"/>
                <w:lang w:eastAsia="lv-LV"/>
              </w:rPr>
              <w:t>euro</w:t>
            </w:r>
            <w:proofErr w:type="spellEnd"/>
          </w:p>
        </w:tc>
        <w:tc>
          <w:tcPr>
            <w:tcW w:w="644" w:type="pct"/>
            <w:tcBorders>
              <w:bottom w:val="single" w:sz="4" w:space="0" w:color="auto"/>
            </w:tcBorders>
            <w:shd w:val="clear" w:color="auto" w:fill="auto"/>
          </w:tcPr>
          <w:p w14:paraId="4FE70B1B" w14:textId="77777777" w:rsidR="007D50F1" w:rsidRPr="00E86687" w:rsidRDefault="007D50F1" w:rsidP="00970743">
            <w:pPr>
              <w:keepNext/>
              <w:keepLines/>
              <w:tabs>
                <w:tab w:val="decimal" w:pos="547"/>
              </w:tabs>
              <w:spacing w:after="0"/>
              <w:ind w:firstLine="0"/>
              <w:jc w:val="right"/>
              <w:rPr>
                <w:bCs/>
                <w:sz w:val="18"/>
                <w:szCs w:val="18"/>
              </w:rPr>
            </w:pPr>
            <w:r w:rsidRPr="00E86687">
              <w:rPr>
                <w:bCs/>
                <w:sz w:val="18"/>
                <w:szCs w:val="18"/>
              </w:rPr>
              <w:t>5,0</w:t>
            </w:r>
          </w:p>
        </w:tc>
        <w:tc>
          <w:tcPr>
            <w:tcW w:w="645" w:type="pct"/>
            <w:tcBorders>
              <w:bottom w:val="single" w:sz="4" w:space="0" w:color="auto"/>
            </w:tcBorders>
            <w:shd w:val="clear" w:color="auto" w:fill="auto"/>
          </w:tcPr>
          <w:p w14:paraId="6DA1E89E" w14:textId="77777777" w:rsidR="007D50F1" w:rsidRPr="00E86687" w:rsidRDefault="007D50F1" w:rsidP="00970743">
            <w:pPr>
              <w:keepNext/>
              <w:keepLines/>
              <w:tabs>
                <w:tab w:val="decimal" w:pos="547"/>
              </w:tabs>
              <w:spacing w:after="0"/>
              <w:ind w:firstLine="0"/>
              <w:jc w:val="right"/>
              <w:rPr>
                <w:bCs/>
                <w:sz w:val="18"/>
                <w:szCs w:val="18"/>
              </w:rPr>
            </w:pPr>
            <w:r w:rsidRPr="00E86687">
              <w:rPr>
                <w:bCs/>
                <w:sz w:val="18"/>
                <w:szCs w:val="18"/>
              </w:rPr>
              <w:t>4,8</w:t>
            </w:r>
          </w:p>
        </w:tc>
        <w:tc>
          <w:tcPr>
            <w:tcW w:w="645" w:type="pct"/>
            <w:tcBorders>
              <w:bottom w:val="single" w:sz="4" w:space="0" w:color="auto"/>
            </w:tcBorders>
          </w:tcPr>
          <w:p w14:paraId="7765DF1F" w14:textId="77777777" w:rsidR="007D50F1" w:rsidRPr="00E86687" w:rsidRDefault="007D50F1" w:rsidP="00970743">
            <w:pPr>
              <w:keepNext/>
              <w:keepLines/>
              <w:tabs>
                <w:tab w:val="decimal" w:pos="547"/>
              </w:tabs>
              <w:spacing w:after="0"/>
              <w:ind w:firstLine="0"/>
              <w:jc w:val="right"/>
              <w:rPr>
                <w:bCs/>
                <w:sz w:val="18"/>
                <w:szCs w:val="18"/>
              </w:rPr>
            </w:pPr>
            <w:r w:rsidRPr="00E86687">
              <w:rPr>
                <w:bCs/>
                <w:sz w:val="18"/>
                <w:szCs w:val="18"/>
              </w:rPr>
              <w:t>4,8</w:t>
            </w:r>
          </w:p>
        </w:tc>
        <w:tc>
          <w:tcPr>
            <w:tcW w:w="644" w:type="pct"/>
            <w:tcBorders>
              <w:bottom w:val="single" w:sz="4" w:space="0" w:color="auto"/>
            </w:tcBorders>
            <w:shd w:val="clear" w:color="auto" w:fill="auto"/>
          </w:tcPr>
          <w:p w14:paraId="1A2D8D7E" w14:textId="77777777" w:rsidR="007D50F1" w:rsidRPr="00E86687" w:rsidRDefault="007D50F1" w:rsidP="00970743">
            <w:pPr>
              <w:keepNext/>
              <w:keepLines/>
              <w:tabs>
                <w:tab w:val="decimal" w:pos="547"/>
              </w:tabs>
              <w:spacing w:after="0"/>
              <w:ind w:firstLine="0"/>
              <w:jc w:val="right"/>
              <w:rPr>
                <w:bCs/>
                <w:sz w:val="18"/>
                <w:szCs w:val="18"/>
              </w:rPr>
            </w:pPr>
            <w:r w:rsidRPr="00E86687">
              <w:rPr>
                <w:bCs/>
                <w:sz w:val="18"/>
                <w:szCs w:val="18"/>
              </w:rPr>
              <w:t>4,9</w:t>
            </w:r>
          </w:p>
        </w:tc>
      </w:tr>
      <w:tr w:rsidR="007D50F1" w:rsidRPr="00E86687" w14:paraId="4E356302" w14:textId="77777777" w:rsidTr="00970743">
        <w:trPr>
          <w:cantSplit/>
          <w:trHeight w:val="20"/>
          <w:jc w:val="center"/>
        </w:trPr>
        <w:tc>
          <w:tcPr>
            <w:tcW w:w="2422" w:type="pct"/>
            <w:shd w:val="clear" w:color="auto" w:fill="auto"/>
            <w:vAlign w:val="center"/>
          </w:tcPr>
          <w:p w14:paraId="09D4A48B" w14:textId="77777777" w:rsidR="007D50F1" w:rsidRPr="00E86687" w:rsidRDefault="007D50F1" w:rsidP="00970743">
            <w:pPr>
              <w:pStyle w:val="tabtekst"/>
              <w:keepNext/>
              <w:keepLines/>
              <w:rPr>
                <w:i/>
                <w:color w:val="auto"/>
                <w:sz w:val="18"/>
                <w:szCs w:val="18"/>
              </w:rPr>
            </w:pPr>
            <w:r w:rsidRPr="00E86687">
              <w:rPr>
                <w:i/>
                <w:color w:val="auto"/>
                <w:sz w:val="18"/>
                <w:szCs w:val="18"/>
              </w:rPr>
              <w:t>pieauguma tempi faktiskās cenās, %</w:t>
            </w:r>
          </w:p>
        </w:tc>
        <w:tc>
          <w:tcPr>
            <w:tcW w:w="644" w:type="pct"/>
            <w:tcBorders>
              <w:top w:val="single" w:sz="4" w:space="0" w:color="auto"/>
              <w:left w:val="nil"/>
              <w:bottom w:val="single" w:sz="4" w:space="0" w:color="auto"/>
              <w:right w:val="single" w:sz="4" w:space="0" w:color="auto"/>
            </w:tcBorders>
            <w:shd w:val="clear" w:color="auto" w:fill="auto"/>
          </w:tcPr>
          <w:p w14:paraId="3DB91ED2" w14:textId="77777777" w:rsidR="007D50F1" w:rsidRPr="00E86687" w:rsidRDefault="007D50F1" w:rsidP="00970743">
            <w:pPr>
              <w:keepNext/>
              <w:keepLines/>
              <w:tabs>
                <w:tab w:val="decimal" w:pos="547"/>
              </w:tabs>
              <w:spacing w:after="0"/>
              <w:ind w:firstLine="0"/>
              <w:jc w:val="right"/>
              <w:rPr>
                <w:i/>
                <w:iCs/>
                <w:sz w:val="18"/>
                <w:szCs w:val="18"/>
              </w:rPr>
            </w:pPr>
            <w:r w:rsidRPr="00E86687">
              <w:rPr>
                <w:i/>
                <w:iCs/>
                <w:sz w:val="18"/>
                <w:szCs w:val="18"/>
              </w:rPr>
              <w:t>0,4</w:t>
            </w: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01E02C38" w14:textId="77777777" w:rsidR="007D50F1" w:rsidRPr="00E86687" w:rsidRDefault="007D50F1" w:rsidP="00970743">
            <w:pPr>
              <w:keepNext/>
              <w:keepLines/>
              <w:tabs>
                <w:tab w:val="decimal" w:pos="547"/>
              </w:tabs>
              <w:spacing w:after="0"/>
              <w:ind w:firstLine="0"/>
              <w:jc w:val="right"/>
              <w:rPr>
                <w:i/>
                <w:iCs/>
                <w:sz w:val="18"/>
                <w:szCs w:val="18"/>
              </w:rPr>
            </w:pPr>
            <w:r w:rsidRPr="00E86687">
              <w:rPr>
                <w:i/>
                <w:iCs/>
                <w:sz w:val="18"/>
                <w:szCs w:val="18"/>
              </w:rPr>
              <w:t>-4,4</w:t>
            </w:r>
          </w:p>
        </w:tc>
        <w:tc>
          <w:tcPr>
            <w:tcW w:w="645" w:type="pct"/>
            <w:tcBorders>
              <w:top w:val="single" w:sz="4" w:space="0" w:color="auto"/>
              <w:left w:val="single" w:sz="4" w:space="0" w:color="auto"/>
              <w:bottom w:val="single" w:sz="4" w:space="0" w:color="auto"/>
              <w:right w:val="single" w:sz="4" w:space="0" w:color="auto"/>
            </w:tcBorders>
          </w:tcPr>
          <w:p w14:paraId="100D103A" w14:textId="77777777" w:rsidR="007D50F1" w:rsidRPr="00E86687" w:rsidRDefault="007D50F1" w:rsidP="00970743">
            <w:pPr>
              <w:keepNext/>
              <w:keepLines/>
              <w:tabs>
                <w:tab w:val="decimal" w:pos="547"/>
              </w:tabs>
              <w:spacing w:after="0"/>
              <w:ind w:firstLine="0"/>
              <w:jc w:val="right"/>
              <w:rPr>
                <w:i/>
                <w:iCs/>
                <w:sz w:val="18"/>
                <w:szCs w:val="18"/>
              </w:rPr>
            </w:pPr>
            <w:r w:rsidRPr="00E86687">
              <w:rPr>
                <w:i/>
                <w:iCs/>
                <w:sz w:val="18"/>
                <w:szCs w:val="18"/>
              </w:rPr>
              <w:t>0,4</w:t>
            </w:r>
          </w:p>
        </w:tc>
        <w:tc>
          <w:tcPr>
            <w:tcW w:w="644" w:type="pct"/>
            <w:tcBorders>
              <w:top w:val="single" w:sz="4" w:space="0" w:color="auto"/>
              <w:left w:val="single" w:sz="4" w:space="0" w:color="auto"/>
              <w:bottom w:val="single" w:sz="4" w:space="0" w:color="auto"/>
              <w:right w:val="single" w:sz="4" w:space="0" w:color="auto"/>
            </w:tcBorders>
            <w:shd w:val="clear" w:color="auto" w:fill="auto"/>
          </w:tcPr>
          <w:p w14:paraId="6034372B" w14:textId="77777777" w:rsidR="007D50F1" w:rsidRPr="00E86687" w:rsidRDefault="007D50F1" w:rsidP="00970743">
            <w:pPr>
              <w:keepNext/>
              <w:keepLines/>
              <w:tabs>
                <w:tab w:val="decimal" w:pos="547"/>
              </w:tabs>
              <w:spacing w:after="0"/>
              <w:ind w:firstLine="0"/>
              <w:jc w:val="right"/>
              <w:rPr>
                <w:i/>
                <w:iCs/>
                <w:sz w:val="18"/>
                <w:szCs w:val="18"/>
              </w:rPr>
            </w:pPr>
            <w:r w:rsidRPr="00E86687">
              <w:rPr>
                <w:i/>
                <w:iCs/>
                <w:sz w:val="18"/>
                <w:szCs w:val="18"/>
              </w:rPr>
              <w:t>1,0</w:t>
            </w:r>
          </w:p>
        </w:tc>
      </w:tr>
      <w:tr w:rsidR="007D50F1" w:rsidRPr="00E86687" w14:paraId="700F72A8" w14:textId="77777777" w:rsidTr="00970743">
        <w:trPr>
          <w:cantSplit/>
          <w:trHeight w:val="20"/>
          <w:jc w:val="center"/>
        </w:trPr>
        <w:tc>
          <w:tcPr>
            <w:tcW w:w="2422" w:type="pct"/>
            <w:vAlign w:val="center"/>
          </w:tcPr>
          <w:p w14:paraId="71241D43" w14:textId="77777777" w:rsidR="007D50F1" w:rsidRPr="00E86687" w:rsidRDefault="007D50F1" w:rsidP="00970743">
            <w:pPr>
              <w:pStyle w:val="tabtekst"/>
              <w:keepNext/>
              <w:keepLines/>
              <w:rPr>
                <w:i/>
                <w:color w:val="auto"/>
                <w:sz w:val="18"/>
                <w:szCs w:val="18"/>
              </w:rPr>
            </w:pPr>
            <w:r w:rsidRPr="00E86687">
              <w:rPr>
                <w:i/>
                <w:color w:val="auto"/>
                <w:sz w:val="18"/>
                <w:szCs w:val="18"/>
              </w:rPr>
              <w:t>% no IKP</w:t>
            </w:r>
          </w:p>
        </w:tc>
        <w:tc>
          <w:tcPr>
            <w:tcW w:w="644" w:type="pct"/>
            <w:tcBorders>
              <w:top w:val="single" w:sz="4" w:space="0" w:color="auto"/>
              <w:left w:val="nil"/>
              <w:bottom w:val="single" w:sz="4" w:space="0" w:color="auto"/>
              <w:right w:val="single" w:sz="4" w:space="0" w:color="auto"/>
            </w:tcBorders>
            <w:shd w:val="clear" w:color="auto" w:fill="auto"/>
          </w:tcPr>
          <w:p w14:paraId="118395DE" w14:textId="77777777" w:rsidR="007D50F1" w:rsidRPr="00E86687" w:rsidRDefault="007D50F1" w:rsidP="00970743">
            <w:pPr>
              <w:keepNext/>
              <w:keepLines/>
              <w:tabs>
                <w:tab w:val="decimal" w:pos="547"/>
              </w:tabs>
              <w:spacing w:after="0"/>
              <w:ind w:firstLine="0"/>
              <w:jc w:val="right"/>
              <w:rPr>
                <w:i/>
                <w:iCs/>
                <w:sz w:val="18"/>
                <w:szCs w:val="18"/>
              </w:rPr>
            </w:pPr>
            <w:r w:rsidRPr="00E86687">
              <w:rPr>
                <w:i/>
                <w:iCs/>
                <w:sz w:val="18"/>
                <w:szCs w:val="18"/>
              </w:rPr>
              <w:t>0,02</w:t>
            </w: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00192950" w14:textId="77777777" w:rsidR="007D50F1" w:rsidRPr="00E86687" w:rsidRDefault="007D50F1" w:rsidP="00970743">
            <w:pPr>
              <w:keepNext/>
              <w:keepLines/>
              <w:tabs>
                <w:tab w:val="decimal" w:pos="547"/>
              </w:tabs>
              <w:spacing w:after="0"/>
              <w:ind w:firstLine="0"/>
              <w:jc w:val="right"/>
              <w:rPr>
                <w:i/>
                <w:iCs/>
                <w:sz w:val="18"/>
                <w:szCs w:val="18"/>
              </w:rPr>
            </w:pPr>
            <w:r w:rsidRPr="00E86687">
              <w:rPr>
                <w:i/>
                <w:iCs/>
                <w:sz w:val="18"/>
                <w:szCs w:val="18"/>
              </w:rPr>
              <w:t>0,02</w:t>
            </w:r>
          </w:p>
        </w:tc>
        <w:tc>
          <w:tcPr>
            <w:tcW w:w="645" w:type="pct"/>
            <w:tcBorders>
              <w:top w:val="single" w:sz="4" w:space="0" w:color="auto"/>
              <w:left w:val="single" w:sz="4" w:space="0" w:color="auto"/>
              <w:bottom w:val="single" w:sz="4" w:space="0" w:color="auto"/>
              <w:right w:val="single" w:sz="4" w:space="0" w:color="auto"/>
            </w:tcBorders>
          </w:tcPr>
          <w:p w14:paraId="6052965C" w14:textId="77777777" w:rsidR="007D50F1" w:rsidRPr="00E86687" w:rsidRDefault="007D50F1" w:rsidP="00970743">
            <w:pPr>
              <w:keepNext/>
              <w:keepLines/>
              <w:tabs>
                <w:tab w:val="decimal" w:pos="547"/>
              </w:tabs>
              <w:spacing w:after="0"/>
              <w:ind w:firstLine="0"/>
              <w:jc w:val="right"/>
              <w:rPr>
                <w:i/>
                <w:iCs/>
                <w:sz w:val="18"/>
                <w:szCs w:val="18"/>
              </w:rPr>
            </w:pPr>
            <w:r w:rsidRPr="00E86687">
              <w:rPr>
                <w:i/>
                <w:iCs/>
                <w:sz w:val="18"/>
                <w:szCs w:val="18"/>
              </w:rPr>
              <w:t>0,02</w:t>
            </w:r>
          </w:p>
        </w:tc>
        <w:tc>
          <w:tcPr>
            <w:tcW w:w="644" w:type="pct"/>
            <w:tcBorders>
              <w:top w:val="single" w:sz="4" w:space="0" w:color="auto"/>
              <w:left w:val="single" w:sz="4" w:space="0" w:color="auto"/>
              <w:bottom w:val="single" w:sz="4" w:space="0" w:color="auto"/>
              <w:right w:val="single" w:sz="4" w:space="0" w:color="auto"/>
            </w:tcBorders>
            <w:shd w:val="clear" w:color="auto" w:fill="auto"/>
          </w:tcPr>
          <w:p w14:paraId="5B5F3F62" w14:textId="77777777" w:rsidR="007D50F1" w:rsidRPr="00E86687" w:rsidRDefault="007D50F1" w:rsidP="00970743">
            <w:pPr>
              <w:keepNext/>
              <w:keepLines/>
              <w:tabs>
                <w:tab w:val="decimal" w:pos="547"/>
              </w:tabs>
              <w:spacing w:after="0"/>
              <w:ind w:firstLine="0"/>
              <w:jc w:val="right"/>
              <w:rPr>
                <w:i/>
                <w:iCs/>
                <w:sz w:val="18"/>
                <w:szCs w:val="18"/>
              </w:rPr>
            </w:pPr>
            <w:r w:rsidRPr="00E86687">
              <w:rPr>
                <w:i/>
                <w:iCs/>
                <w:sz w:val="18"/>
                <w:szCs w:val="18"/>
              </w:rPr>
              <w:t>0,01</w:t>
            </w:r>
          </w:p>
        </w:tc>
      </w:tr>
    </w:tbl>
    <w:p w14:paraId="1BAE91FE" w14:textId="77777777" w:rsidR="007D50F1" w:rsidRPr="00120F96" w:rsidRDefault="007D50F1" w:rsidP="007D50F1">
      <w:pPr>
        <w:spacing w:before="120" w:after="240"/>
        <w:ind w:left="425" w:firstLine="0"/>
        <w:jc w:val="left"/>
        <w:rPr>
          <w:sz w:val="18"/>
          <w:szCs w:val="18"/>
        </w:rPr>
      </w:pPr>
      <w:r w:rsidRPr="00FE519F">
        <w:rPr>
          <w:sz w:val="18"/>
          <w:szCs w:val="18"/>
          <w:vertAlign w:val="superscript"/>
        </w:rPr>
        <w:t>1</w:t>
      </w:r>
      <w:r>
        <w:rPr>
          <w:sz w:val="18"/>
          <w:szCs w:val="18"/>
        </w:rPr>
        <w:t xml:space="preserve"> S</w:t>
      </w:r>
      <w:r w:rsidRPr="00120F96">
        <w:rPr>
          <w:sz w:val="18"/>
          <w:szCs w:val="18"/>
        </w:rPr>
        <w:t>askaņā ar likumprojektu „Par valsts budžetu 2022. gadam”.</w:t>
      </w:r>
    </w:p>
    <w:p w14:paraId="13237399" w14:textId="1F10CC63" w:rsidR="007D50F1" w:rsidRDefault="007D50F1" w:rsidP="007D50F1">
      <w:pPr>
        <w:pStyle w:val="H2"/>
        <w:spacing w:before="360" w:after="360"/>
      </w:pPr>
      <w:r w:rsidRPr="00856ECF">
        <w:t xml:space="preserve">3.3. Valsts pamatbudžeta </w:t>
      </w:r>
      <w:proofErr w:type="spellStart"/>
      <w:r w:rsidRPr="00856ECF">
        <w:t>nenodokļu</w:t>
      </w:r>
      <w:proofErr w:type="spellEnd"/>
      <w:r w:rsidRPr="00856ECF">
        <w:t xml:space="preserve"> ieņēmumi</w:t>
      </w:r>
    </w:p>
    <w:p w14:paraId="627DC4FC" w14:textId="48D26306" w:rsidR="007D50F1" w:rsidRPr="007D50F1" w:rsidRDefault="007D50F1" w:rsidP="007D50F1">
      <w:pPr>
        <w:spacing w:before="240" w:after="240"/>
        <w:ind w:firstLine="0"/>
        <w:jc w:val="center"/>
        <w:rPr>
          <w:b/>
          <w:bCs/>
          <w:i/>
          <w:iCs/>
        </w:rPr>
      </w:pPr>
      <w:r w:rsidRPr="005858E5">
        <w:rPr>
          <w:b/>
          <w:bCs/>
          <w:i/>
          <w:iCs/>
        </w:rPr>
        <w:t>3.1.</w:t>
      </w:r>
      <w:r>
        <w:rPr>
          <w:b/>
          <w:bCs/>
          <w:i/>
          <w:iCs/>
        </w:rPr>
        <w:t> </w:t>
      </w:r>
      <w:r w:rsidRPr="005858E5">
        <w:rPr>
          <w:b/>
          <w:bCs/>
          <w:i/>
          <w:iCs/>
        </w:rPr>
        <w:t xml:space="preserve">attēls. Valsts pamatbudžeta </w:t>
      </w:r>
      <w:proofErr w:type="spellStart"/>
      <w:r w:rsidRPr="005858E5">
        <w:rPr>
          <w:b/>
          <w:bCs/>
          <w:i/>
          <w:iCs/>
        </w:rPr>
        <w:t>nenodokļu</w:t>
      </w:r>
      <w:proofErr w:type="spellEnd"/>
      <w:r w:rsidRPr="005858E5">
        <w:rPr>
          <w:b/>
          <w:bCs/>
          <w:i/>
          <w:iCs/>
        </w:rPr>
        <w:t xml:space="preserve"> ieņēmumu struktūra 2021. gada </w:t>
      </w:r>
      <w:r>
        <w:rPr>
          <w:b/>
          <w:bCs/>
          <w:i/>
          <w:iCs/>
        </w:rPr>
        <w:t>1. </w:t>
      </w:r>
      <w:r w:rsidRPr="005858E5">
        <w:rPr>
          <w:b/>
          <w:bCs/>
          <w:i/>
          <w:iCs/>
        </w:rPr>
        <w:t>pusgadā</w:t>
      </w:r>
    </w:p>
    <w:p w14:paraId="52168282" w14:textId="77777777" w:rsidR="007D50F1" w:rsidRPr="005858E5" w:rsidRDefault="007D50F1" w:rsidP="007D50F1">
      <w:pPr>
        <w:keepNext/>
        <w:spacing w:after="0"/>
        <w:ind w:firstLine="0"/>
        <w:jc w:val="center"/>
        <w:rPr>
          <w:bCs/>
          <w:szCs w:val="24"/>
        </w:rPr>
      </w:pPr>
      <w:r w:rsidRPr="005858E5">
        <w:rPr>
          <w:bCs/>
          <w:noProof/>
          <w:szCs w:val="24"/>
          <w:lang w:eastAsia="lv-LV"/>
        </w:rPr>
        <w:drawing>
          <wp:inline distT="0" distB="0" distL="0" distR="0" wp14:anchorId="5A076AD3" wp14:editId="5C292F6B">
            <wp:extent cx="5702245" cy="2384425"/>
            <wp:effectExtent l="0" t="0" r="13335" b="15875"/>
            <wp:docPr id="2" name="Chart 2">
              <a:extLst xmlns:a="http://schemas.openxmlformats.org/drawingml/2006/main">
                <a:ext uri="{FF2B5EF4-FFF2-40B4-BE49-F238E27FC236}">
                  <a16:creationId xmlns:a16="http://schemas.microsoft.com/office/drawing/2014/main" id="{3CAD2996-BBBB-4EA5-9472-C60D2CFFBA3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188570E" w14:textId="77777777" w:rsidR="007D50F1" w:rsidRPr="00655696" w:rsidRDefault="007D50F1" w:rsidP="009135ED">
      <w:pPr>
        <w:spacing w:before="240"/>
        <w:ind w:firstLine="720"/>
      </w:pPr>
      <w:bookmarkStart w:id="23" w:name="_Hlk83115202"/>
      <w:r w:rsidRPr="00655696">
        <w:rPr>
          <w:bCs/>
          <w:szCs w:val="24"/>
        </w:rPr>
        <w:t xml:space="preserve">Pamatbudžeta </w:t>
      </w:r>
      <w:proofErr w:type="spellStart"/>
      <w:r w:rsidRPr="00655696">
        <w:rPr>
          <w:bCs/>
          <w:szCs w:val="24"/>
        </w:rPr>
        <w:t>nenodokļu</w:t>
      </w:r>
      <w:proofErr w:type="spellEnd"/>
      <w:r w:rsidRPr="00655696">
        <w:rPr>
          <w:bCs/>
          <w:szCs w:val="24"/>
        </w:rPr>
        <w:t xml:space="preserve"> ieņēmumi 2021</w:t>
      </w:r>
      <w:r>
        <w:rPr>
          <w:bCs/>
          <w:szCs w:val="24"/>
        </w:rPr>
        <w:t>. gad</w:t>
      </w:r>
      <w:r w:rsidRPr="00655696">
        <w:rPr>
          <w:bCs/>
          <w:szCs w:val="24"/>
        </w:rPr>
        <w:t xml:space="preserve">a </w:t>
      </w:r>
      <w:r>
        <w:rPr>
          <w:bCs/>
          <w:szCs w:val="24"/>
        </w:rPr>
        <w:t>pirmajā pusgadā</w:t>
      </w:r>
      <w:r w:rsidRPr="00655696">
        <w:rPr>
          <w:bCs/>
          <w:szCs w:val="24"/>
        </w:rPr>
        <w:t xml:space="preserve"> bija 411,2</w:t>
      </w:r>
      <w:r>
        <w:t> milj.</w:t>
      </w:r>
      <w:r>
        <w:rPr>
          <w:bCs/>
          <w:szCs w:val="24"/>
        </w:rPr>
        <w:t> </w:t>
      </w:r>
      <w:proofErr w:type="spellStart"/>
      <w:r w:rsidRPr="00D705E7">
        <w:rPr>
          <w:bCs/>
          <w:i/>
          <w:szCs w:val="24"/>
        </w:rPr>
        <w:t>euro</w:t>
      </w:r>
      <w:proofErr w:type="spellEnd"/>
      <w:r w:rsidRPr="00655696">
        <w:rPr>
          <w:bCs/>
          <w:szCs w:val="24"/>
        </w:rPr>
        <w:t>, kas ir par 97,0</w:t>
      </w:r>
      <w:r>
        <w:rPr>
          <w:bCs/>
          <w:szCs w:val="24"/>
        </w:rPr>
        <w:t> milj. </w:t>
      </w:r>
      <w:proofErr w:type="spellStart"/>
      <w:r w:rsidRPr="00D705E7">
        <w:rPr>
          <w:bCs/>
          <w:i/>
          <w:szCs w:val="24"/>
        </w:rPr>
        <w:t>euro</w:t>
      </w:r>
      <w:proofErr w:type="spellEnd"/>
      <w:r w:rsidRPr="00655696">
        <w:rPr>
          <w:bCs/>
          <w:szCs w:val="24"/>
        </w:rPr>
        <w:t xml:space="preserve"> jeb 30,9% vairāk kā plānots. Salīdzinot ar 2020</w:t>
      </w:r>
      <w:r>
        <w:rPr>
          <w:bCs/>
          <w:szCs w:val="24"/>
        </w:rPr>
        <w:t>. gad</w:t>
      </w:r>
      <w:r w:rsidRPr="00655696">
        <w:rPr>
          <w:bCs/>
          <w:szCs w:val="24"/>
        </w:rPr>
        <w:t xml:space="preserve">a sešiem mēnešiem, </w:t>
      </w:r>
      <w:proofErr w:type="spellStart"/>
      <w:r w:rsidRPr="00655696">
        <w:rPr>
          <w:bCs/>
          <w:szCs w:val="24"/>
        </w:rPr>
        <w:t>nenodokļu</w:t>
      </w:r>
      <w:proofErr w:type="spellEnd"/>
      <w:r w:rsidRPr="00655696">
        <w:rPr>
          <w:bCs/>
          <w:szCs w:val="24"/>
        </w:rPr>
        <w:t xml:space="preserve"> ieņēmumi ir iekasēti par 14,6</w:t>
      </w:r>
      <w:r>
        <w:rPr>
          <w:bCs/>
          <w:szCs w:val="24"/>
        </w:rPr>
        <w:t> milj. </w:t>
      </w:r>
      <w:proofErr w:type="spellStart"/>
      <w:r w:rsidRPr="00D705E7">
        <w:rPr>
          <w:bCs/>
          <w:i/>
          <w:szCs w:val="24"/>
        </w:rPr>
        <w:t>euro</w:t>
      </w:r>
      <w:proofErr w:type="spellEnd"/>
      <w:r w:rsidRPr="00655696">
        <w:rPr>
          <w:bCs/>
          <w:szCs w:val="24"/>
        </w:rPr>
        <w:t xml:space="preserve"> jeb 3,7% vairāk.</w:t>
      </w:r>
      <w:r w:rsidRPr="00655696">
        <w:t xml:space="preserve"> </w:t>
      </w:r>
    </w:p>
    <w:p w14:paraId="76809377" w14:textId="77777777" w:rsidR="007D50F1" w:rsidRPr="00677361" w:rsidRDefault="007D50F1" w:rsidP="009135ED">
      <w:pPr>
        <w:ind w:firstLine="720"/>
        <w:rPr>
          <w:szCs w:val="24"/>
        </w:rPr>
      </w:pPr>
      <w:proofErr w:type="spellStart"/>
      <w:r w:rsidRPr="009D06B6">
        <w:rPr>
          <w:szCs w:val="24"/>
        </w:rPr>
        <w:t>Nenodokļu</w:t>
      </w:r>
      <w:proofErr w:type="spellEnd"/>
      <w:r w:rsidRPr="009D06B6">
        <w:rPr>
          <w:szCs w:val="24"/>
        </w:rPr>
        <w:t xml:space="preserve"> ieņēmumu sešu mēnešu plāna pārpildi pamatā nodrošināja ieņēmumi no </w:t>
      </w:r>
      <w:r w:rsidRPr="00FF667E">
        <w:rPr>
          <w:szCs w:val="24"/>
        </w:rPr>
        <w:t>dividendēm. Plānoto 186,7</w:t>
      </w:r>
      <w:r>
        <w:rPr>
          <w:szCs w:val="24"/>
        </w:rPr>
        <w:t> milj. </w:t>
      </w:r>
      <w:proofErr w:type="spellStart"/>
      <w:r w:rsidRPr="00D705E7">
        <w:rPr>
          <w:i/>
          <w:szCs w:val="24"/>
        </w:rPr>
        <w:t>euro</w:t>
      </w:r>
      <w:proofErr w:type="spellEnd"/>
      <w:r w:rsidRPr="00FF667E">
        <w:rPr>
          <w:szCs w:val="24"/>
        </w:rPr>
        <w:t xml:space="preserve"> vietā </w:t>
      </w:r>
      <w:r>
        <w:rPr>
          <w:szCs w:val="24"/>
        </w:rPr>
        <w:t xml:space="preserve">pirmajā pusgadā </w:t>
      </w:r>
      <w:r w:rsidRPr="00FF667E">
        <w:rPr>
          <w:szCs w:val="24"/>
        </w:rPr>
        <w:t>ieskaitīti 227,7</w:t>
      </w:r>
      <w:r>
        <w:rPr>
          <w:szCs w:val="24"/>
        </w:rPr>
        <w:t> milj. </w:t>
      </w:r>
      <w:proofErr w:type="spellStart"/>
      <w:r w:rsidRPr="00D705E7">
        <w:rPr>
          <w:i/>
          <w:szCs w:val="24"/>
        </w:rPr>
        <w:t>euro</w:t>
      </w:r>
      <w:proofErr w:type="spellEnd"/>
      <w:r w:rsidRPr="00FF667E">
        <w:rPr>
          <w:szCs w:val="24"/>
        </w:rPr>
        <w:t>.</w:t>
      </w:r>
      <w:r w:rsidRPr="00677361">
        <w:rPr>
          <w:szCs w:val="24"/>
        </w:rPr>
        <w:t xml:space="preserve"> </w:t>
      </w:r>
    </w:p>
    <w:p w14:paraId="3DA64533" w14:textId="77777777" w:rsidR="007D50F1" w:rsidRPr="00DB2530" w:rsidRDefault="007D50F1" w:rsidP="009135ED">
      <w:pPr>
        <w:keepNext/>
        <w:ind w:firstLine="720"/>
        <w:rPr>
          <w:szCs w:val="24"/>
        </w:rPr>
      </w:pPr>
      <w:r w:rsidRPr="00DB2530">
        <w:rPr>
          <w:szCs w:val="24"/>
        </w:rPr>
        <w:t xml:space="preserve">Tāpat </w:t>
      </w:r>
      <w:r>
        <w:rPr>
          <w:szCs w:val="24"/>
        </w:rPr>
        <w:t xml:space="preserve">nozīmīga </w:t>
      </w:r>
      <w:proofErr w:type="spellStart"/>
      <w:r w:rsidRPr="00DB2530">
        <w:rPr>
          <w:szCs w:val="24"/>
        </w:rPr>
        <w:t>pārpilde</w:t>
      </w:r>
      <w:proofErr w:type="spellEnd"/>
      <w:r w:rsidRPr="00DB2530">
        <w:rPr>
          <w:szCs w:val="24"/>
        </w:rPr>
        <w:t xml:space="preserve"> ir arī šādās </w:t>
      </w:r>
      <w:proofErr w:type="spellStart"/>
      <w:r w:rsidRPr="00DB2530">
        <w:rPr>
          <w:szCs w:val="24"/>
        </w:rPr>
        <w:t>nenodokļu</w:t>
      </w:r>
      <w:proofErr w:type="spellEnd"/>
      <w:r w:rsidRPr="00DB2530">
        <w:rPr>
          <w:szCs w:val="24"/>
        </w:rPr>
        <w:t xml:space="preserve"> pozīcijās: </w:t>
      </w:r>
    </w:p>
    <w:p w14:paraId="2EB990DE" w14:textId="32A0B475" w:rsidR="007D50F1" w:rsidRPr="007D49ED" w:rsidRDefault="009135ED" w:rsidP="009135ED">
      <w:pPr>
        <w:numPr>
          <w:ilvl w:val="0"/>
          <w:numId w:val="33"/>
        </w:numPr>
        <w:ind w:left="1418" w:hanging="284"/>
        <w:rPr>
          <w:rFonts w:eastAsia="Calibri"/>
          <w:szCs w:val="24"/>
        </w:rPr>
      </w:pPr>
      <w:r>
        <w:rPr>
          <w:rFonts w:eastAsia="Calibri"/>
          <w:i/>
          <w:szCs w:val="24"/>
        </w:rPr>
        <w:t>P</w:t>
      </w:r>
      <w:r w:rsidR="007D50F1" w:rsidRPr="007D49ED">
        <w:rPr>
          <w:rFonts w:eastAsia="Calibri"/>
          <w:i/>
          <w:szCs w:val="24"/>
        </w:rPr>
        <w:t xml:space="preserve">ārējie </w:t>
      </w:r>
      <w:proofErr w:type="spellStart"/>
      <w:r w:rsidR="007D50F1" w:rsidRPr="007D49ED">
        <w:rPr>
          <w:rFonts w:eastAsia="Calibri"/>
          <w:i/>
          <w:szCs w:val="24"/>
        </w:rPr>
        <w:t>nenodokļu</w:t>
      </w:r>
      <w:proofErr w:type="spellEnd"/>
      <w:r w:rsidR="007D50F1" w:rsidRPr="007D49ED">
        <w:rPr>
          <w:rFonts w:eastAsia="Calibri"/>
          <w:i/>
          <w:szCs w:val="24"/>
        </w:rPr>
        <w:t xml:space="preserve"> ieņēmumi</w:t>
      </w:r>
      <w:r w:rsidR="007D50F1" w:rsidRPr="007D49ED">
        <w:rPr>
          <w:rFonts w:eastAsia="Calibri"/>
          <w:szCs w:val="24"/>
        </w:rPr>
        <w:t xml:space="preserve">. Pirmajā pusgadā plāna </w:t>
      </w:r>
      <w:proofErr w:type="spellStart"/>
      <w:r w:rsidR="007D50F1" w:rsidRPr="007D49ED">
        <w:rPr>
          <w:rFonts w:eastAsia="Calibri"/>
          <w:szCs w:val="24"/>
        </w:rPr>
        <w:t>pārpilde</w:t>
      </w:r>
      <w:proofErr w:type="spellEnd"/>
      <w:r w:rsidR="007D50F1" w:rsidRPr="007D49ED">
        <w:rPr>
          <w:rFonts w:eastAsia="Calibri"/>
          <w:szCs w:val="24"/>
        </w:rPr>
        <w:t xml:space="preserve"> ir 26,6</w:t>
      </w:r>
      <w:r w:rsidR="007D50F1">
        <w:rPr>
          <w:rFonts w:eastAsia="Calibri"/>
          <w:szCs w:val="24"/>
        </w:rPr>
        <w:t> milj. </w:t>
      </w:r>
      <w:proofErr w:type="spellStart"/>
      <w:r w:rsidR="007D50F1" w:rsidRPr="00D705E7">
        <w:rPr>
          <w:rFonts w:eastAsia="Calibri"/>
          <w:i/>
          <w:szCs w:val="24"/>
        </w:rPr>
        <w:t>euro</w:t>
      </w:r>
      <w:proofErr w:type="spellEnd"/>
      <w:r w:rsidR="007D50F1" w:rsidRPr="007D49ED">
        <w:rPr>
          <w:rFonts w:eastAsia="Calibri"/>
          <w:szCs w:val="24"/>
        </w:rPr>
        <w:t xml:space="preserve"> jeb 2,7 reizes. Šīs pozīcijas pārpildi nodrošināja ieņēmumi no konfiscēto noziedzīgi iegūto līdzekļu realizācijas, ko budžetā ieskaitā zvērināti tiesu izpildītāji</w:t>
      </w:r>
      <w:r>
        <w:rPr>
          <w:rFonts w:eastAsia="Calibri"/>
          <w:szCs w:val="24"/>
        </w:rPr>
        <w:t>;</w:t>
      </w:r>
    </w:p>
    <w:p w14:paraId="1FF7583C" w14:textId="29002CCC" w:rsidR="007D50F1" w:rsidRPr="007D49ED" w:rsidRDefault="009135ED" w:rsidP="009135ED">
      <w:pPr>
        <w:numPr>
          <w:ilvl w:val="0"/>
          <w:numId w:val="33"/>
        </w:numPr>
        <w:ind w:left="1418" w:hanging="284"/>
        <w:rPr>
          <w:rFonts w:eastAsia="Calibri"/>
          <w:szCs w:val="24"/>
        </w:rPr>
      </w:pPr>
      <w:r>
        <w:rPr>
          <w:rFonts w:eastAsia="Calibri"/>
          <w:i/>
          <w:szCs w:val="24"/>
        </w:rPr>
        <w:t>P</w:t>
      </w:r>
      <w:r w:rsidR="007D50F1" w:rsidRPr="007D49ED">
        <w:rPr>
          <w:rFonts w:eastAsia="Calibri"/>
          <w:i/>
          <w:szCs w:val="24"/>
        </w:rPr>
        <w:t>ārējie iepriekš neklasificētie finanšu ieņēmumi</w:t>
      </w:r>
      <w:r w:rsidR="007D50F1" w:rsidRPr="007D49ED">
        <w:rPr>
          <w:rFonts w:eastAsia="Calibri"/>
          <w:szCs w:val="24"/>
        </w:rPr>
        <w:t>. Pirmajā pusgadā izpilde bija 21,3</w:t>
      </w:r>
      <w:r w:rsidR="007D50F1">
        <w:rPr>
          <w:rFonts w:eastAsia="Calibri"/>
          <w:szCs w:val="24"/>
        </w:rPr>
        <w:t> milj. </w:t>
      </w:r>
      <w:proofErr w:type="spellStart"/>
      <w:r w:rsidR="007D50F1" w:rsidRPr="00D705E7">
        <w:rPr>
          <w:rFonts w:eastAsia="Calibri"/>
          <w:i/>
          <w:szCs w:val="24"/>
        </w:rPr>
        <w:t>euro</w:t>
      </w:r>
      <w:proofErr w:type="spellEnd"/>
      <w:r w:rsidR="007D50F1" w:rsidRPr="007D49ED">
        <w:rPr>
          <w:rFonts w:eastAsia="Calibri"/>
          <w:szCs w:val="24"/>
        </w:rPr>
        <w:t xml:space="preserve">. </w:t>
      </w:r>
      <w:r w:rsidR="007D50F1">
        <w:rPr>
          <w:rFonts w:eastAsia="Calibri"/>
          <w:szCs w:val="24"/>
        </w:rPr>
        <w:t xml:space="preserve">Šajā pozīcijā ienākuma netika plānoti, bet ieņēmumus ietekmēja </w:t>
      </w:r>
      <w:r w:rsidR="007D50F1" w:rsidRPr="007D49ED">
        <w:rPr>
          <w:rFonts w:eastAsia="Calibri"/>
          <w:szCs w:val="24"/>
        </w:rPr>
        <w:t xml:space="preserve">ISIN </w:t>
      </w:r>
      <w:proofErr w:type="spellStart"/>
      <w:r w:rsidR="007D50F1" w:rsidRPr="007D49ED">
        <w:rPr>
          <w:rFonts w:eastAsia="Calibri"/>
          <w:szCs w:val="24"/>
        </w:rPr>
        <w:t>papildemisijas</w:t>
      </w:r>
      <w:proofErr w:type="spellEnd"/>
      <w:r w:rsidR="007D50F1" w:rsidRPr="007D49ED">
        <w:rPr>
          <w:rFonts w:eastAsia="Calibri"/>
          <w:szCs w:val="24"/>
        </w:rPr>
        <w:t xml:space="preserve"> </w:t>
      </w:r>
      <w:proofErr w:type="spellStart"/>
      <w:r w:rsidR="007D50F1" w:rsidRPr="007D49ED">
        <w:rPr>
          <w:rFonts w:eastAsia="Calibri"/>
          <w:szCs w:val="24"/>
        </w:rPr>
        <w:t>Domestic</w:t>
      </w:r>
      <w:proofErr w:type="spellEnd"/>
      <w:r w:rsidR="007D50F1" w:rsidRPr="007D49ED">
        <w:rPr>
          <w:rFonts w:eastAsia="Calibri"/>
          <w:szCs w:val="24"/>
        </w:rPr>
        <w:t xml:space="preserve"> TAP izsolē un EK aizņēmuma SURE ietvaros emitēto VP prēmija</w:t>
      </w:r>
      <w:r>
        <w:rPr>
          <w:rFonts w:eastAsia="Calibri"/>
          <w:szCs w:val="24"/>
        </w:rPr>
        <w:t>;</w:t>
      </w:r>
    </w:p>
    <w:p w14:paraId="6F00C97D" w14:textId="0F4FBFC8" w:rsidR="007D50F1" w:rsidRPr="007D49ED" w:rsidRDefault="009135ED" w:rsidP="009135ED">
      <w:pPr>
        <w:numPr>
          <w:ilvl w:val="0"/>
          <w:numId w:val="33"/>
        </w:numPr>
        <w:ind w:left="1418" w:hanging="284"/>
        <w:rPr>
          <w:rFonts w:eastAsia="Calibri"/>
          <w:szCs w:val="24"/>
        </w:rPr>
      </w:pPr>
      <w:r>
        <w:rPr>
          <w:rFonts w:eastAsia="Calibri"/>
          <w:i/>
          <w:szCs w:val="24"/>
        </w:rPr>
        <w:t>I</w:t>
      </w:r>
      <w:r w:rsidR="007D50F1" w:rsidRPr="007D49ED">
        <w:rPr>
          <w:rFonts w:eastAsia="Calibri"/>
          <w:i/>
          <w:szCs w:val="24"/>
        </w:rPr>
        <w:t>eņēmumi no Latvijai piešķirto emisijas kvotu izsolīšanas</w:t>
      </w:r>
      <w:r w:rsidR="007D50F1" w:rsidRPr="007D49ED">
        <w:rPr>
          <w:rFonts w:eastAsia="Calibri"/>
          <w:szCs w:val="24"/>
        </w:rPr>
        <w:t xml:space="preserve">. Pirmajā pusgadā plāna </w:t>
      </w:r>
      <w:proofErr w:type="spellStart"/>
      <w:r w:rsidR="007D50F1" w:rsidRPr="007D49ED">
        <w:rPr>
          <w:rFonts w:eastAsia="Calibri"/>
          <w:szCs w:val="24"/>
        </w:rPr>
        <w:t>pārpilde</w:t>
      </w:r>
      <w:proofErr w:type="spellEnd"/>
      <w:r w:rsidR="007D50F1" w:rsidRPr="007D49ED">
        <w:rPr>
          <w:rFonts w:eastAsia="Calibri"/>
          <w:szCs w:val="24"/>
        </w:rPr>
        <w:t xml:space="preserve"> ir 11,8</w:t>
      </w:r>
      <w:r w:rsidR="007D50F1">
        <w:rPr>
          <w:rFonts w:eastAsia="Calibri"/>
          <w:szCs w:val="24"/>
        </w:rPr>
        <w:t> milj. </w:t>
      </w:r>
      <w:proofErr w:type="spellStart"/>
      <w:r w:rsidR="007D50F1" w:rsidRPr="00D705E7">
        <w:rPr>
          <w:rFonts w:eastAsia="Calibri"/>
          <w:i/>
          <w:szCs w:val="24"/>
        </w:rPr>
        <w:t>euro</w:t>
      </w:r>
      <w:proofErr w:type="spellEnd"/>
      <w:r w:rsidR="007D50F1" w:rsidRPr="007D49ED">
        <w:rPr>
          <w:rFonts w:eastAsia="Calibri"/>
          <w:szCs w:val="24"/>
        </w:rPr>
        <w:t xml:space="preserve"> jeb 82,0%.</w:t>
      </w:r>
    </w:p>
    <w:p w14:paraId="0C3EBC7F" w14:textId="77777777" w:rsidR="007D50F1" w:rsidRPr="0041704A" w:rsidRDefault="007D50F1" w:rsidP="009135ED">
      <w:pPr>
        <w:keepNext/>
        <w:ind w:firstLine="720"/>
        <w:rPr>
          <w:szCs w:val="24"/>
        </w:rPr>
      </w:pPr>
      <w:r w:rsidRPr="0041704A">
        <w:rPr>
          <w:szCs w:val="24"/>
        </w:rPr>
        <w:t>Tāpat ir pozīcijas, kurās šī gada pirmajā pusgadā ir būtiska neizpilde:</w:t>
      </w:r>
    </w:p>
    <w:p w14:paraId="5DD1FFD2" w14:textId="3940F46A" w:rsidR="007D50F1" w:rsidRPr="007D49ED" w:rsidRDefault="007D50F1" w:rsidP="009135ED">
      <w:pPr>
        <w:numPr>
          <w:ilvl w:val="0"/>
          <w:numId w:val="33"/>
        </w:numPr>
        <w:ind w:left="1418" w:hanging="284"/>
        <w:rPr>
          <w:rFonts w:eastAsia="Calibri"/>
          <w:szCs w:val="24"/>
        </w:rPr>
      </w:pPr>
      <w:r w:rsidRPr="007D49ED">
        <w:rPr>
          <w:rFonts w:eastAsia="Calibri"/>
          <w:i/>
          <w:szCs w:val="24"/>
        </w:rPr>
        <w:t>Valsts nodeva par naftas produktu drošības rezervju uzturēšanu</w:t>
      </w:r>
      <w:r w:rsidRPr="007D49ED">
        <w:rPr>
          <w:rFonts w:eastAsia="Calibri"/>
          <w:szCs w:val="24"/>
        </w:rPr>
        <w:t xml:space="preserve"> – sešu mēnešu neizpilde ir 3,0</w:t>
      </w:r>
      <w:r>
        <w:rPr>
          <w:rFonts w:eastAsia="Calibri"/>
          <w:szCs w:val="24"/>
        </w:rPr>
        <w:t> milj. </w:t>
      </w:r>
      <w:proofErr w:type="spellStart"/>
      <w:r w:rsidRPr="00D705E7">
        <w:rPr>
          <w:rFonts w:eastAsia="Calibri"/>
          <w:i/>
          <w:szCs w:val="24"/>
        </w:rPr>
        <w:t>euro</w:t>
      </w:r>
      <w:proofErr w:type="spellEnd"/>
      <w:r w:rsidRPr="007D49ED">
        <w:rPr>
          <w:rFonts w:eastAsia="Calibri"/>
          <w:szCs w:val="24"/>
        </w:rPr>
        <w:t xml:space="preserve"> jeb 28,7 procenti</w:t>
      </w:r>
      <w:r w:rsidR="009135ED">
        <w:rPr>
          <w:rFonts w:eastAsia="Calibri"/>
          <w:szCs w:val="24"/>
        </w:rPr>
        <w:t>;</w:t>
      </w:r>
    </w:p>
    <w:p w14:paraId="5C4FF128" w14:textId="77777777" w:rsidR="007D50F1" w:rsidRPr="007D49ED" w:rsidRDefault="007D50F1" w:rsidP="009135ED">
      <w:pPr>
        <w:numPr>
          <w:ilvl w:val="0"/>
          <w:numId w:val="33"/>
        </w:numPr>
        <w:ind w:left="1418" w:hanging="284"/>
        <w:rPr>
          <w:rFonts w:eastAsia="Calibri"/>
          <w:szCs w:val="24"/>
        </w:rPr>
      </w:pPr>
      <w:r w:rsidRPr="007D49ED">
        <w:rPr>
          <w:rFonts w:eastAsia="Calibri"/>
          <w:i/>
          <w:szCs w:val="24"/>
        </w:rPr>
        <w:lastRenderedPageBreak/>
        <w:t>Ieņēmumi no valsts nodevas par speciālu atļauju (licenču) izsniegšanu un profesionālās kvalifikācijas atbilstības dokumentu reģistrāciju</w:t>
      </w:r>
      <w:r w:rsidRPr="007D49ED">
        <w:rPr>
          <w:rFonts w:eastAsia="Calibri"/>
          <w:szCs w:val="24"/>
        </w:rPr>
        <w:t xml:space="preserve"> – sešu mēnešu neizpilde ir 2,6</w:t>
      </w:r>
      <w:r>
        <w:rPr>
          <w:rFonts w:eastAsia="Calibri"/>
          <w:szCs w:val="24"/>
        </w:rPr>
        <w:t> milj. </w:t>
      </w:r>
      <w:proofErr w:type="spellStart"/>
      <w:r w:rsidRPr="00D705E7">
        <w:rPr>
          <w:rFonts w:eastAsia="Calibri"/>
          <w:i/>
          <w:szCs w:val="24"/>
        </w:rPr>
        <w:t>euro</w:t>
      </w:r>
      <w:proofErr w:type="spellEnd"/>
      <w:r w:rsidRPr="007D49ED">
        <w:rPr>
          <w:rFonts w:eastAsia="Calibri"/>
          <w:szCs w:val="24"/>
        </w:rPr>
        <w:t xml:space="preserve"> jeb 51,</w:t>
      </w:r>
      <w:r>
        <w:rPr>
          <w:rFonts w:eastAsia="Calibri"/>
          <w:szCs w:val="24"/>
        </w:rPr>
        <w:t>9</w:t>
      </w:r>
      <w:r w:rsidRPr="007D49ED">
        <w:rPr>
          <w:rFonts w:eastAsia="Calibri"/>
          <w:szCs w:val="24"/>
        </w:rPr>
        <w:t> procenti.</w:t>
      </w:r>
    </w:p>
    <w:bookmarkEnd w:id="23"/>
    <w:p w14:paraId="01E36B85" w14:textId="77777777" w:rsidR="007D50F1" w:rsidRPr="000F7699" w:rsidRDefault="007D50F1" w:rsidP="009135ED">
      <w:pPr>
        <w:rPr>
          <w:i/>
          <w:iCs/>
        </w:rPr>
      </w:pPr>
      <w:r w:rsidRPr="00105C16">
        <w:t xml:space="preserve">Valsts pamatbudžeta </w:t>
      </w:r>
      <w:proofErr w:type="spellStart"/>
      <w:r w:rsidRPr="00105C16">
        <w:t>nenodokļu</w:t>
      </w:r>
      <w:proofErr w:type="spellEnd"/>
      <w:r w:rsidRPr="00105C16">
        <w:t xml:space="preserve"> ieņēmumi saskaņā ar likumprojektu „Par valsts budžetu 2022</w:t>
      </w:r>
      <w:r>
        <w:t>. gad</w:t>
      </w:r>
      <w:r w:rsidRPr="00105C16">
        <w:t>am” tiek plānoti 470,1</w:t>
      </w:r>
      <w:r>
        <w:t> milj. </w:t>
      </w:r>
      <w:proofErr w:type="spellStart"/>
      <w:r w:rsidRPr="00D705E7">
        <w:rPr>
          <w:i/>
        </w:rPr>
        <w:t>euro</w:t>
      </w:r>
      <w:proofErr w:type="spellEnd"/>
      <w:r w:rsidRPr="00105C16">
        <w:t>, kas salīdzinājumā ar 2021</w:t>
      </w:r>
      <w:r>
        <w:t>. gad</w:t>
      </w:r>
      <w:r w:rsidRPr="00105C16">
        <w:t>a prognozi ir par 66,0</w:t>
      </w:r>
      <w:r>
        <w:t> milj. </w:t>
      </w:r>
      <w:proofErr w:type="spellStart"/>
      <w:r w:rsidRPr="00D705E7">
        <w:rPr>
          <w:i/>
        </w:rPr>
        <w:t>euro</w:t>
      </w:r>
      <w:proofErr w:type="spellEnd"/>
      <w:r w:rsidRPr="00E2518C">
        <w:rPr>
          <w:i/>
          <w:iCs/>
        </w:rPr>
        <w:t xml:space="preserve"> </w:t>
      </w:r>
      <w:r w:rsidRPr="00105C16">
        <w:t>jeb 12,3% mazāk.</w:t>
      </w:r>
    </w:p>
    <w:p w14:paraId="0CA07495" w14:textId="77777777" w:rsidR="007D50F1" w:rsidRPr="001F7C51" w:rsidRDefault="007D50F1" w:rsidP="007D50F1">
      <w:pPr>
        <w:keepNext/>
        <w:spacing w:before="240" w:after="240"/>
        <w:ind w:firstLine="0"/>
        <w:jc w:val="center"/>
        <w:rPr>
          <w:b/>
          <w:i/>
          <w:szCs w:val="24"/>
        </w:rPr>
      </w:pPr>
      <w:r w:rsidRPr="001F7C51">
        <w:rPr>
          <w:b/>
          <w:i/>
          <w:szCs w:val="24"/>
        </w:rPr>
        <w:t>3.</w:t>
      </w:r>
      <w:r>
        <w:rPr>
          <w:b/>
          <w:i/>
          <w:szCs w:val="24"/>
        </w:rPr>
        <w:t>19. tab</w:t>
      </w:r>
      <w:r w:rsidRPr="001F7C51">
        <w:rPr>
          <w:b/>
          <w:i/>
          <w:szCs w:val="24"/>
        </w:rPr>
        <w:t>ula.</w:t>
      </w:r>
      <w:r w:rsidRPr="00E86687">
        <w:rPr>
          <w:b/>
          <w:i/>
          <w:szCs w:val="24"/>
        </w:rPr>
        <w:t xml:space="preserve"> </w:t>
      </w:r>
      <w:r w:rsidRPr="001F7C51">
        <w:rPr>
          <w:b/>
          <w:i/>
          <w:szCs w:val="24"/>
        </w:rPr>
        <w:t xml:space="preserve">Valsts pamatbudžeta </w:t>
      </w:r>
      <w:proofErr w:type="spellStart"/>
      <w:r w:rsidRPr="001F7C51">
        <w:rPr>
          <w:b/>
          <w:i/>
          <w:szCs w:val="24"/>
        </w:rPr>
        <w:t>nenodokļu</w:t>
      </w:r>
      <w:proofErr w:type="spellEnd"/>
      <w:r w:rsidRPr="001F7C51">
        <w:rPr>
          <w:b/>
          <w:i/>
          <w:szCs w:val="24"/>
        </w:rPr>
        <w:t xml:space="preserve"> ieņēmumi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3925"/>
        <w:gridCol w:w="1284"/>
        <w:gridCol w:w="1284"/>
        <w:gridCol w:w="1284"/>
        <w:gridCol w:w="1284"/>
      </w:tblGrid>
      <w:tr w:rsidR="007D50F1" w:rsidRPr="00E86687" w14:paraId="621B8D74" w14:textId="77777777" w:rsidTr="009135ED">
        <w:trPr>
          <w:trHeight w:val="215"/>
          <w:tblHeader/>
          <w:jc w:val="center"/>
        </w:trPr>
        <w:tc>
          <w:tcPr>
            <w:tcW w:w="2422" w:type="pct"/>
            <w:vMerge w:val="restart"/>
            <w:shd w:val="clear" w:color="auto" w:fill="B8CCE4" w:themeFill="accent1" w:themeFillTint="66"/>
          </w:tcPr>
          <w:p w14:paraId="02A53281" w14:textId="77777777" w:rsidR="007D50F1" w:rsidRPr="00E86687" w:rsidRDefault="007D50F1" w:rsidP="00970743">
            <w:pPr>
              <w:pStyle w:val="tabtekst"/>
              <w:keepNext/>
              <w:keepLines/>
              <w:rPr>
                <w:b/>
                <w:color w:val="auto"/>
                <w:sz w:val="18"/>
                <w:szCs w:val="18"/>
                <w:highlight w:val="yellow"/>
              </w:rPr>
            </w:pPr>
          </w:p>
        </w:tc>
        <w:tc>
          <w:tcPr>
            <w:tcW w:w="644" w:type="pct"/>
            <w:shd w:val="clear" w:color="auto" w:fill="B8CCE4" w:themeFill="accent1" w:themeFillTint="66"/>
          </w:tcPr>
          <w:p w14:paraId="168F3614"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2019</w:t>
            </w:r>
          </w:p>
        </w:tc>
        <w:tc>
          <w:tcPr>
            <w:tcW w:w="645" w:type="pct"/>
            <w:shd w:val="clear" w:color="auto" w:fill="B8CCE4" w:themeFill="accent1" w:themeFillTint="66"/>
          </w:tcPr>
          <w:p w14:paraId="0F1A62D5"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2020</w:t>
            </w:r>
          </w:p>
        </w:tc>
        <w:tc>
          <w:tcPr>
            <w:tcW w:w="645" w:type="pct"/>
            <w:shd w:val="clear" w:color="auto" w:fill="B8CCE4" w:themeFill="accent1" w:themeFillTint="66"/>
          </w:tcPr>
          <w:p w14:paraId="024E467A"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2021</w:t>
            </w:r>
          </w:p>
        </w:tc>
        <w:tc>
          <w:tcPr>
            <w:tcW w:w="644" w:type="pct"/>
            <w:shd w:val="clear" w:color="auto" w:fill="B8CCE4" w:themeFill="accent1" w:themeFillTint="66"/>
          </w:tcPr>
          <w:p w14:paraId="0FF26BBB" w14:textId="77777777" w:rsidR="007D50F1" w:rsidRPr="00E86687" w:rsidRDefault="007D50F1" w:rsidP="00970743">
            <w:pPr>
              <w:pStyle w:val="tabtekst"/>
              <w:keepNext/>
              <w:keepLines/>
              <w:jc w:val="center"/>
              <w:rPr>
                <w:b/>
                <w:color w:val="auto"/>
                <w:sz w:val="18"/>
                <w:szCs w:val="18"/>
              </w:rPr>
            </w:pPr>
            <w:r w:rsidRPr="00E86687">
              <w:rPr>
                <w:b/>
                <w:color w:val="auto"/>
                <w:sz w:val="18"/>
                <w:szCs w:val="18"/>
              </w:rPr>
              <w:t>2022</w:t>
            </w:r>
          </w:p>
        </w:tc>
      </w:tr>
      <w:tr w:rsidR="007D50F1" w:rsidRPr="00E86687" w14:paraId="2C7CCB7B" w14:textId="77777777" w:rsidTr="009135ED">
        <w:trPr>
          <w:trHeight w:val="215"/>
          <w:tblHeader/>
          <w:jc w:val="center"/>
        </w:trPr>
        <w:tc>
          <w:tcPr>
            <w:tcW w:w="2422" w:type="pct"/>
            <w:vMerge/>
            <w:shd w:val="clear" w:color="auto" w:fill="B8CCE4" w:themeFill="accent1" w:themeFillTint="66"/>
          </w:tcPr>
          <w:p w14:paraId="560E77BB" w14:textId="77777777" w:rsidR="007D50F1" w:rsidRPr="00E86687" w:rsidRDefault="007D50F1" w:rsidP="00970743">
            <w:pPr>
              <w:pStyle w:val="tabtekst"/>
              <w:keepNext/>
              <w:keepLines/>
              <w:rPr>
                <w:b/>
                <w:color w:val="auto"/>
                <w:sz w:val="18"/>
                <w:szCs w:val="18"/>
                <w:highlight w:val="yellow"/>
              </w:rPr>
            </w:pPr>
          </w:p>
        </w:tc>
        <w:tc>
          <w:tcPr>
            <w:tcW w:w="1289" w:type="pct"/>
            <w:gridSpan w:val="2"/>
            <w:shd w:val="clear" w:color="auto" w:fill="B8CCE4" w:themeFill="accent1" w:themeFillTint="66"/>
            <w:vAlign w:val="center"/>
          </w:tcPr>
          <w:p w14:paraId="04143620" w14:textId="77777777" w:rsidR="007D50F1" w:rsidRPr="00E86687" w:rsidRDefault="007D50F1" w:rsidP="00970743">
            <w:pPr>
              <w:pStyle w:val="tabtekst"/>
              <w:keepNext/>
              <w:keepLines/>
              <w:jc w:val="center"/>
              <w:rPr>
                <w:b/>
                <w:color w:val="auto"/>
                <w:sz w:val="18"/>
                <w:szCs w:val="18"/>
              </w:rPr>
            </w:pPr>
            <w:r w:rsidRPr="00E86687">
              <w:rPr>
                <w:color w:val="auto"/>
                <w:sz w:val="18"/>
                <w:szCs w:val="18"/>
              </w:rPr>
              <w:t>fakts</w:t>
            </w:r>
          </w:p>
        </w:tc>
        <w:tc>
          <w:tcPr>
            <w:tcW w:w="645" w:type="pct"/>
            <w:shd w:val="clear" w:color="auto" w:fill="B8CCE4" w:themeFill="accent1" w:themeFillTint="66"/>
            <w:vAlign w:val="center"/>
          </w:tcPr>
          <w:p w14:paraId="166D2067" w14:textId="77777777" w:rsidR="007D50F1" w:rsidRPr="00E86687" w:rsidRDefault="007D50F1" w:rsidP="00970743">
            <w:pPr>
              <w:pStyle w:val="tabtekst"/>
              <w:keepNext/>
              <w:keepLines/>
              <w:jc w:val="center"/>
              <w:rPr>
                <w:b/>
                <w:color w:val="auto"/>
                <w:sz w:val="18"/>
                <w:szCs w:val="18"/>
              </w:rPr>
            </w:pPr>
            <w:r>
              <w:rPr>
                <w:color w:val="auto"/>
                <w:sz w:val="18"/>
                <w:szCs w:val="18"/>
              </w:rPr>
              <w:t>p</w:t>
            </w:r>
            <w:r w:rsidRPr="00E86687">
              <w:rPr>
                <w:color w:val="auto"/>
                <w:sz w:val="18"/>
                <w:szCs w:val="18"/>
              </w:rPr>
              <w:t>rognoze</w:t>
            </w:r>
            <w:r w:rsidRPr="00E86687">
              <w:rPr>
                <w:color w:val="auto"/>
                <w:sz w:val="18"/>
                <w:szCs w:val="18"/>
                <w:vertAlign w:val="superscript"/>
              </w:rPr>
              <w:t>1</w:t>
            </w:r>
          </w:p>
        </w:tc>
        <w:tc>
          <w:tcPr>
            <w:tcW w:w="644" w:type="pct"/>
            <w:shd w:val="clear" w:color="auto" w:fill="B8CCE4" w:themeFill="accent1" w:themeFillTint="66"/>
            <w:vAlign w:val="center"/>
          </w:tcPr>
          <w:p w14:paraId="7380BA6D" w14:textId="77777777" w:rsidR="007D50F1" w:rsidRPr="00E86687" w:rsidRDefault="007D50F1" w:rsidP="00970743">
            <w:pPr>
              <w:pStyle w:val="tabtekst"/>
              <w:keepNext/>
              <w:keepLines/>
              <w:jc w:val="center"/>
              <w:rPr>
                <w:b/>
                <w:color w:val="auto"/>
                <w:sz w:val="18"/>
                <w:szCs w:val="18"/>
              </w:rPr>
            </w:pPr>
            <w:r w:rsidRPr="00E86687">
              <w:rPr>
                <w:color w:val="auto"/>
                <w:sz w:val="18"/>
                <w:szCs w:val="18"/>
              </w:rPr>
              <w:t>plāns</w:t>
            </w:r>
            <w:r w:rsidRPr="00E86687">
              <w:rPr>
                <w:color w:val="auto"/>
                <w:sz w:val="18"/>
                <w:szCs w:val="18"/>
                <w:vertAlign w:val="superscript"/>
              </w:rPr>
              <w:t>2</w:t>
            </w:r>
          </w:p>
        </w:tc>
      </w:tr>
      <w:tr w:rsidR="007D50F1" w:rsidRPr="00E86687" w14:paraId="559FDAC8" w14:textId="77777777" w:rsidTr="00970743">
        <w:trPr>
          <w:trHeight w:val="201"/>
          <w:jc w:val="center"/>
        </w:trPr>
        <w:tc>
          <w:tcPr>
            <w:tcW w:w="2422" w:type="pct"/>
            <w:shd w:val="clear" w:color="auto" w:fill="auto"/>
          </w:tcPr>
          <w:p w14:paraId="4A96E61B" w14:textId="77777777" w:rsidR="007D50F1" w:rsidRPr="00E86687" w:rsidRDefault="007D50F1" w:rsidP="00970743">
            <w:pPr>
              <w:pStyle w:val="tabtekst"/>
              <w:keepNext/>
              <w:keepLines/>
              <w:rPr>
                <w:color w:val="auto"/>
                <w:sz w:val="18"/>
                <w:szCs w:val="18"/>
              </w:rPr>
            </w:pPr>
            <w:r w:rsidRPr="00E86687">
              <w:rPr>
                <w:color w:val="auto"/>
                <w:sz w:val="18"/>
                <w:szCs w:val="18"/>
                <w:lang w:eastAsia="lv-LV"/>
              </w:rPr>
              <w:t>milj</w:t>
            </w:r>
            <w:r>
              <w:rPr>
                <w:color w:val="auto"/>
                <w:sz w:val="18"/>
                <w:szCs w:val="18"/>
                <w:lang w:eastAsia="lv-LV"/>
              </w:rPr>
              <w:t>. </w:t>
            </w:r>
            <w:proofErr w:type="spellStart"/>
            <w:r w:rsidRPr="00D705E7">
              <w:rPr>
                <w:i/>
                <w:color w:val="auto"/>
                <w:sz w:val="18"/>
                <w:szCs w:val="18"/>
                <w:lang w:eastAsia="lv-LV"/>
              </w:rPr>
              <w:t>euro</w:t>
            </w:r>
            <w:proofErr w:type="spellEnd"/>
          </w:p>
        </w:tc>
        <w:tc>
          <w:tcPr>
            <w:tcW w:w="644" w:type="pct"/>
            <w:shd w:val="clear" w:color="auto" w:fill="auto"/>
            <w:vAlign w:val="center"/>
          </w:tcPr>
          <w:p w14:paraId="1A066B09" w14:textId="77777777" w:rsidR="007D50F1" w:rsidRPr="00E86687" w:rsidRDefault="007D50F1" w:rsidP="00970743">
            <w:pPr>
              <w:keepNext/>
              <w:keepLines/>
              <w:tabs>
                <w:tab w:val="decimal" w:pos="547"/>
              </w:tabs>
              <w:spacing w:after="0"/>
              <w:jc w:val="center"/>
              <w:rPr>
                <w:sz w:val="18"/>
                <w:szCs w:val="18"/>
              </w:rPr>
            </w:pPr>
            <w:r w:rsidRPr="00E86687">
              <w:rPr>
                <w:sz w:val="18"/>
                <w:szCs w:val="18"/>
              </w:rPr>
              <w:t>529,0</w:t>
            </w:r>
          </w:p>
        </w:tc>
        <w:tc>
          <w:tcPr>
            <w:tcW w:w="645" w:type="pct"/>
            <w:shd w:val="clear" w:color="auto" w:fill="auto"/>
            <w:vAlign w:val="center"/>
          </w:tcPr>
          <w:p w14:paraId="0344E7DA" w14:textId="77777777" w:rsidR="007D50F1" w:rsidRPr="00E86687" w:rsidRDefault="007D50F1" w:rsidP="00970743">
            <w:pPr>
              <w:keepNext/>
              <w:keepLines/>
              <w:tabs>
                <w:tab w:val="decimal" w:pos="547"/>
              </w:tabs>
              <w:spacing w:after="0"/>
              <w:jc w:val="center"/>
              <w:rPr>
                <w:sz w:val="18"/>
                <w:szCs w:val="18"/>
              </w:rPr>
            </w:pPr>
            <w:r w:rsidRPr="00E86687">
              <w:rPr>
                <w:sz w:val="18"/>
                <w:szCs w:val="18"/>
              </w:rPr>
              <w:t>554,7</w:t>
            </w:r>
          </w:p>
        </w:tc>
        <w:tc>
          <w:tcPr>
            <w:tcW w:w="645" w:type="pct"/>
            <w:vAlign w:val="center"/>
          </w:tcPr>
          <w:p w14:paraId="057F56CA" w14:textId="77777777" w:rsidR="007D50F1" w:rsidRPr="00E86687" w:rsidRDefault="007D50F1" w:rsidP="00970743">
            <w:pPr>
              <w:keepNext/>
              <w:keepLines/>
              <w:tabs>
                <w:tab w:val="decimal" w:pos="547"/>
              </w:tabs>
              <w:spacing w:after="0"/>
              <w:jc w:val="center"/>
              <w:rPr>
                <w:sz w:val="18"/>
                <w:szCs w:val="18"/>
              </w:rPr>
            </w:pPr>
            <w:r w:rsidRPr="00E86687">
              <w:rPr>
                <w:sz w:val="18"/>
                <w:szCs w:val="18"/>
              </w:rPr>
              <w:t>536,0</w:t>
            </w:r>
          </w:p>
        </w:tc>
        <w:tc>
          <w:tcPr>
            <w:tcW w:w="644" w:type="pct"/>
            <w:shd w:val="clear" w:color="auto" w:fill="auto"/>
            <w:vAlign w:val="center"/>
          </w:tcPr>
          <w:p w14:paraId="01312688" w14:textId="77777777" w:rsidR="007D50F1" w:rsidRPr="00E86687" w:rsidRDefault="007D50F1" w:rsidP="00970743">
            <w:pPr>
              <w:keepNext/>
              <w:keepLines/>
              <w:tabs>
                <w:tab w:val="decimal" w:pos="547"/>
              </w:tabs>
              <w:spacing w:after="0"/>
              <w:jc w:val="center"/>
              <w:rPr>
                <w:sz w:val="18"/>
                <w:szCs w:val="18"/>
              </w:rPr>
            </w:pPr>
            <w:r w:rsidRPr="00E86687">
              <w:rPr>
                <w:sz w:val="18"/>
                <w:szCs w:val="18"/>
              </w:rPr>
              <w:t>470,1</w:t>
            </w:r>
          </w:p>
        </w:tc>
      </w:tr>
      <w:tr w:rsidR="007D50F1" w:rsidRPr="00E86687" w14:paraId="064F4A33" w14:textId="77777777" w:rsidTr="00970743">
        <w:trPr>
          <w:trHeight w:val="215"/>
          <w:jc w:val="center"/>
        </w:trPr>
        <w:tc>
          <w:tcPr>
            <w:tcW w:w="2422" w:type="pct"/>
            <w:shd w:val="clear" w:color="auto" w:fill="auto"/>
          </w:tcPr>
          <w:p w14:paraId="7098FBC1" w14:textId="77777777" w:rsidR="007D50F1" w:rsidRPr="00E86687" w:rsidRDefault="007D50F1" w:rsidP="00970743">
            <w:pPr>
              <w:pStyle w:val="tabtekst"/>
              <w:keepNext/>
              <w:keepLines/>
              <w:rPr>
                <w:i/>
                <w:color w:val="auto"/>
                <w:sz w:val="18"/>
                <w:szCs w:val="18"/>
              </w:rPr>
            </w:pPr>
            <w:r w:rsidRPr="00E86687">
              <w:rPr>
                <w:i/>
                <w:color w:val="auto"/>
                <w:sz w:val="18"/>
                <w:szCs w:val="18"/>
              </w:rPr>
              <w:t>pieauguma tempi faktiskās cenās, %</w:t>
            </w:r>
          </w:p>
        </w:tc>
        <w:tc>
          <w:tcPr>
            <w:tcW w:w="644" w:type="pct"/>
            <w:shd w:val="clear" w:color="auto" w:fill="auto"/>
            <w:vAlign w:val="bottom"/>
          </w:tcPr>
          <w:p w14:paraId="37FF1C5E" w14:textId="77777777" w:rsidR="007D50F1" w:rsidRPr="00E86687" w:rsidRDefault="007D50F1" w:rsidP="00970743">
            <w:pPr>
              <w:keepNext/>
              <w:keepLines/>
              <w:tabs>
                <w:tab w:val="decimal" w:pos="547"/>
              </w:tabs>
              <w:spacing w:after="0"/>
              <w:jc w:val="center"/>
              <w:rPr>
                <w:i/>
                <w:sz w:val="18"/>
                <w:szCs w:val="18"/>
              </w:rPr>
            </w:pPr>
            <w:r w:rsidRPr="00E86687">
              <w:rPr>
                <w:i/>
                <w:sz w:val="18"/>
                <w:szCs w:val="18"/>
              </w:rPr>
              <w:t>-13,4</w:t>
            </w:r>
          </w:p>
        </w:tc>
        <w:tc>
          <w:tcPr>
            <w:tcW w:w="645" w:type="pct"/>
            <w:shd w:val="clear" w:color="auto" w:fill="auto"/>
            <w:vAlign w:val="bottom"/>
          </w:tcPr>
          <w:p w14:paraId="50F0025C" w14:textId="77777777" w:rsidR="007D50F1" w:rsidRPr="00E86687" w:rsidRDefault="007D50F1" w:rsidP="00970743">
            <w:pPr>
              <w:keepNext/>
              <w:keepLines/>
              <w:tabs>
                <w:tab w:val="decimal" w:pos="547"/>
              </w:tabs>
              <w:spacing w:after="0"/>
              <w:rPr>
                <w:i/>
                <w:sz w:val="18"/>
                <w:szCs w:val="18"/>
              </w:rPr>
            </w:pPr>
            <w:r w:rsidRPr="00E86687">
              <w:rPr>
                <w:i/>
                <w:sz w:val="18"/>
                <w:szCs w:val="18"/>
              </w:rPr>
              <w:t>4,9</w:t>
            </w:r>
          </w:p>
        </w:tc>
        <w:tc>
          <w:tcPr>
            <w:tcW w:w="645" w:type="pct"/>
          </w:tcPr>
          <w:p w14:paraId="229776D0" w14:textId="77777777" w:rsidR="007D50F1" w:rsidRPr="00E86687" w:rsidRDefault="007D50F1" w:rsidP="00970743">
            <w:pPr>
              <w:keepNext/>
              <w:keepLines/>
              <w:tabs>
                <w:tab w:val="decimal" w:pos="547"/>
              </w:tabs>
              <w:spacing w:after="0"/>
              <w:jc w:val="center"/>
              <w:rPr>
                <w:i/>
                <w:sz w:val="18"/>
                <w:szCs w:val="18"/>
              </w:rPr>
            </w:pPr>
            <w:r w:rsidRPr="00E86687">
              <w:rPr>
                <w:i/>
                <w:sz w:val="18"/>
                <w:szCs w:val="18"/>
              </w:rPr>
              <w:t>-3,4</w:t>
            </w:r>
          </w:p>
        </w:tc>
        <w:tc>
          <w:tcPr>
            <w:tcW w:w="644" w:type="pct"/>
            <w:shd w:val="clear" w:color="auto" w:fill="auto"/>
            <w:vAlign w:val="bottom"/>
          </w:tcPr>
          <w:p w14:paraId="27B5D8EA" w14:textId="77777777" w:rsidR="007D50F1" w:rsidRPr="00E86687" w:rsidRDefault="007D50F1" w:rsidP="00970743">
            <w:pPr>
              <w:keepNext/>
              <w:keepLines/>
              <w:tabs>
                <w:tab w:val="decimal" w:pos="547"/>
              </w:tabs>
              <w:spacing w:after="0"/>
              <w:jc w:val="center"/>
              <w:rPr>
                <w:i/>
                <w:sz w:val="18"/>
                <w:szCs w:val="18"/>
                <w:highlight w:val="yellow"/>
              </w:rPr>
            </w:pPr>
            <w:r w:rsidRPr="00E86687">
              <w:rPr>
                <w:i/>
                <w:sz w:val="18"/>
                <w:szCs w:val="18"/>
              </w:rPr>
              <w:t>-12,3</w:t>
            </w:r>
          </w:p>
        </w:tc>
      </w:tr>
      <w:tr w:rsidR="007D50F1" w:rsidRPr="00E86687" w14:paraId="62F60C9E" w14:textId="77777777" w:rsidTr="00970743">
        <w:trPr>
          <w:trHeight w:val="202"/>
          <w:jc w:val="center"/>
        </w:trPr>
        <w:tc>
          <w:tcPr>
            <w:tcW w:w="2422" w:type="pct"/>
          </w:tcPr>
          <w:p w14:paraId="2ADE3B0E" w14:textId="77777777" w:rsidR="007D50F1" w:rsidRPr="00E86687" w:rsidRDefault="007D50F1" w:rsidP="00970743">
            <w:pPr>
              <w:pStyle w:val="tabtekst"/>
              <w:keepNext/>
              <w:keepLines/>
              <w:rPr>
                <w:i/>
                <w:color w:val="auto"/>
                <w:sz w:val="18"/>
                <w:szCs w:val="18"/>
              </w:rPr>
            </w:pPr>
            <w:r w:rsidRPr="00E86687">
              <w:rPr>
                <w:i/>
                <w:color w:val="auto"/>
                <w:sz w:val="18"/>
                <w:szCs w:val="18"/>
              </w:rPr>
              <w:t>% no IKP</w:t>
            </w:r>
          </w:p>
        </w:tc>
        <w:tc>
          <w:tcPr>
            <w:tcW w:w="644" w:type="pct"/>
            <w:shd w:val="clear" w:color="auto" w:fill="auto"/>
            <w:vAlign w:val="bottom"/>
          </w:tcPr>
          <w:p w14:paraId="2A8C483A" w14:textId="77777777" w:rsidR="007D50F1" w:rsidRPr="00E86687" w:rsidRDefault="007D50F1" w:rsidP="00970743">
            <w:pPr>
              <w:keepNext/>
              <w:keepLines/>
              <w:tabs>
                <w:tab w:val="decimal" w:pos="547"/>
              </w:tabs>
              <w:spacing w:after="0"/>
              <w:jc w:val="center"/>
              <w:rPr>
                <w:i/>
                <w:sz w:val="18"/>
                <w:szCs w:val="18"/>
              </w:rPr>
            </w:pPr>
            <w:r w:rsidRPr="00E86687">
              <w:rPr>
                <w:i/>
                <w:sz w:val="18"/>
                <w:szCs w:val="18"/>
              </w:rPr>
              <w:t>1,7</w:t>
            </w:r>
          </w:p>
        </w:tc>
        <w:tc>
          <w:tcPr>
            <w:tcW w:w="645" w:type="pct"/>
            <w:shd w:val="clear" w:color="auto" w:fill="auto"/>
            <w:vAlign w:val="bottom"/>
          </w:tcPr>
          <w:p w14:paraId="62BB9F20" w14:textId="77777777" w:rsidR="007D50F1" w:rsidRPr="00E86687" w:rsidRDefault="007D50F1" w:rsidP="00970743">
            <w:pPr>
              <w:keepNext/>
              <w:keepLines/>
              <w:tabs>
                <w:tab w:val="decimal" w:pos="547"/>
              </w:tabs>
              <w:spacing w:after="0"/>
              <w:jc w:val="center"/>
              <w:rPr>
                <w:i/>
                <w:sz w:val="18"/>
                <w:szCs w:val="18"/>
              </w:rPr>
            </w:pPr>
            <w:r w:rsidRPr="00E86687">
              <w:rPr>
                <w:i/>
                <w:sz w:val="18"/>
                <w:szCs w:val="18"/>
              </w:rPr>
              <w:t>1,9</w:t>
            </w:r>
          </w:p>
        </w:tc>
        <w:tc>
          <w:tcPr>
            <w:tcW w:w="645" w:type="pct"/>
          </w:tcPr>
          <w:p w14:paraId="52D48875" w14:textId="77777777" w:rsidR="007D50F1" w:rsidRPr="00E86687" w:rsidRDefault="007D50F1" w:rsidP="00970743">
            <w:pPr>
              <w:keepNext/>
              <w:keepLines/>
              <w:tabs>
                <w:tab w:val="decimal" w:pos="547"/>
              </w:tabs>
              <w:spacing w:after="0"/>
              <w:jc w:val="center"/>
              <w:rPr>
                <w:i/>
                <w:sz w:val="18"/>
                <w:szCs w:val="18"/>
              </w:rPr>
            </w:pPr>
            <w:r w:rsidRPr="00E86687">
              <w:rPr>
                <w:i/>
                <w:sz w:val="18"/>
                <w:szCs w:val="18"/>
              </w:rPr>
              <w:t>1,7</w:t>
            </w:r>
          </w:p>
        </w:tc>
        <w:tc>
          <w:tcPr>
            <w:tcW w:w="644" w:type="pct"/>
            <w:shd w:val="clear" w:color="auto" w:fill="auto"/>
            <w:vAlign w:val="bottom"/>
          </w:tcPr>
          <w:p w14:paraId="3E83D7AE" w14:textId="77777777" w:rsidR="007D50F1" w:rsidRPr="00E86687" w:rsidRDefault="007D50F1" w:rsidP="00970743">
            <w:pPr>
              <w:keepNext/>
              <w:keepLines/>
              <w:tabs>
                <w:tab w:val="decimal" w:pos="547"/>
              </w:tabs>
              <w:spacing w:after="0"/>
              <w:jc w:val="center"/>
              <w:rPr>
                <w:i/>
                <w:sz w:val="18"/>
                <w:szCs w:val="18"/>
                <w:highlight w:val="yellow"/>
              </w:rPr>
            </w:pPr>
            <w:r w:rsidRPr="00E86687">
              <w:rPr>
                <w:i/>
                <w:sz w:val="18"/>
                <w:szCs w:val="18"/>
              </w:rPr>
              <w:t>1,4</w:t>
            </w:r>
          </w:p>
        </w:tc>
      </w:tr>
    </w:tbl>
    <w:p w14:paraId="144F0482" w14:textId="77777777" w:rsidR="007D50F1" w:rsidRDefault="007D50F1" w:rsidP="009135ED">
      <w:pPr>
        <w:keepNext/>
        <w:keepLines/>
        <w:spacing w:before="120" w:after="0"/>
        <w:ind w:left="425" w:firstLine="0"/>
        <w:rPr>
          <w:sz w:val="18"/>
          <w:szCs w:val="18"/>
        </w:rPr>
      </w:pPr>
      <w:r w:rsidRPr="00E86687">
        <w:rPr>
          <w:sz w:val="18"/>
          <w:szCs w:val="18"/>
          <w:vertAlign w:val="superscript"/>
        </w:rPr>
        <w:t>1</w:t>
      </w:r>
      <w:r>
        <w:rPr>
          <w:sz w:val="18"/>
          <w:szCs w:val="18"/>
        </w:rPr>
        <w:t xml:space="preserve"> Ieskaitot izmaiņas </w:t>
      </w:r>
      <w:r w:rsidRPr="007C2E56">
        <w:rPr>
          <w:sz w:val="18"/>
          <w:szCs w:val="18"/>
        </w:rPr>
        <w:t>nodev</w:t>
      </w:r>
      <w:r>
        <w:rPr>
          <w:sz w:val="18"/>
          <w:szCs w:val="18"/>
        </w:rPr>
        <w:t>ā</w:t>
      </w:r>
      <w:r w:rsidRPr="007C2E56">
        <w:rPr>
          <w:sz w:val="18"/>
          <w:szCs w:val="18"/>
        </w:rPr>
        <w:t xml:space="preserve"> par darbību veikšanu Uzņēmumu reģistrā</w:t>
      </w:r>
      <w:r>
        <w:rPr>
          <w:sz w:val="18"/>
          <w:szCs w:val="18"/>
        </w:rPr>
        <w:t>.</w:t>
      </w:r>
    </w:p>
    <w:p w14:paraId="366CB36A" w14:textId="77777777" w:rsidR="007D50F1" w:rsidRDefault="007D50F1" w:rsidP="007D50F1">
      <w:pPr>
        <w:spacing w:after="0"/>
        <w:ind w:left="426" w:firstLine="0"/>
        <w:rPr>
          <w:sz w:val="18"/>
          <w:szCs w:val="18"/>
        </w:rPr>
      </w:pPr>
      <w:r w:rsidRPr="00E86687">
        <w:rPr>
          <w:sz w:val="18"/>
          <w:szCs w:val="18"/>
          <w:vertAlign w:val="superscript"/>
        </w:rPr>
        <w:t>2</w:t>
      </w:r>
      <w:r>
        <w:rPr>
          <w:sz w:val="18"/>
          <w:szCs w:val="18"/>
        </w:rPr>
        <w:t xml:space="preserve"> S</w:t>
      </w:r>
      <w:r w:rsidRPr="001F7C51">
        <w:rPr>
          <w:sz w:val="18"/>
          <w:szCs w:val="18"/>
        </w:rPr>
        <w:t>askaņā ar likumprojektu</w:t>
      </w:r>
      <w:r>
        <w:rPr>
          <w:sz w:val="18"/>
          <w:szCs w:val="18"/>
        </w:rPr>
        <w:t xml:space="preserve"> </w:t>
      </w:r>
      <w:r w:rsidRPr="001F7C51">
        <w:rPr>
          <w:sz w:val="18"/>
          <w:szCs w:val="18"/>
        </w:rPr>
        <w:t>„Par valsts budžetu 2022</w:t>
      </w:r>
      <w:r>
        <w:rPr>
          <w:sz w:val="18"/>
          <w:szCs w:val="18"/>
        </w:rPr>
        <w:t>. gad</w:t>
      </w:r>
      <w:r w:rsidRPr="001F7C51">
        <w:rPr>
          <w:sz w:val="18"/>
          <w:szCs w:val="18"/>
        </w:rPr>
        <w:t>am”.</w:t>
      </w:r>
    </w:p>
    <w:p w14:paraId="032BA83A" w14:textId="7D134ECA" w:rsidR="007D50F1" w:rsidRDefault="007D50F1" w:rsidP="007D50F1">
      <w:pPr>
        <w:spacing w:after="0"/>
        <w:ind w:firstLine="720"/>
      </w:pPr>
    </w:p>
    <w:p w14:paraId="68C287F4" w14:textId="25858AB9" w:rsidR="009135ED" w:rsidRPr="009135ED" w:rsidRDefault="009135ED" w:rsidP="009135ED">
      <w:pPr>
        <w:spacing w:before="240" w:after="240"/>
        <w:ind w:firstLine="0"/>
        <w:jc w:val="center"/>
        <w:rPr>
          <w:b/>
          <w:bCs/>
          <w:i/>
          <w:iCs/>
        </w:rPr>
      </w:pPr>
      <w:r w:rsidRPr="005858E5">
        <w:rPr>
          <w:b/>
          <w:bCs/>
          <w:i/>
          <w:iCs/>
        </w:rPr>
        <w:t>3.2.</w:t>
      </w:r>
      <w:r>
        <w:rPr>
          <w:b/>
          <w:bCs/>
          <w:i/>
          <w:iCs/>
        </w:rPr>
        <w:t> </w:t>
      </w:r>
      <w:r w:rsidRPr="005858E5">
        <w:rPr>
          <w:b/>
          <w:bCs/>
          <w:i/>
          <w:iCs/>
        </w:rPr>
        <w:t xml:space="preserve">attēls. Valsts pamatbudžeta </w:t>
      </w:r>
      <w:proofErr w:type="spellStart"/>
      <w:r w:rsidRPr="005858E5">
        <w:rPr>
          <w:b/>
          <w:bCs/>
          <w:i/>
          <w:iCs/>
        </w:rPr>
        <w:t>nenodokļu</w:t>
      </w:r>
      <w:proofErr w:type="spellEnd"/>
      <w:r w:rsidRPr="005858E5">
        <w:rPr>
          <w:b/>
          <w:bCs/>
          <w:i/>
          <w:iCs/>
        </w:rPr>
        <w:t xml:space="preserve"> ieņēmum</w:t>
      </w:r>
      <w:r>
        <w:rPr>
          <w:b/>
          <w:bCs/>
          <w:i/>
          <w:iCs/>
        </w:rPr>
        <w:t>i</w:t>
      </w:r>
    </w:p>
    <w:p w14:paraId="3CE16DD2" w14:textId="77777777" w:rsidR="007D50F1" w:rsidRDefault="007D50F1" w:rsidP="007D50F1">
      <w:pPr>
        <w:keepNext/>
        <w:spacing w:after="0"/>
        <w:ind w:firstLine="0"/>
        <w:rPr>
          <w:sz w:val="18"/>
          <w:szCs w:val="18"/>
        </w:rPr>
      </w:pPr>
      <w:r>
        <w:rPr>
          <w:noProof/>
          <w:lang w:eastAsia="lv-LV"/>
        </w:rPr>
        <w:drawing>
          <wp:inline distT="0" distB="0" distL="0" distR="0" wp14:anchorId="541FDA74" wp14:editId="10CF47C5">
            <wp:extent cx="5737860" cy="2748280"/>
            <wp:effectExtent l="0" t="0" r="15240" b="13970"/>
            <wp:docPr id="1" name="Chart 1">
              <a:extLst xmlns:a="http://schemas.openxmlformats.org/drawingml/2006/main">
                <a:ext uri="{FF2B5EF4-FFF2-40B4-BE49-F238E27FC236}">
                  <a16:creationId xmlns:a16="http://schemas.microsoft.com/office/drawing/2014/main" id="{37DA6543-26B5-4AF6-99BF-02EB8C608DA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F3EE656" w14:textId="77777777" w:rsidR="007D50F1" w:rsidRDefault="007D50F1" w:rsidP="009135ED">
      <w:pPr>
        <w:keepNext/>
        <w:spacing w:before="120" w:after="0"/>
        <w:ind w:left="425" w:firstLine="0"/>
        <w:rPr>
          <w:sz w:val="18"/>
          <w:szCs w:val="18"/>
        </w:rPr>
      </w:pPr>
      <w:r w:rsidRPr="00EE70D3">
        <w:rPr>
          <w:sz w:val="18"/>
          <w:szCs w:val="18"/>
          <w:vertAlign w:val="superscript"/>
        </w:rPr>
        <w:t>1</w:t>
      </w:r>
      <w:r>
        <w:rPr>
          <w:sz w:val="18"/>
          <w:szCs w:val="18"/>
        </w:rPr>
        <w:t xml:space="preserve"> Ieskaitot izmaiņas </w:t>
      </w:r>
      <w:r w:rsidRPr="007C2E56">
        <w:rPr>
          <w:sz w:val="18"/>
          <w:szCs w:val="18"/>
        </w:rPr>
        <w:t>nodev</w:t>
      </w:r>
      <w:r>
        <w:rPr>
          <w:sz w:val="18"/>
          <w:szCs w:val="18"/>
        </w:rPr>
        <w:t>ā</w:t>
      </w:r>
      <w:r w:rsidRPr="007C2E56">
        <w:rPr>
          <w:sz w:val="18"/>
          <w:szCs w:val="18"/>
        </w:rPr>
        <w:t xml:space="preserve"> par darbību veikšanu Uzņēmumu reģistrā</w:t>
      </w:r>
      <w:r>
        <w:rPr>
          <w:sz w:val="18"/>
          <w:szCs w:val="18"/>
        </w:rPr>
        <w:t>.</w:t>
      </w:r>
    </w:p>
    <w:p w14:paraId="1B1741F1" w14:textId="77777777" w:rsidR="007D50F1" w:rsidRPr="00EE70D3" w:rsidRDefault="007D50F1" w:rsidP="007D50F1">
      <w:pPr>
        <w:keepNext/>
        <w:spacing w:after="0"/>
        <w:ind w:left="426" w:firstLine="0"/>
        <w:rPr>
          <w:sz w:val="18"/>
          <w:szCs w:val="18"/>
          <w:vertAlign w:val="superscript"/>
        </w:rPr>
      </w:pPr>
      <w:r w:rsidRPr="00EE70D3">
        <w:rPr>
          <w:sz w:val="18"/>
          <w:szCs w:val="18"/>
          <w:vertAlign w:val="superscript"/>
        </w:rPr>
        <w:t xml:space="preserve">2 </w:t>
      </w:r>
      <w:r>
        <w:rPr>
          <w:sz w:val="18"/>
          <w:szCs w:val="18"/>
        </w:rPr>
        <w:t>S</w:t>
      </w:r>
      <w:r w:rsidRPr="001F7C51">
        <w:rPr>
          <w:sz w:val="18"/>
          <w:szCs w:val="18"/>
        </w:rPr>
        <w:t>askaņā ar likumprojektu</w:t>
      </w:r>
      <w:r>
        <w:rPr>
          <w:sz w:val="18"/>
          <w:szCs w:val="18"/>
        </w:rPr>
        <w:t xml:space="preserve"> </w:t>
      </w:r>
      <w:r w:rsidRPr="001F7C51">
        <w:rPr>
          <w:sz w:val="18"/>
          <w:szCs w:val="18"/>
        </w:rPr>
        <w:t>„Par valsts budžetu 2022</w:t>
      </w:r>
      <w:r>
        <w:rPr>
          <w:sz w:val="18"/>
          <w:szCs w:val="18"/>
        </w:rPr>
        <w:t>. gad</w:t>
      </w:r>
      <w:r w:rsidRPr="001F7C51">
        <w:rPr>
          <w:sz w:val="18"/>
          <w:szCs w:val="18"/>
        </w:rPr>
        <w:t>am”.</w:t>
      </w:r>
    </w:p>
    <w:p w14:paraId="73B3ECC2" w14:textId="77777777" w:rsidR="009135ED" w:rsidRDefault="009135ED" w:rsidP="007D50F1">
      <w:pPr>
        <w:spacing w:after="0"/>
        <w:ind w:firstLine="720"/>
        <w:rPr>
          <w:i/>
        </w:rPr>
      </w:pPr>
    </w:p>
    <w:p w14:paraId="2DA98AB4" w14:textId="7B0115F2" w:rsidR="007D50F1" w:rsidRPr="00BA130A" w:rsidRDefault="007D50F1" w:rsidP="009135ED">
      <w:pPr>
        <w:ind w:firstLine="720"/>
        <w:rPr>
          <w:szCs w:val="24"/>
        </w:rPr>
      </w:pPr>
      <w:r w:rsidRPr="00345CBE">
        <w:rPr>
          <w:i/>
        </w:rPr>
        <w:t>Ieņēmumi no dividendēm</w:t>
      </w:r>
      <w:r w:rsidRPr="00345CBE">
        <w:t xml:space="preserve"> 2022</w:t>
      </w:r>
      <w:r>
        <w:t>. gad</w:t>
      </w:r>
      <w:r w:rsidRPr="00345CBE">
        <w:t xml:space="preserve">ā tiek </w:t>
      </w:r>
      <w:r w:rsidRPr="003235FB">
        <w:t>plānoti 180,5</w:t>
      </w:r>
      <w:r>
        <w:t> milj. </w:t>
      </w:r>
      <w:proofErr w:type="spellStart"/>
      <w:r w:rsidRPr="00D705E7">
        <w:rPr>
          <w:i/>
        </w:rPr>
        <w:t>euro</w:t>
      </w:r>
      <w:proofErr w:type="spellEnd"/>
      <w:r w:rsidRPr="003235FB">
        <w:t>, kas ir par 13,3</w:t>
      </w:r>
      <w:r>
        <w:t> milj. </w:t>
      </w:r>
      <w:proofErr w:type="spellStart"/>
      <w:r w:rsidRPr="00D705E7">
        <w:rPr>
          <w:i/>
        </w:rPr>
        <w:t>euro</w:t>
      </w:r>
      <w:proofErr w:type="spellEnd"/>
      <w:r w:rsidRPr="00345CBE">
        <w:t xml:space="preserve"> mazāk nekā prognozēts 2021</w:t>
      </w:r>
      <w:r>
        <w:t>. gad</w:t>
      </w:r>
      <w:r w:rsidRPr="00345CBE">
        <w:t xml:space="preserve">ā. </w:t>
      </w:r>
      <w:r w:rsidRPr="00BA130A">
        <w:t xml:space="preserve">Plāns veidots, </w:t>
      </w:r>
      <w:r w:rsidRPr="00BA130A">
        <w:rPr>
          <w:szCs w:val="24"/>
        </w:rPr>
        <w:t>pamatojoties uz lielāko valsts kapitālsabiedrību sniegtajām 2021</w:t>
      </w:r>
      <w:r>
        <w:rPr>
          <w:szCs w:val="24"/>
        </w:rPr>
        <w:t>. gad</w:t>
      </w:r>
      <w:r w:rsidRPr="00BA130A">
        <w:rPr>
          <w:szCs w:val="24"/>
        </w:rPr>
        <w:t>a peļņas prognozēm, kā arī saskaņā ar Ministru kabineta noteikumiem Nr.806 “</w:t>
      </w:r>
      <w:r w:rsidRPr="00BA130A">
        <w:rPr>
          <w:bCs/>
          <w:szCs w:val="24"/>
        </w:rPr>
        <w:t>Kārtība, kādā valsts kapitālsabiedrības un publiski privātās kapitālsabiedrības, kurās valsts ir dalībnieks (akcionārs), prognozē un nosaka dividendēs izmaksājamo peļņas daļu un veic maksājumus valsts budžetā par valsts kapitāla izmantošanu</w:t>
      </w:r>
      <w:r w:rsidRPr="00BA130A">
        <w:rPr>
          <w:szCs w:val="24"/>
        </w:rPr>
        <w:t xml:space="preserve">”, kurā noteikts, ka minimālo dividendēs izmaksājamo peļņas daļu nosaka 80% apmērā no attiecīgās kapitālsabiedrības peļņas. </w:t>
      </w:r>
    </w:p>
    <w:p w14:paraId="3CA13D76" w14:textId="123F6662" w:rsidR="004D65F6" w:rsidRPr="00286B0A" w:rsidRDefault="007D50F1" w:rsidP="009135ED">
      <w:pPr>
        <w:ind w:firstLine="720"/>
      </w:pPr>
      <w:r w:rsidRPr="001D1FC1">
        <w:rPr>
          <w:szCs w:val="24"/>
        </w:rPr>
        <w:t xml:space="preserve">Papildu tam dividenžu un </w:t>
      </w:r>
      <w:proofErr w:type="spellStart"/>
      <w:r w:rsidRPr="001D1FC1">
        <w:rPr>
          <w:szCs w:val="24"/>
        </w:rPr>
        <w:t>nenodokļu</w:t>
      </w:r>
      <w:proofErr w:type="spellEnd"/>
      <w:r w:rsidRPr="001D1FC1">
        <w:rPr>
          <w:szCs w:val="24"/>
        </w:rPr>
        <w:t xml:space="preserve"> ieņēmumus ietekmē arī </w:t>
      </w:r>
      <w:r w:rsidR="009135ED">
        <w:rPr>
          <w:szCs w:val="24"/>
        </w:rPr>
        <w:t>MK</w:t>
      </w:r>
      <w:r w:rsidRPr="001D1FC1">
        <w:rPr>
          <w:szCs w:val="24"/>
        </w:rPr>
        <w:t xml:space="preserve"> </w:t>
      </w:r>
      <w:r w:rsidRPr="001D1FC1">
        <w:t>atbalstīti</w:t>
      </w:r>
      <w:r>
        <w:t>e</w:t>
      </w:r>
      <w:r w:rsidRPr="001D1FC1">
        <w:t xml:space="preserve"> pasākumi (</w:t>
      </w:r>
      <w:r w:rsidRPr="005F2D55">
        <w:t>skat. 3.1</w:t>
      </w:r>
      <w:r>
        <w:t>. sadaļu</w:t>
      </w:r>
      <w:r w:rsidRPr="001D1FC1">
        <w:t xml:space="preserve">) ar kopējo ietekmi uz </w:t>
      </w:r>
      <w:proofErr w:type="spellStart"/>
      <w:r w:rsidRPr="001D1FC1">
        <w:t>nenodokļu</w:t>
      </w:r>
      <w:proofErr w:type="spellEnd"/>
      <w:r w:rsidRPr="001D1FC1">
        <w:t xml:space="preserve"> ieņēmumiem 2022</w:t>
      </w:r>
      <w:r>
        <w:t>. gad</w:t>
      </w:r>
      <w:r w:rsidRPr="001D1FC1">
        <w:t xml:space="preserve">ā </w:t>
      </w:r>
      <w:r w:rsidRPr="009E51EF">
        <w:t>2</w:t>
      </w:r>
      <w:r>
        <w:t>8</w:t>
      </w:r>
      <w:r w:rsidRPr="009E51EF">
        <w:t>,</w:t>
      </w:r>
      <w:bookmarkStart w:id="24" w:name="_Hlk83111233"/>
      <w:r w:rsidRPr="009135ED">
        <w:t>1</w:t>
      </w:r>
      <w:bookmarkEnd w:id="24"/>
      <w:r w:rsidRPr="009135ED">
        <w:rPr>
          <w:bCs/>
          <w:szCs w:val="24"/>
        </w:rPr>
        <w:t> milj</w:t>
      </w:r>
      <w:r>
        <w:rPr>
          <w:bCs/>
          <w:i/>
          <w:szCs w:val="24"/>
        </w:rPr>
        <w:t>.</w:t>
      </w:r>
      <w:r>
        <w:t> </w:t>
      </w:r>
      <w:proofErr w:type="spellStart"/>
      <w:r w:rsidRPr="00D705E7">
        <w:rPr>
          <w:i/>
        </w:rPr>
        <w:t>euro</w:t>
      </w:r>
      <w:proofErr w:type="spellEnd"/>
      <w:r w:rsidRPr="001D1FC1">
        <w:t xml:space="preserve"> apmērā, kas galvenokārt veidojas no Latvijas valsts mežu dividendēs izmaksājamās peļņas daļas.</w:t>
      </w:r>
      <w:r w:rsidR="004D65F6">
        <w:rPr>
          <w:i/>
          <w:sz w:val="20"/>
        </w:rPr>
        <w:br w:type="page"/>
      </w:r>
    </w:p>
    <w:p w14:paraId="79ED95EA" w14:textId="77777777" w:rsidR="00CB1E59" w:rsidRDefault="00CB1E59" w:rsidP="00766E79">
      <w:pPr>
        <w:pStyle w:val="H2"/>
        <w:spacing w:before="480" w:after="360"/>
      </w:pPr>
      <w:r w:rsidRPr="00221972">
        <w:lastRenderedPageBreak/>
        <w:t>3.</w:t>
      </w:r>
      <w:r>
        <w:t>4</w:t>
      </w:r>
      <w:r w:rsidRPr="00221972">
        <w:t>. </w:t>
      </w:r>
      <w:r>
        <w:t>Pašu ieņēmumi un ārvalstu finanšu palīdzība</w:t>
      </w:r>
    </w:p>
    <w:p w14:paraId="5DA9CDED" w14:textId="77777777" w:rsidR="00766E79" w:rsidRPr="004D343C" w:rsidRDefault="00766E79" w:rsidP="00766E79">
      <w:pPr>
        <w:rPr>
          <w:sz w:val="22"/>
        </w:rPr>
      </w:pPr>
      <w:r w:rsidRPr="004D343C">
        <w:t>Ieņēmumi no maksas pakalpojumiem un citiem pašu ieņēmumiem valsts pamat</w:t>
      </w:r>
      <w:r w:rsidRPr="004D343C">
        <w:softHyphen/>
        <w:t>budžetā 202</w:t>
      </w:r>
      <w:r>
        <w:t>2</w:t>
      </w:r>
      <w:r w:rsidRPr="004D343C">
        <w:t>.</w:t>
      </w:r>
      <w:r>
        <w:t xml:space="preserve"> </w:t>
      </w:r>
      <w:r w:rsidRPr="004D343C">
        <w:t>gadā tiek plānoti 10</w:t>
      </w:r>
      <w:r>
        <w:t>5</w:t>
      </w:r>
      <w:r w:rsidRPr="004D343C">
        <w:t>,</w:t>
      </w:r>
      <w:r>
        <w:t>5</w:t>
      </w:r>
      <w:r w:rsidRPr="004D343C">
        <w:t xml:space="preserve"> milj. </w:t>
      </w:r>
      <w:proofErr w:type="spellStart"/>
      <w:r w:rsidRPr="004D343C">
        <w:rPr>
          <w:i/>
          <w:iCs/>
        </w:rPr>
        <w:t>euro</w:t>
      </w:r>
      <w:proofErr w:type="spellEnd"/>
      <w:r w:rsidRPr="004D343C">
        <w:t xml:space="preserve"> apmērā, kas ir par </w:t>
      </w:r>
      <w:r>
        <w:t>1,2</w:t>
      </w:r>
      <w:r w:rsidRPr="004D343C">
        <w:t xml:space="preserve"> milj. </w:t>
      </w:r>
      <w:proofErr w:type="spellStart"/>
      <w:r w:rsidRPr="004D343C">
        <w:rPr>
          <w:i/>
          <w:iCs/>
        </w:rPr>
        <w:t>euro</w:t>
      </w:r>
      <w:proofErr w:type="spellEnd"/>
      <w:r w:rsidRPr="004D343C">
        <w:t xml:space="preserve"> jeb </w:t>
      </w:r>
      <w:r>
        <w:t>1,2</w:t>
      </w:r>
      <w:r w:rsidRPr="004D343C">
        <w:t>% vairāk nekā plānots 202</w:t>
      </w:r>
      <w:r>
        <w:t>1</w:t>
      </w:r>
      <w:r w:rsidRPr="004D343C">
        <w:t>. gadā. 20</w:t>
      </w:r>
      <w:r>
        <w:t>20</w:t>
      </w:r>
      <w:r w:rsidRPr="004D343C">
        <w:t>. gadā valsts pamatbudžetā ieņēmumi no maksas pakal</w:t>
      </w:r>
      <w:r w:rsidRPr="004D343C">
        <w:softHyphen/>
        <w:t xml:space="preserve">pojumiem un citiem pašu ieņēmumiem bija plānoti </w:t>
      </w:r>
      <w:r>
        <w:t>96</w:t>
      </w:r>
      <w:r w:rsidRPr="004D343C">
        <w:t>,</w:t>
      </w:r>
      <w:r>
        <w:t>1</w:t>
      </w:r>
      <w:r w:rsidRPr="004D343C">
        <w:t xml:space="preserve"> milj. </w:t>
      </w:r>
      <w:proofErr w:type="spellStart"/>
      <w:r w:rsidRPr="004D343C">
        <w:rPr>
          <w:i/>
          <w:iCs/>
        </w:rPr>
        <w:t>euro</w:t>
      </w:r>
      <w:proofErr w:type="spellEnd"/>
      <w:r w:rsidRPr="004D343C">
        <w:t xml:space="preserve"> apmērā. Valsts speciālajā budžetā ieņēmumi no maksas pakalpojumiem un citiem pašu ieņēmumiem 202</w:t>
      </w:r>
      <w:r>
        <w:t>2</w:t>
      </w:r>
      <w:r w:rsidRPr="004D343C">
        <w:t xml:space="preserve">. gadā plānoti 0,02 milj. </w:t>
      </w:r>
      <w:proofErr w:type="spellStart"/>
      <w:r w:rsidRPr="004D343C">
        <w:rPr>
          <w:i/>
          <w:iCs/>
        </w:rPr>
        <w:t>euro</w:t>
      </w:r>
      <w:proofErr w:type="spellEnd"/>
      <w:r w:rsidRPr="004D343C">
        <w:t xml:space="preserve"> apmērā, kas ir tādā pašā apmērā kā plānots 202</w:t>
      </w:r>
      <w:r>
        <w:t>1</w:t>
      </w:r>
      <w:r w:rsidRPr="004D343C">
        <w:t>. gadā.</w:t>
      </w:r>
    </w:p>
    <w:p w14:paraId="564DE94B" w14:textId="692FDD58" w:rsidR="00766E79" w:rsidRDefault="00766E79" w:rsidP="00766E79">
      <w:r w:rsidRPr="004D343C">
        <w:t>Valsts pamatbudžetā ieņēmumi no ārvalstu finanšu pa</w:t>
      </w:r>
      <w:r>
        <w:t>līdzības saskaņā ar likumprojektu</w:t>
      </w:r>
      <w:r w:rsidRPr="004D343C">
        <w:t xml:space="preserve"> “Par valsts budžetu 202</w:t>
      </w:r>
      <w:r>
        <w:t>2</w:t>
      </w:r>
      <w:r w:rsidRPr="004D343C">
        <w:t xml:space="preserve">. gadam” tiek plānoti 1 </w:t>
      </w:r>
      <w:r>
        <w:t>485</w:t>
      </w:r>
      <w:r w:rsidRPr="004D343C">
        <w:t>,</w:t>
      </w:r>
      <w:r>
        <w:t>6</w:t>
      </w:r>
      <w:r w:rsidRPr="004D343C">
        <w:t xml:space="preserve"> milj. </w:t>
      </w:r>
      <w:proofErr w:type="spellStart"/>
      <w:r w:rsidRPr="004D343C">
        <w:rPr>
          <w:i/>
          <w:iCs/>
        </w:rPr>
        <w:t>euro</w:t>
      </w:r>
      <w:proofErr w:type="spellEnd"/>
      <w:r w:rsidRPr="004D343C">
        <w:t xml:space="preserve"> apmērā, kas ir par </w:t>
      </w:r>
      <w:r>
        <w:t>285,3</w:t>
      </w:r>
      <w:r w:rsidRPr="004D343C">
        <w:t xml:space="preserve"> milj. </w:t>
      </w:r>
      <w:proofErr w:type="spellStart"/>
      <w:r w:rsidRPr="004D343C">
        <w:rPr>
          <w:i/>
          <w:iCs/>
        </w:rPr>
        <w:t>euro</w:t>
      </w:r>
      <w:proofErr w:type="spellEnd"/>
      <w:r>
        <w:rPr>
          <w:i/>
          <w:iCs/>
        </w:rPr>
        <w:t xml:space="preserve"> </w:t>
      </w:r>
      <w:r>
        <w:t xml:space="preserve">jeb 23,8% </w:t>
      </w:r>
      <w:r w:rsidRPr="004D343C">
        <w:t>vairāk nekā plānots 202</w:t>
      </w:r>
      <w:r>
        <w:t>1</w:t>
      </w:r>
      <w:r w:rsidRPr="004D343C">
        <w:t>. gadā. 20</w:t>
      </w:r>
      <w:r>
        <w:t>20</w:t>
      </w:r>
      <w:r w:rsidRPr="004D343C">
        <w:t>. gadā valsts pamatbudžetā ieņēmumi no ārvalstu finanšu palīdzības bija plānoti 1</w:t>
      </w:r>
      <w:r>
        <w:t xml:space="preserve"> 200</w:t>
      </w:r>
      <w:r w:rsidRPr="004D343C">
        <w:t>,</w:t>
      </w:r>
      <w:r>
        <w:t>0</w:t>
      </w:r>
      <w:r w:rsidRPr="004D343C">
        <w:t xml:space="preserve"> milj. </w:t>
      </w:r>
      <w:proofErr w:type="spellStart"/>
      <w:r w:rsidRPr="004D343C">
        <w:rPr>
          <w:i/>
          <w:iCs/>
        </w:rPr>
        <w:t>euro</w:t>
      </w:r>
      <w:proofErr w:type="spellEnd"/>
      <w:r w:rsidRPr="004D343C">
        <w:t xml:space="preserve"> apmērā.</w:t>
      </w:r>
    </w:p>
    <w:p w14:paraId="55E229E9" w14:textId="77777777" w:rsidR="009050B8" w:rsidRPr="00B22DC7" w:rsidRDefault="009050B8" w:rsidP="009A6568">
      <w:pPr>
        <w:spacing w:after="0"/>
        <w:ind w:firstLine="0"/>
        <w:rPr>
          <w:szCs w:val="24"/>
          <w:lang w:eastAsia="lv-LV"/>
        </w:rPr>
      </w:pPr>
    </w:p>
    <w:sectPr w:rsidR="009050B8" w:rsidRPr="00B22DC7" w:rsidSect="00CE35D9">
      <w:headerReference w:type="even" r:id="rId10"/>
      <w:headerReference w:type="default" r:id="rId11"/>
      <w:footerReference w:type="default" r:id="rId12"/>
      <w:pgSz w:w="11906" w:h="16838" w:code="9"/>
      <w:pgMar w:top="1418" w:right="1134" w:bottom="1134" w:left="1701" w:header="720" w:footer="720" w:gutter="0"/>
      <w:pgNumType w:start="6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0AA9" w14:textId="77777777" w:rsidR="00FD425F" w:rsidRDefault="00FD425F">
      <w:r>
        <w:separator/>
      </w:r>
    </w:p>
  </w:endnote>
  <w:endnote w:type="continuationSeparator" w:id="0">
    <w:p w14:paraId="28B1351C" w14:textId="77777777" w:rsidR="00FD425F" w:rsidRDefault="00FD4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F94F7" w14:textId="33D66D31" w:rsidR="00FD425F" w:rsidRDefault="00FD425F">
    <w:pPr>
      <w:pStyle w:val="Footer"/>
    </w:pPr>
    <w:r>
      <w:rPr>
        <w:noProof/>
      </w:rPr>
      <w:fldChar w:fldCharType="begin"/>
    </w:r>
    <w:r>
      <w:rPr>
        <w:noProof/>
      </w:rPr>
      <w:instrText xml:space="preserve"> FILENAME   \* MERGEFORMAT </w:instrText>
    </w:r>
    <w:r>
      <w:rPr>
        <w:noProof/>
      </w:rPr>
      <w:fldChar w:fldCharType="separate"/>
    </w:r>
    <w:r w:rsidR="00286B0A">
      <w:rPr>
        <w:noProof/>
      </w:rPr>
      <w:t>FMPask_3_111021_proj2022.docx</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5DF17" w14:textId="77777777" w:rsidR="00FD425F" w:rsidRDefault="00FD425F">
      <w:pPr>
        <w:spacing w:after="0"/>
        <w:ind w:firstLine="0"/>
      </w:pPr>
      <w:r>
        <w:separator/>
      </w:r>
    </w:p>
  </w:footnote>
  <w:footnote w:type="continuationSeparator" w:id="0">
    <w:p w14:paraId="68E84C76" w14:textId="77777777" w:rsidR="00FD425F" w:rsidRDefault="00FD425F">
      <w:r>
        <w:continuationSeparator/>
      </w:r>
    </w:p>
  </w:footnote>
  <w:footnote w:id="1">
    <w:p w14:paraId="4935F39C" w14:textId="5EC88363" w:rsidR="00FD425F" w:rsidRDefault="00FD425F" w:rsidP="00D942CF">
      <w:pPr>
        <w:pStyle w:val="FootnoteText"/>
        <w:ind w:firstLine="0"/>
      </w:pPr>
      <w:r>
        <w:rPr>
          <w:rStyle w:val="FootnoteReference"/>
        </w:rPr>
        <w:footnoteRef/>
      </w:r>
      <w:r w:rsidR="00D96773">
        <w:rPr>
          <w:sz w:val="18"/>
          <w:szCs w:val="18"/>
        </w:rPr>
        <w:t xml:space="preserve"> </w:t>
      </w:r>
      <w:r w:rsidR="00D96773" w:rsidRPr="00332582">
        <w:rPr>
          <w:sz w:val="18"/>
          <w:szCs w:val="18"/>
        </w:rPr>
        <w:t xml:space="preserve">Neieskaitot iemaksas valsts </w:t>
      </w:r>
      <w:proofErr w:type="spellStart"/>
      <w:r w:rsidR="00D96773" w:rsidRPr="00332582">
        <w:rPr>
          <w:sz w:val="18"/>
          <w:szCs w:val="18"/>
        </w:rPr>
        <w:t>fondēto</w:t>
      </w:r>
      <w:proofErr w:type="spellEnd"/>
      <w:r w:rsidR="00D96773" w:rsidRPr="00332582">
        <w:rPr>
          <w:sz w:val="18"/>
          <w:szCs w:val="18"/>
        </w:rPr>
        <w:t xml:space="preserve"> pensiju shēmā.</w:t>
      </w:r>
    </w:p>
  </w:footnote>
  <w:footnote w:id="2">
    <w:p w14:paraId="53435067" w14:textId="5026586A" w:rsidR="009607BB" w:rsidRPr="00381F39" w:rsidRDefault="009607BB" w:rsidP="00A602FA">
      <w:pPr>
        <w:pStyle w:val="FootnoteText"/>
        <w:ind w:firstLine="0"/>
        <w:rPr>
          <w:sz w:val="18"/>
          <w:szCs w:val="18"/>
        </w:rPr>
      </w:pPr>
      <w:r w:rsidRPr="00381F39">
        <w:rPr>
          <w:rStyle w:val="FootnoteReference"/>
          <w:sz w:val="18"/>
          <w:szCs w:val="18"/>
        </w:rPr>
        <w:footnoteRef/>
      </w:r>
      <w:r w:rsidRPr="00381F39">
        <w:rPr>
          <w:sz w:val="18"/>
          <w:szCs w:val="18"/>
        </w:rPr>
        <w:t xml:space="preserve"> </w:t>
      </w:r>
      <w:r w:rsidR="00A602FA" w:rsidRPr="00381F39">
        <w:rPr>
          <w:sz w:val="18"/>
          <w:szCs w:val="18"/>
        </w:rPr>
        <w:t xml:space="preserve">Neieskaitot valsts sociālās apdrošināšanas </w:t>
      </w:r>
      <w:r w:rsidR="00A602FA">
        <w:rPr>
          <w:sz w:val="18"/>
          <w:szCs w:val="18"/>
        </w:rPr>
        <w:t xml:space="preserve">obligātā </w:t>
      </w:r>
      <w:r w:rsidR="00A602FA" w:rsidRPr="00381F39">
        <w:rPr>
          <w:sz w:val="18"/>
          <w:szCs w:val="18"/>
        </w:rPr>
        <w:t xml:space="preserve">iemaksas </w:t>
      </w:r>
      <w:proofErr w:type="spellStart"/>
      <w:r w:rsidR="00A602FA" w:rsidRPr="00381F39">
        <w:rPr>
          <w:sz w:val="18"/>
          <w:szCs w:val="18"/>
        </w:rPr>
        <w:t>fondēto</w:t>
      </w:r>
      <w:proofErr w:type="spellEnd"/>
      <w:r w:rsidR="00A602FA" w:rsidRPr="00381F39">
        <w:rPr>
          <w:sz w:val="18"/>
          <w:szCs w:val="18"/>
        </w:rPr>
        <w:t xml:space="preserve"> pensiju shēmā un solidaritātes nodokli pamatbudžetā</w:t>
      </w:r>
      <w:r w:rsidRPr="00381F39">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AF634" w14:textId="77777777" w:rsidR="00FD425F" w:rsidRDefault="00FD42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340DE5" w14:textId="77777777" w:rsidR="00FD425F" w:rsidRDefault="00FD42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F6268" w14:textId="77777777" w:rsidR="00FD425F" w:rsidRDefault="00FD42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30C1A">
      <w:rPr>
        <w:rStyle w:val="PageNumber"/>
        <w:noProof/>
      </w:rPr>
      <w:t>111</w:t>
    </w:r>
    <w:r>
      <w:rPr>
        <w:rStyle w:val="PageNumber"/>
      </w:rPr>
      <w:fldChar w:fldCharType="end"/>
    </w:r>
  </w:p>
  <w:p w14:paraId="67DF0F9D" w14:textId="77777777" w:rsidR="00FD425F" w:rsidRDefault="00FD42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B0E8C5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92136C"/>
    <w:multiLevelType w:val="hybridMultilevel"/>
    <w:tmpl w:val="786EA07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3E061A8"/>
    <w:multiLevelType w:val="hybridMultilevel"/>
    <w:tmpl w:val="65363EE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07B022D3"/>
    <w:multiLevelType w:val="hybridMultilevel"/>
    <w:tmpl w:val="676636F0"/>
    <w:lvl w:ilvl="0" w:tplc="E4B4502C">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0AC9621D"/>
    <w:multiLevelType w:val="hybridMultilevel"/>
    <w:tmpl w:val="5D807A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4901705"/>
    <w:multiLevelType w:val="hybridMultilevel"/>
    <w:tmpl w:val="A5C60694"/>
    <w:lvl w:ilvl="0" w:tplc="04260001">
      <w:start w:val="1"/>
      <w:numFmt w:val="bullet"/>
      <w:lvlText w:val=""/>
      <w:lvlJc w:val="left"/>
      <w:pPr>
        <w:ind w:left="1492" w:hanging="360"/>
      </w:pPr>
      <w:rPr>
        <w:rFonts w:ascii="Symbol" w:hAnsi="Symbol" w:hint="default"/>
      </w:rPr>
    </w:lvl>
    <w:lvl w:ilvl="1" w:tplc="04260003">
      <w:start w:val="1"/>
      <w:numFmt w:val="bullet"/>
      <w:lvlText w:val="o"/>
      <w:lvlJc w:val="left"/>
      <w:pPr>
        <w:ind w:left="2212" w:hanging="360"/>
      </w:pPr>
      <w:rPr>
        <w:rFonts w:ascii="Courier New" w:hAnsi="Courier New" w:cs="Courier New" w:hint="default"/>
      </w:rPr>
    </w:lvl>
    <w:lvl w:ilvl="2" w:tplc="04260005" w:tentative="1">
      <w:start w:val="1"/>
      <w:numFmt w:val="bullet"/>
      <w:lvlText w:val=""/>
      <w:lvlJc w:val="left"/>
      <w:pPr>
        <w:ind w:left="2932" w:hanging="360"/>
      </w:pPr>
      <w:rPr>
        <w:rFonts w:ascii="Wingdings" w:hAnsi="Wingdings" w:hint="default"/>
      </w:rPr>
    </w:lvl>
    <w:lvl w:ilvl="3" w:tplc="04260001" w:tentative="1">
      <w:start w:val="1"/>
      <w:numFmt w:val="bullet"/>
      <w:lvlText w:val=""/>
      <w:lvlJc w:val="left"/>
      <w:pPr>
        <w:ind w:left="3652" w:hanging="360"/>
      </w:pPr>
      <w:rPr>
        <w:rFonts w:ascii="Symbol" w:hAnsi="Symbol" w:hint="default"/>
      </w:rPr>
    </w:lvl>
    <w:lvl w:ilvl="4" w:tplc="04260003" w:tentative="1">
      <w:start w:val="1"/>
      <w:numFmt w:val="bullet"/>
      <w:lvlText w:val="o"/>
      <w:lvlJc w:val="left"/>
      <w:pPr>
        <w:ind w:left="4372" w:hanging="360"/>
      </w:pPr>
      <w:rPr>
        <w:rFonts w:ascii="Courier New" w:hAnsi="Courier New" w:cs="Courier New" w:hint="default"/>
      </w:rPr>
    </w:lvl>
    <w:lvl w:ilvl="5" w:tplc="04260005" w:tentative="1">
      <w:start w:val="1"/>
      <w:numFmt w:val="bullet"/>
      <w:lvlText w:val=""/>
      <w:lvlJc w:val="left"/>
      <w:pPr>
        <w:ind w:left="5092" w:hanging="360"/>
      </w:pPr>
      <w:rPr>
        <w:rFonts w:ascii="Wingdings" w:hAnsi="Wingdings" w:hint="default"/>
      </w:rPr>
    </w:lvl>
    <w:lvl w:ilvl="6" w:tplc="04260001" w:tentative="1">
      <w:start w:val="1"/>
      <w:numFmt w:val="bullet"/>
      <w:lvlText w:val=""/>
      <w:lvlJc w:val="left"/>
      <w:pPr>
        <w:ind w:left="5812" w:hanging="360"/>
      </w:pPr>
      <w:rPr>
        <w:rFonts w:ascii="Symbol" w:hAnsi="Symbol" w:hint="default"/>
      </w:rPr>
    </w:lvl>
    <w:lvl w:ilvl="7" w:tplc="04260003" w:tentative="1">
      <w:start w:val="1"/>
      <w:numFmt w:val="bullet"/>
      <w:lvlText w:val="o"/>
      <w:lvlJc w:val="left"/>
      <w:pPr>
        <w:ind w:left="6532" w:hanging="360"/>
      </w:pPr>
      <w:rPr>
        <w:rFonts w:ascii="Courier New" w:hAnsi="Courier New" w:cs="Courier New" w:hint="default"/>
      </w:rPr>
    </w:lvl>
    <w:lvl w:ilvl="8" w:tplc="04260005" w:tentative="1">
      <w:start w:val="1"/>
      <w:numFmt w:val="bullet"/>
      <w:lvlText w:val=""/>
      <w:lvlJc w:val="left"/>
      <w:pPr>
        <w:ind w:left="7252" w:hanging="360"/>
      </w:pPr>
      <w:rPr>
        <w:rFonts w:ascii="Wingdings" w:hAnsi="Wingdings" w:hint="default"/>
      </w:rPr>
    </w:lvl>
  </w:abstractNum>
  <w:abstractNum w:abstractNumId="6" w15:restartNumberingAfterBreak="0">
    <w:nsid w:val="19367155"/>
    <w:multiLevelType w:val="hybridMultilevel"/>
    <w:tmpl w:val="4D4824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CB76165"/>
    <w:multiLevelType w:val="hybridMultilevel"/>
    <w:tmpl w:val="6ED6753A"/>
    <w:lvl w:ilvl="0" w:tplc="0426000F">
      <w:start w:val="1"/>
      <w:numFmt w:val="decimal"/>
      <w:lvlText w:val="%1."/>
      <w:lvlJc w:val="left"/>
      <w:pPr>
        <w:ind w:left="720" w:hanging="360"/>
      </w:pPr>
    </w:lvl>
    <w:lvl w:ilvl="1" w:tplc="E4B4502C">
      <w:start w:val="1"/>
      <w:numFmt w:val="bullet"/>
      <w:lvlText w:val=""/>
      <w:lvlJc w:val="left"/>
      <w:pPr>
        <w:ind w:left="1440" w:hanging="360"/>
      </w:pPr>
      <w:rPr>
        <w:rFonts w:ascii="Symbol" w:hAnsi="Symbol" w:hint="default"/>
      </w:rPr>
    </w:lvl>
    <w:lvl w:ilvl="2" w:tplc="04260001">
      <w:start w:val="1"/>
      <w:numFmt w:val="bullet"/>
      <w:lvlText w:val=""/>
      <w:lvlJc w:val="left"/>
      <w:pPr>
        <w:ind w:left="2160" w:hanging="180"/>
      </w:pPr>
      <w:rPr>
        <w:rFonts w:ascii="Symbol" w:hAnsi="Symbol" w:hint="default"/>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D724823"/>
    <w:multiLevelType w:val="hybridMultilevel"/>
    <w:tmpl w:val="62889258"/>
    <w:lvl w:ilvl="0" w:tplc="E4B4502C">
      <w:start w:val="1"/>
      <w:numFmt w:val="bullet"/>
      <w:lvlText w:val=""/>
      <w:lvlJc w:val="left"/>
      <w:pPr>
        <w:ind w:left="3240" w:hanging="360"/>
      </w:pPr>
      <w:rPr>
        <w:rFonts w:ascii="Symbol" w:hAnsi="Symbol" w:hint="default"/>
      </w:rPr>
    </w:lvl>
    <w:lvl w:ilvl="1" w:tplc="04260003" w:tentative="1">
      <w:start w:val="1"/>
      <w:numFmt w:val="bullet"/>
      <w:lvlText w:val="o"/>
      <w:lvlJc w:val="left"/>
      <w:pPr>
        <w:ind w:left="3960" w:hanging="360"/>
      </w:pPr>
      <w:rPr>
        <w:rFonts w:ascii="Courier New" w:hAnsi="Courier New" w:cs="Courier New" w:hint="default"/>
      </w:rPr>
    </w:lvl>
    <w:lvl w:ilvl="2" w:tplc="04260005" w:tentative="1">
      <w:start w:val="1"/>
      <w:numFmt w:val="bullet"/>
      <w:lvlText w:val=""/>
      <w:lvlJc w:val="left"/>
      <w:pPr>
        <w:ind w:left="4680" w:hanging="360"/>
      </w:pPr>
      <w:rPr>
        <w:rFonts w:ascii="Wingdings" w:hAnsi="Wingdings" w:hint="default"/>
      </w:rPr>
    </w:lvl>
    <w:lvl w:ilvl="3" w:tplc="04260001" w:tentative="1">
      <w:start w:val="1"/>
      <w:numFmt w:val="bullet"/>
      <w:lvlText w:val=""/>
      <w:lvlJc w:val="left"/>
      <w:pPr>
        <w:ind w:left="5400" w:hanging="360"/>
      </w:pPr>
      <w:rPr>
        <w:rFonts w:ascii="Symbol" w:hAnsi="Symbol" w:hint="default"/>
      </w:rPr>
    </w:lvl>
    <w:lvl w:ilvl="4" w:tplc="04260003" w:tentative="1">
      <w:start w:val="1"/>
      <w:numFmt w:val="bullet"/>
      <w:lvlText w:val="o"/>
      <w:lvlJc w:val="left"/>
      <w:pPr>
        <w:ind w:left="6120" w:hanging="360"/>
      </w:pPr>
      <w:rPr>
        <w:rFonts w:ascii="Courier New" w:hAnsi="Courier New" w:cs="Courier New" w:hint="default"/>
      </w:rPr>
    </w:lvl>
    <w:lvl w:ilvl="5" w:tplc="04260005" w:tentative="1">
      <w:start w:val="1"/>
      <w:numFmt w:val="bullet"/>
      <w:lvlText w:val=""/>
      <w:lvlJc w:val="left"/>
      <w:pPr>
        <w:ind w:left="6840" w:hanging="360"/>
      </w:pPr>
      <w:rPr>
        <w:rFonts w:ascii="Wingdings" w:hAnsi="Wingdings" w:hint="default"/>
      </w:rPr>
    </w:lvl>
    <w:lvl w:ilvl="6" w:tplc="04260001" w:tentative="1">
      <w:start w:val="1"/>
      <w:numFmt w:val="bullet"/>
      <w:lvlText w:val=""/>
      <w:lvlJc w:val="left"/>
      <w:pPr>
        <w:ind w:left="7560" w:hanging="360"/>
      </w:pPr>
      <w:rPr>
        <w:rFonts w:ascii="Symbol" w:hAnsi="Symbol" w:hint="default"/>
      </w:rPr>
    </w:lvl>
    <w:lvl w:ilvl="7" w:tplc="04260003" w:tentative="1">
      <w:start w:val="1"/>
      <w:numFmt w:val="bullet"/>
      <w:lvlText w:val="o"/>
      <w:lvlJc w:val="left"/>
      <w:pPr>
        <w:ind w:left="8280" w:hanging="360"/>
      </w:pPr>
      <w:rPr>
        <w:rFonts w:ascii="Courier New" w:hAnsi="Courier New" w:cs="Courier New" w:hint="default"/>
      </w:rPr>
    </w:lvl>
    <w:lvl w:ilvl="8" w:tplc="04260005" w:tentative="1">
      <w:start w:val="1"/>
      <w:numFmt w:val="bullet"/>
      <w:lvlText w:val=""/>
      <w:lvlJc w:val="left"/>
      <w:pPr>
        <w:ind w:left="9000" w:hanging="360"/>
      </w:pPr>
      <w:rPr>
        <w:rFonts w:ascii="Wingdings" w:hAnsi="Wingdings" w:hint="default"/>
      </w:rPr>
    </w:lvl>
  </w:abstractNum>
  <w:abstractNum w:abstractNumId="9" w15:restartNumberingAfterBreak="0">
    <w:nsid w:val="22467E14"/>
    <w:multiLevelType w:val="hybridMultilevel"/>
    <w:tmpl w:val="3454FF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BF47BF2"/>
    <w:multiLevelType w:val="hybridMultilevel"/>
    <w:tmpl w:val="9A0AE71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EB10138"/>
    <w:multiLevelType w:val="hybridMultilevel"/>
    <w:tmpl w:val="FEAA81B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 w15:restartNumberingAfterBreak="0">
    <w:nsid w:val="33550CB8"/>
    <w:multiLevelType w:val="hybridMultilevel"/>
    <w:tmpl w:val="2F8C97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3" w15:restartNumberingAfterBreak="0">
    <w:nsid w:val="38F424D0"/>
    <w:multiLevelType w:val="multilevel"/>
    <w:tmpl w:val="F9AA900C"/>
    <w:lvl w:ilvl="0">
      <w:start w:val="1"/>
      <w:numFmt w:val="decimal"/>
      <w:lvlRestart w:val="0"/>
      <w:pStyle w:val="Point123"/>
      <w:lvlText w:val="%1."/>
      <w:lvlJc w:val="left"/>
      <w:pPr>
        <w:tabs>
          <w:tab w:val="num" w:pos="567"/>
        </w:tabs>
        <w:ind w:left="567" w:hanging="567"/>
      </w:pPr>
      <w:rPr>
        <w:rFonts w:ascii="Times New Roman" w:eastAsia="Times New Roman" w:hAnsi="Times New Roman" w:cs="Times New Roman" w:hint="default"/>
      </w:rPr>
    </w:lvl>
    <w:lvl w:ilvl="1">
      <w:start w:val="1"/>
      <w:numFmt w:val="lowerLetter"/>
      <w:pStyle w:val="Pointabc"/>
      <w:lvlText w:val="%2)"/>
      <w:lvlJc w:val="left"/>
      <w:pPr>
        <w:tabs>
          <w:tab w:val="num" w:pos="567"/>
        </w:tabs>
        <w:ind w:left="567" w:hanging="567"/>
      </w:pPr>
      <w:rPr>
        <w:rFonts w:hint="default"/>
      </w:rPr>
    </w:lvl>
    <w:lvl w:ilvl="2">
      <w:start w:val="1"/>
      <w:numFmt w:val="decimal"/>
      <w:pStyle w:val="Point1231"/>
      <w:lvlText w:val="%3."/>
      <w:lvlJc w:val="left"/>
      <w:pPr>
        <w:tabs>
          <w:tab w:val="num" w:pos="993"/>
        </w:tabs>
        <w:ind w:left="993" w:hanging="567"/>
      </w:pPr>
      <w:rPr>
        <w:rFonts w:hint="default"/>
      </w:rPr>
    </w:lvl>
    <w:lvl w:ilvl="3">
      <w:start w:val="1"/>
      <w:numFmt w:val="lowerLetter"/>
      <w:pStyle w:val="Pointabc1"/>
      <w:lvlText w:val="%4)"/>
      <w:lvlJc w:val="left"/>
      <w:pPr>
        <w:tabs>
          <w:tab w:val="num" w:pos="1134"/>
        </w:tabs>
        <w:ind w:left="1134" w:hanging="567"/>
      </w:pPr>
      <w:rPr>
        <w:rFonts w:hint="default"/>
      </w:rPr>
    </w:lvl>
    <w:lvl w:ilvl="4">
      <w:start w:val="1"/>
      <w:numFmt w:val="decimal"/>
      <w:pStyle w:val="Point1232"/>
      <w:lvlText w:val="%5."/>
      <w:lvlJc w:val="left"/>
      <w:pPr>
        <w:tabs>
          <w:tab w:val="num" w:pos="1701"/>
        </w:tabs>
        <w:ind w:left="1701" w:hanging="567"/>
      </w:pPr>
      <w:rPr>
        <w:rFonts w:hint="default"/>
      </w:rPr>
    </w:lvl>
    <w:lvl w:ilvl="5">
      <w:start w:val="1"/>
      <w:numFmt w:val="lowerLetter"/>
      <w:pStyle w:val="Pointabc2"/>
      <w:lvlText w:val="%6)"/>
      <w:lvlJc w:val="left"/>
      <w:pPr>
        <w:tabs>
          <w:tab w:val="num" w:pos="1701"/>
        </w:tabs>
        <w:ind w:left="1701" w:hanging="567"/>
      </w:pPr>
      <w:rPr>
        <w:rFonts w:hint="default"/>
      </w:rPr>
    </w:lvl>
    <w:lvl w:ilvl="6">
      <w:start w:val="1"/>
      <w:numFmt w:val="decimal"/>
      <w:pStyle w:val="Point1233"/>
      <w:lvlText w:val="%7."/>
      <w:lvlJc w:val="left"/>
      <w:pPr>
        <w:tabs>
          <w:tab w:val="num" w:pos="2268"/>
        </w:tabs>
        <w:ind w:left="2268" w:hanging="567"/>
      </w:pPr>
      <w:rPr>
        <w:rFonts w:hint="default"/>
      </w:rPr>
    </w:lvl>
    <w:lvl w:ilvl="7">
      <w:start w:val="1"/>
      <w:numFmt w:val="lowerLetter"/>
      <w:pStyle w:val="Pointabc3"/>
      <w:lvlText w:val="%8)"/>
      <w:lvlJc w:val="left"/>
      <w:pPr>
        <w:tabs>
          <w:tab w:val="num" w:pos="2268"/>
        </w:tabs>
        <w:ind w:left="2268" w:hanging="567"/>
      </w:pPr>
      <w:rPr>
        <w:rFonts w:hint="default"/>
      </w:rPr>
    </w:lvl>
    <w:lvl w:ilvl="8">
      <w:start w:val="1"/>
      <w:numFmt w:val="lowerLetter"/>
      <w:pStyle w:val="Pointabc4"/>
      <w:lvlText w:val="%9)"/>
      <w:lvlJc w:val="left"/>
      <w:pPr>
        <w:tabs>
          <w:tab w:val="num" w:pos="2835"/>
        </w:tabs>
        <w:ind w:left="2835" w:hanging="567"/>
      </w:pPr>
      <w:rPr>
        <w:rFonts w:hint="default"/>
      </w:rPr>
    </w:lvl>
  </w:abstractNum>
  <w:abstractNum w:abstractNumId="14" w15:restartNumberingAfterBreak="0">
    <w:nsid w:val="3DB163C5"/>
    <w:multiLevelType w:val="hybridMultilevel"/>
    <w:tmpl w:val="7DACBF7A"/>
    <w:lvl w:ilvl="0" w:tplc="E4B4502C">
      <w:start w:val="1"/>
      <w:numFmt w:val="bullet"/>
      <w:lvlText w:val=""/>
      <w:lvlJc w:val="left"/>
      <w:pPr>
        <w:ind w:left="1789" w:hanging="360"/>
      </w:pPr>
      <w:rPr>
        <w:rFonts w:ascii="Symbol" w:hAnsi="Symbol" w:hint="default"/>
      </w:rPr>
    </w:lvl>
    <w:lvl w:ilvl="1" w:tplc="04260003" w:tentative="1">
      <w:start w:val="1"/>
      <w:numFmt w:val="bullet"/>
      <w:lvlText w:val="o"/>
      <w:lvlJc w:val="left"/>
      <w:pPr>
        <w:ind w:left="2509" w:hanging="360"/>
      </w:pPr>
      <w:rPr>
        <w:rFonts w:ascii="Courier New" w:hAnsi="Courier New" w:cs="Courier New" w:hint="default"/>
      </w:rPr>
    </w:lvl>
    <w:lvl w:ilvl="2" w:tplc="04260005" w:tentative="1">
      <w:start w:val="1"/>
      <w:numFmt w:val="bullet"/>
      <w:lvlText w:val=""/>
      <w:lvlJc w:val="left"/>
      <w:pPr>
        <w:ind w:left="3229" w:hanging="360"/>
      </w:pPr>
      <w:rPr>
        <w:rFonts w:ascii="Wingdings" w:hAnsi="Wingdings" w:hint="default"/>
      </w:rPr>
    </w:lvl>
    <w:lvl w:ilvl="3" w:tplc="04260001" w:tentative="1">
      <w:start w:val="1"/>
      <w:numFmt w:val="bullet"/>
      <w:lvlText w:val=""/>
      <w:lvlJc w:val="left"/>
      <w:pPr>
        <w:ind w:left="3949" w:hanging="360"/>
      </w:pPr>
      <w:rPr>
        <w:rFonts w:ascii="Symbol" w:hAnsi="Symbol" w:hint="default"/>
      </w:rPr>
    </w:lvl>
    <w:lvl w:ilvl="4" w:tplc="04260003" w:tentative="1">
      <w:start w:val="1"/>
      <w:numFmt w:val="bullet"/>
      <w:lvlText w:val="o"/>
      <w:lvlJc w:val="left"/>
      <w:pPr>
        <w:ind w:left="4669" w:hanging="360"/>
      </w:pPr>
      <w:rPr>
        <w:rFonts w:ascii="Courier New" w:hAnsi="Courier New" w:cs="Courier New" w:hint="default"/>
      </w:rPr>
    </w:lvl>
    <w:lvl w:ilvl="5" w:tplc="04260005" w:tentative="1">
      <w:start w:val="1"/>
      <w:numFmt w:val="bullet"/>
      <w:lvlText w:val=""/>
      <w:lvlJc w:val="left"/>
      <w:pPr>
        <w:ind w:left="5389" w:hanging="360"/>
      </w:pPr>
      <w:rPr>
        <w:rFonts w:ascii="Wingdings" w:hAnsi="Wingdings" w:hint="default"/>
      </w:rPr>
    </w:lvl>
    <w:lvl w:ilvl="6" w:tplc="04260001" w:tentative="1">
      <w:start w:val="1"/>
      <w:numFmt w:val="bullet"/>
      <w:lvlText w:val=""/>
      <w:lvlJc w:val="left"/>
      <w:pPr>
        <w:ind w:left="6109" w:hanging="360"/>
      </w:pPr>
      <w:rPr>
        <w:rFonts w:ascii="Symbol" w:hAnsi="Symbol" w:hint="default"/>
      </w:rPr>
    </w:lvl>
    <w:lvl w:ilvl="7" w:tplc="04260003" w:tentative="1">
      <w:start w:val="1"/>
      <w:numFmt w:val="bullet"/>
      <w:lvlText w:val="o"/>
      <w:lvlJc w:val="left"/>
      <w:pPr>
        <w:ind w:left="6829" w:hanging="360"/>
      </w:pPr>
      <w:rPr>
        <w:rFonts w:ascii="Courier New" w:hAnsi="Courier New" w:cs="Courier New" w:hint="default"/>
      </w:rPr>
    </w:lvl>
    <w:lvl w:ilvl="8" w:tplc="04260005" w:tentative="1">
      <w:start w:val="1"/>
      <w:numFmt w:val="bullet"/>
      <w:lvlText w:val=""/>
      <w:lvlJc w:val="left"/>
      <w:pPr>
        <w:ind w:left="7549" w:hanging="360"/>
      </w:pPr>
      <w:rPr>
        <w:rFonts w:ascii="Wingdings" w:hAnsi="Wingdings" w:hint="default"/>
      </w:rPr>
    </w:lvl>
  </w:abstractNum>
  <w:abstractNum w:abstractNumId="15" w15:restartNumberingAfterBreak="0">
    <w:nsid w:val="441E02BE"/>
    <w:multiLevelType w:val="hybridMultilevel"/>
    <w:tmpl w:val="FAEA7030"/>
    <w:lvl w:ilvl="0" w:tplc="0426000F">
      <w:start w:val="1"/>
      <w:numFmt w:val="decimal"/>
      <w:lvlText w:val="%1."/>
      <w:lvlJc w:val="left"/>
      <w:pPr>
        <w:ind w:left="502" w:hanging="360"/>
      </w:pPr>
    </w:lvl>
    <w:lvl w:ilvl="1" w:tplc="04090001">
      <w:start w:val="1"/>
      <w:numFmt w:val="bullet"/>
      <w:lvlText w:val=""/>
      <w:lvlJc w:val="left"/>
      <w:pPr>
        <w:ind w:left="1222" w:hanging="360"/>
      </w:pPr>
      <w:rPr>
        <w:rFonts w:ascii="Symbol" w:hAnsi="Symbol" w:hint="default"/>
      </w:r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6" w15:restartNumberingAfterBreak="0">
    <w:nsid w:val="4C785AAD"/>
    <w:multiLevelType w:val="hybridMultilevel"/>
    <w:tmpl w:val="C5FCFEC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7" w15:restartNumberingAfterBreak="0">
    <w:nsid w:val="4E4F043A"/>
    <w:multiLevelType w:val="hybridMultilevel"/>
    <w:tmpl w:val="967ED93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5D525A2"/>
    <w:multiLevelType w:val="hybridMultilevel"/>
    <w:tmpl w:val="D21894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577A1AD3"/>
    <w:multiLevelType w:val="hybridMultilevel"/>
    <w:tmpl w:val="73609FF0"/>
    <w:lvl w:ilvl="0" w:tplc="04260001">
      <w:start w:val="1"/>
      <w:numFmt w:val="bullet"/>
      <w:lvlText w:val=""/>
      <w:lvlJc w:val="left"/>
      <w:pPr>
        <w:ind w:left="1429" w:hanging="360"/>
      </w:pPr>
      <w:rPr>
        <w:rFonts w:ascii="Symbol" w:hAnsi="Symbol" w:hint="default"/>
      </w:rPr>
    </w:lvl>
    <w:lvl w:ilvl="1" w:tplc="04260001">
      <w:start w:val="1"/>
      <w:numFmt w:val="bullet"/>
      <w:lvlText w:val=""/>
      <w:lvlJc w:val="left"/>
      <w:pPr>
        <w:ind w:left="2149" w:hanging="360"/>
      </w:pPr>
      <w:rPr>
        <w:rFonts w:ascii="Symbol" w:hAnsi="Symbol" w:hint="default"/>
      </w:rPr>
    </w:lvl>
    <w:lvl w:ilvl="2" w:tplc="04260005">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0" w15:restartNumberingAfterBreak="0">
    <w:nsid w:val="5BA33C92"/>
    <w:multiLevelType w:val="hybridMultilevel"/>
    <w:tmpl w:val="D36440A8"/>
    <w:lvl w:ilvl="0" w:tplc="0426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D58509D"/>
    <w:multiLevelType w:val="hybridMultilevel"/>
    <w:tmpl w:val="BDB41882"/>
    <w:lvl w:ilvl="0" w:tplc="04260001">
      <w:start w:val="1"/>
      <w:numFmt w:val="bullet"/>
      <w:lvlText w:val=""/>
      <w:lvlJc w:val="left"/>
      <w:pPr>
        <w:ind w:left="1571" w:hanging="360"/>
      </w:pPr>
      <w:rPr>
        <w:rFonts w:ascii="Symbol" w:hAnsi="Symbol"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22" w15:restartNumberingAfterBreak="0">
    <w:nsid w:val="5DC517B8"/>
    <w:multiLevelType w:val="hybridMultilevel"/>
    <w:tmpl w:val="5712C56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3" w15:restartNumberingAfterBreak="0">
    <w:nsid w:val="6133233B"/>
    <w:multiLevelType w:val="hybridMultilevel"/>
    <w:tmpl w:val="C97ACDE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2AB0F79"/>
    <w:multiLevelType w:val="hybridMultilevel"/>
    <w:tmpl w:val="981E488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4501CD5"/>
    <w:multiLevelType w:val="hybridMultilevel"/>
    <w:tmpl w:val="8D465C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4804FF6"/>
    <w:multiLevelType w:val="hybridMultilevel"/>
    <w:tmpl w:val="B01E18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64851F8B"/>
    <w:multiLevelType w:val="hybridMultilevel"/>
    <w:tmpl w:val="7BAE5998"/>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66F20C52"/>
    <w:multiLevelType w:val="hybridMultilevel"/>
    <w:tmpl w:val="BE24F9A4"/>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9" w15:restartNumberingAfterBreak="0">
    <w:nsid w:val="6B461BC5"/>
    <w:multiLevelType w:val="hybridMultilevel"/>
    <w:tmpl w:val="F4586B44"/>
    <w:lvl w:ilvl="0" w:tplc="04260001">
      <w:start w:val="1"/>
      <w:numFmt w:val="bullet"/>
      <w:lvlText w:val=""/>
      <w:lvlJc w:val="left"/>
      <w:pPr>
        <w:ind w:left="2149" w:hanging="360"/>
      </w:pPr>
      <w:rPr>
        <w:rFonts w:ascii="Symbol" w:hAnsi="Symbol" w:hint="default"/>
      </w:rPr>
    </w:lvl>
    <w:lvl w:ilvl="1" w:tplc="04260003" w:tentative="1">
      <w:start w:val="1"/>
      <w:numFmt w:val="bullet"/>
      <w:lvlText w:val="o"/>
      <w:lvlJc w:val="left"/>
      <w:pPr>
        <w:ind w:left="2869" w:hanging="360"/>
      </w:pPr>
      <w:rPr>
        <w:rFonts w:ascii="Courier New" w:hAnsi="Courier New" w:cs="Courier New" w:hint="default"/>
      </w:rPr>
    </w:lvl>
    <w:lvl w:ilvl="2" w:tplc="04260005" w:tentative="1">
      <w:start w:val="1"/>
      <w:numFmt w:val="bullet"/>
      <w:lvlText w:val=""/>
      <w:lvlJc w:val="left"/>
      <w:pPr>
        <w:ind w:left="3589" w:hanging="360"/>
      </w:pPr>
      <w:rPr>
        <w:rFonts w:ascii="Wingdings" w:hAnsi="Wingdings" w:hint="default"/>
      </w:rPr>
    </w:lvl>
    <w:lvl w:ilvl="3" w:tplc="04260001" w:tentative="1">
      <w:start w:val="1"/>
      <w:numFmt w:val="bullet"/>
      <w:lvlText w:val=""/>
      <w:lvlJc w:val="left"/>
      <w:pPr>
        <w:ind w:left="4309" w:hanging="360"/>
      </w:pPr>
      <w:rPr>
        <w:rFonts w:ascii="Symbol" w:hAnsi="Symbol" w:hint="default"/>
      </w:rPr>
    </w:lvl>
    <w:lvl w:ilvl="4" w:tplc="04260003" w:tentative="1">
      <w:start w:val="1"/>
      <w:numFmt w:val="bullet"/>
      <w:lvlText w:val="o"/>
      <w:lvlJc w:val="left"/>
      <w:pPr>
        <w:ind w:left="5029" w:hanging="360"/>
      </w:pPr>
      <w:rPr>
        <w:rFonts w:ascii="Courier New" w:hAnsi="Courier New" w:cs="Courier New" w:hint="default"/>
      </w:rPr>
    </w:lvl>
    <w:lvl w:ilvl="5" w:tplc="04260005" w:tentative="1">
      <w:start w:val="1"/>
      <w:numFmt w:val="bullet"/>
      <w:lvlText w:val=""/>
      <w:lvlJc w:val="left"/>
      <w:pPr>
        <w:ind w:left="5749" w:hanging="360"/>
      </w:pPr>
      <w:rPr>
        <w:rFonts w:ascii="Wingdings" w:hAnsi="Wingdings" w:hint="default"/>
      </w:rPr>
    </w:lvl>
    <w:lvl w:ilvl="6" w:tplc="04260001" w:tentative="1">
      <w:start w:val="1"/>
      <w:numFmt w:val="bullet"/>
      <w:lvlText w:val=""/>
      <w:lvlJc w:val="left"/>
      <w:pPr>
        <w:ind w:left="6469" w:hanging="360"/>
      </w:pPr>
      <w:rPr>
        <w:rFonts w:ascii="Symbol" w:hAnsi="Symbol" w:hint="default"/>
      </w:rPr>
    </w:lvl>
    <w:lvl w:ilvl="7" w:tplc="04260003" w:tentative="1">
      <w:start w:val="1"/>
      <w:numFmt w:val="bullet"/>
      <w:lvlText w:val="o"/>
      <w:lvlJc w:val="left"/>
      <w:pPr>
        <w:ind w:left="7189" w:hanging="360"/>
      </w:pPr>
      <w:rPr>
        <w:rFonts w:ascii="Courier New" w:hAnsi="Courier New" w:cs="Courier New" w:hint="default"/>
      </w:rPr>
    </w:lvl>
    <w:lvl w:ilvl="8" w:tplc="04260005" w:tentative="1">
      <w:start w:val="1"/>
      <w:numFmt w:val="bullet"/>
      <w:lvlText w:val=""/>
      <w:lvlJc w:val="left"/>
      <w:pPr>
        <w:ind w:left="7909" w:hanging="360"/>
      </w:pPr>
      <w:rPr>
        <w:rFonts w:ascii="Wingdings" w:hAnsi="Wingdings" w:hint="default"/>
      </w:rPr>
    </w:lvl>
  </w:abstractNum>
  <w:abstractNum w:abstractNumId="30" w15:restartNumberingAfterBreak="0">
    <w:nsid w:val="6DB045E8"/>
    <w:multiLevelType w:val="hybridMultilevel"/>
    <w:tmpl w:val="36B885BE"/>
    <w:lvl w:ilvl="0" w:tplc="04260005">
      <w:start w:val="1"/>
      <w:numFmt w:val="bullet"/>
      <w:lvlText w:val=""/>
      <w:lvlJc w:val="left"/>
      <w:pPr>
        <w:ind w:left="3240" w:hanging="360"/>
      </w:pPr>
      <w:rPr>
        <w:rFonts w:ascii="Wingdings" w:hAnsi="Wingdings" w:hint="default"/>
      </w:rPr>
    </w:lvl>
    <w:lvl w:ilvl="1" w:tplc="04260003" w:tentative="1">
      <w:start w:val="1"/>
      <w:numFmt w:val="bullet"/>
      <w:lvlText w:val="o"/>
      <w:lvlJc w:val="left"/>
      <w:pPr>
        <w:ind w:left="3960" w:hanging="360"/>
      </w:pPr>
      <w:rPr>
        <w:rFonts w:ascii="Courier New" w:hAnsi="Courier New" w:cs="Courier New" w:hint="default"/>
      </w:rPr>
    </w:lvl>
    <w:lvl w:ilvl="2" w:tplc="04260005" w:tentative="1">
      <w:start w:val="1"/>
      <w:numFmt w:val="bullet"/>
      <w:lvlText w:val=""/>
      <w:lvlJc w:val="left"/>
      <w:pPr>
        <w:ind w:left="4680" w:hanging="360"/>
      </w:pPr>
      <w:rPr>
        <w:rFonts w:ascii="Wingdings" w:hAnsi="Wingdings" w:hint="default"/>
      </w:rPr>
    </w:lvl>
    <w:lvl w:ilvl="3" w:tplc="04260001" w:tentative="1">
      <w:start w:val="1"/>
      <w:numFmt w:val="bullet"/>
      <w:lvlText w:val=""/>
      <w:lvlJc w:val="left"/>
      <w:pPr>
        <w:ind w:left="5400" w:hanging="360"/>
      </w:pPr>
      <w:rPr>
        <w:rFonts w:ascii="Symbol" w:hAnsi="Symbol" w:hint="default"/>
      </w:rPr>
    </w:lvl>
    <w:lvl w:ilvl="4" w:tplc="04260003" w:tentative="1">
      <w:start w:val="1"/>
      <w:numFmt w:val="bullet"/>
      <w:lvlText w:val="o"/>
      <w:lvlJc w:val="left"/>
      <w:pPr>
        <w:ind w:left="6120" w:hanging="360"/>
      </w:pPr>
      <w:rPr>
        <w:rFonts w:ascii="Courier New" w:hAnsi="Courier New" w:cs="Courier New" w:hint="default"/>
      </w:rPr>
    </w:lvl>
    <w:lvl w:ilvl="5" w:tplc="04260005" w:tentative="1">
      <w:start w:val="1"/>
      <w:numFmt w:val="bullet"/>
      <w:lvlText w:val=""/>
      <w:lvlJc w:val="left"/>
      <w:pPr>
        <w:ind w:left="6840" w:hanging="360"/>
      </w:pPr>
      <w:rPr>
        <w:rFonts w:ascii="Wingdings" w:hAnsi="Wingdings" w:hint="default"/>
      </w:rPr>
    </w:lvl>
    <w:lvl w:ilvl="6" w:tplc="04260001" w:tentative="1">
      <w:start w:val="1"/>
      <w:numFmt w:val="bullet"/>
      <w:lvlText w:val=""/>
      <w:lvlJc w:val="left"/>
      <w:pPr>
        <w:ind w:left="7560" w:hanging="360"/>
      </w:pPr>
      <w:rPr>
        <w:rFonts w:ascii="Symbol" w:hAnsi="Symbol" w:hint="default"/>
      </w:rPr>
    </w:lvl>
    <w:lvl w:ilvl="7" w:tplc="04260003" w:tentative="1">
      <w:start w:val="1"/>
      <w:numFmt w:val="bullet"/>
      <w:lvlText w:val="o"/>
      <w:lvlJc w:val="left"/>
      <w:pPr>
        <w:ind w:left="8280" w:hanging="360"/>
      </w:pPr>
      <w:rPr>
        <w:rFonts w:ascii="Courier New" w:hAnsi="Courier New" w:cs="Courier New" w:hint="default"/>
      </w:rPr>
    </w:lvl>
    <w:lvl w:ilvl="8" w:tplc="04260005" w:tentative="1">
      <w:start w:val="1"/>
      <w:numFmt w:val="bullet"/>
      <w:lvlText w:val=""/>
      <w:lvlJc w:val="left"/>
      <w:pPr>
        <w:ind w:left="9000" w:hanging="360"/>
      </w:pPr>
      <w:rPr>
        <w:rFonts w:ascii="Wingdings" w:hAnsi="Wingdings" w:hint="default"/>
      </w:rPr>
    </w:lvl>
  </w:abstractNum>
  <w:abstractNum w:abstractNumId="31" w15:restartNumberingAfterBreak="0">
    <w:nsid w:val="6E5802BF"/>
    <w:multiLevelType w:val="hybridMultilevel"/>
    <w:tmpl w:val="157A3D22"/>
    <w:lvl w:ilvl="0" w:tplc="04260001">
      <w:start w:val="1"/>
      <w:numFmt w:val="bullet"/>
      <w:lvlText w:val=""/>
      <w:lvlJc w:val="left"/>
      <w:pPr>
        <w:ind w:left="1353" w:hanging="360"/>
      </w:pPr>
      <w:rPr>
        <w:rFonts w:ascii="Symbol" w:hAnsi="Symbol" w:hint="default"/>
      </w:rPr>
    </w:lvl>
    <w:lvl w:ilvl="1" w:tplc="04090001">
      <w:start w:val="1"/>
      <w:numFmt w:val="bullet"/>
      <w:lvlText w:val=""/>
      <w:lvlJc w:val="left"/>
      <w:pPr>
        <w:ind w:left="2073" w:hanging="360"/>
      </w:pPr>
      <w:rPr>
        <w:rFonts w:ascii="Symbol" w:hAnsi="Symbol" w:hint="default"/>
      </w:rPr>
    </w:lvl>
    <w:lvl w:ilvl="2" w:tplc="0426001B">
      <w:start w:val="1"/>
      <w:numFmt w:val="lowerRoman"/>
      <w:lvlText w:val="%3."/>
      <w:lvlJc w:val="right"/>
      <w:pPr>
        <w:ind w:left="2793" w:hanging="180"/>
      </w:pPr>
    </w:lvl>
    <w:lvl w:ilvl="3" w:tplc="0426000F" w:tentative="1">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32" w15:restartNumberingAfterBreak="0">
    <w:nsid w:val="76434936"/>
    <w:multiLevelType w:val="hybridMultilevel"/>
    <w:tmpl w:val="E770645E"/>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E4B4502C">
      <w:start w:val="1"/>
      <w:numFmt w:val="bullet"/>
      <w:lvlText w:val=""/>
      <w:lvlJc w:val="left"/>
      <w:pPr>
        <w:ind w:left="2869" w:hanging="360"/>
      </w:pPr>
      <w:rPr>
        <w:rFonts w:ascii="Symbol" w:hAnsi="Symbol"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num w:numId="1">
    <w:abstractNumId w:val="0"/>
  </w:num>
  <w:num w:numId="2">
    <w:abstractNumId w:val="13"/>
  </w:num>
  <w:num w:numId="3">
    <w:abstractNumId w:val="12"/>
  </w:num>
  <w:num w:numId="4">
    <w:abstractNumId w:val="7"/>
  </w:num>
  <w:num w:numId="5">
    <w:abstractNumId w:val="15"/>
  </w:num>
  <w:num w:numId="6">
    <w:abstractNumId w:val="20"/>
  </w:num>
  <w:num w:numId="7">
    <w:abstractNumId w:val="29"/>
  </w:num>
  <w:num w:numId="8">
    <w:abstractNumId w:val="24"/>
  </w:num>
  <w:num w:numId="9">
    <w:abstractNumId w:val="31"/>
  </w:num>
  <w:num w:numId="10">
    <w:abstractNumId w:val="18"/>
  </w:num>
  <w:num w:numId="11">
    <w:abstractNumId w:val="28"/>
  </w:num>
  <w:num w:numId="12">
    <w:abstractNumId w:val="16"/>
  </w:num>
  <w:num w:numId="13">
    <w:abstractNumId w:val="22"/>
  </w:num>
  <w:num w:numId="14">
    <w:abstractNumId w:val="6"/>
  </w:num>
  <w:num w:numId="15">
    <w:abstractNumId w:val="26"/>
  </w:num>
  <w:num w:numId="16">
    <w:abstractNumId w:val="5"/>
  </w:num>
  <w:num w:numId="17">
    <w:abstractNumId w:val="21"/>
  </w:num>
  <w:num w:numId="18">
    <w:abstractNumId w:val="2"/>
  </w:num>
  <w:num w:numId="19">
    <w:abstractNumId w:val="14"/>
  </w:num>
  <w:num w:numId="20">
    <w:abstractNumId w:val="27"/>
  </w:num>
  <w:num w:numId="21">
    <w:abstractNumId w:val="3"/>
  </w:num>
  <w:num w:numId="22">
    <w:abstractNumId w:val="32"/>
  </w:num>
  <w:num w:numId="23">
    <w:abstractNumId w:val="11"/>
  </w:num>
  <w:num w:numId="24">
    <w:abstractNumId w:val="30"/>
  </w:num>
  <w:num w:numId="25">
    <w:abstractNumId w:val="19"/>
  </w:num>
  <w:num w:numId="26">
    <w:abstractNumId w:val="8"/>
  </w:num>
  <w:num w:numId="27">
    <w:abstractNumId w:val="23"/>
  </w:num>
  <w:num w:numId="28">
    <w:abstractNumId w:val="4"/>
  </w:num>
  <w:num w:numId="29">
    <w:abstractNumId w:val="25"/>
  </w:num>
  <w:num w:numId="30">
    <w:abstractNumId w:val="10"/>
  </w:num>
  <w:num w:numId="31">
    <w:abstractNumId w:val="1"/>
  </w:num>
  <w:num w:numId="32">
    <w:abstractNumId w:val="17"/>
  </w:num>
  <w:num w:numId="33">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B30"/>
    <w:rsid w:val="000032F9"/>
    <w:rsid w:val="0000456B"/>
    <w:rsid w:val="000054CA"/>
    <w:rsid w:val="00007E7C"/>
    <w:rsid w:val="0001023C"/>
    <w:rsid w:val="00010A2D"/>
    <w:rsid w:val="000111DB"/>
    <w:rsid w:val="00012F4C"/>
    <w:rsid w:val="000131E6"/>
    <w:rsid w:val="0001566D"/>
    <w:rsid w:val="00015EC4"/>
    <w:rsid w:val="00016387"/>
    <w:rsid w:val="0001758A"/>
    <w:rsid w:val="00020AF9"/>
    <w:rsid w:val="000211A7"/>
    <w:rsid w:val="00023AA5"/>
    <w:rsid w:val="00023E67"/>
    <w:rsid w:val="00024DB2"/>
    <w:rsid w:val="0002517C"/>
    <w:rsid w:val="000257CF"/>
    <w:rsid w:val="00025D96"/>
    <w:rsid w:val="0002736D"/>
    <w:rsid w:val="00027B32"/>
    <w:rsid w:val="0003387D"/>
    <w:rsid w:val="0003393A"/>
    <w:rsid w:val="0003416A"/>
    <w:rsid w:val="000344B6"/>
    <w:rsid w:val="00034E58"/>
    <w:rsid w:val="0003659B"/>
    <w:rsid w:val="00037310"/>
    <w:rsid w:val="0003754A"/>
    <w:rsid w:val="00037934"/>
    <w:rsid w:val="00037B5B"/>
    <w:rsid w:val="00037DE3"/>
    <w:rsid w:val="0004396C"/>
    <w:rsid w:val="00045B8E"/>
    <w:rsid w:val="00045BC3"/>
    <w:rsid w:val="000465A8"/>
    <w:rsid w:val="00046B09"/>
    <w:rsid w:val="0005035D"/>
    <w:rsid w:val="00051347"/>
    <w:rsid w:val="0005140A"/>
    <w:rsid w:val="0005792D"/>
    <w:rsid w:val="0005799F"/>
    <w:rsid w:val="00057BBE"/>
    <w:rsid w:val="0006275A"/>
    <w:rsid w:val="00063D03"/>
    <w:rsid w:val="00064CA5"/>
    <w:rsid w:val="0006575C"/>
    <w:rsid w:val="00067C37"/>
    <w:rsid w:val="00067E82"/>
    <w:rsid w:val="00071FEE"/>
    <w:rsid w:val="000727DF"/>
    <w:rsid w:val="00072E67"/>
    <w:rsid w:val="00073C0D"/>
    <w:rsid w:val="0007513B"/>
    <w:rsid w:val="0007634C"/>
    <w:rsid w:val="00076E2F"/>
    <w:rsid w:val="00076FCD"/>
    <w:rsid w:val="00077B61"/>
    <w:rsid w:val="00077C11"/>
    <w:rsid w:val="00080810"/>
    <w:rsid w:val="00080CA8"/>
    <w:rsid w:val="00081CDD"/>
    <w:rsid w:val="00082445"/>
    <w:rsid w:val="000827B0"/>
    <w:rsid w:val="00082B05"/>
    <w:rsid w:val="00082C89"/>
    <w:rsid w:val="00083BB1"/>
    <w:rsid w:val="000844D4"/>
    <w:rsid w:val="00084502"/>
    <w:rsid w:val="00084769"/>
    <w:rsid w:val="000850B6"/>
    <w:rsid w:val="0008563B"/>
    <w:rsid w:val="00085E91"/>
    <w:rsid w:val="00087E9C"/>
    <w:rsid w:val="00091A13"/>
    <w:rsid w:val="00092847"/>
    <w:rsid w:val="00092E9B"/>
    <w:rsid w:val="00093083"/>
    <w:rsid w:val="0009321A"/>
    <w:rsid w:val="00093EA1"/>
    <w:rsid w:val="00094244"/>
    <w:rsid w:val="00094F7F"/>
    <w:rsid w:val="00096476"/>
    <w:rsid w:val="00097608"/>
    <w:rsid w:val="00097FD5"/>
    <w:rsid w:val="00097FD6"/>
    <w:rsid w:val="000A0219"/>
    <w:rsid w:val="000A0354"/>
    <w:rsid w:val="000A0CDF"/>
    <w:rsid w:val="000A1AF5"/>
    <w:rsid w:val="000A3149"/>
    <w:rsid w:val="000A4FCA"/>
    <w:rsid w:val="000A6071"/>
    <w:rsid w:val="000B1569"/>
    <w:rsid w:val="000B1889"/>
    <w:rsid w:val="000B2691"/>
    <w:rsid w:val="000B3114"/>
    <w:rsid w:val="000B38B4"/>
    <w:rsid w:val="000B4789"/>
    <w:rsid w:val="000B48C8"/>
    <w:rsid w:val="000B4FAC"/>
    <w:rsid w:val="000C138B"/>
    <w:rsid w:val="000C22AC"/>
    <w:rsid w:val="000C4AFC"/>
    <w:rsid w:val="000C5E95"/>
    <w:rsid w:val="000D15C1"/>
    <w:rsid w:val="000D4264"/>
    <w:rsid w:val="000D4F16"/>
    <w:rsid w:val="000D53BB"/>
    <w:rsid w:val="000D5E82"/>
    <w:rsid w:val="000D6D46"/>
    <w:rsid w:val="000D7E4A"/>
    <w:rsid w:val="000D7FAD"/>
    <w:rsid w:val="000E0219"/>
    <w:rsid w:val="000E0923"/>
    <w:rsid w:val="000E0F12"/>
    <w:rsid w:val="000E22A3"/>
    <w:rsid w:val="000E2B04"/>
    <w:rsid w:val="000E3659"/>
    <w:rsid w:val="000E36BE"/>
    <w:rsid w:val="000E57FF"/>
    <w:rsid w:val="000E644C"/>
    <w:rsid w:val="000E645D"/>
    <w:rsid w:val="000E754B"/>
    <w:rsid w:val="000F0B33"/>
    <w:rsid w:val="000F2B21"/>
    <w:rsid w:val="000F36B2"/>
    <w:rsid w:val="000F4C77"/>
    <w:rsid w:val="000F5C9D"/>
    <w:rsid w:val="000F6EF7"/>
    <w:rsid w:val="000F786C"/>
    <w:rsid w:val="00100942"/>
    <w:rsid w:val="001067C7"/>
    <w:rsid w:val="00107AD5"/>
    <w:rsid w:val="00110B6F"/>
    <w:rsid w:val="00112A62"/>
    <w:rsid w:val="00113DDF"/>
    <w:rsid w:val="0011490E"/>
    <w:rsid w:val="001150D3"/>
    <w:rsid w:val="001151BB"/>
    <w:rsid w:val="00115C65"/>
    <w:rsid w:val="00115D4C"/>
    <w:rsid w:val="00117A2D"/>
    <w:rsid w:val="0012038D"/>
    <w:rsid w:val="001206FC"/>
    <w:rsid w:val="00121617"/>
    <w:rsid w:val="00121FDE"/>
    <w:rsid w:val="00123530"/>
    <w:rsid w:val="00124CB1"/>
    <w:rsid w:val="00124D4D"/>
    <w:rsid w:val="00126204"/>
    <w:rsid w:val="00126AB3"/>
    <w:rsid w:val="00131B9B"/>
    <w:rsid w:val="00132204"/>
    <w:rsid w:val="00133081"/>
    <w:rsid w:val="001330BD"/>
    <w:rsid w:val="001332D4"/>
    <w:rsid w:val="00136631"/>
    <w:rsid w:val="001379CC"/>
    <w:rsid w:val="00140146"/>
    <w:rsid w:val="00141B52"/>
    <w:rsid w:val="00142404"/>
    <w:rsid w:val="00145604"/>
    <w:rsid w:val="00145FF2"/>
    <w:rsid w:val="00146437"/>
    <w:rsid w:val="00146442"/>
    <w:rsid w:val="00151AD6"/>
    <w:rsid w:val="001523DB"/>
    <w:rsid w:val="00156711"/>
    <w:rsid w:val="00156872"/>
    <w:rsid w:val="00157BA8"/>
    <w:rsid w:val="00160AD6"/>
    <w:rsid w:val="00160C89"/>
    <w:rsid w:val="00160CDB"/>
    <w:rsid w:val="00160E65"/>
    <w:rsid w:val="00161011"/>
    <w:rsid w:val="0016356C"/>
    <w:rsid w:val="00163B9B"/>
    <w:rsid w:val="001644C2"/>
    <w:rsid w:val="001649A6"/>
    <w:rsid w:val="00164ACF"/>
    <w:rsid w:val="00164DAD"/>
    <w:rsid w:val="001650A5"/>
    <w:rsid w:val="001650C7"/>
    <w:rsid w:val="00165337"/>
    <w:rsid w:val="001654F8"/>
    <w:rsid w:val="00166DB5"/>
    <w:rsid w:val="001768BF"/>
    <w:rsid w:val="00177066"/>
    <w:rsid w:val="001778AE"/>
    <w:rsid w:val="00177E63"/>
    <w:rsid w:val="00180844"/>
    <w:rsid w:val="001822C9"/>
    <w:rsid w:val="0018264B"/>
    <w:rsid w:val="00185947"/>
    <w:rsid w:val="00185F50"/>
    <w:rsid w:val="00190B7A"/>
    <w:rsid w:val="00191056"/>
    <w:rsid w:val="001919FE"/>
    <w:rsid w:val="00191BF5"/>
    <w:rsid w:val="00191F84"/>
    <w:rsid w:val="00193ACF"/>
    <w:rsid w:val="0019542B"/>
    <w:rsid w:val="0019558D"/>
    <w:rsid w:val="0019781A"/>
    <w:rsid w:val="00197BCB"/>
    <w:rsid w:val="00197C99"/>
    <w:rsid w:val="001A136A"/>
    <w:rsid w:val="001A1BD6"/>
    <w:rsid w:val="001A2620"/>
    <w:rsid w:val="001A2B2A"/>
    <w:rsid w:val="001A3045"/>
    <w:rsid w:val="001A3BC3"/>
    <w:rsid w:val="001A6FF1"/>
    <w:rsid w:val="001B052B"/>
    <w:rsid w:val="001B220C"/>
    <w:rsid w:val="001B2621"/>
    <w:rsid w:val="001B3691"/>
    <w:rsid w:val="001B5437"/>
    <w:rsid w:val="001B6103"/>
    <w:rsid w:val="001B690C"/>
    <w:rsid w:val="001B73B0"/>
    <w:rsid w:val="001C010D"/>
    <w:rsid w:val="001C0406"/>
    <w:rsid w:val="001C125C"/>
    <w:rsid w:val="001C1AB2"/>
    <w:rsid w:val="001C76FF"/>
    <w:rsid w:val="001D0218"/>
    <w:rsid w:val="001D0489"/>
    <w:rsid w:val="001D2F9E"/>
    <w:rsid w:val="001D36DC"/>
    <w:rsid w:val="001D3AD6"/>
    <w:rsid w:val="001D5ED2"/>
    <w:rsid w:val="001D64C1"/>
    <w:rsid w:val="001D6E9C"/>
    <w:rsid w:val="001E0980"/>
    <w:rsid w:val="001E2774"/>
    <w:rsid w:val="001E28E7"/>
    <w:rsid w:val="001E4E40"/>
    <w:rsid w:val="001E6587"/>
    <w:rsid w:val="001E6B39"/>
    <w:rsid w:val="001E6E3A"/>
    <w:rsid w:val="001F044B"/>
    <w:rsid w:val="001F1606"/>
    <w:rsid w:val="001F184B"/>
    <w:rsid w:val="001F288F"/>
    <w:rsid w:val="001F490E"/>
    <w:rsid w:val="001F61E9"/>
    <w:rsid w:val="001F695F"/>
    <w:rsid w:val="00201EA2"/>
    <w:rsid w:val="00202456"/>
    <w:rsid w:val="0020355A"/>
    <w:rsid w:val="00203E87"/>
    <w:rsid w:val="0020443A"/>
    <w:rsid w:val="002051B0"/>
    <w:rsid w:val="00205271"/>
    <w:rsid w:val="0020597E"/>
    <w:rsid w:val="0020736B"/>
    <w:rsid w:val="00207C67"/>
    <w:rsid w:val="00207E07"/>
    <w:rsid w:val="00210C40"/>
    <w:rsid w:val="0021144B"/>
    <w:rsid w:val="00211BD0"/>
    <w:rsid w:val="0021226E"/>
    <w:rsid w:val="0021395A"/>
    <w:rsid w:val="002139E1"/>
    <w:rsid w:val="0021422C"/>
    <w:rsid w:val="00214C4A"/>
    <w:rsid w:val="00216D0E"/>
    <w:rsid w:val="00217C06"/>
    <w:rsid w:val="00220118"/>
    <w:rsid w:val="002203E8"/>
    <w:rsid w:val="00221972"/>
    <w:rsid w:val="0022229F"/>
    <w:rsid w:val="002230AF"/>
    <w:rsid w:val="002235E8"/>
    <w:rsid w:val="00223890"/>
    <w:rsid w:val="002243A4"/>
    <w:rsid w:val="00224CE0"/>
    <w:rsid w:val="00225E79"/>
    <w:rsid w:val="002272BC"/>
    <w:rsid w:val="00227F4A"/>
    <w:rsid w:val="002309D6"/>
    <w:rsid w:val="0023223E"/>
    <w:rsid w:val="00232B8D"/>
    <w:rsid w:val="00232C5E"/>
    <w:rsid w:val="002332D2"/>
    <w:rsid w:val="0023363A"/>
    <w:rsid w:val="00234179"/>
    <w:rsid w:val="00235E7E"/>
    <w:rsid w:val="00237CCD"/>
    <w:rsid w:val="002403D9"/>
    <w:rsid w:val="00240754"/>
    <w:rsid w:val="00240F9D"/>
    <w:rsid w:val="002410D4"/>
    <w:rsid w:val="00241293"/>
    <w:rsid w:val="00241517"/>
    <w:rsid w:val="002419DF"/>
    <w:rsid w:val="002423DE"/>
    <w:rsid w:val="00242A74"/>
    <w:rsid w:val="00243758"/>
    <w:rsid w:val="00243C25"/>
    <w:rsid w:val="00243DE6"/>
    <w:rsid w:val="00244B52"/>
    <w:rsid w:val="00245058"/>
    <w:rsid w:val="00245142"/>
    <w:rsid w:val="002453F9"/>
    <w:rsid w:val="00245B80"/>
    <w:rsid w:val="0024608F"/>
    <w:rsid w:val="00246FB5"/>
    <w:rsid w:val="002472F5"/>
    <w:rsid w:val="002507A7"/>
    <w:rsid w:val="00254992"/>
    <w:rsid w:val="0025503C"/>
    <w:rsid w:val="002551EB"/>
    <w:rsid w:val="0025582D"/>
    <w:rsid w:val="00255990"/>
    <w:rsid w:val="00255DF2"/>
    <w:rsid w:val="00260BEF"/>
    <w:rsid w:val="002628FA"/>
    <w:rsid w:val="00262FD4"/>
    <w:rsid w:val="002644A3"/>
    <w:rsid w:val="002663E5"/>
    <w:rsid w:val="00267A6A"/>
    <w:rsid w:val="002701BD"/>
    <w:rsid w:val="002705B1"/>
    <w:rsid w:val="002706C0"/>
    <w:rsid w:val="00270732"/>
    <w:rsid w:val="00270A30"/>
    <w:rsid w:val="00271743"/>
    <w:rsid w:val="00271D7A"/>
    <w:rsid w:val="00272178"/>
    <w:rsid w:val="00272A11"/>
    <w:rsid w:val="002736D4"/>
    <w:rsid w:val="0027426F"/>
    <w:rsid w:val="0027465E"/>
    <w:rsid w:val="00275C1A"/>
    <w:rsid w:val="00275D92"/>
    <w:rsid w:val="002772E6"/>
    <w:rsid w:val="00277D1C"/>
    <w:rsid w:val="002806FA"/>
    <w:rsid w:val="00280782"/>
    <w:rsid w:val="00280E62"/>
    <w:rsid w:val="0028126F"/>
    <w:rsid w:val="00283237"/>
    <w:rsid w:val="00283ADE"/>
    <w:rsid w:val="00286AAD"/>
    <w:rsid w:val="00286B0A"/>
    <w:rsid w:val="00287761"/>
    <w:rsid w:val="002904FB"/>
    <w:rsid w:val="0029219E"/>
    <w:rsid w:val="00292D10"/>
    <w:rsid w:val="0029740C"/>
    <w:rsid w:val="002975B2"/>
    <w:rsid w:val="002A0739"/>
    <w:rsid w:val="002A0C2C"/>
    <w:rsid w:val="002A1321"/>
    <w:rsid w:val="002A26FE"/>
    <w:rsid w:val="002A3801"/>
    <w:rsid w:val="002A3A6D"/>
    <w:rsid w:val="002A48B2"/>
    <w:rsid w:val="002A5E08"/>
    <w:rsid w:val="002A60D8"/>
    <w:rsid w:val="002A6A1B"/>
    <w:rsid w:val="002A723E"/>
    <w:rsid w:val="002B0C90"/>
    <w:rsid w:val="002B1239"/>
    <w:rsid w:val="002B19CE"/>
    <w:rsid w:val="002B3A88"/>
    <w:rsid w:val="002B3AA8"/>
    <w:rsid w:val="002B3B28"/>
    <w:rsid w:val="002B3CD5"/>
    <w:rsid w:val="002B4690"/>
    <w:rsid w:val="002B4721"/>
    <w:rsid w:val="002B5338"/>
    <w:rsid w:val="002B6DB7"/>
    <w:rsid w:val="002B70DD"/>
    <w:rsid w:val="002B7837"/>
    <w:rsid w:val="002B7AB1"/>
    <w:rsid w:val="002B7BA8"/>
    <w:rsid w:val="002C0719"/>
    <w:rsid w:val="002C1B2D"/>
    <w:rsid w:val="002C3958"/>
    <w:rsid w:val="002C42FC"/>
    <w:rsid w:val="002C4E73"/>
    <w:rsid w:val="002C566B"/>
    <w:rsid w:val="002C7BB6"/>
    <w:rsid w:val="002C7F61"/>
    <w:rsid w:val="002D05CF"/>
    <w:rsid w:val="002D0BB4"/>
    <w:rsid w:val="002D0DB4"/>
    <w:rsid w:val="002D110C"/>
    <w:rsid w:val="002D2295"/>
    <w:rsid w:val="002D2BA8"/>
    <w:rsid w:val="002D44BC"/>
    <w:rsid w:val="002D477D"/>
    <w:rsid w:val="002D49E1"/>
    <w:rsid w:val="002D5497"/>
    <w:rsid w:val="002D6623"/>
    <w:rsid w:val="002E0855"/>
    <w:rsid w:val="002E3685"/>
    <w:rsid w:val="002E5422"/>
    <w:rsid w:val="002E56F7"/>
    <w:rsid w:val="002E61B4"/>
    <w:rsid w:val="002E640C"/>
    <w:rsid w:val="002E6A97"/>
    <w:rsid w:val="002E7B7D"/>
    <w:rsid w:val="002F0117"/>
    <w:rsid w:val="002F16B2"/>
    <w:rsid w:val="002F28C5"/>
    <w:rsid w:val="002F2CB5"/>
    <w:rsid w:val="002F3E25"/>
    <w:rsid w:val="002F60A5"/>
    <w:rsid w:val="002F6AE1"/>
    <w:rsid w:val="00300A70"/>
    <w:rsid w:val="003019FF"/>
    <w:rsid w:val="00304776"/>
    <w:rsid w:val="00304E0E"/>
    <w:rsid w:val="00304E94"/>
    <w:rsid w:val="00307828"/>
    <w:rsid w:val="00310160"/>
    <w:rsid w:val="00312A64"/>
    <w:rsid w:val="00313181"/>
    <w:rsid w:val="00313DD9"/>
    <w:rsid w:val="003149ED"/>
    <w:rsid w:val="00314E40"/>
    <w:rsid w:val="0031552D"/>
    <w:rsid w:val="003157DC"/>
    <w:rsid w:val="003216C5"/>
    <w:rsid w:val="00322541"/>
    <w:rsid w:val="00323C4F"/>
    <w:rsid w:val="0032441E"/>
    <w:rsid w:val="00324617"/>
    <w:rsid w:val="003249E3"/>
    <w:rsid w:val="00324D50"/>
    <w:rsid w:val="00326BFF"/>
    <w:rsid w:val="00327C0A"/>
    <w:rsid w:val="00330134"/>
    <w:rsid w:val="0033016A"/>
    <w:rsid w:val="00332C37"/>
    <w:rsid w:val="0033303D"/>
    <w:rsid w:val="00333912"/>
    <w:rsid w:val="0033466A"/>
    <w:rsid w:val="00334E86"/>
    <w:rsid w:val="003356F2"/>
    <w:rsid w:val="00336515"/>
    <w:rsid w:val="0033700F"/>
    <w:rsid w:val="003378C4"/>
    <w:rsid w:val="0034012E"/>
    <w:rsid w:val="00340D71"/>
    <w:rsid w:val="00342166"/>
    <w:rsid w:val="00342770"/>
    <w:rsid w:val="00342D72"/>
    <w:rsid w:val="00343AE0"/>
    <w:rsid w:val="0034515E"/>
    <w:rsid w:val="00346146"/>
    <w:rsid w:val="0034625C"/>
    <w:rsid w:val="00347216"/>
    <w:rsid w:val="003478F8"/>
    <w:rsid w:val="00347A9F"/>
    <w:rsid w:val="003522AC"/>
    <w:rsid w:val="00352BC3"/>
    <w:rsid w:val="003537A6"/>
    <w:rsid w:val="00354835"/>
    <w:rsid w:val="00357D51"/>
    <w:rsid w:val="00360AC9"/>
    <w:rsid w:val="0036106C"/>
    <w:rsid w:val="003613E3"/>
    <w:rsid w:val="003616FD"/>
    <w:rsid w:val="003630DB"/>
    <w:rsid w:val="003646E8"/>
    <w:rsid w:val="0036575A"/>
    <w:rsid w:val="00366161"/>
    <w:rsid w:val="00366DD4"/>
    <w:rsid w:val="003705A8"/>
    <w:rsid w:val="00371BD7"/>
    <w:rsid w:val="0037215D"/>
    <w:rsid w:val="00373FD4"/>
    <w:rsid w:val="003758BC"/>
    <w:rsid w:val="003777C2"/>
    <w:rsid w:val="00377EC1"/>
    <w:rsid w:val="003812F9"/>
    <w:rsid w:val="00383A47"/>
    <w:rsid w:val="00383ADD"/>
    <w:rsid w:val="00385DE8"/>
    <w:rsid w:val="00390736"/>
    <w:rsid w:val="00390F7D"/>
    <w:rsid w:val="00391AD1"/>
    <w:rsid w:val="00391C79"/>
    <w:rsid w:val="0039287B"/>
    <w:rsid w:val="00393757"/>
    <w:rsid w:val="00395B25"/>
    <w:rsid w:val="0039691A"/>
    <w:rsid w:val="0039799E"/>
    <w:rsid w:val="003A0238"/>
    <w:rsid w:val="003A178B"/>
    <w:rsid w:val="003A2385"/>
    <w:rsid w:val="003A29A1"/>
    <w:rsid w:val="003A2D6C"/>
    <w:rsid w:val="003A3700"/>
    <w:rsid w:val="003A3B85"/>
    <w:rsid w:val="003A40FF"/>
    <w:rsid w:val="003A44E3"/>
    <w:rsid w:val="003A6565"/>
    <w:rsid w:val="003A66E8"/>
    <w:rsid w:val="003A71F5"/>
    <w:rsid w:val="003A7534"/>
    <w:rsid w:val="003A78CA"/>
    <w:rsid w:val="003B1EB3"/>
    <w:rsid w:val="003B2B59"/>
    <w:rsid w:val="003B3529"/>
    <w:rsid w:val="003B463A"/>
    <w:rsid w:val="003B4E1C"/>
    <w:rsid w:val="003B57C4"/>
    <w:rsid w:val="003B6A51"/>
    <w:rsid w:val="003C1652"/>
    <w:rsid w:val="003C2F79"/>
    <w:rsid w:val="003C3991"/>
    <w:rsid w:val="003C53FF"/>
    <w:rsid w:val="003C543F"/>
    <w:rsid w:val="003C5A8E"/>
    <w:rsid w:val="003C5B68"/>
    <w:rsid w:val="003C61E4"/>
    <w:rsid w:val="003C7E4D"/>
    <w:rsid w:val="003D0A79"/>
    <w:rsid w:val="003D10CF"/>
    <w:rsid w:val="003D1C3C"/>
    <w:rsid w:val="003D29A3"/>
    <w:rsid w:val="003D2C8B"/>
    <w:rsid w:val="003D3226"/>
    <w:rsid w:val="003D38D9"/>
    <w:rsid w:val="003D4F88"/>
    <w:rsid w:val="003D548A"/>
    <w:rsid w:val="003D6D37"/>
    <w:rsid w:val="003E08E5"/>
    <w:rsid w:val="003E09B3"/>
    <w:rsid w:val="003E240D"/>
    <w:rsid w:val="003E3A93"/>
    <w:rsid w:val="003E4486"/>
    <w:rsid w:val="003E5783"/>
    <w:rsid w:val="003E59C0"/>
    <w:rsid w:val="003E6137"/>
    <w:rsid w:val="003E627F"/>
    <w:rsid w:val="003F17E3"/>
    <w:rsid w:val="003F19AA"/>
    <w:rsid w:val="003F1DC9"/>
    <w:rsid w:val="003F21B7"/>
    <w:rsid w:val="003F22A8"/>
    <w:rsid w:val="003F23EB"/>
    <w:rsid w:val="003F2A09"/>
    <w:rsid w:val="003F3040"/>
    <w:rsid w:val="003F348B"/>
    <w:rsid w:val="003F3A34"/>
    <w:rsid w:val="003F496D"/>
    <w:rsid w:val="003F4F71"/>
    <w:rsid w:val="003F598C"/>
    <w:rsid w:val="003F5C05"/>
    <w:rsid w:val="003F6711"/>
    <w:rsid w:val="003F68C6"/>
    <w:rsid w:val="003F69F0"/>
    <w:rsid w:val="003F76EF"/>
    <w:rsid w:val="003F772B"/>
    <w:rsid w:val="00402094"/>
    <w:rsid w:val="004028D3"/>
    <w:rsid w:val="004031B1"/>
    <w:rsid w:val="00403360"/>
    <w:rsid w:val="00403B6D"/>
    <w:rsid w:val="00403F4F"/>
    <w:rsid w:val="00404BE5"/>
    <w:rsid w:val="00404FBC"/>
    <w:rsid w:val="00405B13"/>
    <w:rsid w:val="00406105"/>
    <w:rsid w:val="00406A14"/>
    <w:rsid w:val="00406A80"/>
    <w:rsid w:val="0040765C"/>
    <w:rsid w:val="004076F9"/>
    <w:rsid w:val="0041020C"/>
    <w:rsid w:val="00410CE6"/>
    <w:rsid w:val="00410FF6"/>
    <w:rsid w:val="004117F1"/>
    <w:rsid w:val="00412F14"/>
    <w:rsid w:val="004136EC"/>
    <w:rsid w:val="00414491"/>
    <w:rsid w:val="004149F4"/>
    <w:rsid w:val="00414CE3"/>
    <w:rsid w:val="00414D8F"/>
    <w:rsid w:val="00414E00"/>
    <w:rsid w:val="00414EC0"/>
    <w:rsid w:val="004159E6"/>
    <w:rsid w:val="00416339"/>
    <w:rsid w:val="004170CA"/>
    <w:rsid w:val="00421DF3"/>
    <w:rsid w:val="0042205B"/>
    <w:rsid w:val="004222D4"/>
    <w:rsid w:val="00424B5A"/>
    <w:rsid w:val="004261A9"/>
    <w:rsid w:val="004262CA"/>
    <w:rsid w:val="00426AE6"/>
    <w:rsid w:val="00430C0B"/>
    <w:rsid w:val="00431AA8"/>
    <w:rsid w:val="0043279A"/>
    <w:rsid w:val="004331F7"/>
    <w:rsid w:val="00433F6C"/>
    <w:rsid w:val="0043537C"/>
    <w:rsid w:val="004375F8"/>
    <w:rsid w:val="00437B33"/>
    <w:rsid w:val="00437C3A"/>
    <w:rsid w:val="00437E81"/>
    <w:rsid w:val="00440141"/>
    <w:rsid w:val="004409CD"/>
    <w:rsid w:val="00442F9A"/>
    <w:rsid w:val="00443CA3"/>
    <w:rsid w:val="0044535F"/>
    <w:rsid w:val="00447AE9"/>
    <w:rsid w:val="00447D3B"/>
    <w:rsid w:val="004518C8"/>
    <w:rsid w:val="004538F4"/>
    <w:rsid w:val="004542F1"/>
    <w:rsid w:val="0045448C"/>
    <w:rsid w:val="00454AEA"/>
    <w:rsid w:val="00454F55"/>
    <w:rsid w:val="004553C4"/>
    <w:rsid w:val="00455721"/>
    <w:rsid w:val="00461632"/>
    <w:rsid w:val="00461E6C"/>
    <w:rsid w:val="00462130"/>
    <w:rsid w:val="0046229E"/>
    <w:rsid w:val="00462629"/>
    <w:rsid w:val="00462C92"/>
    <w:rsid w:val="00462F26"/>
    <w:rsid w:val="00463805"/>
    <w:rsid w:val="0046388F"/>
    <w:rsid w:val="00463BC3"/>
    <w:rsid w:val="00463FBB"/>
    <w:rsid w:val="00464434"/>
    <w:rsid w:val="004661C3"/>
    <w:rsid w:val="00466791"/>
    <w:rsid w:val="004677E8"/>
    <w:rsid w:val="00467FE8"/>
    <w:rsid w:val="00471623"/>
    <w:rsid w:val="00472071"/>
    <w:rsid w:val="00472112"/>
    <w:rsid w:val="00473F43"/>
    <w:rsid w:val="0047407F"/>
    <w:rsid w:val="00474268"/>
    <w:rsid w:val="004743A2"/>
    <w:rsid w:val="00475351"/>
    <w:rsid w:val="00476F1D"/>
    <w:rsid w:val="00480429"/>
    <w:rsid w:val="004813C2"/>
    <w:rsid w:val="00481896"/>
    <w:rsid w:val="004823C7"/>
    <w:rsid w:val="0048269B"/>
    <w:rsid w:val="00482F1C"/>
    <w:rsid w:val="00484190"/>
    <w:rsid w:val="00484420"/>
    <w:rsid w:val="00485168"/>
    <w:rsid w:val="00486118"/>
    <w:rsid w:val="0048687E"/>
    <w:rsid w:val="004907D5"/>
    <w:rsid w:val="0049138F"/>
    <w:rsid w:val="004932BC"/>
    <w:rsid w:val="004946C4"/>
    <w:rsid w:val="004947C0"/>
    <w:rsid w:val="00495DD7"/>
    <w:rsid w:val="004962A3"/>
    <w:rsid w:val="00496959"/>
    <w:rsid w:val="00497A53"/>
    <w:rsid w:val="004A0CAA"/>
    <w:rsid w:val="004A10B6"/>
    <w:rsid w:val="004A14D1"/>
    <w:rsid w:val="004A3547"/>
    <w:rsid w:val="004A3C15"/>
    <w:rsid w:val="004A43E2"/>
    <w:rsid w:val="004A4D41"/>
    <w:rsid w:val="004A4E02"/>
    <w:rsid w:val="004A51A0"/>
    <w:rsid w:val="004A5D7D"/>
    <w:rsid w:val="004A6485"/>
    <w:rsid w:val="004A7868"/>
    <w:rsid w:val="004A7C43"/>
    <w:rsid w:val="004B0B22"/>
    <w:rsid w:val="004B11FA"/>
    <w:rsid w:val="004B141F"/>
    <w:rsid w:val="004B2D8E"/>
    <w:rsid w:val="004B300E"/>
    <w:rsid w:val="004B5A84"/>
    <w:rsid w:val="004B73D5"/>
    <w:rsid w:val="004B7D5E"/>
    <w:rsid w:val="004C0146"/>
    <w:rsid w:val="004C2DD7"/>
    <w:rsid w:val="004C37ED"/>
    <w:rsid w:val="004C526A"/>
    <w:rsid w:val="004C6D7A"/>
    <w:rsid w:val="004C7496"/>
    <w:rsid w:val="004C7DEB"/>
    <w:rsid w:val="004D03F6"/>
    <w:rsid w:val="004D343C"/>
    <w:rsid w:val="004D3B19"/>
    <w:rsid w:val="004D3CF6"/>
    <w:rsid w:val="004D55F4"/>
    <w:rsid w:val="004D58A8"/>
    <w:rsid w:val="004D58BD"/>
    <w:rsid w:val="004D5D26"/>
    <w:rsid w:val="004D5D44"/>
    <w:rsid w:val="004D6471"/>
    <w:rsid w:val="004D65F6"/>
    <w:rsid w:val="004D7282"/>
    <w:rsid w:val="004E0284"/>
    <w:rsid w:val="004E0427"/>
    <w:rsid w:val="004E1EF0"/>
    <w:rsid w:val="004E4086"/>
    <w:rsid w:val="004E47D5"/>
    <w:rsid w:val="004E52FF"/>
    <w:rsid w:val="004E54A3"/>
    <w:rsid w:val="004F4C22"/>
    <w:rsid w:val="004F5714"/>
    <w:rsid w:val="004F665F"/>
    <w:rsid w:val="004F6A74"/>
    <w:rsid w:val="00500132"/>
    <w:rsid w:val="00500769"/>
    <w:rsid w:val="00500EF9"/>
    <w:rsid w:val="0050116D"/>
    <w:rsid w:val="005011D5"/>
    <w:rsid w:val="005013C3"/>
    <w:rsid w:val="005013C8"/>
    <w:rsid w:val="005018FE"/>
    <w:rsid w:val="00501FC6"/>
    <w:rsid w:val="00502228"/>
    <w:rsid w:val="0050272E"/>
    <w:rsid w:val="00503213"/>
    <w:rsid w:val="0050337B"/>
    <w:rsid w:val="0050493D"/>
    <w:rsid w:val="005070AB"/>
    <w:rsid w:val="00510461"/>
    <w:rsid w:val="00512958"/>
    <w:rsid w:val="0051474A"/>
    <w:rsid w:val="00515200"/>
    <w:rsid w:val="00515584"/>
    <w:rsid w:val="00515894"/>
    <w:rsid w:val="0051599E"/>
    <w:rsid w:val="00515CC8"/>
    <w:rsid w:val="00515F1A"/>
    <w:rsid w:val="00516DE2"/>
    <w:rsid w:val="005203A9"/>
    <w:rsid w:val="005206F4"/>
    <w:rsid w:val="00520E8B"/>
    <w:rsid w:val="00521084"/>
    <w:rsid w:val="0052446F"/>
    <w:rsid w:val="00526592"/>
    <w:rsid w:val="00526868"/>
    <w:rsid w:val="005279F2"/>
    <w:rsid w:val="00527BA6"/>
    <w:rsid w:val="00527C76"/>
    <w:rsid w:val="00530F25"/>
    <w:rsid w:val="005312E8"/>
    <w:rsid w:val="00531BF7"/>
    <w:rsid w:val="00532556"/>
    <w:rsid w:val="00532D40"/>
    <w:rsid w:val="00534611"/>
    <w:rsid w:val="0053461B"/>
    <w:rsid w:val="005357A8"/>
    <w:rsid w:val="00535CAD"/>
    <w:rsid w:val="00535E35"/>
    <w:rsid w:val="005365AD"/>
    <w:rsid w:val="00537B9F"/>
    <w:rsid w:val="00542480"/>
    <w:rsid w:val="0054283F"/>
    <w:rsid w:val="00542841"/>
    <w:rsid w:val="00543750"/>
    <w:rsid w:val="005437D2"/>
    <w:rsid w:val="005448D5"/>
    <w:rsid w:val="00545E34"/>
    <w:rsid w:val="00546B65"/>
    <w:rsid w:val="005505DC"/>
    <w:rsid w:val="0055308B"/>
    <w:rsid w:val="00556742"/>
    <w:rsid w:val="005567D2"/>
    <w:rsid w:val="00556811"/>
    <w:rsid w:val="0055685D"/>
    <w:rsid w:val="00557F03"/>
    <w:rsid w:val="00560528"/>
    <w:rsid w:val="00560BAA"/>
    <w:rsid w:val="00561683"/>
    <w:rsid w:val="0056181A"/>
    <w:rsid w:val="0056231E"/>
    <w:rsid w:val="005623C1"/>
    <w:rsid w:val="00563421"/>
    <w:rsid w:val="0056460F"/>
    <w:rsid w:val="005646C0"/>
    <w:rsid w:val="00565598"/>
    <w:rsid w:val="0056751D"/>
    <w:rsid w:val="00567596"/>
    <w:rsid w:val="005679C9"/>
    <w:rsid w:val="00571388"/>
    <w:rsid w:val="00571620"/>
    <w:rsid w:val="00571C0E"/>
    <w:rsid w:val="005728E6"/>
    <w:rsid w:val="00577079"/>
    <w:rsid w:val="00577109"/>
    <w:rsid w:val="005817B9"/>
    <w:rsid w:val="0058500A"/>
    <w:rsid w:val="005856A8"/>
    <w:rsid w:val="0058645C"/>
    <w:rsid w:val="00586ADF"/>
    <w:rsid w:val="00590097"/>
    <w:rsid w:val="00590743"/>
    <w:rsid w:val="005907FA"/>
    <w:rsid w:val="005908C8"/>
    <w:rsid w:val="005911FC"/>
    <w:rsid w:val="00592578"/>
    <w:rsid w:val="005934FA"/>
    <w:rsid w:val="005A0338"/>
    <w:rsid w:val="005A0A06"/>
    <w:rsid w:val="005A110F"/>
    <w:rsid w:val="005A3AA2"/>
    <w:rsid w:val="005A3EAA"/>
    <w:rsid w:val="005A3F19"/>
    <w:rsid w:val="005A4586"/>
    <w:rsid w:val="005B0C75"/>
    <w:rsid w:val="005B3EA6"/>
    <w:rsid w:val="005B3FE8"/>
    <w:rsid w:val="005B5515"/>
    <w:rsid w:val="005B71DF"/>
    <w:rsid w:val="005B7C8C"/>
    <w:rsid w:val="005C18F7"/>
    <w:rsid w:val="005C1C29"/>
    <w:rsid w:val="005C22CA"/>
    <w:rsid w:val="005C2C67"/>
    <w:rsid w:val="005C2E43"/>
    <w:rsid w:val="005C31BD"/>
    <w:rsid w:val="005C4057"/>
    <w:rsid w:val="005C42FA"/>
    <w:rsid w:val="005C47E9"/>
    <w:rsid w:val="005C5467"/>
    <w:rsid w:val="005C7724"/>
    <w:rsid w:val="005D0656"/>
    <w:rsid w:val="005D0DCC"/>
    <w:rsid w:val="005D239E"/>
    <w:rsid w:val="005D7121"/>
    <w:rsid w:val="005E0381"/>
    <w:rsid w:val="005E09E9"/>
    <w:rsid w:val="005E2507"/>
    <w:rsid w:val="005E25FE"/>
    <w:rsid w:val="005E3DFA"/>
    <w:rsid w:val="005E4E28"/>
    <w:rsid w:val="005E5F0A"/>
    <w:rsid w:val="005E64A4"/>
    <w:rsid w:val="005F0FBD"/>
    <w:rsid w:val="005F3F0C"/>
    <w:rsid w:val="005F4E1D"/>
    <w:rsid w:val="005F68DF"/>
    <w:rsid w:val="005F763A"/>
    <w:rsid w:val="005F7C16"/>
    <w:rsid w:val="005F7D44"/>
    <w:rsid w:val="006010B7"/>
    <w:rsid w:val="00604B95"/>
    <w:rsid w:val="00604BCE"/>
    <w:rsid w:val="00605968"/>
    <w:rsid w:val="00606B3F"/>
    <w:rsid w:val="00607302"/>
    <w:rsid w:val="00610D0D"/>
    <w:rsid w:val="00612D99"/>
    <w:rsid w:val="006132C9"/>
    <w:rsid w:val="00615531"/>
    <w:rsid w:val="00617ED4"/>
    <w:rsid w:val="00620127"/>
    <w:rsid w:val="00620870"/>
    <w:rsid w:val="00621701"/>
    <w:rsid w:val="00621F2F"/>
    <w:rsid w:val="00622426"/>
    <w:rsid w:val="00630257"/>
    <w:rsid w:val="006309F0"/>
    <w:rsid w:val="00631829"/>
    <w:rsid w:val="00631FC9"/>
    <w:rsid w:val="0063279E"/>
    <w:rsid w:val="00632C8A"/>
    <w:rsid w:val="00634BDA"/>
    <w:rsid w:val="006369D9"/>
    <w:rsid w:val="00636D62"/>
    <w:rsid w:val="0063717B"/>
    <w:rsid w:val="0063768C"/>
    <w:rsid w:val="00637AA4"/>
    <w:rsid w:val="0064043C"/>
    <w:rsid w:val="006407BD"/>
    <w:rsid w:val="00641628"/>
    <w:rsid w:val="00642663"/>
    <w:rsid w:val="0064424B"/>
    <w:rsid w:val="00644EE8"/>
    <w:rsid w:val="006462C9"/>
    <w:rsid w:val="00647857"/>
    <w:rsid w:val="00651DA4"/>
    <w:rsid w:val="00652E9D"/>
    <w:rsid w:val="006534C0"/>
    <w:rsid w:val="00654E6C"/>
    <w:rsid w:val="00657996"/>
    <w:rsid w:val="006626E6"/>
    <w:rsid w:val="00662F20"/>
    <w:rsid w:val="00662FAB"/>
    <w:rsid w:val="006637F2"/>
    <w:rsid w:val="006647DC"/>
    <w:rsid w:val="00665679"/>
    <w:rsid w:val="00665E2A"/>
    <w:rsid w:val="00667CF6"/>
    <w:rsid w:val="006703B1"/>
    <w:rsid w:val="00670FC1"/>
    <w:rsid w:val="006734E5"/>
    <w:rsid w:val="006775EF"/>
    <w:rsid w:val="0068138E"/>
    <w:rsid w:val="006826C2"/>
    <w:rsid w:val="0068321A"/>
    <w:rsid w:val="00683979"/>
    <w:rsid w:val="0068575B"/>
    <w:rsid w:val="00685FB8"/>
    <w:rsid w:val="006861E3"/>
    <w:rsid w:val="0068632C"/>
    <w:rsid w:val="00687A52"/>
    <w:rsid w:val="0069083A"/>
    <w:rsid w:val="00690AB6"/>
    <w:rsid w:val="00691208"/>
    <w:rsid w:val="00696FC8"/>
    <w:rsid w:val="00697043"/>
    <w:rsid w:val="0069786B"/>
    <w:rsid w:val="006978E3"/>
    <w:rsid w:val="006A04B2"/>
    <w:rsid w:val="006A13ED"/>
    <w:rsid w:val="006A1F30"/>
    <w:rsid w:val="006A2958"/>
    <w:rsid w:val="006A37BF"/>
    <w:rsid w:val="006A4E0C"/>
    <w:rsid w:val="006A4EE6"/>
    <w:rsid w:val="006A5EBF"/>
    <w:rsid w:val="006B0B3F"/>
    <w:rsid w:val="006B2792"/>
    <w:rsid w:val="006B3257"/>
    <w:rsid w:val="006B3FE4"/>
    <w:rsid w:val="006B43BE"/>
    <w:rsid w:val="006B6A06"/>
    <w:rsid w:val="006B75A8"/>
    <w:rsid w:val="006C05DE"/>
    <w:rsid w:val="006C093B"/>
    <w:rsid w:val="006C0CFE"/>
    <w:rsid w:val="006C0F2D"/>
    <w:rsid w:val="006C2AB4"/>
    <w:rsid w:val="006C432B"/>
    <w:rsid w:val="006C503A"/>
    <w:rsid w:val="006C5DF4"/>
    <w:rsid w:val="006C5EAC"/>
    <w:rsid w:val="006C62FC"/>
    <w:rsid w:val="006C6970"/>
    <w:rsid w:val="006D13CE"/>
    <w:rsid w:val="006D38D4"/>
    <w:rsid w:val="006D6AE9"/>
    <w:rsid w:val="006E0288"/>
    <w:rsid w:val="006E2432"/>
    <w:rsid w:val="006E2491"/>
    <w:rsid w:val="006E4903"/>
    <w:rsid w:val="006E5091"/>
    <w:rsid w:val="006E588C"/>
    <w:rsid w:val="006E78BB"/>
    <w:rsid w:val="006F04EB"/>
    <w:rsid w:val="006F0FE9"/>
    <w:rsid w:val="006F1B30"/>
    <w:rsid w:val="006F1B57"/>
    <w:rsid w:val="006F30D2"/>
    <w:rsid w:val="006F4F38"/>
    <w:rsid w:val="006F517F"/>
    <w:rsid w:val="006F5CB9"/>
    <w:rsid w:val="006F618B"/>
    <w:rsid w:val="006F622C"/>
    <w:rsid w:val="006F62DF"/>
    <w:rsid w:val="006F6E75"/>
    <w:rsid w:val="006F72A1"/>
    <w:rsid w:val="00700739"/>
    <w:rsid w:val="0070134A"/>
    <w:rsid w:val="00701D48"/>
    <w:rsid w:val="00702896"/>
    <w:rsid w:val="00702B65"/>
    <w:rsid w:val="00702DD5"/>
    <w:rsid w:val="007035E3"/>
    <w:rsid w:val="007049C2"/>
    <w:rsid w:val="0070526B"/>
    <w:rsid w:val="00705910"/>
    <w:rsid w:val="00705B31"/>
    <w:rsid w:val="007061CC"/>
    <w:rsid w:val="007069E6"/>
    <w:rsid w:val="00707329"/>
    <w:rsid w:val="00710366"/>
    <w:rsid w:val="007114FE"/>
    <w:rsid w:val="00711AB6"/>
    <w:rsid w:val="00711C0A"/>
    <w:rsid w:val="007138D6"/>
    <w:rsid w:val="00713D8C"/>
    <w:rsid w:val="00714E92"/>
    <w:rsid w:val="00715D14"/>
    <w:rsid w:val="00716D8F"/>
    <w:rsid w:val="0072176B"/>
    <w:rsid w:val="00721882"/>
    <w:rsid w:val="00722175"/>
    <w:rsid w:val="00722C87"/>
    <w:rsid w:val="00722DF7"/>
    <w:rsid w:val="00724667"/>
    <w:rsid w:val="0072498D"/>
    <w:rsid w:val="00725B5A"/>
    <w:rsid w:val="00726ABD"/>
    <w:rsid w:val="00726CE8"/>
    <w:rsid w:val="00727886"/>
    <w:rsid w:val="007302CB"/>
    <w:rsid w:val="007304A3"/>
    <w:rsid w:val="00730A75"/>
    <w:rsid w:val="00732DA6"/>
    <w:rsid w:val="00736DB2"/>
    <w:rsid w:val="00741341"/>
    <w:rsid w:val="00742164"/>
    <w:rsid w:val="00742552"/>
    <w:rsid w:val="00742B8D"/>
    <w:rsid w:val="0074317E"/>
    <w:rsid w:val="00743286"/>
    <w:rsid w:val="00744E5F"/>
    <w:rsid w:val="00746167"/>
    <w:rsid w:val="00746476"/>
    <w:rsid w:val="007466CC"/>
    <w:rsid w:val="0074710D"/>
    <w:rsid w:val="007500D6"/>
    <w:rsid w:val="00750EA3"/>
    <w:rsid w:val="0075103E"/>
    <w:rsid w:val="00751C49"/>
    <w:rsid w:val="0075200B"/>
    <w:rsid w:val="00752CB7"/>
    <w:rsid w:val="0075313A"/>
    <w:rsid w:val="00754CAA"/>
    <w:rsid w:val="0075515C"/>
    <w:rsid w:val="007558D4"/>
    <w:rsid w:val="00755986"/>
    <w:rsid w:val="00756BEB"/>
    <w:rsid w:val="0076060E"/>
    <w:rsid w:val="007608E1"/>
    <w:rsid w:val="007612EC"/>
    <w:rsid w:val="00761A24"/>
    <w:rsid w:val="00761C9E"/>
    <w:rsid w:val="007626E4"/>
    <w:rsid w:val="00763915"/>
    <w:rsid w:val="0076493E"/>
    <w:rsid w:val="007657A0"/>
    <w:rsid w:val="0076615A"/>
    <w:rsid w:val="00766E79"/>
    <w:rsid w:val="007671AE"/>
    <w:rsid w:val="00767249"/>
    <w:rsid w:val="00770C59"/>
    <w:rsid w:val="00771531"/>
    <w:rsid w:val="0077154E"/>
    <w:rsid w:val="00772254"/>
    <w:rsid w:val="007737B3"/>
    <w:rsid w:val="007767FD"/>
    <w:rsid w:val="00777475"/>
    <w:rsid w:val="00777FBF"/>
    <w:rsid w:val="007802CC"/>
    <w:rsid w:val="00780BCD"/>
    <w:rsid w:val="00782758"/>
    <w:rsid w:val="00782912"/>
    <w:rsid w:val="00782DEA"/>
    <w:rsid w:val="00785A89"/>
    <w:rsid w:val="00785AF4"/>
    <w:rsid w:val="007870D7"/>
    <w:rsid w:val="007932F1"/>
    <w:rsid w:val="0079389E"/>
    <w:rsid w:val="00793D2E"/>
    <w:rsid w:val="0079448B"/>
    <w:rsid w:val="00794AF2"/>
    <w:rsid w:val="0079543D"/>
    <w:rsid w:val="00795CC3"/>
    <w:rsid w:val="007972AD"/>
    <w:rsid w:val="00797A94"/>
    <w:rsid w:val="007A2075"/>
    <w:rsid w:val="007A259C"/>
    <w:rsid w:val="007A2D17"/>
    <w:rsid w:val="007A459A"/>
    <w:rsid w:val="007A6E5E"/>
    <w:rsid w:val="007B16FE"/>
    <w:rsid w:val="007B1D1C"/>
    <w:rsid w:val="007B2105"/>
    <w:rsid w:val="007B37FE"/>
    <w:rsid w:val="007B4628"/>
    <w:rsid w:val="007B4D85"/>
    <w:rsid w:val="007B5D37"/>
    <w:rsid w:val="007B5E02"/>
    <w:rsid w:val="007B67B0"/>
    <w:rsid w:val="007B6D1C"/>
    <w:rsid w:val="007B78D7"/>
    <w:rsid w:val="007C1C8F"/>
    <w:rsid w:val="007C27A3"/>
    <w:rsid w:val="007C2C2E"/>
    <w:rsid w:val="007C424F"/>
    <w:rsid w:val="007C4D2C"/>
    <w:rsid w:val="007C7D47"/>
    <w:rsid w:val="007C7E7B"/>
    <w:rsid w:val="007C7F35"/>
    <w:rsid w:val="007D1937"/>
    <w:rsid w:val="007D327E"/>
    <w:rsid w:val="007D3CD4"/>
    <w:rsid w:val="007D48BB"/>
    <w:rsid w:val="007D4CE4"/>
    <w:rsid w:val="007D50F1"/>
    <w:rsid w:val="007D64AA"/>
    <w:rsid w:val="007E056F"/>
    <w:rsid w:val="007E1519"/>
    <w:rsid w:val="007E228E"/>
    <w:rsid w:val="007E36CC"/>
    <w:rsid w:val="007E3DAA"/>
    <w:rsid w:val="007E4109"/>
    <w:rsid w:val="007E4D86"/>
    <w:rsid w:val="007E4FCD"/>
    <w:rsid w:val="007E51D7"/>
    <w:rsid w:val="007E6ED3"/>
    <w:rsid w:val="007E6FF7"/>
    <w:rsid w:val="007E776F"/>
    <w:rsid w:val="007F10A9"/>
    <w:rsid w:val="007F12DA"/>
    <w:rsid w:val="007F1CA7"/>
    <w:rsid w:val="007F254D"/>
    <w:rsid w:val="007F2E1B"/>
    <w:rsid w:val="007F330E"/>
    <w:rsid w:val="007F459B"/>
    <w:rsid w:val="007F4775"/>
    <w:rsid w:val="007F481A"/>
    <w:rsid w:val="007F6C5B"/>
    <w:rsid w:val="00801333"/>
    <w:rsid w:val="008013E4"/>
    <w:rsid w:val="00801AAE"/>
    <w:rsid w:val="00801ACC"/>
    <w:rsid w:val="00801D1A"/>
    <w:rsid w:val="0080365B"/>
    <w:rsid w:val="00803E4F"/>
    <w:rsid w:val="00804120"/>
    <w:rsid w:val="00805B47"/>
    <w:rsid w:val="0080641B"/>
    <w:rsid w:val="00806DB4"/>
    <w:rsid w:val="0080704D"/>
    <w:rsid w:val="00807330"/>
    <w:rsid w:val="00807DE4"/>
    <w:rsid w:val="008117C3"/>
    <w:rsid w:val="00811907"/>
    <w:rsid w:val="00812B31"/>
    <w:rsid w:val="008142D8"/>
    <w:rsid w:val="00814387"/>
    <w:rsid w:val="0081448C"/>
    <w:rsid w:val="00815BF4"/>
    <w:rsid w:val="0081675F"/>
    <w:rsid w:val="00816F6B"/>
    <w:rsid w:val="00817834"/>
    <w:rsid w:val="0082056F"/>
    <w:rsid w:val="00820DBD"/>
    <w:rsid w:val="008231D7"/>
    <w:rsid w:val="00823341"/>
    <w:rsid w:val="00823C31"/>
    <w:rsid w:val="0082485E"/>
    <w:rsid w:val="00827B82"/>
    <w:rsid w:val="00831A97"/>
    <w:rsid w:val="00831B73"/>
    <w:rsid w:val="00831B78"/>
    <w:rsid w:val="008329AB"/>
    <w:rsid w:val="00832CFE"/>
    <w:rsid w:val="00832E17"/>
    <w:rsid w:val="00833AC9"/>
    <w:rsid w:val="00834280"/>
    <w:rsid w:val="008354DE"/>
    <w:rsid w:val="00836309"/>
    <w:rsid w:val="00836369"/>
    <w:rsid w:val="00836756"/>
    <w:rsid w:val="008376C0"/>
    <w:rsid w:val="00837B71"/>
    <w:rsid w:val="00837E4C"/>
    <w:rsid w:val="00840A1B"/>
    <w:rsid w:val="00842F69"/>
    <w:rsid w:val="00843043"/>
    <w:rsid w:val="008449C0"/>
    <w:rsid w:val="008473B5"/>
    <w:rsid w:val="008479B4"/>
    <w:rsid w:val="00847F3C"/>
    <w:rsid w:val="00851D6C"/>
    <w:rsid w:val="00853CAE"/>
    <w:rsid w:val="00853ECC"/>
    <w:rsid w:val="008551E6"/>
    <w:rsid w:val="008556E3"/>
    <w:rsid w:val="00855936"/>
    <w:rsid w:val="00855A24"/>
    <w:rsid w:val="00856FBE"/>
    <w:rsid w:val="008577BF"/>
    <w:rsid w:val="0086208D"/>
    <w:rsid w:val="008620A2"/>
    <w:rsid w:val="008635ED"/>
    <w:rsid w:val="00863730"/>
    <w:rsid w:val="00863CFD"/>
    <w:rsid w:val="00864212"/>
    <w:rsid w:val="0086573E"/>
    <w:rsid w:val="008671DD"/>
    <w:rsid w:val="008676C7"/>
    <w:rsid w:val="008677A8"/>
    <w:rsid w:val="008704E5"/>
    <w:rsid w:val="0087129F"/>
    <w:rsid w:val="00871BBA"/>
    <w:rsid w:val="00871BF6"/>
    <w:rsid w:val="008762CE"/>
    <w:rsid w:val="00876485"/>
    <w:rsid w:val="00876612"/>
    <w:rsid w:val="00877DDA"/>
    <w:rsid w:val="008818C7"/>
    <w:rsid w:val="008818E3"/>
    <w:rsid w:val="0088203A"/>
    <w:rsid w:val="00882AEF"/>
    <w:rsid w:val="008845E2"/>
    <w:rsid w:val="0088560E"/>
    <w:rsid w:val="00885D83"/>
    <w:rsid w:val="008870FE"/>
    <w:rsid w:val="00890D36"/>
    <w:rsid w:val="008919D6"/>
    <w:rsid w:val="00891B97"/>
    <w:rsid w:val="0089246B"/>
    <w:rsid w:val="00892977"/>
    <w:rsid w:val="008929C3"/>
    <w:rsid w:val="008936A7"/>
    <w:rsid w:val="0089393B"/>
    <w:rsid w:val="00895158"/>
    <w:rsid w:val="00895716"/>
    <w:rsid w:val="00895C9C"/>
    <w:rsid w:val="00895D22"/>
    <w:rsid w:val="00896195"/>
    <w:rsid w:val="00896368"/>
    <w:rsid w:val="00897765"/>
    <w:rsid w:val="00897926"/>
    <w:rsid w:val="008A01C2"/>
    <w:rsid w:val="008A076A"/>
    <w:rsid w:val="008A2601"/>
    <w:rsid w:val="008A3A12"/>
    <w:rsid w:val="008A41D6"/>
    <w:rsid w:val="008A5604"/>
    <w:rsid w:val="008A5FB1"/>
    <w:rsid w:val="008A7647"/>
    <w:rsid w:val="008A7EEC"/>
    <w:rsid w:val="008B0313"/>
    <w:rsid w:val="008B0D73"/>
    <w:rsid w:val="008B1955"/>
    <w:rsid w:val="008B2384"/>
    <w:rsid w:val="008B239E"/>
    <w:rsid w:val="008B244D"/>
    <w:rsid w:val="008B306E"/>
    <w:rsid w:val="008B3FE2"/>
    <w:rsid w:val="008B444C"/>
    <w:rsid w:val="008B4466"/>
    <w:rsid w:val="008B61A4"/>
    <w:rsid w:val="008B61BB"/>
    <w:rsid w:val="008B6256"/>
    <w:rsid w:val="008C001A"/>
    <w:rsid w:val="008C0ED9"/>
    <w:rsid w:val="008C0FA6"/>
    <w:rsid w:val="008C2B96"/>
    <w:rsid w:val="008C345A"/>
    <w:rsid w:val="008C3BFD"/>
    <w:rsid w:val="008C6810"/>
    <w:rsid w:val="008C76AA"/>
    <w:rsid w:val="008D03AB"/>
    <w:rsid w:val="008D0E4F"/>
    <w:rsid w:val="008D0EB5"/>
    <w:rsid w:val="008D1530"/>
    <w:rsid w:val="008D253C"/>
    <w:rsid w:val="008D3A4E"/>
    <w:rsid w:val="008D4134"/>
    <w:rsid w:val="008D55F9"/>
    <w:rsid w:val="008D5670"/>
    <w:rsid w:val="008D6254"/>
    <w:rsid w:val="008D6964"/>
    <w:rsid w:val="008E145E"/>
    <w:rsid w:val="008E3A8B"/>
    <w:rsid w:val="008E53A7"/>
    <w:rsid w:val="008E663A"/>
    <w:rsid w:val="008E7D77"/>
    <w:rsid w:val="008E7E28"/>
    <w:rsid w:val="008F03BA"/>
    <w:rsid w:val="008F3996"/>
    <w:rsid w:val="008F46CA"/>
    <w:rsid w:val="008F4D8C"/>
    <w:rsid w:val="008F7975"/>
    <w:rsid w:val="00900049"/>
    <w:rsid w:val="00900409"/>
    <w:rsid w:val="00902F21"/>
    <w:rsid w:val="00903FBA"/>
    <w:rsid w:val="00904F08"/>
    <w:rsid w:val="009050B8"/>
    <w:rsid w:val="00905FAC"/>
    <w:rsid w:val="009066BB"/>
    <w:rsid w:val="00906CBD"/>
    <w:rsid w:val="00907E4D"/>
    <w:rsid w:val="009127A5"/>
    <w:rsid w:val="009135ED"/>
    <w:rsid w:val="00914720"/>
    <w:rsid w:val="00916188"/>
    <w:rsid w:val="00916806"/>
    <w:rsid w:val="00920008"/>
    <w:rsid w:val="009212E0"/>
    <w:rsid w:val="0092140F"/>
    <w:rsid w:val="009214F7"/>
    <w:rsid w:val="00921610"/>
    <w:rsid w:val="009239B7"/>
    <w:rsid w:val="00923DB5"/>
    <w:rsid w:val="009247CD"/>
    <w:rsid w:val="009251BC"/>
    <w:rsid w:val="00926870"/>
    <w:rsid w:val="00930C1A"/>
    <w:rsid w:val="009315A4"/>
    <w:rsid w:val="00931A0C"/>
    <w:rsid w:val="00932547"/>
    <w:rsid w:val="00932CA3"/>
    <w:rsid w:val="00933A02"/>
    <w:rsid w:val="00933F89"/>
    <w:rsid w:val="0093722C"/>
    <w:rsid w:val="00937BB1"/>
    <w:rsid w:val="009407F2"/>
    <w:rsid w:val="009414EB"/>
    <w:rsid w:val="009430E0"/>
    <w:rsid w:val="009433A7"/>
    <w:rsid w:val="00943A3B"/>
    <w:rsid w:val="00945010"/>
    <w:rsid w:val="0094677B"/>
    <w:rsid w:val="00946A5C"/>
    <w:rsid w:val="00946DDB"/>
    <w:rsid w:val="00947597"/>
    <w:rsid w:val="00947D72"/>
    <w:rsid w:val="00951E7F"/>
    <w:rsid w:val="00952D1F"/>
    <w:rsid w:val="00952E1A"/>
    <w:rsid w:val="00953062"/>
    <w:rsid w:val="009533C6"/>
    <w:rsid w:val="0095344B"/>
    <w:rsid w:val="00955D8A"/>
    <w:rsid w:val="00957072"/>
    <w:rsid w:val="009607BB"/>
    <w:rsid w:val="00960BFD"/>
    <w:rsid w:val="009612C4"/>
    <w:rsid w:val="00962C22"/>
    <w:rsid w:val="00966155"/>
    <w:rsid w:val="00966166"/>
    <w:rsid w:val="0096751C"/>
    <w:rsid w:val="00970C7E"/>
    <w:rsid w:val="009714F4"/>
    <w:rsid w:val="00971A97"/>
    <w:rsid w:val="00971BD4"/>
    <w:rsid w:val="00972105"/>
    <w:rsid w:val="009731A7"/>
    <w:rsid w:val="0097373A"/>
    <w:rsid w:val="00973BF1"/>
    <w:rsid w:val="009741FC"/>
    <w:rsid w:val="00974C03"/>
    <w:rsid w:val="00975BDB"/>
    <w:rsid w:val="009764AF"/>
    <w:rsid w:val="009807D4"/>
    <w:rsid w:val="00981C03"/>
    <w:rsid w:val="00982113"/>
    <w:rsid w:val="00982F96"/>
    <w:rsid w:val="0098355E"/>
    <w:rsid w:val="00983FE2"/>
    <w:rsid w:val="00984E02"/>
    <w:rsid w:val="00985115"/>
    <w:rsid w:val="0098643A"/>
    <w:rsid w:val="00990076"/>
    <w:rsid w:val="00990A45"/>
    <w:rsid w:val="009914A0"/>
    <w:rsid w:val="0099183B"/>
    <w:rsid w:val="00992BD5"/>
    <w:rsid w:val="009936E1"/>
    <w:rsid w:val="00994055"/>
    <w:rsid w:val="009946EE"/>
    <w:rsid w:val="00995B05"/>
    <w:rsid w:val="00995C35"/>
    <w:rsid w:val="009965CA"/>
    <w:rsid w:val="009974F6"/>
    <w:rsid w:val="00997BBC"/>
    <w:rsid w:val="00997D8D"/>
    <w:rsid w:val="00997F8B"/>
    <w:rsid w:val="009A01FF"/>
    <w:rsid w:val="009A264A"/>
    <w:rsid w:val="009A287E"/>
    <w:rsid w:val="009A2CD2"/>
    <w:rsid w:val="009A2FE9"/>
    <w:rsid w:val="009A34F7"/>
    <w:rsid w:val="009A3A0D"/>
    <w:rsid w:val="009A512F"/>
    <w:rsid w:val="009A5C3B"/>
    <w:rsid w:val="009A6568"/>
    <w:rsid w:val="009A7A80"/>
    <w:rsid w:val="009B22F5"/>
    <w:rsid w:val="009B4848"/>
    <w:rsid w:val="009B4F62"/>
    <w:rsid w:val="009B5160"/>
    <w:rsid w:val="009B5BC9"/>
    <w:rsid w:val="009B5D8F"/>
    <w:rsid w:val="009B6205"/>
    <w:rsid w:val="009B680A"/>
    <w:rsid w:val="009B7056"/>
    <w:rsid w:val="009C17E7"/>
    <w:rsid w:val="009C24FF"/>
    <w:rsid w:val="009C2549"/>
    <w:rsid w:val="009C428D"/>
    <w:rsid w:val="009C4F34"/>
    <w:rsid w:val="009C5A42"/>
    <w:rsid w:val="009C5ECB"/>
    <w:rsid w:val="009C6F98"/>
    <w:rsid w:val="009C72BC"/>
    <w:rsid w:val="009C77AC"/>
    <w:rsid w:val="009D07B0"/>
    <w:rsid w:val="009D09BE"/>
    <w:rsid w:val="009D13EF"/>
    <w:rsid w:val="009D1856"/>
    <w:rsid w:val="009D1F37"/>
    <w:rsid w:val="009D4C42"/>
    <w:rsid w:val="009D4C8F"/>
    <w:rsid w:val="009D6343"/>
    <w:rsid w:val="009D6AD9"/>
    <w:rsid w:val="009E0521"/>
    <w:rsid w:val="009E0744"/>
    <w:rsid w:val="009E0D77"/>
    <w:rsid w:val="009E3AF9"/>
    <w:rsid w:val="009E3BD2"/>
    <w:rsid w:val="009E3D50"/>
    <w:rsid w:val="009E421B"/>
    <w:rsid w:val="009E4DBA"/>
    <w:rsid w:val="009E5019"/>
    <w:rsid w:val="009E52BC"/>
    <w:rsid w:val="009E5CB7"/>
    <w:rsid w:val="009E6E97"/>
    <w:rsid w:val="009E6EFD"/>
    <w:rsid w:val="009E6FAC"/>
    <w:rsid w:val="009F03FD"/>
    <w:rsid w:val="009F069D"/>
    <w:rsid w:val="009F48F9"/>
    <w:rsid w:val="009F525B"/>
    <w:rsid w:val="00A00C4A"/>
    <w:rsid w:val="00A020DE"/>
    <w:rsid w:val="00A02DED"/>
    <w:rsid w:val="00A030AC"/>
    <w:rsid w:val="00A03266"/>
    <w:rsid w:val="00A0348B"/>
    <w:rsid w:val="00A0438D"/>
    <w:rsid w:val="00A04E33"/>
    <w:rsid w:val="00A05A29"/>
    <w:rsid w:val="00A07DA2"/>
    <w:rsid w:val="00A10E2C"/>
    <w:rsid w:val="00A11FD5"/>
    <w:rsid w:val="00A12F5D"/>
    <w:rsid w:val="00A13042"/>
    <w:rsid w:val="00A136B6"/>
    <w:rsid w:val="00A144EF"/>
    <w:rsid w:val="00A162B4"/>
    <w:rsid w:val="00A1702B"/>
    <w:rsid w:val="00A170EA"/>
    <w:rsid w:val="00A173C2"/>
    <w:rsid w:val="00A202C0"/>
    <w:rsid w:val="00A21D50"/>
    <w:rsid w:val="00A24407"/>
    <w:rsid w:val="00A256BD"/>
    <w:rsid w:val="00A25A72"/>
    <w:rsid w:val="00A27879"/>
    <w:rsid w:val="00A3066A"/>
    <w:rsid w:val="00A306A9"/>
    <w:rsid w:val="00A327CA"/>
    <w:rsid w:val="00A32F6F"/>
    <w:rsid w:val="00A341D8"/>
    <w:rsid w:val="00A36036"/>
    <w:rsid w:val="00A405C9"/>
    <w:rsid w:val="00A40670"/>
    <w:rsid w:val="00A406AE"/>
    <w:rsid w:val="00A41E7D"/>
    <w:rsid w:val="00A42068"/>
    <w:rsid w:val="00A4209A"/>
    <w:rsid w:val="00A42133"/>
    <w:rsid w:val="00A44ED6"/>
    <w:rsid w:val="00A45C71"/>
    <w:rsid w:val="00A45D11"/>
    <w:rsid w:val="00A46051"/>
    <w:rsid w:val="00A4692E"/>
    <w:rsid w:val="00A47E0F"/>
    <w:rsid w:val="00A51479"/>
    <w:rsid w:val="00A52AFA"/>
    <w:rsid w:val="00A52D9C"/>
    <w:rsid w:val="00A52DCB"/>
    <w:rsid w:val="00A52ED9"/>
    <w:rsid w:val="00A53242"/>
    <w:rsid w:val="00A54463"/>
    <w:rsid w:val="00A5618B"/>
    <w:rsid w:val="00A5674E"/>
    <w:rsid w:val="00A5714F"/>
    <w:rsid w:val="00A57972"/>
    <w:rsid w:val="00A602FA"/>
    <w:rsid w:val="00A61735"/>
    <w:rsid w:val="00A618B0"/>
    <w:rsid w:val="00A620DA"/>
    <w:rsid w:val="00A63AAD"/>
    <w:rsid w:val="00A65539"/>
    <w:rsid w:val="00A6676E"/>
    <w:rsid w:val="00A66C6A"/>
    <w:rsid w:val="00A70A62"/>
    <w:rsid w:val="00A7167C"/>
    <w:rsid w:val="00A71A5F"/>
    <w:rsid w:val="00A71C06"/>
    <w:rsid w:val="00A71C62"/>
    <w:rsid w:val="00A72391"/>
    <w:rsid w:val="00A7264B"/>
    <w:rsid w:val="00A72736"/>
    <w:rsid w:val="00A72C4C"/>
    <w:rsid w:val="00A7336E"/>
    <w:rsid w:val="00A73B0A"/>
    <w:rsid w:val="00A74DDC"/>
    <w:rsid w:val="00A752BE"/>
    <w:rsid w:val="00A75D34"/>
    <w:rsid w:val="00A762A4"/>
    <w:rsid w:val="00A7719E"/>
    <w:rsid w:val="00A77401"/>
    <w:rsid w:val="00A77D3A"/>
    <w:rsid w:val="00A77F0A"/>
    <w:rsid w:val="00A80A07"/>
    <w:rsid w:val="00A80A80"/>
    <w:rsid w:val="00A81396"/>
    <w:rsid w:val="00A828D1"/>
    <w:rsid w:val="00A83811"/>
    <w:rsid w:val="00A846DA"/>
    <w:rsid w:val="00A84A8A"/>
    <w:rsid w:val="00A84FD0"/>
    <w:rsid w:val="00A8523F"/>
    <w:rsid w:val="00A85DCB"/>
    <w:rsid w:val="00A86670"/>
    <w:rsid w:val="00A9040B"/>
    <w:rsid w:val="00A90887"/>
    <w:rsid w:val="00A909DD"/>
    <w:rsid w:val="00A9185B"/>
    <w:rsid w:val="00A921D5"/>
    <w:rsid w:val="00A94376"/>
    <w:rsid w:val="00A96D95"/>
    <w:rsid w:val="00A96DDE"/>
    <w:rsid w:val="00AA0C50"/>
    <w:rsid w:val="00AA11CC"/>
    <w:rsid w:val="00AA2335"/>
    <w:rsid w:val="00AA274F"/>
    <w:rsid w:val="00AA34F9"/>
    <w:rsid w:val="00AA6A23"/>
    <w:rsid w:val="00AA6D17"/>
    <w:rsid w:val="00AA7099"/>
    <w:rsid w:val="00AA76A2"/>
    <w:rsid w:val="00AA7FD5"/>
    <w:rsid w:val="00AB1F0F"/>
    <w:rsid w:val="00AB31FB"/>
    <w:rsid w:val="00AB43A6"/>
    <w:rsid w:val="00AB45DF"/>
    <w:rsid w:val="00AB79AB"/>
    <w:rsid w:val="00AB7CC5"/>
    <w:rsid w:val="00AC00DB"/>
    <w:rsid w:val="00AC090F"/>
    <w:rsid w:val="00AC1631"/>
    <w:rsid w:val="00AC2C3A"/>
    <w:rsid w:val="00AC3EE9"/>
    <w:rsid w:val="00AC408D"/>
    <w:rsid w:val="00AC5FE2"/>
    <w:rsid w:val="00AC6004"/>
    <w:rsid w:val="00AC609A"/>
    <w:rsid w:val="00AC73EB"/>
    <w:rsid w:val="00AC7DF4"/>
    <w:rsid w:val="00AD299A"/>
    <w:rsid w:val="00AD2AE3"/>
    <w:rsid w:val="00AD4DDC"/>
    <w:rsid w:val="00AD5996"/>
    <w:rsid w:val="00AD59EE"/>
    <w:rsid w:val="00AD7A82"/>
    <w:rsid w:val="00AD7CD8"/>
    <w:rsid w:val="00AE0162"/>
    <w:rsid w:val="00AE428B"/>
    <w:rsid w:val="00AE484D"/>
    <w:rsid w:val="00AE572F"/>
    <w:rsid w:val="00AE5B01"/>
    <w:rsid w:val="00AE5C62"/>
    <w:rsid w:val="00AE720B"/>
    <w:rsid w:val="00AF131B"/>
    <w:rsid w:val="00AF1A77"/>
    <w:rsid w:val="00AF2A93"/>
    <w:rsid w:val="00AF2EE5"/>
    <w:rsid w:val="00AF4B43"/>
    <w:rsid w:val="00AF78C0"/>
    <w:rsid w:val="00B01FCD"/>
    <w:rsid w:val="00B049D5"/>
    <w:rsid w:val="00B05182"/>
    <w:rsid w:val="00B05187"/>
    <w:rsid w:val="00B058C2"/>
    <w:rsid w:val="00B063EA"/>
    <w:rsid w:val="00B06549"/>
    <w:rsid w:val="00B06F37"/>
    <w:rsid w:val="00B10004"/>
    <w:rsid w:val="00B11E3F"/>
    <w:rsid w:val="00B12856"/>
    <w:rsid w:val="00B13377"/>
    <w:rsid w:val="00B14BB3"/>
    <w:rsid w:val="00B14C77"/>
    <w:rsid w:val="00B173DC"/>
    <w:rsid w:val="00B20A45"/>
    <w:rsid w:val="00B22DC7"/>
    <w:rsid w:val="00B234CE"/>
    <w:rsid w:val="00B24479"/>
    <w:rsid w:val="00B24843"/>
    <w:rsid w:val="00B259D7"/>
    <w:rsid w:val="00B25E4D"/>
    <w:rsid w:val="00B2639B"/>
    <w:rsid w:val="00B26473"/>
    <w:rsid w:val="00B26818"/>
    <w:rsid w:val="00B308CD"/>
    <w:rsid w:val="00B30958"/>
    <w:rsid w:val="00B30DBB"/>
    <w:rsid w:val="00B328B3"/>
    <w:rsid w:val="00B33418"/>
    <w:rsid w:val="00B3383E"/>
    <w:rsid w:val="00B34C6D"/>
    <w:rsid w:val="00B3500C"/>
    <w:rsid w:val="00B36291"/>
    <w:rsid w:val="00B36A27"/>
    <w:rsid w:val="00B36D76"/>
    <w:rsid w:val="00B37768"/>
    <w:rsid w:val="00B379AE"/>
    <w:rsid w:val="00B410A3"/>
    <w:rsid w:val="00B4182D"/>
    <w:rsid w:val="00B41BED"/>
    <w:rsid w:val="00B4222B"/>
    <w:rsid w:val="00B42889"/>
    <w:rsid w:val="00B44835"/>
    <w:rsid w:val="00B449AC"/>
    <w:rsid w:val="00B45267"/>
    <w:rsid w:val="00B46842"/>
    <w:rsid w:val="00B47A44"/>
    <w:rsid w:val="00B47F9B"/>
    <w:rsid w:val="00B501E8"/>
    <w:rsid w:val="00B519AC"/>
    <w:rsid w:val="00B51D08"/>
    <w:rsid w:val="00B5234C"/>
    <w:rsid w:val="00B5443B"/>
    <w:rsid w:val="00B5542E"/>
    <w:rsid w:val="00B55F23"/>
    <w:rsid w:val="00B55FF9"/>
    <w:rsid w:val="00B56167"/>
    <w:rsid w:val="00B563EF"/>
    <w:rsid w:val="00B56EA8"/>
    <w:rsid w:val="00B56EC8"/>
    <w:rsid w:val="00B57185"/>
    <w:rsid w:val="00B57C37"/>
    <w:rsid w:val="00B57C39"/>
    <w:rsid w:val="00B60DAC"/>
    <w:rsid w:val="00B615FC"/>
    <w:rsid w:val="00B62A3F"/>
    <w:rsid w:val="00B631EC"/>
    <w:rsid w:val="00B66B60"/>
    <w:rsid w:val="00B70299"/>
    <w:rsid w:val="00B748A6"/>
    <w:rsid w:val="00B74EFB"/>
    <w:rsid w:val="00B75BD0"/>
    <w:rsid w:val="00B75DFA"/>
    <w:rsid w:val="00B7611B"/>
    <w:rsid w:val="00B763FD"/>
    <w:rsid w:val="00B81B43"/>
    <w:rsid w:val="00B81CC7"/>
    <w:rsid w:val="00B8228B"/>
    <w:rsid w:val="00B837FD"/>
    <w:rsid w:val="00B8459C"/>
    <w:rsid w:val="00B851EA"/>
    <w:rsid w:val="00B85639"/>
    <w:rsid w:val="00B87592"/>
    <w:rsid w:val="00B87AFC"/>
    <w:rsid w:val="00B9132D"/>
    <w:rsid w:val="00B928C5"/>
    <w:rsid w:val="00B9308A"/>
    <w:rsid w:val="00B9344B"/>
    <w:rsid w:val="00B93480"/>
    <w:rsid w:val="00B940B7"/>
    <w:rsid w:val="00B94CC3"/>
    <w:rsid w:val="00B95556"/>
    <w:rsid w:val="00B96CC1"/>
    <w:rsid w:val="00B979BF"/>
    <w:rsid w:val="00B979CC"/>
    <w:rsid w:val="00B97C6C"/>
    <w:rsid w:val="00BA07D3"/>
    <w:rsid w:val="00BA2057"/>
    <w:rsid w:val="00BA3BC4"/>
    <w:rsid w:val="00BA3C30"/>
    <w:rsid w:val="00BA3C8D"/>
    <w:rsid w:val="00BA422D"/>
    <w:rsid w:val="00BA5548"/>
    <w:rsid w:val="00BA63D5"/>
    <w:rsid w:val="00BA673D"/>
    <w:rsid w:val="00BA691D"/>
    <w:rsid w:val="00BA6CA5"/>
    <w:rsid w:val="00BA778E"/>
    <w:rsid w:val="00BA79C5"/>
    <w:rsid w:val="00BA7A93"/>
    <w:rsid w:val="00BB0D83"/>
    <w:rsid w:val="00BB11D8"/>
    <w:rsid w:val="00BB232A"/>
    <w:rsid w:val="00BB2AF6"/>
    <w:rsid w:val="00BB5AD8"/>
    <w:rsid w:val="00BB6CB2"/>
    <w:rsid w:val="00BB6EA8"/>
    <w:rsid w:val="00BC1346"/>
    <w:rsid w:val="00BC1432"/>
    <w:rsid w:val="00BC176A"/>
    <w:rsid w:val="00BC2462"/>
    <w:rsid w:val="00BC25B8"/>
    <w:rsid w:val="00BC2CAF"/>
    <w:rsid w:val="00BC34D7"/>
    <w:rsid w:val="00BC371E"/>
    <w:rsid w:val="00BC4AD9"/>
    <w:rsid w:val="00BC5054"/>
    <w:rsid w:val="00BC5B3E"/>
    <w:rsid w:val="00BC5D3C"/>
    <w:rsid w:val="00BC7005"/>
    <w:rsid w:val="00BC79CD"/>
    <w:rsid w:val="00BD0E71"/>
    <w:rsid w:val="00BD1C03"/>
    <w:rsid w:val="00BD55D0"/>
    <w:rsid w:val="00BD596C"/>
    <w:rsid w:val="00BD74AF"/>
    <w:rsid w:val="00BD769D"/>
    <w:rsid w:val="00BE0818"/>
    <w:rsid w:val="00BE3A9E"/>
    <w:rsid w:val="00BE3B11"/>
    <w:rsid w:val="00BE4037"/>
    <w:rsid w:val="00BE4104"/>
    <w:rsid w:val="00BE51AC"/>
    <w:rsid w:val="00BE5BEB"/>
    <w:rsid w:val="00BE69CA"/>
    <w:rsid w:val="00BE6E5A"/>
    <w:rsid w:val="00BE7295"/>
    <w:rsid w:val="00BE7C09"/>
    <w:rsid w:val="00BE7DDD"/>
    <w:rsid w:val="00BF2021"/>
    <w:rsid w:val="00BF2022"/>
    <w:rsid w:val="00BF2047"/>
    <w:rsid w:val="00BF205C"/>
    <w:rsid w:val="00BF3317"/>
    <w:rsid w:val="00BF4E9E"/>
    <w:rsid w:val="00BF52D1"/>
    <w:rsid w:val="00BF5544"/>
    <w:rsid w:val="00BF5BA9"/>
    <w:rsid w:val="00BF6267"/>
    <w:rsid w:val="00BF6736"/>
    <w:rsid w:val="00BF6D54"/>
    <w:rsid w:val="00BF7239"/>
    <w:rsid w:val="00C01314"/>
    <w:rsid w:val="00C01853"/>
    <w:rsid w:val="00C01919"/>
    <w:rsid w:val="00C02006"/>
    <w:rsid w:val="00C03BB9"/>
    <w:rsid w:val="00C03CFA"/>
    <w:rsid w:val="00C076B3"/>
    <w:rsid w:val="00C0771C"/>
    <w:rsid w:val="00C11428"/>
    <w:rsid w:val="00C13246"/>
    <w:rsid w:val="00C13B45"/>
    <w:rsid w:val="00C14596"/>
    <w:rsid w:val="00C15A19"/>
    <w:rsid w:val="00C16869"/>
    <w:rsid w:val="00C17293"/>
    <w:rsid w:val="00C172E7"/>
    <w:rsid w:val="00C201BE"/>
    <w:rsid w:val="00C208C0"/>
    <w:rsid w:val="00C21B26"/>
    <w:rsid w:val="00C21BEC"/>
    <w:rsid w:val="00C23525"/>
    <w:rsid w:val="00C239C1"/>
    <w:rsid w:val="00C25F66"/>
    <w:rsid w:val="00C269AD"/>
    <w:rsid w:val="00C27166"/>
    <w:rsid w:val="00C308B7"/>
    <w:rsid w:val="00C31582"/>
    <w:rsid w:val="00C31790"/>
    <w:rsid w:val="00C32A36"/>
    <w:rsid w:val="00C33273"/>
    <w:rsid w:val="00C37462"/>
    <w:rsid w:val="00C40287"/>
    <w:rsid w:val="00C40537"/>
    <w:rsid w:val="00C405EF"/>
    <w:rsid w:val="00C41091"/>
    <w:rsid w:val="00C41A29"/>
    <w:rsid w:val="00C41AFC"/>
    <w:rsid w:val="00C42662"/>
    <w:rsid w:val="00C42D3A"/>
    <w:rsid w:val="00C43249"/>
    <w:rsid w:val="00C438F7"/>
    <w:rsid w:val="00C448AB"/>
    <w:rsid w:val="00C466F6"/>
    <w:rsid w:val="00C46946"/>
    <w:rsid w:val="00C479FA"/>
    <w:rsid w:val="00C50244"/>
    <w:rsid w:val="00C5190C"/>
    <w:rsid w:val="00C52419"/>
    <w:rsid w:val="00C52A4D"/>
    <w:rsid w:val="00C55426"/>
    <w:rsid w:val="00C601A6"/>
    <w:rsid w:val="00C6110C"/>
    <w:rsid w:val="00C61AC5"/>
    <w:rsid w:val="00C61CF4"/>
    <w:rsid w:val="00C629E2"/>
    <w:rsid w:val="00C6427A"/>
    <w:rsid w:val="00C6553C"/>
    <w:rsid w:val="00C7152B"/>
    <w:rsid w:val="00C719C7"/>
    <w:rsid w:val="00C74565"/>
    <w:rsid w:val="00C75508"/>
    <w:rsid w:val="00C76DEC"/>
    <w:rsid w:val="00C77461"/>
    <w:rsid w:val="00C775D8"/>
    <w:rsid w:val="00C779D0"/>
    <w:rsid w:val="00C80525"/>
    <w:rsid w:val="00C80C4E"/>
    <w:rsid w:val="00C810F7"/>
    <w:rsid w:val="00C824AA"/>
    <w:rsid w:val="00C83271"/>
    <w:rsid w:val="00C8357B"/>
    <w:rsid w:val="00C867CA"/>
    <w:rsid w:val="00C86CB5"/>
    <w:rsid w:val="00C86CDE"/>
    <w:rsid w:val="00C87508"/>
    <w:rsid w:val="00C876F6"/>
    <w:rsid w:val="00C87E3C"/>
    <w:rsid w:val="00C90336"/>
    <w:rsid w:val="00C904B2"/>
    <w:rsid w:val="00C90C37"/>
    <w:rsid w:val="00C90D06"/>
    <w:rsid w:val="00C917B2"/>
    <w:rsid w:val="00C93FEB"/>
    <w:rsid w:val="00C9439C"/>
    <w:rsid w:val="00C961F7"/>
    <w:rsid w:val="00C97112"/>
    <w:rsid w:val="00CA03FA"/>
    <w:rsid w:val="00CA073C"/>
    <w:rsid w:val="00CA0F67"/>
    <w:rsid w:val="00CA1C08"/>
    <w:rsid w:val="00CA35C6"/>
    <w:rsid w:val="00CA3643"/>
    <w:rsid w:val="00CA67AC"/>
    <w:rsid w:val="00CA75C6"/>
    <w:rsid w:val="00CB1C81"/>
    <w:rsid w:val="00CB1E59"/>
    <w:rsid w:val="00CB2F06"/>
    <w:rsid w:val="00CB3C13"/>
    <w:rsid w:val="00CB3F91"/>
    <w:rsid w:val="00CB4045"/>
    <w:rsid w:val="00CB4BA9"/>
    <w:rsid w:val="00CB56EF"/>
    <w:rsid w:val="00CB5C03"/>
    <w:rsid w:val="00CB657D"/>
    <w:rsid w:val="00CC1828"/>
    <w:rsid w:val="00CC192D"/>
    <w:rsid w:val="00CC4027"/>
    <w:rsid w:val="00CC523F"/>
    <w:rsid w:val="00CC561C"/>
    <w:rsid w:val="00CD11A8"/>
    <w:rsid w:val="00CD1234"/>
    <w:rsid w:val="00CD26D5"/>
    <w:rsid w:val="00CD2E2C"/>
    <w:rsid w:val="00CD3182"/>
    <w:rsid w:val="00CD33C2"/>
    <w:rsid w:val="00CD5209"/>
    <w:rsid w:val="00CD53C4"/>
    <w:rsid w:val="00CD597F"/>
    <w:rsid w:val="00CD6479"/>
    <w:rsid w:val="00CD6B35"/>
    <w:rsid w:val="00CD7323"/>
    <w:rsid w:val="00CD761E"/>
    <w:rsid w:val="00CD7815"/>
    <w:rsid w:val="00CD7EE7"/>
    <w:rsid w:val="00CE0297"/>
    <w:rsid w:val="00CE1924"/>
    <w:rsid w:val="00CE1B75"/>
    <w:rsid w:val="00CE2D2D"/>
    <w:rsid w:val="00CE2F6F"/>
    <w:rsid w:val="00CE3497"/>
    <w:rsid w:val="00CE35D9"/>
    <w:rsid w:val="00CE4129"/>
    <w:rsid w:val="00CE580E"/>
    <w:rsid w:val="00CE6C63"/>
    <w:rsid w:val="00CE6D1B"/>
    <w:rsid w:val="00CF0514"/>
    <w:rsid w:val="00CF07A5"/>
    <w:rsid w:val="00CF0BAC"/>
    <w:rsid w:val="00CF1BC8"/>
    <w:rsid w:val="00CF1CC3"/>
    <w:rsid w:val="00CF221F"/>
    <w:rsid w:val="00CF2D39"/>
    <w:rsid w:val="00CF4BF7"/>
    <w:rsid w:val="00CF7967"/>
    <w:rsid w:val="00CF7B0A"/>
    <w:rsid w:val="00CF7CED"/>
    <w:rsid w:val="00CF7FA3"/>
    <w:rsid w:val="00D00005"/>
    <w:rsid w:val="00D00948"/>
    <w:rsid w:val="00D0186B"/>
    <w:rsid w:val="00D024C2"/>
    <w:rsid w:val="00D027BD"/>
    <w:rsid w:val="00D03D8C"/>
    <w:rsid w:val="00D0482F"/>
    <w:rsid w:val="00D051F2"/>
    <w:rsid w:val="00D063D6"/>
    <w:rsid w:val="00D07B28"/>
    <w:rsid w:val="00D101EE"/>
    <w:rsid w:val="00D11598"/>
    <w:rsid w:val="00D11758"/>
    <w:rsid w:val="00D13090"/>
    <w:rsid w:val="00D15CC3"/>
    <w:rsid w:val="00D172CB"/>
    <w:rsid w:val="00D209AC"/>
    <w:rsid w:val="00D20AB8"/>
    <w:rsid w:val="00D2102F"/>
    <w:rsid w:val="00D213E6"/>
    <w:rsid w:val="00D2182B"/>
    <w:rsid w:val="00D21F74"/>
    <w:rsid w:val="00D2204B"/>
    <w:rsid w:val="00D231FD"/>
    <w:rsid w:val="00D2473F"/>
    <w:rsid w:val="00D24831"/>
    <w:rsid w:val="00D253FE"/>
    <w:rsid w:val="00D25842"/>
    <w:rsid w:val="00D26551"/>
    <w:rsid w:val="00D271A1"/>
    <w:rsid w:val="00D31438"/>
    <w:rsid w:val="00D31F73"/>
    <w:rsid w:val="00D3261F"/>
    <w:rsid w:val="00D326B9"/>
    <w:rsid w:val="00D3330F"/>
    <w:rsid w:val="00D37347"/>
    <w:rsid w:val="00D3755F"/>
    <w:rsid w:val="00D407E3"/>
    <w:rsid w:val="00D41B6F"/>
    <w:rsid w:val="00D42FEC"/>
    <w:rsid w:val="00D4366D"/>
    <w:rsid w:val="00D43EB6"/>
    <w:rsid w:val="00D4405C"/>
    <w:rsid w:val="00D44FCE"/>
    <w:rsid w:val="00D508DA"/>
    <w:rsid w:val="00D510FB"/>
    <w:rsid w:val="00D51AE9"/>
    <w:rsid w:val="00D51CB3"/>
    <w:rsid w:val="00D53302"/>
    <w:rsid w:val="00D539E4"/>
    <w:rsid w:val="00D540A4"/>
    <w:rsid w:val="00D5491E"/>
    <w:rsid w:val="00D54AB0"/>
    <w:rsid w:val="00D54E60"/>
    <w:rsid w:val="00D54EE7"/>
    <w:rsid w:val="00D54F72"/>
    <w:rsid w:val="00D56C6F"/>
    <w:rsid w:val="00D617EC"/>
    <w:rsid w:val="00D62302"/>
    <w:rsid w:val="00D632F6"/>
    <w:rsid w:val="00D63721"/>
    <w:rsid w:val="00D63929"/>
    <w:rsid w:val="00D639CF"/>
    <w:rsid w:val="00D657D6"/>
    <w:rsid w:val="00D66D68"/>
    <w:rsid w:val="00D73333"/>
    <w:rsid w:val="00D74328"/>
    <w:rsid w:val="00D7580E"/>
    <w:rsid w:val="00D760F8"/>
    <w:rsid w:val="00D76C40"/>
    <w:rsid w:val="00D77054"/>
    <w:rsid w:val="00D775F7"/>
    <w:rsid w:val="00D8004B"/>
    <w:rsid w:val="00D8113C"/>
    <w:rsid w:val="00D81339"/>
    <w:rsid w:val="00D8144E"/>
    <w:rsid w:val="00D81781"/>
    <w:rsid w:val="00D8192F"/>
    <w:rsid w:val="00D81A40"/>
    <w:rsid w:val="00D82C12"/>
    <w:rsid w:val="00D8345A"/>
    <w:rsid w:val="00D84002"/>
    <w:rsid w:val="00D84259"/>
    <w:rsid w:val="00D86078"/>
    <w:rsid w:val="00D8659A"/>
    <w:rsid w:val="00D86D72"/>
    <w:rsid w:val="00D87413"/>
    <w:rsid w:val="00D92A4A"/>
    <w:rsid w:val="00D942CF"/>
    <w:rsid w:val="00D94C71"/>
    <w:rsid w:val="00D94D77"/>
    <w:rsid w:val="00D9632D"/>
    <w:rsid w:val="00D96773"/>
    <w:rsid w:val="00D97D16"/>
    <w:rsid w:val="00DA00C4"/>
    <w:rsid w:val="00DA0349"/>
    <w:rsid w:val="00DA2191"/>
    <w:rsid w:val="00DA24D0"/>
    <w:rsid w:val="00DA4022"/>
    <w:rsid w:val="00DA5FB9"/>
    <w:rsid w:val="00DA6217"/>
    <w:rsid w:val="00DB0470"/>
    <w:rsid w:val="00DB0FD9"/>
    <w:rsid w:val="00DB1B1E"/>
    <w:rsid w:val="00DB28ED"/>
    <w:rsid w:val="00DB2B3C"/>
    <w:rsid w:val="00DB308D"/>
    <w:rsid w:val="00DB36AB"/>
    <w:rsid w:val="00DB3BC2"/>
    <w:rsid w:val="00DB48B5"/>
    <w:rsid w:val="00DC0327"/>
    <w:rsid w:val="00DC089A"/>
    <w:rsid w:val="00DC0FF4"/>
    <w:rsid w:val="00DC16A4"/>
    <w:rsid w:val="00DC2C90"/>
    <w:rsid w:val="00DC30D4"/>
    <w:rsid w:val="00DC378B"/>
    <w:rsid w:val="00DC4145"/>
    <w:rsid w:val="00DC4DA4"/>
    <w:rsid w:val="00DC5C4F"/>
    <w:rsid w:val="00DC5F33"/>
    <w:rsid w:val="00DC70C3"/>
    <w:rsid w:val="00DC7F26"/>
    <w:rsid w:val="00DD0CB9"/>
    <w:rsid w:val="00DD12F2"/>
    <w:rsid w:val="00DD1E87"/>
    <w:rsid w:val="00DD211D"/>
    <w:rsid w:val="00DD298D"/>
    <w:rsid w:val="00DD2C95"/>
    <w:rsid w:val="00DD3A9A"/>
    <w:rsid w:val="00DD5B69"/>
    <w:rsid w:val="00DD7622"/>
    <w:rsid w:val="00DE0290"/>
    <w:rsid w:val="00DE0D46"/>
    <w:rsid w:val="00DE1399"/>
    <w:rsid w:val="00DE1B9D"/>
    <w:rsid w:val="00DE2186"/>
    <w:rsid w:val="00DE25B3"/>
    <w:rsid w:val="00DE3780"/>
    <w:rsid w:val="00DE3A39"/>
    <w:rsid w:val="00DE3FAC"/>
    <w:rsid w:val="00DE4DC1"/>
    <w:rsid w:val="00DE6249"/>
    <w:rsid w:val="00DF1E0A"/>
    <w:rsid w:val="00DF2728"/>
    <w:rsid w:val="00DF27BC"/>
    <w:rsid w:val="00DF2846"/>
    <w:rsid w:val="00DF40B4"/>
    <w:rsid w:val="00DF511B"/>
    <w:rsid w:val="00DF5D51"/>
    <w:rsid w:val="00DF5F72"/>
    <w:rsid w:val="00DF62FA"/>
    <w:rsid w:val="00DF77EA"/>
    <w:rsid w:val="00DF7EA7"/>
    <w:rsid w:val="00E02F37"/>
    <w:rsid w:val="00E030D6"/>
    <w:rsid w:val="00E0369A"/>
    <w:rsid w:val="00E06E03"/>
    <w:rsid w:val="00E1108A"/>
    <w:rsid w:val="00E1139A"/>
    <w:rsid w:val="00E12211"/>
    <w:rsid w:val="00E13812"/>
    <w:rsid w:val="00E13D56"/>
    <w:rsid w:val="00E14334"/>
    <w:rsid w:val="00E15653"/>
    <w:rsid w:val="00E15761"/>
    <w:rsid w:val="00E15852"/>
    <w:rsid w:val="00E170BE"/>
    <w:rsid w:val="00E17CBB"/>
    <w:rsid w:val="00E2326D"/>
    <w:rsid w:val="00E24A0C"/>
    <w:rsid w:val="00E24B0E"/>
    <w:rsid w:val="00E25596"/>
    <w:rsid w:val="00E26258"/>
    <w:rsid w:val="00E262AD"/>
    <w:rsid w:val="00E26AD7"/>
    <w:rsid w:val="00E27067"/>
    <w:rsid w:val="00E3593C"/>
    <w:rsid w:val="00E359A4"/>
    <w:rsid w:val="00E36208"/>
    <w:rsid w:val="00E400D5"/>
    <w:rsid w:val="00E40403"/>
    <w:rsid w:val="00E41318"/>
    <w:rsid w:val="00E4177E"/>
    <w:rsid w:val="00E44C32"/>
    <w:rsid w:val="00E450BA"/>
    <w:rsid w:val="00E47333"/>
    <w:rsid w:val="00E47C26"/>
    <w:rsid w:val="00E501F5"/>
    <w:rsid w:val="00E503DD"/>
    <w:rsid w:val="00E51197"/>
    <w:rsid w:val="00E527BB"/>
    <w:rsid w:val="00E52B65"/>
    <w:rsid w:val="00E52D52"/>
    <w:rsid w:val="00E53127"/>
    <w:rsid w:val="00E532C8"/>
    <w:rsid w:val="00E53614"/>
    <w:rsid w:val="00E55A28"/>
    <w:rsid w:val="00E56D8E"/>
    <w:rsid w:val="00E57B81"/>
    <w:rsid w:val="00E605DE"/>
    <w:rsid w:val="00E6094F"/>
    <w:rsid w:val="00E60CF1"/>
    <w:rsid w:val="00E61F59"/>
    <w:rsid w:val="00E62185"/>
    <w:rsid w:val="00E627E3"/>
    <w:rsid w:val="00E62AA0"/>
    <w:rsid w:val="00E6352A"/>
    <w:rsid w:val="00E63DD7"/>
    <w:rsid w:val="00E6423D"/>
    <w:rsid w:val="00E64BAC"/>
    <w:rsid w:val="00E64ED9"/>
    <w:rsid w:val="00E64EE7"/>
    <w:rsid w:val="00E701BC"/>
    <w:rsid w:val="00E70FDF"/>
    <w:rsid w:val="00E72749"/>
    <w:rsid w:val="00E72C54"/>
    <w:rsid w:val="00E72E09"/>
    <w:rsid w:val="00E73391"/>
    <w:rsid w:val="00E7340E"/>
    <w:rsid w:val="00E73E0D"/>
    <w:rsid w:val="00E7453A"/>
    <w:rsid w:val="00E74AD1"/>
    <w:rsid w:val="00E753F3"/>
    <w:rsid w:val="00E779AE"/>
    <w:rsid w:val="00E80228"/>
    <w:rsid w:val="00E81A60"/>
    <w:rsid w:val="00E825F7"/>
    <w:rsid w:val="00E8411E"/>
    <w:rsid w:val="00E8549A"/>
    <w:rsid w:val="00E85F14"/>
    <w:rsid w:val="00E87C46"/>
    <w:rsid w:val="00E87C82"/>
    <w:rsid w:val="00E90D8F"/>
    <w:rsid w:val="00E91305"/>
    <w:rsid w:val="00E92088"/>
    <w:rsid w:val="00E92A43"/>
    <w:rsid w:val="00E935B4"/>
    <w:rsid w:val="00E94182"/>
    <w:rsid w:val="00E95087"/>
    <w:rsid w:val="00E95807"/>
    <w:rsid w:val="00E95D7F"/>
    <w:rsid w:val="00E9616A"/>
    <w:rsid w:val="00E9642E"/>
    <w:rsid w:val="00E96907"/>
    <w:rsid w:val="00E97F5D"/>
    <w:rsid w:val="00EA03D0"/>
    <w:rsid w:val="00EA0499"/>
    <w:rsid w:val="00EA1175"/>
    <w:rsid w:val="00EA26E2"/>
    <w:rsid w:val="00EA2EEC"/>
    <w:rsid w:val="00EA4CCB"/>
    <w:rsid w:val="00EA63E6"/>
    <w:rsid w:val="00EA7397"/>
    <w:rsid w:val="00EB0EC8"/>
    <w:rsid w:val="00EB104D"/>
    <w:rsid w:val="00EB2000"/>
    <w:rsid w:val="00EB4080"/>
    <w:rsid w:val="00EB5EE0"/>
    <w:rsid w:val="00EB6D0A"/>
    <w:rsid w:val="00EB6ED4"/>
    <w:rsid w:val="00EB745C"/>
    <w:rsid w:val="00EC13B4"/>
    <w:rsid w:val="00EC20EC"/>
    <w:rsid w:val="00EC3563"/>
    <w:rsid w:val="00EC3E1D"/>
    <w:rsid w:val="00EC5958"/>
    <w:rsid w:val="00EC6F77"/>
    <w:rsid w:val="00EC7753"/>
    <w:rsid w:val="00EC7865"/>
    <w:rsid w:val="00EC79A0"/>
    <w:rsid w:val="00ED0469"/>
    <w:rsid w:val="00ED1869"/>
    <w:rsid w:val="00ED195F"/>
    <w:rsid w:val="00ED203A"/>
    <w:rsid w:val="00ED3BB2"/>
    <w:rsid w:val="00ED4345"/>
    <w:rsid w:val="00ED43C8"/>
    <w:rsid w:val="00ED482A"/>
    <w:rsid w:val="00ED51F7"/>
    <w:rsid w:val="00ED593B"/>
    <w:rsid w:val="00ED64B4"/>
    <w:rsid w:val="00ED6E52"/>
    <w:rsid w:val="00ED7137"/>
    <w:rsid w:val="00ED7359"/>
    <w:rsid w:val="00EE25AE"/>
    <w:rsid w:val="00EE3F55"/>
    <w:rsid w:val="00EE40EB"/>
    <w:rsid w:val="00EE5D14"/>
    <w:rsid w:val="00EE7057"/>
    <w:rsid w:val="00EE7B56"/>
    <w:rsid w:val="00EF00C6"/>
    <w:rsid w:val="00EF0427"/>
    <w:rsid w:val="00EF0CF0"/>
    <w:rsid w:val="00EF107C"/>
    <w:rsid w:val="00EF1941"/>
    <w:rsid w:val="00EF1CA2"/>
    <w:rsid w:val="00EF248F"/>
    <w:rsid w:val="00EF2FC4"/>
    <w:rsid w:val="00EF3F4C"/>
    <w:rsid w:val="00EF6C87"/>
    <w:rsid w:val="00EF764E"/>
    <w:rsid w:val="00F00164"/>
    <w:rsid w:val="00F00F94"/>
    <w:rsid w:val="00F030D2"/>
    <w:rsid w:val="00F033C6"/>
    <w:rsid w:val="00F0344D"/>
    <w:rsid w:val="00F0387A"/>
    <w:rsid w:val="00F03A0D"/>
    <w:rsid w:val="00F03CE2"/>
    <w:rsid w:val="00F045E3"/>
    <w:rsid w:val="00F0655F"/>
    <w:rsid w:val="00F0771B"/>
    <w:rsid w:val="00F12497"/>
    <w:rsid w:val="00F13104"/>
    <w:rsid w:val="00F13BBA"/>
    <w:rsid w:val="00F13F52"/>
    <w:rsid w:val="00F14EE9"/>
    <w:rsid w:val="00F21CE9"/>
    <w:rsid w:val="00F22BA9"/>
    <w:rsid w:val="00F23BEC"/>
    <w:rsid w:val="00F240B0"/>
    <w:rsid w:val="00F24E79"/>
    <w:rsid w:val="00F25240"/>
    <w:rsid w:val="00F26499"/>
    <w:rsid w:val="00F26565"/>
    <w:rsid w:val="00F27514"/>
    <w:rsid w:val="00F305AD"/>
    <w:rsid w:val="00F308D3"/>
    <w:rsid w:val="00F31820"/>
    <w:rsid w:val="00F31845"/>
    <w:rsid w:val="00F3193A"/>
    <w:rsid w:val="00F32A65"/>
    <w:rsid w:val="00F32AB4"/>
    <w:rsid w:val="00F335AE"/>
    <w:rsid w:val="00F33851"/>
    <w:rsid w:val="00F343D3"/>
    <w:rsid w:val="00F35F09"/>
    <w:rsid w:val="00F36061"/>
    <w:rsid w:val="00F372CB"/>
    <w:rsid w:val="00F41964"/>
    <w:rsid w:val="00F419A3"/>
    <w:rsid w:val="00F445DB"/>
    <w:rsid w:val="00F44B3C"/>
    <w:rsid w:val="00F45178"/>
    <w:rsid w:val="00F46170"/>
    <w:rsid w:val="00F470AF"/>
    <w:rsid w:val="00F5030A"/>
    <w:rsid w:val="00F51329"/>
    <w:rsid w:val="00F52709"/>
    <w:rsid w:val="00F52F20"/>
    <w:rsid w:val="00F56F62"/>
    <w:rsid w:val="00F57497"/>
    <w:rsid w:val="00F5794C"/>
    <w:rsid w:val="00F61926"/>
    <w:rsid w:val="00F62086"/>
    <w:rsid w:val="00F63798"/>
    <w:rsid w:val="00F64530"/>
    <w:rsid w:val="00F64942"/>
    <w:rsid w:val="00F65D06"/>
    <w:rsid w:val="00F66970"/>
    <w:rsid w:val="00F669B8"/>
    <w:rsid w:val="00F671F8"/>
    <w:rsid w:val="00F7098B"/>
    <w:rsid w:val="00F7160E"/>
    <w:rsid w:val="00F71B03"/>
    <w:rsid w:val="00F72377"/>
    <w:rsid w:val="00F7395B"/>
    <w:rsid w:val="00F74DFB"/>
    <w:rsid w:val="00F75BB5"/>
    <w:rsid w:val="00F76A15"/>
    <w:rsid w:val="00F82137"/>
    <w:rsid w:val="00F824BE"/>
    <w:rsid w:val="00F82A23"/>
    <w:rsid w:val="00F82AE4"/>
    <w:rsid w:val="00F846D3"/>
    <w:rsid w:val="00F8641A"/>
    <w:rsid w:val="00F86F2B"/>
    <w:rsid w:val="00F9032C"/>
    <w:rsid w:val="00F9093F"/>
    <w:rsid w:val="00F91626"/>
    <w:rsid w:val="00F92979"/>
    <w:rsid w:val="00F929E1"/>
    <w:rsid w:val="00F93C41"/>
    <w:rsid w:val="00F95676"/>
    <w:rsid w:val="00F9614C"/>
    <w:rsid w:val="00F96266"/>
    <w:rsid w:val="00FA27D5"/>
    <w:rsid w:val="00FA3348"/>
    <w:rsid w:val="00FA3CB6"/>
    <w:rsid w:val="00FA3D5F"/>
    <w:rsid w:val="00FA5713"/>
    <w:rsid w:val="00FA64B1"/>
    <w:rsid w:val="00FA6F10"/>
    <w:rsid w:val="00FA76E2"/>
    <w:rsid w:val="00FB0006"/>
    <w:rsid w:val="00FB00A3"/>
    <w:rsid w:val="00FB1724"/>
    <w:rsid w:val="00FB2E51"/>
    <w:rsid w:val="00FB45D5"/>
    <w:rsid w:val="00FB4C68"/>
    <w:rsid w:val="00FB5100"/>
    <w:rsid w:val="00FB5F06"/>
    <w:rsid w:val="00FB674C"/>
    <w:rsid w:val="00FB68AF"/>
    <w:rsid w:val="00FB7DD8"/>
    <w:rsid w:val="00FB7E7B"/>
    <w:rsid w:val="00FC21D8"/>
    <w:rsid w:val="00FC2B13"/>
    <w:rsid w:val="00FC397E"/>
    <w:rsid w:val="00FC43E7"/>
    <w:rsid w:val="00FC4500"/>
    <w:rsid w:val="00FC47B6"/>
    <w:rsid w:val="00FC59D4"/>
    <w:rsid w:val="00FC6DFF"/>
    <w:rsid w:val="00FC70DB"/>
    <w:rsid w:val="00FC7B59"/>
    <w:rsid w:val="00FD0126"/>
    <w:rsid w:val="00FD03F7"/>
    <w:rsid w:val="00FD0714"/>
    <w:rsid w:val="00FD0C3C"/>
    <w:rsid w:val="00FD1541"/>
    <w:rsid w:val="00FD23E3"/>
    <w:rsid w:val="00FD2E04"/>
    <w:rsid w:val="00FD36B6"/>
    <w:rsid w:val="00FD425F"/>
    <w:rsid w:val="00FD6A67"/>
    <w:rsid w:val="00FD6C61"/>
    <w:rsid w:val="00FD7849"/>
    <w:rsid w:val="00FE1E8B"/>
    <w:rsid w:val="00FE26A2"/>
    <w:rsid w:val="00FE2956"/>
    <w:rsid w:val="00FE61E6"/>
    <w:rsid w:val="00FE7F9E"/>
    <w:rsid w:val="00FF10A1"/>
    <w:rsid w:val="00FF1679"/>
    <w:rsid w:val="00FF1C0F"/>
    <w:rsid w:val="00FF1C20"/>
    <w:rsid w:val="00FF241E"/>
    <w:rsid w:val="00FF461A"/>
    <w:rsid w:val="00FF5384"/>
    <w:rsid w:val="00FF65B4"/>
    <w:rsid w:val="00FF68EF"/>
    <w:rsid w:val="00FF75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746758CB"/>
  <w15:docId w15:val="{A7EECF78-587F-4FCB-95E9-3837A7668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lsdException w:name="heading 3" w:uiPriority="0"/>
    <w:lsdException w:name="heading 4" w:uiPriority="0"/>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1A7"/>
    <w:pPr>
      <w:spacing w:after="120"/>
      <w:ind w:firstLine="709"/>
      <w:jc w:val="both"/>
    </w:pPr>
    <w:rPr>
      <w:sz w:val="24"/>
      <w:lang w:eastAsia="en-US"/>
    </w:rPr>
  </w:style>
  <w:style w:type="paragraph" w:styleId="Heading1">
    <w:name w:val="heading 1"/>
    <w:basedOn w:val="Normal"/>
    <w:next w:val="Normal"/>
    <w:rsid w:val="00756BEB"/>
    <w:pPr>
      <w:keepNext/>
      <w:outlineLvl w:val="0"/>
    </w:pPr>
    <w:rPr>
      <w:b/>
    </w:rPr>
  </w:style>
  <w:style w:type="paragraph" w:styleId="Heading2">
    <w:name w:val="heading 2"/>
    <w:basedOn w:val="Normal"/>
    <w:next w:val="Normal"/>
    <w:rsid w:val="00756BEB"/>
    <w:pPr>
      <w:keepNext/>
      <w:spacing w:before="240" w:after="60"/>
      <w:outlineLvl w:val="1"/>
    </w:pPr>
    <w:rPr>
      <w:rFonts w:ascii="Arial" w:hAnsi="Arial" w:cs="Arial"/>
      <w:b/>
      <w:bCs/>
      <w:i/>
      <w:iCs/>
      <w:szCs w:val="28"/>
    </w:rPr>
  </w:style>
  <w:style w:type="paragraph" w:styleId="Heading3">
    <w:name w:val="heading 3"/>
    <w:basedOn w:val="Normal"/>
    <w:next w:val="Normal"/>
    <w:rsid w:val="00756BEB"/>
    <w:pPr>
      <w:keepNext/>
      <w:spacing w:before="240" w:after="60"/>
      <w:outlineLvl w:val="2"/>
    </w:pPr>
    <w:rPr>
      <w:rFonts w:ascii="Arial" w:hAnsi="Arial"/>
    </w:rPr>
  </w:style>
  <w:style w:type="paragraph" w:styleId="Heading4">
    <w:name w:val="heading 4"/>
    <w:basedOn w:val="Normal"/>
    <w:next w:val="Normal"/>
    <w:link w:val="Heading4Char"/>
    <w:rsid w:val="00756BEB"/>
    <w:pPr>
      <w:keepNext/>
      <w:spacing w:after="0"/>
      <w:ind w:firstLine="0"/>
      <w:outlineLvl w:val="3"/>
    </w:pPr>
  </w:style>
  <w:style w:type="paragraph" w:styleId="Heading5">
    <w:name w:val="heading 5"/>
    <w:basedOn w:val="Normal"/>
    <w:next w:val="Normal"/>
    <w:link w:val="Heading5Char"/>
    <w:uiPriority w:val="9"/>
    <w:semiHidden/>
    <w:unhideWhenUsed/>
    <w:rsid w:val="002A5E0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56BEB"/>
    <w:pPr>
      <w:tabs>
        <w:tab w:val="center" w:pos="4153"/>
        <w:tab w:val="right" w:pos="8306"/>
      </w:tabs>
      <w:spacing w:after="0"/>
      <w:ind w:firstLine="0"/>
    </w:pPr>
    <w:rPr>
      <w:sz w:val="20"/>
    </w:rPr>
  </w:style>
  <w:style w:type="character" w:customStyle="1" w:styleId="FooterChar">
    <w:name w:val="Footer Char"/>
    <w:link w:val="Footer"/>
    <w:uiPriority w:val="99"/>
    <w:locked/>
    <w:rsid w:val="002E0855"/>
    <w:rPr>
      <w:lang w:eastAsia="en-US"/>
    </w:rPr>
  </w:style>
  <w:style w:type="paragraph" w:customStyle="1" w:styleId="H4">
    <w:name w:val="H4"/>
    <w:uiPriority w:val="99"/>
    <w:qFormat/>
    <w:rsid w:val="009731A7"/>
    <w:pPr>
      <w:spacing w:after="120"/>
      <w:jc w:val="center"/>
      <w:outlineLvl w:val="3"/>
    </w:pPr>
    <w:rPr>
      <w:b/>
      <w:sz w:val="28"/>
      <w:lang w:eastAsia="en-US"/>
    </w:rPr>
  </w:style>
  <w:style w:type="paragraph" w:customStyle="1" w:styleId="H3">
    <w:name w:val="H3"/>
    <w:qFormat/>
    <w:rsid w:val="009731A7"/>
    <w:pPr>
      <w:spacing w:after="120"/>
      <w:jc w:val="center"/>
      <w:outlineLvl w:val="2"/>
    </w:pPr>
    <w:rPr>
      <w:b/>
      <w:sz w:val="32"/>
      <w:lang w:eastAsia="en-US"/>
    </w:rPr>
  </w:style>
  <w:style w:type="paragraph" w:customStyle="1" w:styleId="H2">
    <w:name w:val="H2"/>
    <w:qFormat/>
    <w:rsid w:val="009731A7"/>
    <w:pPr>
      <w:spacing w:after="120"/>
      <w:jc w:val="center"/>
      <w:outlineLvl w:val="1"/>
    </w:pPr>
    <w:rPr>
      <w:b/>
      <w:sz w:val="36"/>
      <w:lang w:eastAsia="en-US"/>
    </w:rPr>
  </w:style>
  <w:style w:type="paragraph" w:customStyle="1" w:styleId="H1">
    <w:name w:val="H1"/>
    <w:qFormat/>
    <w:rsid w:val="009731A7"/>
    <w:pPr>
      <w:spacing w:after="120"/>
      <w:jc w:val="center"/>
      <w:outlineLvl w:val="0"/>
    </w:pPr>
    <w:rPr>
      <w:b/>
      <w:sz w:val="44"/>
      <w:lang w:eastAsia="en-US"/>
    </w:rPr>
  </w:style>
  <w:style w:type="paragraph" w:customStyle="1" w:styleId="T">
    <w:name w:val="T"/>
    <w:basedOn w:val="Normal"/>
    <w:rsid w:val="009731A7"/>
    <w:pPr>
      <w:keepNext/>
      <w:ind w:firstLine="0"/>
      <w:jc w:val="center"/>
    </w:pPr>
    <w:rPr>
      <w:b/>
      <w:i/>
    </w:rPr>
  </w:style>
  <w:style w:type="paragraph" w:customStyle="1" w:styleId="Z">
    <w:name w:val="Z"/>
    <w:basedOn w:val="T"/>
    <w:uiPriority w:val="99"/>
    <w:rsid w:val="009731A7"/>
    <w:pPr>
      <w:keepNext w:val="0"/>
    </w:pPr>
  </w:style>
  <w:style w:type="character" w:styleId="PageNumber">
    <w:name w:val="page number"/>
    <w:basedOn w:val="DefaultParagraphFont"/>
    <w:semiHidden/>
    <w:rsid w:val="00756BEB"/>
  </w:style>
  <w:style w:type="paragraph" w:styleId="Header">
    <w:name w:val="header"/>
    <w:basedOn w:val="Normal"/>
    <w:semiHidden/>
    <w:rsid w:val="00756BEB"/>
    <w:pPr>
      <w:tabs>
        <w:tab w:val="center" w:pos="4153"/>
        <w:tab w:val="right" w:pos="8306"/>
      </w:tabs>
      <w:spacing w:after="0"/>
      <w:ind w:firstLine="0"/>
    </w:pPr>
  </w:style>
  <w:style w:type="paragraph" w:customStyle="1" w:styleId="paraksti">
    <w:name w:val="paraksti"/>
    <w:basedOn w:val="Normal"/>
    <w:qFormat/>
    <w:rsid w:val="009731A7"/>
    <w:pPr>
      <w:ind w:firstLine="0"/>
    </w:pPr>
    <w:rPr>
      <w:i/>
      <w:sz w:val="18"/>
    </w:rPr>
  </w:style>
  <w:style w:type="paragraph" w:styleId="FootnoteText">
    <w:name w:val="footnote text"/>
    <w:basedOn w:val="Normal"/>
    <w:link w:val="FootnoteTextChar"/>
    <w:uiPriority w:val="99"/>
    <w:semiHidden/>
    <w:rsid w:val="00756BEB"/>
    <w:rPr>
      <w:sz w:val="20"/>
    </w:rPr>
  </w:style>
  <w:style w:type="character" w:customStyle="1" w:styleId="FootnoteTextChar">
    <w:name w:val="Footnote Text Char"/>
    <w:link w:val="FootnoteText"/>
    <w:uiPriority w:val="99"/>
    <w:semiHidden/>
    <w:rsid w:val="00831B78"/>
    <w:rPr>
      <w:lang w:eastAsia="en-US"/>
    </w:rPr>
  </w:style>
  <w:style w:type="paragraph" w:styleId="TOC1">
    <w:name w:val="toc 1"/>
    <w:basedOn w:val="Normal"/>
    <w:next w:val="Normal"/>
    <w:autoRedefine/>
    <w:semiHidden/>
    <w:rsid w:val="00756BEB"/>
    <w:pPr>
      <w:tabs>
        <w:tab w:val="right" w:leader="dot" w:pos="9061"/>
      </w:tabs>
      <w:ind w:firstLine="0"/>
    </w:pPr>
    <w:rPr>
      <w:noProof/>
      <w:szCs w:val="36"/>
    </w:rPr>
  </w:style>
  <w:style w:type="paragraph" w:styleId="TOC2">
    <w:name w:val="toc 2"/>
    <w:basedOn w:val="Normal"/>
    <w:next w:val="Normal"/>
    <w:autoRedefine/>
    <w:semiHidden/>
    <w:rsid w:val="00756BEB"/>
    <w:pPr>
      <w:tabs>
        <w:tab w:val="right" w:leader="dot" w:pos="9061"/>
      </w:tabs>
      <w:spacing w:after="0"/>
    </w:pPr>
    <w:rPr>
      <w:noProof/>
      <w:szCs w:val="32"/>
    </w:rPr>
  </w:style>
  <w:style w:type="paragraph" w:styleId="TOC3">
    <w:name w:val="toc 3"/>
    <w:basedOn w:val="Normal"/>
    <w:next w:val="Normal"/>
    <w:autoRedefine/>
    <w:semiHidden/>
    <w:rsid w:val="00756BEB"/>
    <w:pPr>
      <w:tabs>
        <w:tab w:val="right" w:leader="dot" w:pos="9061"/>
      </w:tabs>
      <w:spacing w:after="0"/>
      <w:ind w:left="1134" w:firstLine="0"/>
      <w:jc w:val="left"/>
    </w:pPr>
    <w:rPr>
      <w:noProof/>
      <w:szCs w:val="28"/>
    </w:rPr>
  </w:style>
  <w:style w:type="paragraph" w:styleId="BalloonText">
    <w:name w:val="Balloon Text"/>
    <w:basedOn w:val="Normal"/>
    <w:link w:val="BalloonTextChar"/>
    <w:uiPriority w:val="99"/>
    <w:semiHidden/>
    <w:unhideWhenUsed/>
    <w:rsid w:val="00F71B03"/>
    <w:pPr>
      <w:spacing w:after="0"/>
    </w:pPr>
    <w:rPr>
      <w:rFonts w:ascii="Tahoma" w:hAnsi="Tahoma" w:cs="Tahoma"/>
      <w:sz w:val="16"/>
      <w:szCs w:val="16"/>
    </w:rPr>
  </w:style>
  <w:style w:type="character" w:customStyle="1" w:styleId="BalloonTextChar">
    <w:name w:val="Balloon Text Char"/>
    <w:link w:val="BalloonText"/>
    <w:uiPriority w:val="99"/>
    <w:semiHidden/>
    <w:rsid w:val="00F71B03"/>
    <w:rPr>
      <w:rFonts w:ascii="Tahoma" w:hAnsi="Tahoma" w:cs="Tahoma"/>
      <w:sz w:val="16"/>
      <w:szCs w:val="16"/>
      <w:lang w:eastAsia="en-US"/>
    </w:rPr>
  </w:style>
  <w:style w:type="paragraph" w:styleId="EndnoteText">
    <w:name w:val="endnote text"/>
    <w:basedOn w:val="Normal"/>
    <w:link w:val="EndnoteTextChar"/>
    <w:uiPriority w:val="99"/>
    <w:semiHidden/>
    <w:unhideWhenUsed/>
    <w:rsid w:val="006A04B2"/>
    <w:rPr>
      <w:sz w:val="20"/>
    </w:rPr>
  </w:style>
  <w:style w:type="character" w:customStyle="1" w:styleId="EndnoteTextChar">
    <w:name w:val="Endnote Text Char"/>
    <w:link w:val="EndnoteText"/>
    <w:uiPriority w:val="99"/>
    <w:semiHidden/>
    <w:rsid w:val="006A04B2"/>
    <w:rPr>
      <w:lang w:eastAsia="en-US"/>
    </w:rPr>
  </w:style>
  <w:style w:type="character" w:styleId="EndnoteReference">
    <w:name w:val="endnote reference"/>
    <w:uiPriority w:val="99"/>
    <w:semiHidden/>
    <w:unhideWhenUsed/>
    <w:rsid w:val="006A04B2"/>
    <w:rPr>
      <w:vertAlign w:val="superscript"/>
    </w:rPr>
  </w:style>
  <w:style w:type="character" w:styleId="Hyperlink">
    <w:name w:val="Hyperlink"/>
    <w:uiPriority w:val="99"/>
    <w:semiHidden/>
    <w:unhideWhenUsed/>
    <w:rsid w:val="006F62DF"/>
    <w:rPr>
      <w:color w:val="AA1317"/>
      <w:u w:val="single"/>
    </w:rPr>
  </w:style>
  <w:style w:type="character" w:styleId="CommentReference">
    <w:name w:val="annotation reference"/>
    <w:uiPriority w:val="99"/>
    <w:semiHidden/>
    <w:unhideWhenUsed/>
    <w:rsid w:val="00322541"/>
    <w:rPr>
      <w:sz w:val="16"/>
      <w:szCs w:val="16"/>
    </w:rPr>
  </w:style>
  <w:style w:type="paragraph" w:styleId="CommentText">
    <w:name w:val="annotation text"/>
    <w:basedOn w:val="Normal"/>
    <w:link w:val="CommentTextChar"/>
    <w:uiPriority w:val="99"/>
    <w:semiHidden/>
    <w:unhideWhenUsed/>
    <w:rsid w:val="00322541"/>
    <w:rPr>
      <w:sz w:val="20"/>
    </w:rPr>
  </w:style>
  <w:style w:type="character" w:customStyle="1" w:styleId="CommentTextChar">
    <w:name w:val="Comment Text Char"/>
    <w:link w:val="CommentText"/>
    <w:uiPriority w:val="99"/>
    <w:semiHidden/>
    <w:rsid w:val="00322541"/>
    <w:rPr>
      <w:lang w:eastAsia="en-US"/>
    </w:rPr>
  </w:style>
  <w:style w:type="paragraph" w:styleId="CommentSubject">
    <w:name w:val="annotation subject"/>
    <w:basedOn w:val="CommentText"/>
    <w:next w:val="CommentText"/>
    <w:link w:val="CommentSubjectChar"/>
    <w:uiPriority w:val="99"/>
    <w:semiHidden/>
    <w:unhideWhenUsed/>
    <w:rsid w:val="00322541"/>
    <w:rPr>
      <w:b/>
      <w:bCs/>
    </w:rPr>
  </w:style>
  <w:style w:type="character" w:customStyle="1" w:styleId="CommentSubjectChar">
    <w:name w:val="Comment Subject Char"/>
    <w:link w:val="CommentSubject"/>
    <w:uiPriority w:val="99"/>
    <w:semiHidden/>
    <w:rsid w:val="00322541"/>
    <w:rPr>
      <w:b/>
      <w:bCs/>
      <w:lang w:eastAsia="en-US"/>
    </w:rPr>
  </w:style>
  <w:style w:type="paragraph" w:customStyle="1" w:styleId="Default">
    <w:name w:val="Default"/>
    <w:rsid w:val="009807D4"/>
    <w:pPr>
      <w:autoSpaceDE w:val="0"/>
      <w:autoSpaceDN w:val="0"/>
      <w:adjustRightInd w:val="0"/>
    </w:pPr>
    <w:rPr>
      <w:color w:val="000000"/>
      <w:sz w:val="24"/>
      <w:szCs w:val="24"/>
    </w:rPr>
  </w:style>
  <w:style w:type="paragraph" w:customStyle="1" w:styleId="cipari">
    <w:name w:val="cipari"/>
    <w:basedOn w:val="Normal"/>
    <w:qFormat/>
    <w:rsid w:val="009731A7"/>
    <w:pPr>
      <w:ind w:left="720" w:hanging="720"/>
    </w:pPr>
    <w:rPr>
      <w:bCs/>
    </w:rPr>
  </w:style>
  <w:style w:type="paragraph" w:customStyle="1" w:styleId="cipariiturp">
    <w:name w:val="ciparii_turp"/>
    <w:basedOn w:val="cipari"/>
    <w:qFormat/>
    <w:rsid w:val="009731A7"/>
    <w:pPr>
      <w:ind w:left="709" w:firstLine="0"/>
    </w:pPr>
    <w:rPr>
      <w:bCs w:val="0"/>
    </w:rPr>
  </w:style>
  <w:style w:type="paragraph" w:customStyle="1" w:styleId="funkcijas">
    <w:name w:val="funkcijas"/>
    <w:basedOn w:val="Normal"/>
    <w:qFormat/>
    <w:rsid w:val="009731A7"/>
    <w:pPr>
      <w:ind w:firstLine="0"/>
    </w:pPr>
    <w:rPr>
      <w:bCs/>
      <w:u w:val="single"/>
    </w:rPr>
  </w:style>
  <w:style w:type="paragraph" w:customStyle="1" w:styleId="Funkcijasbold">
    <w:name w:val="Funkcijas_bold"/>
    <w:basedOn w:val="Normal"/>
    <w:qFormat/>
    <w:rsid w:val="009731A7"/>
    <w:pPr>
      <w:ind w:firstLine="0"/>
    </w:pPr>
    <w:rPr>
      <w:b/>
      <w:bCs/>
    </w:rPr>
  </w:style>
  <w:style w:type="paragraph" w:customStyle="1" w:styleId="izdevumi">
    <w:name w:val="izdevumi"/>
    <w:basedOn w:val="Normal"/>
    <w:qFormat/>
    <w:rsid w:val="009731A7"/>
    <w:pPr>
      <w:widowControl w:val="0"/>
      <w:spacing w:before="120"/>
      <w:ind w:left="567" w:firstLine="0"/>
    </w:pPr>
    <w:rPr>
      <w:i/>
    </w:rPr>
  </w:style>
  <w:style w:type="paragraph" w:customStyle="1" w:styleId="programmas">
    <w:name w:val="programmas"/>
    <w:basedOn w:val="Normal"/>
    <w:qFormat/>
    <w:rsid w:val="009731A7"/>
    <w:pPr>
      <w:widowControl w:val="0"/>
      <w:spacing w:before="240"/>
      <w:ind w:firstLine="0"/>
      <w:jc w:val="center"/>
    </w:pPr>
    <w:rPr>
      <w:b/>
      <w:lang w:val="en-US"/>
    </w:rPr>
  </w:style>
  <w:style w:type="paragraph" w:customStyle="1" w:styleId="samazpaliel">
    <w:name w:val="samaz_paliel"/>
    <w:basedOn w:val="Normal"/>
    <w:qFormat/>
    <w:rsid w:val="009731A7"/>
    <w:pPr>
      <w:widowControl w:val="0"/>
      <w:ind w:firstLine="0"/>
    </w:pPr>
    <w:rPr>
      <w:b/>
      <w:u w:val="single"/>
    </w:rPr>
  </w:style>
  <w:style w:type="paragraph" w:customStyle="1" w:styleId="tabteksts">
    <w:name w:val="tab_teksts"/>
    <w:basedOn w:val="Normal"/>
    <w:qFormat/>
    <w:rsid w:val="009731A7"/>
    <w:pPr>
      <w:spacing w:after="0"/>
      <w:ind w:firstLine="0"/>
      <w:jc w:val="left"/>
    </w:pPr>
    <w:rPr>
      <w:sz w:val="18"/>
    </w:rPr>
  </w:style>
  <w:style w:type="paragraph" w:customStyle="1" w:styleId="Tabuluvirsraksti">
    <w:name w:val="Tabulu_virsraksti"/>
    <w:basedOn w:val="Normal"/>
    <w:qFormat/>
    <w:rsid w:val="009731A7"/>
    <w:pPr>
      <w:ind w:firstLine="0"/>
      <w:jc w:val="center"/>
    </w:pPr>
  </w:style>
  <w:style w:type="numbering" w:customStyle="1" w:styleId="NoList1">
    <w:name w:val="No List1"/>
    <w:next w:val="NoList"/>
    <w:uiPriority w:val="99"/>
    <w:semiHidden/>
    <w:unhideWhenUsed/>
    <w:rsid w:val="003613E3"/>
  </w:style>
  <w:style w:type="character" w:styleId="FootnoteReference">
    <w:name w:val="footnote reference"/>
    <w:aliases w:val="Footnote Reference Number,Footnote symbol,Footnote Reference Superscript,ftref"/>
    <w:uiPriority w:val="99"/>
    <w:rsid w:val="00C31790"/>
    <w:rPr>
      <w:vertAlign w:val="superscript"/>
    </w:rPr>
  </w:style>
  <w:style w:type="paragraph" w:styleId="ListParagraph">
    <w:name w:val="List Paragraph"/>
    <w:aliases w:val="2,Numbered Para 1,Dot pt,No Spacing1,List Paragraph Char Char Char,Indicator Text,Bullet 1,Bullet Points,MAIN CONTENT,IFCL - List Paragraph,List Paragraph12,OBC Bullet,F5 List Paragraph,Colorful List - Accent 11,Strip,Akapit z listą BS"/>
    <w:basedOn w:val="Normal"/>
    <w:link w:val="ListParagraphChar"/>
    <w:uiPriority w:val="34"/>
    <w:qFormat/>
    <w:rsid w:val="00E1108A"/>
    <w:pPr>
      <w:ind w:left="720"/>
      <w:contextualSpacing/>
    </w:pPr>
  </w:style>
  <w:style w:type="paragraph" w:customStyle="1" w:styleId="tabtekst">
    <w:name w:val="tab_tekst"/>
    <w:basedOn w:val="Normal"/>
    <w:uiPriority w:val="99"/>
    <w:rsid w:val="00C9439C"/>
    <w:pPr>
      <w:spacing w:after="0"/>
      <w:ind w:firstLine="0"/>
      <w:jc w:val="left"/>
    </w:pPr>
    <w:rPr>
      <w:snapToGrid w:val="0"/>
      <w:color w:val="000000"/>
      <w:sz w:val="20"/>
    </w:rPr>
  </w:style>
  <w:style w:type="paragraph" w:styleId="NoSpacing">
    <w:name w:val="No Spacing"/>
    <w:uiPriority w:val="1"/>
    <w:qFormat/>
    <w:rsid w:val="00C9439C"/>
    <w:pPr>
      <w:ind w:firstLine="720"/>
      <w:jc w:val="both"/>
    </w:pPr>
    <w:rPr>
      <w:sz w:val="24"/>
      <w:lang w:eastAsia="en-US"/>
    </w:rPr>
  </w:style>
  <w:style w:type="paragraph" w:styleId="ListBullet2">
    <w:name w:val="List Bullet 2"/>
    <w:basedOn w:val="Normal"/>
    <w:unhideWhenUsed/>
    <w:rsid w:val="00C9439C"/>
    <w:pPr>
      <w:numPr>
        <w:numId w:val="1"/>
      </w:numPr>
      <w:spacing w:after="0"/>
      <w:jc w:val="left"/>
    </w:pPr>
    <w:rPr>
      <w:sz w:val="20"/>
      <w:lang w:val="en-US" w:eastAsia="lv-LV"/>
    </w:rPr>
  </w:style>
  <w:style w:type="character" w:customStyle="1" w:styleId="apple-converted-space">
    <w:name w:val="apple-converted-space"/>
    <w:rsid w:val="00DB28ED"/>
  </w:style>
  <w:style w:type="character" w:styleId="Strong">
    <w:name w:val="Strong"/>
    <w:uiPriority w:val="22"/>
    <w:qFormat/>
    <w:rsid w:val="00995C35"/>
    <w:rPr>
      <w:b/>
      <w:bCs/>
    </w:rPr>
  </w:style>
  <w:style w:type="paragraph" w:customStyle="1" w:styleId="Pointabc">
    <w:name w:val="Point abc"/>
    <w:basedOn w:val="Normal"/>
    <w:rsid w:val="00995C35"/>
    <w:pPr>
      <w:numPr>
        <w:ilvl w:val="1"/>
        <w:numId w:val="2"/>
      </w:numPr>
      <w:spacing w:before="120" w:line="360" w:lineRule="auto"/>
      <w:jc w:val="left"/>
    </w:pPr>
    <w:rPr>
      <w:szCs w:val="24"/>
      <w:lang w:val="en-GB"/>
    </w:rPr>
  </w:style>
  <w:style w:type="paragraph" w:customStyle="1" w:styleId="Pointabc1">
    <w:name w:val="Point abc (1)"/>
    <w:basedOn w:val="Normal"/>
    <w:rsid w:val="00995C35"/>
    <w:pPr>
      <w:numPr>
        <w:ilvl w:val="3"/>
        <w:numId w:val="2"/>
      </w:numPr>
      <w:spacing w:before="120" w:line="360" w:lineRule="auto"/>
      <w:jc w:val="left"/>
      <w:outlineLvl w:val="0"/>
    </w:pPr>
    <w:rPr>
      <w:szCs w:val="24"/>
      <w:lang w:val="en-GB"/>
    </w:rPr>
  </w:style>
  <w:style w:type="paragraph" w:customStyle="1" w:styleId="Pointabc2">
    <w:name w:val="Point abc (2)"/>
    <w:basedOn w:val="Normal"/>
    <w:rsid w:val="00995C35"/>
    <w:pPr>
      <w:numPr>
        <w:ilvl w:val="5"/>
        <w:numId w:val="2"/>
      </w:numPr>
      <w:spacing w:before="120" w:line="360" w:lineRule="auto"/>
      <w:jc w:val="left"/>
      <w:outlineLvl w:val="1"/>
    </w:pPr>
    <w:rPr>
      <w:szCs w:val="24"/>
      <w:lang w:val="en-GB"/>
    </w:rPr>
  </w:style>
  <w:style w:type="paragraph" w:customStyle="1" w:styleId="Pointabc3">
    <w:name w:val="Point abc (3)"/>
    <w:basedOn w:val="Normal"/>
    <w:rsid w:val="00995C35"/>
    <w:pPr>
      <w:numPr>
        <w:ilvl w:val="7"/>
        <w:numId w:val="2"/>
      </w:numPr>
      <w:spacing w:before="120" w:line="360" w:lineRule="auto"/>
      <w:jc w:val="left"/>
      <w:outlineLvl w:val="2"/>
    </w:pPr>
    <w:rPr>
      <w:szCs w:val="24"/>
      <w:lang w:val="en-GB"/>
    </w:rPr>
  </w:style>
  <w:style w:type="paragraph" w:customStyle="1" w:styleId="Pointabc4">
    <w:name w:val="Point abc (4)"/>
    <w:basedOn w:val="Normal"/>
    <w:rsid w:val="00995C35"/>
    <w:pPr>
      <w:numPr>
        <w:ilvl w:val="8"/>
        <w:numId w:val="2"/>
      </w:numPr>
      <w:spacing w:before="120" w:line="360" w:lineRule="auto"/>
      <w:jc w:val="left"/>
      <w:outlineLvl w:val="3"/>
    </w:pPr>
    <w:rPr>
      <w:szCs w:val="24"/>
      <w:lang w:val="en-GB"/>
    </w:rPr>
  </w:style>
  <w:style w:type="paragraph" w:customStyle="1" w:styleId="Point123">
    <w:name w:val="Point 123"/>
    <w:basedOn w:val="Normal"/>
    <w:rsid w:val="00995C35"/>
    <w:pPr>
      <w:numPr>
        <w:numId w:val="2"/>
      </w:numPr>
      <w:spacing w:before="120" w:line="360" w:lineRule="auto"/>
      <w:jc w:val="left"/>
    </w:pPr>
    <w:rPr>
      <w:szCs w:val="24"/>
      <w:lang w:val="en-GB"/>
    </w:rPr>
  </w:style>
  <w:style w:type="paragraph" w:customStyle="1" w:styleId="Point1231">
    <w:name w:val="Point 123 (1)"/>
    <w:basedOn w:val="Normal"/>
    <w:rsid w:val="00995C35"/>
    <w:pPr>
      <w:numPr>
        <w:ilvl w:val="2"/>
        <w:numId w:val="2"/>
      </w:numPr>
      <w:spacing w:before="120" w:line="360" w:lineRule="auto"/>
      <w:jc w:val="left"/>
      <w:outlineLvl w:val="0"/>
    </w:pPr>
    <w:rPr>
      <w:szCs w:val="24"/>
      <w:lang w:val="en-GB"/>
    </w:rPr>
  </w:style>
  <w:style w:type="paragraph" w:customStyle="1" w:styleId="Point1232">
    <w:name w:val="Point 123 (2)"/>
    <w:basedOn w:val="Normal"/>
    <w:rsid w:val="00995C35"/>
    <w:pPr>
      <w:numPr>
        <w:ilvl w:val="4"/>
        <w:numId w:val="2"/>
      </w:numPr>
      <w:spacing w:before="120" w:line="360" w:lineRule="auto"/>
      <w:jc w:val="left"/>
      <w:outlineLvl w:val="1"/>
    </w:pPr>
    <w:rPr>
      <w:szCs w:val="24"/>
      <w:lang w:val="en-GB"/>
    </w:rPr>
  </w:style>
  <w:style w:type="paragraph" w:customStyle="1" w:styleId="Point1233">
    <w:name w:val="Point 123 (3)"/>
    <w:basedOn w:val="Normal"/>
    <w:rsid w:val="00995C35"/>
    <w:pPr>
      <w:numPr>
        <w:ilvl w:val="6"/>
        <w:numId w:val="2"/>
      </w:numPr>
      <w:spacing w:before="120" w:line="360" w:lineRule="auto"/>
      <w:jc w:val="left"/>
      <w:outlineLvl w:val="2"/>
    </w:pPr>
    <w:rPr>
      <w:szCs w:val="24"/>
      <w:lang w:val="en-GB"/>
    </w:rPr>
  </w:style>
  <w:style w:type="character" w:customStyle="1" w:styleId="ListParagraphChar">
    <w:name w:val="List Paragraph Char"/>
    <w:aliases w:val="2 Char,Numbered Para 1 Char,Dot pt Char,No Spacing1 Char,List Paragraph Char Char Char Char,Indicator Text Char,Bullet 1 Char,Bullet Points Char,MAIN CONTENT Char,IFCL - List Paragraph Char,List Paragraph12 Char,OBC Bullet Char"/>
    <w:link w:val="ListParagraph"/>
    <w:uiPriority w:val="34"/>
    <w:qFormat/>
    <w:locked/>
    <w:rsid w:val="007870D7"/>
    <w:rPr>
      <w:sz w:val="24"/>
      <w:lang w:eastAsia="en-US"/>
    </w:rPr>
  </w:style>
  <w:style w:type="character" w:styleId="Emphasis">
    <w:name w:val="Emphasis"/>
    <w:basedOn w:val="DefaultParagraphFont"/>
    <w:uiPriority w:val="20"/>
    <w:qFormat/>
    <w:rsid w:val="007870D7"/>
    <w:rPr>
      <w:i/>
      <w:iCs/>
    </w:rPr>
  </w:style>
  <w:style w:type="paragraph" w:styleId="NormalWeb">
    <w:name w:val="Normal (Web)"/>
    <w:basedOn w:val="Normal"/>
    <w:uiPriority w:val="99"/>
    <w:semiHidden/>
    <w:unhideWhenUsed/>
    <w:rsid w:val="007870D7"/>
    <w:pPr>
      <w:spacing w:before="100" w:beforeAutospacing="1" w:after="100" w:afterAutospacing="1"/>
      <w:ind w:firstLine="0"/>
      <w:jc w:val="left"/>
    </w:pPr>
    <w:rPr>
      <w:szCs w:val="24"/>
      <w:lang w:eastAsia="lv-LV"/>
    </w:rPr>
  </w:style>
  <w:style w:type="table" w:styleId="TableGrid">
    <w:name w:val="Table Grid"/>
    <w:basedOn w:val="TableNormal"/>
    <w:uiPriority w:val="59"/>
    <w:rsid w:val="00A94376"/>
    <w:pPr>
      <w:spacing w:before="120" w:after="120"/>
      <w:ind w:left="284"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FD36B6"/>
    <w:pPr>
      <w:spacing w:after="0"/>
      <w:ind w:firstLine="0"/>
      <w:jc w:val="left"/>
    </w:pPr>
    <w:rPr>
      <w:rFonts w:ascii="Calibri" w:eastAsiaTheme="minorHAnsi" w:hAnsi="Calibri" w:cs="Calibri"/>
      <w:sz w:val="22"/>
      <w:szCs w:val="22"/>
      <w:lang w:eastAsia="lv-LV"/>
    </w:rPr>
  </w:style>
  <w:style w:type="character" w:customStyle="1" w:styleId="Heading5Char">
    <w:name w:val="Heading 5 Char"/>
    <w:basedOn w:val="DefaultParagraphFont"/>
    <w:link w:val="Heading5"/>
    <w:uiPriority w:val="9"/>
    <w:semiHidden/>
    <w:rsid w:val="002A5E08"/>
    <w:rPr>
      <w:rFonts w:asciiTheme="majorHAnsi" w:eastAsiaTheme="majorEastAsia" w:hAnsiTheme="majorHAnsi" w:cstheme="majorBidi"/>
      <w:color w:val="365F91" w:themeColor="accent1" w:themeShade="BF"/>
      <w:sz w:val="24"/>
      <w:lang w:eastAsia="en-US"/>
    </w:rPr>
  </w:style>
  <w:style w:type="paragraph" w:customStyle="1" w:styleId="H5">
    <w:name w:val="H5"/>
    <w:basedOn w:val="Heading5"/>
    <w:link w:val="H5Char"/>
    <w:autoRedefine/>
    <w:qFormat/>
    <w:rsid w:val="002A5E08"/>
    <w:pPr>
      <w:spacing w:before="240" w:after="240"/>
      <w:ind w:firstLine="0"/>
      <w:jc w:val="center"/>
    </w:pPr>
    <w:rPr>
      <w:rFonts w:ascii="Times New Roman" w:hAnsi="Times New Roman" w:cs="Times New Roman"/>
      <w:color w:val="auto"/>
      <w:u w:val="single"/>
    </w:rPr>
  </w:style>
  <w:style w:type="character" w:customStyle="1" w:styleId="Heading4Char">
    <w:name w:val="Heading 4 Char"/>
    <w:basedOn w:val="DefaultParagraphFont"/>
    <w:link w:val="Heading4"/>
    <w:rsid w:val="002A5E08"/>
    <w:rPr>
      <w:sz w:val="24"/>
      <w:lang w:eastAsia="en-US"/>
    </w:rPr>
  </w:style>
  <w:style w:type="character" w:customStyle="1" w:styleId="H5Char">
    <w:name w:val="H5 Char"/>
    <w:basedOn w:val="Heading4Char"/>
    <w:link w:val="H5"/>
    <w:rsid w:val="002A5E08"/>
    <w:rPr>
      <w:rFonts w:eastAsiaTheme="majorEastAsia"/>
      <w:sz w:val="24"/>
      <w:u w:val="single"/>
      <w:lang w:eastAsia="en-US"/>
    </w:rPr>
  </w:style>
  <w:style w:type="character" w:styleId="FollowedHyperlink">
    <w:name w:val="FollowedHyperlink"/>
    <w:basedOn w:val="DefaultParagraphFont"/>
    <w:uiPriority w:val="99"/>
    <w:semiHidden/>
    <w:unhideWhenUsed/>
    <w:rsid w:val="002A5E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7327">
      <w:bodyDiv w:val="1"/>
      <w:marLeft w:val="0"/>
      <w:marRight w:val="0"/>
      <w:marTop w:val="0"/>
      <w:marBottom w:val="0"/>
      <w:divBdr>
        <w:top w:val="none" w:sz="0" w:space="0" w:color="auto"/>
        <w:left w:val="none" w:sz="0" w:space="0" w:color="auto"/>
        <w:bottom w:val="none" w:sz="0" w:space="0" w:color="auto"/>
        <w:right w:val="none" w:sz="0" w:space="0" w:color="auto"/>
      </w:divBdr>
    </w:div>
    <w:div w:id="172960222">
      <w:bodyDiv w:val="1"/>
      <w:marLeft w:val="0"/>
      <w:marRight w:val="0"/>
      <w:marTop w:val="0"/>
      <w:marBottom w:val="0"/>
      <w:divBdr>
        <w:top w:val="none" w:sz="0" w:space="0" w:color="auto"/>
        <w:left w:val="none" w:sz="0" w:space="0" w:color="auto"/>
        <w:bottom w:val="none" w:sz="0" w:space="0" w:color="auto"/>
        <w:right w:val="none" w:sz="0" w:space="0" w:color="auto"/>
      </w:divBdr>
    </w:div>
    <w:div w:id="222837077">
      <w:bodyDiv w:val="1"/>
      <w:marLeft w:val="0"/>
      <w:marRight w:val="0"/>
      <w:marTop w:val="0"/>
      <w:marBottom w:val="0"/>
      <w:divBdr>
        <w:top w:val="none" w:sz="0" w:space="0" w:color="auto"/>
        <w:left w:val="none" w:sz="0" w:space="0" w:color="auto"/>
        <w:bottom w:val="none" w:sz="0" w:space="0" w:color="auto"/>
        <w:right w:val="none" w:sz="0" w:space="0" w:color="auto"/>
      </w:divBdr>
    </w:div>
    <w:div w:id="260266500">
      <w:bodyDiv w:val="1"/>
      <w:marLeft w:val="0"/>
      <w:marRight w:val="0"/>
      <w:marTop w:val="0"/>
      <w:marBottom w:val="0"/>
      <w:divBdr>
        <w:top w:val="none" w:sz="0" w:space="0" w:color="auto"/>
        <w:left w:val="none" w:sz="0" w:space="0" w:color="auto"/>
        <w:bottom w:val="none" w:sz="0" w:space="0" w:color="auto"/>
        <w:right w:val="none" w:sz="0" w:space="0" w:color="auto"/>
      </w:divBdr>
    </w:div>
    <w:div w:id="479076894">
      <w:bodyDiv w:val="1"/>
      <w:marLeft w:val="0"/>
      <w:marRight w:val="0"/>
      <w:marTop w:val="0"/>
      <w:marBottom w:val="0"/>
      <w:divBdr>
        <w:top w:val="none" w:sz="0" w:space="0" w:color="auto"/>
        <w:left w:val="none" w:sz="0" w:space="0" w:color="auto"/>
        <w:bottom w:val="none" w:sz="0" w:space="0" w:color="auto"/>
        <w:right w:val="none" w:sz="0" w:space="0" w:color="auto"/>
      </w:divBdr>
    </w:div>
    <w:div w:id="667706677">
      <w:bodyDiv w:val="1"/>
      <w:marLeft w:val="0"/>
      <w:marRight w:val="0"/>
      <w:marTop w:val="0"/>
      <w:marBottom w:val="0"/>
      <w:divBdr>
        <w:top w:val="none" w:sz="0" w:space="0" w:color="auto"/>
        <w:left w:val="none" w:sz="0" w:space="0" w:color="auto"/>
        <w:bottom w:val="none" w:sz="0" w:space="0" w:color="auto"/>
        <w:right w:val="none" w:sz="0" w:space="0" w:color="auto"/>
      </w:divBdr>
    </w:div>
    <w:div w:id="745152837">
      <w:bodyDiv w:val="1"/>
      <w:marLeft w:val="0"/>
      <w:marRight w:val="0"/>
      <w:marTop w:val="0"/>
      <w:marBottom w:val="0"/>
      <w:divBdr>
        <w:top w:val="none" w:sz="0" w:space="0" w:color="auto"/>
        <w:left w:val="none" w:sz="0" w:space="0" w:color="auto"/>
        <w:bottom w:val="none" w:sz="0" w:space="0" w:color="auto"/>
        <w:right w:val="none" w:sz="0" w:space="0" w:color="auto"/>
      </w:divBdr>
    </w:div>
    <w:div w:id="751050323">
      <w:bodyDiv w:val="1"/>
      <w:marLeft w:val="0"/>
      <w:marRight w:val="0"/>
      <w:marTop w:val="0"/>
      <w:marBottom w:val="0"/>
      <w:divBdr>
        <w:top w:val="none" w:sz="0" w:space="0" w:color="auto"/>
        <w:left w:val="none" w:sz="0" w:space="0" w:color="auto"/>
        <w:bottom w:val="none" w:sz="0" w:space="0" w:color="auto"/>
        <w:right w:val="none" w:sz="0" w:space="0" w:color="auto"/>
      </w:divBdr>
    </w:div>
    <w:div w:id="754547860">
      <w:bodyDiv w:val="1"/>
      <w:marLeft w:val="0"/>
      <w:marRight w:val="0"/>
      <w:marTop w:val="0"/>
      <w:marBottom w:val="0"/>
      <w:divBdr>
        <w:top w:val="none" w:sz="0" w:space="0" w:color="auto"/>
        <w:left w:val="none" w:sz="0" w:space="0" w:color="auto"/>
        <w:bottom w:val="none" w:sz="0" w:space="0" w:color="auto"/>
        <w:right w:val="none" w:sz="0" w:space="0" w:color="auto"/>
      </w:divBdr>
    </w:div>
    <w:div w:id="883568238">
      <w:bodyDiv w:val="1"/>
      <w:marLeft w:val="0"/>
      <w:marRight w:val="0"/>
      <w:marTop w:val="0"/>
      <w:marBottom w:val="0"/>
      <w:divBdr>
        <w:top w:val="none" w:sz="0" w:space="0" w:color="auto"/>
        <w:left w:val="none" w:sz="0" w:space="0" w:color="auto"/>
        <w:bottom w:val="none" w:sz="0" w:space="0" w:color="auto"/>
        <w:right w:val="none" w:sz="0" w:space="0" w:color="auto"/>
      </w:divBdr>
    </w:div>
    <w:div w:id="991103814">
      <w:bodyDiv w:val="1"/>
      <w:marLeft w:val="0"/>
      <w:marRight w:val="0"/>
      <w:marTop w:val="0"/>
      <w:marBottom w:val="0"/>
      <w:divBdr>
        <w:top w:val="none" w:sz="0" w:space="0" w:color="auto"/>
        <w:left w:val="none" w:sz="0" w:space="0" w:color="auto"/>
        <w:bottom w:val="none" w:sz="0" w:space="0" w:color="auto"/>
        <w:right w:val="none" w:sz="0" w:space="0" w:color="auto"/>
      </w:divBdr>
    </w:div>
    <w:div w:id="1030302758">
      <w:bodyDiv w:val="1"/>
      <w:marLeft w:val="0"/>
      <w:marRight w:val="0"/>
      <w:marTop w:val="0"/>
      <w:marBottom w:val="0"/>
      <w:divBdr>
        <w:top w:val="none" w:sz="0" w:space="0" w:color="auto"/>
        <w:left w:val="none" w:sz="0" w:space="0" w:color="auto"/>
        <w:bottom w:val="none" w:sz="0" w:space="0" w:color="auto"/>
        <w:right w:val="none" w:sz="0" w:space="0" w:color="auto"/>
      </w:divBdr>
    </w:div>
    <w:div w:id="1218857053">
      <w:bodyDiv w:val="1"/>
      <w:marLeft w:val="0"/>
      <w:marRight w:val="0"/>
      <w:marTop w:val="0"/>
      <w:marBottom w:val="0"/>
      <w:divBdr>
        <w:top w:val="none" w:sz="0" w:space="0" w:color="auto"/>
        <w:left w:val="none" w:sz="0" w:space="0" w:color="auto"/>
        <w:bottom w:val="none" w:sz="0" w:space="0" w:color="auto"/>
        <w:right w:val="none" w:sz="0" w:space="0" w:color="auto"/>
      </w:divBdr>
      <w:divsChild>
        <w:div w:id="1117141765">
          <w:marLeft w:val="0"/>
          <w:marRight w:val="0"/>
          <w:marTop w:val="100"/>
          <w:marBottom w:val="100"/>
          <w:divBdr>
            <w:top w:val="none" w:sz="0" w:space="0" w:color="auto"/>
            <w:left w:val="none" w:sz="0" w:space="0" w:color="auto"/>
            <w:bottom w:val="none" w:sz="0" w:space="0" w:color="auto"/>
            <w:right w:val="none" w:sz="0" w:space="0" w:color="auto"/>
          </w:divBdr>
          <w:divsChild>
            <w:div w:id="1460536375">
              <w:marLeft w:val="0"/>
              <w:marRight w:val="0"/>
              <w:marTop w:val="0"/>
              <w:marBottom w:val="0"/>
              <w:divBdr>
                <w:top w:val="none" w:sz="0" w:space="0" w:color="auto"/>
                <w:left w:val="none" w:sz="0" w:space="0" w:color="auto"/>
                <w:bottom w:val="none" w:sz="0" w:space="0" w:color="auto"/>
                <w:right w:val="none" w:sz="0" w:space="0" w:color="auto"/>
              </w:divBdr>
              <w:divsChild>
                <w:div w:id="891380031">
                  <w:marLeft w:val="0"/>
                  <w:marRight w:val="0"/>
                  <w:marTop w:val="0"/>
                  <w:marBottom w:val="0"/>
                  <w:divBdr>
                    <w:top w:val="none" w:sz="0" w:space="0" w:color="auto"/>
                    <w:left w:val="none" w:sz="0" w:space="0" w:color="auto"/>
                    <w:bottom w:val="none" w:sz="0" w:space="0" w:color="auto"/>
                    <w:right w:val="none" w:sz="0" w:space="0" w:color="auto"/>
                  </w:divBdr>
                  <w:divsChild>
                    <w:div w:id="1683702780">
                      <w:marLeft w:val="0"/>
                      <w:marRight w:val="0"/>
                      <w:marTop w:val="0"/>
                      <w:marBottom w:val="0"/>
                      <w:divBdr>
                        <w:top w:val="none" w:sz="0" w:space="0" w:color="auto"/>
                        <w:left w:val="none" w:sz="0" w:space="0" w:color="auto"/>
                        <w:bottom w:val="none" w:sz="0" w:space="0" w:color="auto"/>
                        <w:right w:val="none" w:sz="0" w:space="0" w:color="auto"/>
                      </w:divBdr>
                      <w:divsChild>
                        <w:div w:id="680736521">
                          <w:marLeft w:val="0"/>
                          <w:marRight w:val="0"/>
                          <w:marTop w:val="0"/>
                          <w:marBottom w:val="0"/>
                          <w:divBdr>
                            <w:top w:val="none" w:sz="0" w:space="0" w:color="auto"/>
                            <w:left w:val="none" w:sz="0" w:space="0" w:color="auto"/>
                            <w:bottom w:val="none" w:sz="0" w:space="0" w:color="auto"/>
                            <w:right w:val="none" w:sz="0" w:space="0" w:color="auto"/>
                          </w:divBdr>
                          <w:divsChild>
                            <w:div w:id="235751223">
                              <w:marLeft w:val="0"/>
                              <w:marRight w:val="0"/>
                              <w:marTop w:val="0"/>
                              <w:marBottom w:val="0"/>
                              <w:divBdr>
                                <w:top w:val="none" w:sz="0" w:space="0" w:color="auto"/>
                                <w:left w:val="none" w:sz="0" w:space="0" w:color="auto"/>
                                <w:bottom w:val="none" w:sz="0" w:space="0" w:color="auto"/>
                                <w:right w:val="none" w:sz="0" w:space="0" w:color="auto"/>
                              </w:divBdr>
                              <w:divsChild>
                                <w:div w:id="1020665675">
                                  <w:marLeft w:val="0"/>
                                  <w:marRight w:val="0"/>
                                  <w:marTop w:val="0"/>
                                  <w:marBottom w:val="0"/>
                                  <w:divBdr>
                                    <w:top w:val="none" w:sz="0" w:space="0" w:color="auto"/>
                                    <w:left w:val="none" w:sz="0" w:space="0" w:color="auto"/>
                                    <w:bottom w:val="none" w:sz="0" w:space="0" w:color="auto"/>
                                    <w:right w:val="none" w:sz="0" w:space="0" w:color="auto"/>
                                  </w:divBdr>
                                  <w:divsChild>
                                    <w:div w:id="1368989132">
                                      <w:marLeft w:val="0"/>
                                      <w:marRight w:val="0"/>
                                      <w:marTop w:val="0"/>
                                      <w:marBottom w:val="150"/>
                                      <w:divBdr>
                                        <w:top w:val="none" w:sz="0" w:space="0" w:color="auto"/>
                                        <w:left w:val="none" w:sz="0" w:space="0" w:color="auto"/>
                                        <w:bottom w:val="none" w:sz="0" w:space="0" w:color="auto"/>
                                        <w:right w:val="none" w:sz="0" w:space="0" w:color="auto"/>
                                      </w:divBdr>
                                      <w:divsChild>
                                        <w:div w:id="147031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8996723">
      <w:bodyDiv w:val="1"/>
      <w:marLeft w:val="0"/>
      <w:marRight w:val="0"/>
      <w:marTop w:val="0"/>
      <w:marBottom w:val="0"/>
      <w:divBdr>
        <w:top w:val="none" w:sz="0" w:space="0" w:color="auto"/>
        <w:left w:val="none" w:sz="0" w:space="0" w:color="auto"/>
        <w:bottom w:val="none" w:sz="0" w:space="0" w:color="auto"/>
        <w:right w:val="none" w:sz="0" w:space="0" w:color="auto"/>
      </w:divBdr>
    </w:div>
    <w:div w:id="1358116583">
      <w:bodyDiv w:val="1"/>
      <w:marLeft w:val="0"/>
      <w:marRight w:val="0"/>
      <w:marTop w:val="0"/>
      <w:marBottom w:val="0"/>
      <w:divBdr>
        <w:top w:val="none" w:sz="0" w:space="0" w:color="auto"/>
        <w:left w:val="none" w:sz="0" w:space="0" w:color="auto"/>
        <w:bottom w:val="none" w:sz="0" w:space="0" w:color="auto"/>
        <w:right w:val="none" w:sz="0" w:space="0" w:color="auto"/>
      </w:divBdr>
      <w:divsChild>
        <w:div w:id="1892881685">
          <w:marLeft w:val="0"/>
          <w:marRight w:val="0"/>
          <w:marTop w:val="0"/>
          <w:marBottom w:val="0"/>
          <w:divBdr>
            <w:top w:val="none" w:sz="0" w:space="0" w:color="auto"/>
            <w:left w:val="none" w:sz="0" w:space="0" w:color="auto"/>
            <w:bottom w:val="none" w:sz="0" w:space="0" w:color="auto"/>
            <w:right w:val="none" w:sz="0" w:space="0" w:color="auto"/>
          </w:divBdr>
          <w:divsChild>
            <w:div w:id="319695871">
              <w:marLeft w:val="0"/>
              <w:marRight w:val="0"/>
              <w:marTop w:val="0"/>
              <w:marBottom w:val="0"/>
              <w:divBdr>
                <w:top w:val="none" w:sz="0" w:space="0" w:color="auto"/>
                <w:left w:val="none" w:sz="0" w:space="0" w:color="auto"/>
                <w:bottom w:val="none" w:sz="0" w:space="0" w:color="auto"/>
                <w:right w:val="none" w:sz="0" w:space="0" w:color="auto"/>
              </w:divBdr>
              <w:divsChild>
                <w:div w:id="1636565179">
                  <w:marLeft w:val="0"/>
                  <w:marRight w:val="0"/>
                  <w:marTop w:val="0"/>
                  <w:marBottom w:val="0"/>
                  <w:divBdr>
                    <w:top w:val="none" w:sz="0" w:space="0" w:color="auto"/>
                    <w:left w:val="none" w:sz="0" w:space="0" w:color="auto"/>
                    <w:bottom w:val="none" w:sz="0" w:space="0" w:color="auto"/>
                    <w:right w:val="none" w:sz="0" w:space="0" w:color="auto"/>
                  </w:divBdr>
                  <w:divsChild>
                    <w:div w:id="671180920">
                      <w:marLeft w:val="0"/>
                      <w:marRight w:val="0"/>
                      <w:marTop w:val="0"/>
                      <w:marBottom w:val="0"/>
                      <w:divBdr>
                        <w:top w:val="none" w:sz="0" w:space="0" w:color="auto"/>
                        <w:left w:val="none" w:sz="0" w:space="0" w:color="auto"/>
                        <w:bottom w:val="none" w:sz="0" w:space="0" w:color="auto"/>
                        <w:right w:val="none" w:sz="0" w:space="0" w:color="auto"/>
                      </w:divBdr>
                      <w:divsChild>
                        <w:div w:id="85539760">
                          <w:marLeft w:val="0"/>
                          <w:marRight w:val="0"/>
                          <w:marTop w:val="300"/>
                          <w:marBottom w:val="0"/>
                          <w:divBdr>
                            <w:top w:val="none" w:sz="0" w:space="0" w:color="auto"/>
                            <w:left w:val="none" w:sz="0" w:space="0" w:color="auto"/>
                            <w:bottom w:val="none" w:sz="0" w:space="0" w:color="auto"/>
                            <w:right w:val="none" w:sz="0" w:space="0" w:color="auto"/>
                          </w:divBdr>
                          <w:divsChild>
                            <w:div w:id="20738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009600">
      <w:bodyDiv w:val="1"/>
      <w:marLeft w:val="0"/>
      <w:marRight w:val="0"/>
      <w:marTop w:val="0"/>
      <w:marBottom w:val="0"/>
      <w:divBdr>
        <w:top w:val="none" w:sz="0" w:space="0" w:color="auto"/>
        <w:left w:val="none" w:sz="0" w:space="0" w:color="auto"/>
        <w:bottom w:val="none" w:sz="0" w:space="0" w:color="auto"/>
        <w:right w:val="none" w:sz="0" w:space="0" w:color="auto"/>
      </w:divBdr>
    </w:div>
    <w:div w:id="1389845545">
      <w:bodyDiv w:val="1"/>
      <w:marLeft w:val="0"/>
      <w:marRight w:val="0"/>
      <w:marTop w:val="0"/>
      <w:marBottom w:val="0"/>
      <w:divBdr>
        <w:top w:val="none" w:sz="0" w:space="0" w:color="auto"/>
        <w:left w:val="none" w:sz="0" w:space="0" w:color="auto"/>
        <w:bottom w:val="none" w:sz="0" w:space="0" w:color="auto"/>
        <w:right w:val="none" w:sz="0" w:space="0" w:color="auto"/>
      </w:divBdr>
    </w:div>
    <w:div w:id="1397555686">
      <w:bodyDiv w:val="1"/>
      <w:marLeft w:val="0"/>
      <w:marRight w:val="0"/>
      <w:marTop w:val="0"/>
      <w:marBottom w:val="0"/>
      <w:divBdr>
        <w:top w:val="none" w:sz="0" w:space="0" w:color="auto"/>
        <w:left w:val="none" w:sz="0" w:space="0" w:color="auto"/>
        <w:bottom w:val="none" w:sz="0" w:space="0" w:color="auto"/>
        <w:right w:val="none" w:sz="0" w:space="0" w:color="auto"/>
      </w:divBdr>
    </w:div>
    <w:div w:id="1407534140">
      <w:bodyDiv w:val="1"/>
      <w:marLeft w:val="0"/>
      <w:marRight w:val="0"/>
      <w:marTop w:val="0"/>
      <w:marBottom w:val="0"/>
      <w:divBdr>
        <w:top w:val="none" w:sz="0" w:space="0" w:color="auto"/>
        <w:left w:val="none" w:sz="0" w:space="0" w:color="auto"/>
        <w:bottom w:val="none" w:sz="0" w:space="0" w:color="auto"/>
        <w:right w:val="none" w:sz="0" w:space="0" w:color="auto"/>
      </w:divBdr>
    </w:div>
    <w:div w:id="1445347726">
      <w:bodyDiv w:val="1"/>
      <w:marLeft w:val="0"/>
      <w:marRight w:val="0"/>
      <w:marTop w:val="0"/>
      <w:marBottom w:val="0"/>
      <w:divBdr>
        <w:top w:val="none" w:sz="0" w:space="0" w:color="auto"/>
        <w:left w:val="none" w:sz="0" w:space="0" w:color="auto"/>
        <w:bottom w:val="none" w:sz="0" w:space="0" w:color="auto"/>
        <w:right w:val="none" w:sz="0" w:space="0" w:color="auto"/>
      </w:divBdr>
    </w:div>
    <w:div w:id="1539665509">
      <w:bodyDiv w:val="1"/>
      <w:marLeft w:val="0"/>
      <w:marRight w:val="0"/>
      <w:marTop w:val="0"/>
      <w:marBottom w:val="0"/>
      <w:divBdr>
        <w:top w:val="none" w:sz="0" w:space="0" w:color="auto"/>
        <w:left w:val="none" w:sz="0" w:space="0" w:color="auto"/>
        <w:bottom w:val="none" w:sz="0" w:space="0" w:color="auto"/>
        <w:right w:val="none" w:sz="0" w:space="0" w:color="auto"/>
      </w:divBdr>
    </w:div>
    <w:div w:id="1644194168">
      <w:bodyDiv w:val="1"/>
      <w:marLeft w:val="0"/>
      <w:marRight w:val="0"/>
      <w:marTop w:val="0"/>
      <w:marBottom w:val="0"/>
      <w:divBdr>
        <w:top w:val="none" w:sz="0" w:space="0" w:color="auto"/>
        <w:left w:val="none" w:sz="0" w:space="0" w:color="auto"/>
        <w:bottom w:val="none" w:sz="0" w:space="0" w:color="auto"/>
        <w:right w:val="none" w:sz="0" w:space="0" w:color="auto"/>
      </w:divBdr>
    </w:div>
    <w:div w:id="1647902733">
      <w:bodyDiv w:val="1"/>
      <w:marLeft w:val="0"/>
      <w:marRight w:val="0"/>
      <w:marTop w:val="0"/>
      <w:marBottom w:val="0"/>
      <w:divBdr>
        <w:top w:val="none" w:sz="0" w:space="0" w:color="auto"/>
        <w:left w:val="none" w:sz="0" w:space="0" w:color="auto"/>
        <w:bottom w:val="none" w:sz="0" w:space="0" w:color="auto"/>
        <w:right w:val="none" w:sz="0" w:space="0" w:color="auto"/>
      </w:divBdr>
    </w:div>
    <w:div w:id="1684043606">
      <w:bodyDiv w:val="1"/>
      <w:marLeft w:val="0"/>
      <w:marRight w:val="0"/>
      <w:marTop w:val="0"/>
      <w:marBottom w:val="0"/>
      <w:divBdr>
        <w:top w:val="none" w:sz="0" w:space="0" w:color="auto"/>
        <w:left w:val="none" w:sz="0" w:space="0" w:color="auto"/>
        <w:bottom w:val="none" w:sz="0" w:space="0" w:color="auto"/>
        <w:right w:val="none" w:sz="0" w:space="0" w:color="auto"/>
      </w:divBdr>
    </w:div>
    <w:div w:id="1714770571">
      <w:bodyDiv w:val="1"/>
      <w:marLeft w:val="0"/>
      <w:marRight w:val="0"/>
      <w:marTop w:val="0"/>
      <w:marBottom w:val="0"/>
      <w:divBdr>
        <w:top w:val="none" w:sz="0" w:space="0" w:color="auto"/>
        <w:left w:val="none" w:sz="0" w:space="0" w:color="auto"/>
        <w:bottom w:val="none" w:sz="0" w:space="0" w:color="auto"/>
        <w:right w:val="none" w:sz="0" w:space="0" w:color="auto"/>
      </w:divBdr>
    </w:div>
    <w:div w:id="1716542207">
      <w:bodyDiv w:val="1"/>
      <w:marLeft w:val="0"/>
      <w:marRight w:val="0"/>
      <w:marTop w:val="0"/>
      <w:marBottom w:val="0"/>
      <w:divBdr>
        <w:top w:val="none" w:sz="0" w:space="0" w:color="auto"/>
        <w:left w:val="none" w:sz="0" w:space="0" w:color="auto"/>
        <w:bottom w:val="none" w:sz="0" w:space="0" w:color="auto"/>
        <w:right w:val="none" w:sz="0" w:space="0" w:color="auto"/>
      </w:divBdr>
    </w:div>
    <w:div w:id="1781144022">
      <w:bodyDiv w:val="1"/>
      <w:marLeft w:val="0"/>
      <w:marRight w:val="0"/>
      <w:marTop w:val="0"/>
      <w:marBottom w:val="0"/>
      <w:divBdr>
        <w:top w:val="none" w:sz="0" w:space="0" w:color="auto"/>
        <w:left w:val="none" w:sz="0" w:space="0" w:color="auto"/>
        <w:bottom w:val="none" w:sz="0" w:space="0" w:color="auto"/>
        <w:right w:val="none" w:sz="0" w:space="0" w:color="auto"/>
      </w:divBdr>
      <w:divsChild>
        <w:div w:id="1100643866">
          <w:marLeft w:val="0"/>
          <w:marRight w:val="0"/>
          <w:marTop w:val="0"/>
          <w:marBottom w:val="0"/>
          <w:divBdr>
            <w:top w:val="none" w:sz="0" w:space="0" w:color="auto"/>
            <w:left w:val="none" w:sz="0" w:space="0" w:color="auto"/>
            <w:bottom w:val="none" w:sz="0" w:space="0" w:color="auto"/>
            <w:right w:val="none" w:sz="0" w:space="0" w:color="auto"/>
          </w:divBdr>
          <w:divsChild>
            <w:div w:id="950280683">
              <w:marLeft w:val="0"/>
              <w:marRight w:val="0"/>
              <w:marTop w:val="0"/>
              <w:marBottom w:val="0"/>
              <w:divBdr>
                <w:top w:val="none" w:sz="0" w:space="0" w:color="auto"/>
                <w:left w:val="none" w:sz="0" w:space="0" w:color="auto"/>
                <w:bottom w:val="none" w:sz="0" w:space="0" w:color="auto"/>
                <w:right w:val="none" w:sz="0" w:space="0" w:color="auto"/>
              </w:divBdr>
              <w:divsChild>
                <w:div w:id="1864325521">
                  <w:marLeft w:val="135"/>
                  <w:marRight w:val="0"/>
                  <w:marTop w:val="0"/>
                  <w:marBottom w:val="0"/>
                  <w:divBdr>
                    <w:top w:val="none" w:sz="0" w:space="0" w:color="auto"/>
                    <w:left w:val="none" w:sz="0" w:space="0" w:color="auto"/>
                    <w:bottom w:val="none" w:sz="0" w:space="0" w:color="auto"/>
                    <w:right w:val="none" w:sz="0" w:space="0" w:color="auto"/>
                  </w:divBdr>
                  <w:divsChild>
                    <w:div w:id="188417024">
                      <w:marLeft w:val="0"/>
                      <w:marRight w:val="0"/>
                      <w:marTop w:val="0"/>
                      <w:marBottom w:val="0"/>
                      <w:divBdr>
                        <w:top w:val="none" w:sz="0" w:space="0" w:color="auto"/>
                        <w:left w:val="none" w:sz="0" w:space="0" w:color="auto"/>
                        <w:bottom w:val="none" w:sz="0" w:space="0" w:color="auto"/>
                        <w:right w:val="none" w:sz="0" w:space="0" w:color="auto"/>
                      </w:divBdr>
                      <w:divsChild>
                        <w:div w:id="1513455068">
                          <w:marLeft w:val="0"/>
                          <w:marRight w:val="0"/>
                          <w:marTop w:val="0"/>
                          <w:marBottom w:val="0"/>
                          <w:divBdr>
                            <w:top w:val="none" w:sz="0" w:space="0" w:color="auto"/>
                            <w:left w:val="none" w:sz="0" w:space="0" w:color="auto"/>
                            <w:bottom w:val="none" w:sz="0" w:space="0" w:color="auto"/>
                            <w:right w:val="none" w:sz="0" w:space="0" w:color="auto"/>
                          </w:divBdr>
                          <w:divsChild>
                            <w:div w:id="94785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0724191">
      <w:bodyDiv w:val="1"/>
      <w:marLeft w:val="0"/>
      <w:marRight w:val="0"/>
      <w:marTop w:val="0"/>
      <w:marBottom w:val="0"/>
      <w:divBdr>
        <w:top w:val="none" w:sz="0" w:space="0" w:color="auto"/>
        <w:left w:val="none" w:sz="0" w:space="0" w:color="auto"/>
        <w:bottom w:val="none" w:sz="0" w:space="0" w:color="auto"/>
        <w:right w:val="none" w:sz="0" w:space="0" w:color="auto"/>
      </w:divBdr>
    </w:div>
    <w:div w:id="213139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28706394258857176"/>
          <c:y val="0"/>
          <c:w val="0.41863935612699577"/>
          <c:h val="1"/>
        </c:manualLayout>
      </c:layout>
      <c:pieChart>
        <c:varyColors val="1"/>
        <c:ser>
          <c:idx val="0"/>
          <c:order val="0"/>
          <c:tx>
            <c:strRef>
              <c:f>Nenodokļi!$B$87</c:f>
              <c:strCache>
                <c:ptCount val="1"/>
                <c:pt idx="0">
                  <c:v>2021 6m</c:v>
                </c:pt>
              </c:strCache>
            </c:strRef>
          </c:tx>
          <c:explosion val="10"/>
          <c:dPt>
            <c:idx val="0"/>
            <c:bubble3D val="0"/>
            <c:explosion val="0"/>
            <c:spPr>
              <a:solidFill>
                <a:schemeClr val="accent1">
                  <a:shade val="58000"/>
                </a:schemeClr>
              </a:solidFill>
              <a:ln w="19050">
                <a:solidFill>
                  <a:schemeClr val="lt1"/>
                </a:solidFill>
              </a:ln>
              <a:effectLst/>
            </c:spPr>
            <c:extLst>
              <c:ext xmlns:c16="http://schemas.microsoft.com/office/drawing/2014/chart" uri="{C3380CC4-5D6E-409C-BE32-E72D297353CC}">
                <c16:uniqueId val="{00000001-2E1B-4EFB-B1AA-9CA649262FC2}"/>
              </c:ext>
            </c:extLst>
          </c:dPt>
          <c:dPt>
            <c:idx val="1"/>
            <c:bubble3D val="0"/>
            <c:explosion val="0"/>
            <c:spPr>
              <a:solidFill>
                <a:schemeClr val="accent1">
                  <a:shade val="86000"/>
                </a:schemeClr>
              </a:solidFill>
              <a:ln w="19050">
                <a:solidFill>
                  <a:schemeClr val="lt1"/>
                </a:solidFill>
              </a:ln>
              <a:effectLst/>
            </c:spPr>
            <c:extLst>
              <c:ext xmlns:c16="http://schemas.microsoft.com/office/drawing/2014/chart" uri="{C3380CC4-5D6E-409C-BE32-E72D297353CC}">
                <c16:uniqueId val="{00000003-2E1B-4EFB-B1AA-9CA649262FC2}"/>
              </c:ext>
            </c:extLst>
          </c:dPt>
          <c:dPt>
            <c:idx val="2"/>
            <c:bubble3D val="0"/>
            <c:explosion val="0"/>
            <c:spPr>
              <a:solidFill>
                <a:schemeClr val="accent1">
                  <a:tint val="86000"/>
                </a:schemeClr>
              </a:solidFill>
              <a:ln w="19050">
                <a:solidFill>
                  <a:schemeClr val="lt1"/>
                </a:solidFill>
              </a:ln>
              <a:effectLst/>
            </c:spPr>
            <c:extLst>
              <c:ext xmlns:c16="http://schemas.microsoft.com/office/drawing/2014/chart" uri="{C3380CC4-5D6E-409C-BE32-E72D297353CC}">
                <c16:uniqueId val="{00000005-2E1B-4EFB-B1AA-9CA649262FC2}"/>
              </c:ext>
            </c:extLst>
          </c:dPt>
          <c:dPt>
            <c:idx val="3"/>
            <c:bubble3D val="0"/>
            <c:explosion val="0"/>
            <c:spPr>
              <a:solidFill>
                <a:schemeClr val="accent1">
                  <a:tint val="58000"/>
                </a:schemeClr>
              </a:solidFill>
              <a:ln w="19050">
                <a:solidFill>
                  <a:schemeClr val="lt1"/>
                </a:solidFill>
              </a:ln>
              <a:effectLst/>
            </c:spPr>
            <c:extLst>
              <c:ext xmlns:c16="http://schemas.microsoft.com/office/drawing/2014/chart" uri="{C3380CC4-5D6E-409C-BE32-E72D297353CC}">
                <c16:uniqueId val="{00000007-2E1B-4EFB-B1AA-9CA649262FC2}"/>
              </c:ext>
            </c:extLst>
          </c:dPt>
          <c:dLbls>
            <c:dLbl>
              <c:idx val="0"/>
              <c:layout>
                <c:manualLayout>
                  <c:x val="-6.64451827242533E-3"/>
                  <c:y val="2.1304926764314249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2E1B-4EFB-B1AA-9CA649262FC2}"/>
                </c:ext>
              </c:extLst>
            </c:dLbl>
            <c:dLbl>
              <c:idx val="1"/>
              <c:layout>
                <c:manualLayout>
                  <c:x val="-8.8593576965670801E-3"/>
                  <c:y val="-1.5978695073235735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3-2E1B-4EFB-B1AA-9CA649262FC2}"/>
                </c:ext>
              </c:extLst>
            </c:dLbl>
            <c:dLbl>
              <c:idx val="2"/>
              <c:layout>
                <c:manualLayout>
                  <c:x val="0"/>
                  <c:y val="-1.5978695073235589E-2"/>
                </c:manualLayout>
              </c:layout>
              <c:tx>
                <c:rich>
                  <a:bodyPr/>
                  <a:lstStyle/>
                  <a:p>
                    <a:fld id="{DD146667-0767-4991-A430-A2586C9DDD0A}" type="CATEGORYNAME">
                      <a:rPr lang="en-US"/>
                      <a:pPr/>
                      <a:t>[CATEGORY NAME]</a:t>
                    </a:fld>
                    <a:r>
                      <a:rPr lang="en-US" baseline="0"/>
                      <a:t>
</a:t>
                    </a:r>
                    <a:fld id="{AED8140C-B443-4845-B5D9-81F27F7F2FB8}" type="PERCENTAGE">
                      <a:rPr lang="en-US" baseline="0"/>
                      <a:pPr/>
                      <a:t>[PERCENTAGE]</a:t>
                    </a:fld>
                    <a:endParaRPr lang="en-US" baseline="0"/>
                  </a:p>
                </c:rich>
              </c:tx>
              <c:dLblPos val="bestFit"/>
              <c:showLegendKey val="0"/>
              <c:showVal val="0"/>
              <c:showCatName val="1"/>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5-2E1B-4EFB-B1AA-9CA649262FC2}"/>
                </c:ext>
              </c:extLst>
            </c:dLbl>
            <c:dLbl>
              <c:idx val="3"/>
              <c:layout>
                <c:manualLayout>
                  <c:x val="8.8593576965669985E-3"/>
                  <c:y val="-5.3262107216624555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21045865357699148"/>
                      <c:h val="0.29262316910785613"/>
                    </c:manualLayout>
                  </c15:layout>
                </c:ext>
                <c:ext xmlns:c16="http://schemas.microsoft.com/office/drawing/2014/chart" uri="{C3380CC4-5D6E-409C-BE32-E72D297353CC}">
                  <c16:uniqueId val="{00000007-2E1B-4EFB-B1AA-9CA649262FC2}"/>
                </c:ext>
              </c:extLst>
            </c:dLbl>
            <c:numFmt formatCode="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extLst>
          </c:dLbls>
          <c:cat>
            <c:strRef>
              <c:f>Nenodokļi!$C$86:$F$86</c:f>
              <c:strCache>
                <c:ptCount val="4"/>
                <c:pt idx="0">
                  <c:v>Pārējie nenodokļu ieņēmumi</c:v>
                </c:pt>
                <c:pt idx="1">
                  <c:v>Valsts (pašvaldību) nodevas un kancelejas nodevas</c:v>
                </c:pt>
                <c:pt idx="2">
                  <c:v>Naudas sodi un sankcijas</c:v>
                </c:pt>
                <c:pt idx="3">
                  <c:v>Ieņemumi no uzņēmējdarbības un īpašuma</c:v>
                </c:pt>
              </c:strCache>
            </c:strRef>
          </c:cat>
          <c:val>
            <c:numRef>
              <c:f>Nenodokļi!$C$87:$F$87</c:f>
              <c:numCache>
                <c:formatCode>General</c:formatCode>
                <c:ptCount val="4"/>
                <c:pt idx="0">
                  <c:v>42.367051760000003</c:v>
                </c:pt>
                <c:pt idx="1">
                  <c:v>70.433782969999996</c:v>
                </c:pt>
                <c:pt idx="2">
                  <c:v>17.597480570000002</c:v>
                </c:pt>
                <c:pt idx="3">
                  <c:v>280.79555228000004</c:v>
                </c:pt>
              </c:numCache>
            </c:numRef>
          </c:val>
          <c:extLst>
            <c:ext xmlns:c16="http://schemas.microsoft.com/office/drawing/2014/chart" uri="{C3380CC4-5D6E-409C-BE32-E72D297353CC}">
              <c16:uniqueId val="{00000008-2E1B-4EFB-B1AA-9CA649262FC2}"/>
            </c:ext>
          </c:extLst>
        </c:ser>
        <c:dLbls>
          <c:showLegendKey val="0"/>
          <c:showVal val="0"/>
          <c:showCatName val="0"/>
          <c:showSerName val="0"/>
          <c:showPercent val="0"/>
          <c:showBubbleSize val="0"/>
          <c:showLeaderLines val="0"/>
        </c:dLbls>
        <c:firstSliceAng val="25"/>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bg1">
          <a:lumMod val="75000"/>
        </a:schemeClr>
      </a:solidFill>
      <a:round/>
    </a:ln>
    <a:effectLst/>
  </c:spPr>
  <c:txPr>
    <a:bodyPr/>
    <a:lstStyle/>
    <a:p>
      <a:pPr>
        <a:defRPr sz="1000">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43899154040007948"/>
          <c:y val="0.14547935435981776"/>
          <c:w val="0.5217211643365296"/>
          <c:h val="0.69081752950936581"/>
        </c:manualLayout>
      </c:layout>
      <c:barChart>
        <c:barDir val="bar"/>
        <c:grouping val="clustered"/>
        <c:varyColors val="0"/>
        <c:ser>
          <c:idx val="1"/>
          <c:order val="0"/>
          <c:tx>
            <c:strRef>
              <c:f>Nenodokļi_new!$B$66</c:f>
              <c:strCache>
                <c:ptCount val="1"/>
                <c:pt idx="0">
                  <c:v>2022
plāns</c:v>
                </c:pt>
              </c:strCache>
            </c:strRef>
          </c:tx>
          <c:spPr>
            <a:solidFill>
              <a:schemeClr val="accent1">
                <a:tint val="77000"/>
              </a:schemeClr>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Nenodokļi_new!$C$64:$F$64</c:f>
              <c:strCache>
                <c:ptCount val="4"/>
                <c:pt idx="0">
                  <c:v>Pārējie nenodokļu ieņēmumi</c:v>
                </c:pt>
                <c:pt idx="1">
                  <c:v>Valsts (pašvaldību) nodevas un kancelejas nodevas</c:v>
                </c:pt>
                <c:pt idx="2">
                  <c:v>Naudas sodi un sankcijas</c:v>
                </c:pt>
                <c:pt idx="3">
                  <c:v>Ieņemumi no uzņēmējdarbības un īpašuma</c:v>
                </c:pt>
              </c:strCache>
            </c:strRef>
          </c:cat>
          <c:val>
            <c:numRef>
              <c:f>Nenodokļi_new!$C$66:$F$66</c:f>
              <c:numCache>
                <c:formatCode>0.0</c:formatCode>
                <c:ptCount val="4"/>
                <c:pt idx="0">
                  <c:v>29.456347999999998</c:v>
                </c:pt>
                <c:pt idx="1">
                  <c:v>157.329261</c:v>
                </c:pt>
                <c:pt idx="2">
                  <c:v>32.939044000000003</c:v>
                </c:pt>
                <c:pt idx="3">
                  <c:v>250.32992300000001</c:v>
                </c:pt>
              </c:numCache>
            </c:numRef>
          </c:val>
          <c:extLst>
            <c:ext xmlns:c16="http://schemas.microsoft.com/office/drawing/2014/chart" uri="{C3380CC4-5D6E-409C-BE32-E72D297353CC}">
              <c16:uniqueId val="{00000000-D20B-47ED-B062-CD1AE31F74A6}"/>
            </c:ext>
          </c:extLst>
        </c:ser>
        <c:ser>
          <c:idx val="0"/>
          <c:order val="1"/>
          <c:tx>
            <c:strRef>
              <c:f>Nenodokļi_new!$B$65</c:f>
              <c:strCache>
                <c:ptCount val="1"/>
                <c:pt idx="0">
                  <c:v>2021
prognoze</c:v>
                </c:pt>
              </c:strCache>
            </c:strRef>
          </c:tx>
          <c:spPr>
            <a:solidFill>
              <a:schemeClr val="accent1">
                <a:shade val="76000"/>
              </a:schemeClr>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Nenodokļi_new!$C$64:$F$64</c:f>
              <c:strCache>
                <c:ptCount val="4"/>
                <c:pt idx="0">
                  <c:v>Pārējie nenodokļu ieņēmumi</c:v>
                </c:pt>
                <c:pt idx="1">
                  <c:v>Valsts (pašvaldību) nodevas un kancelejas nodevas</c:v>
                </c:pt>
                <c:pt idx="2">
                  <c:v>Naudas sodi un sankcijas</c:v>
                </c:pt>
                <c:pt idx="3">
                  <c:v>Ieņemumi no uzņēmējdarbības un īpašuma</c:v>
                </c:pt>
              </c:strCache>
            </c:strRef>
          </c:cat>
          <c:val>
            <c:numRef>
              <c:f>Nenodokļi_new!$C$65:$F$65</c:f>
              <c:numCache>
                <c:formatCode>0.0</c:formatCode>
                <c:ptCount val="4"/>
                <c:pt idx="0">
                  <c:v>54.605283</c:v>
                </c:pt>
                <c:pt idx="1">
                  <c:v>157.52771300000001</c:v>
                </c:pt>
                <c:pt idx="2">
                  <c:v>34.145772000000001</c:v>
                </c:pt>
                <c:pt idx="3">
                  <c:v>289.76160800000002</c:v>
                </c:pt>
              </c:numCache>
            </c:numRef>
          </c:val>
          <c:extLst>
            <c:ext xmlns:c16="http://schemas.microsoft.com/office/drawing/2014/chart" uri="{C3380CC4-5D6E-409C-BE32-E72D297353CC}">
              <c16:uniqueId val="{00000001-D20B-47ED-B062-CD1AE31F74A6}"/>
            </c:ext>
          </c:extLst>
        </c:ser>
        <c:dLbls>
          <c:showLegendKey val="0"/>
          <c:showVal val="0"/>
          <c:showCatName val="0"/>
          <c:showSerName val="0"/>
          <c:showPercent val="0"/>
          <c:showBubbleSize val="0"/>
        </c:dLbls>
        <c:gapWidth val="182"/>
        <c:axId val="163456016"/>
        <c:axId val="163457264"/>
      </c:barChart>
      <c:catAx>
        <c:axId val="1634560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163457264"/>
        <c:crosses val="autoZero"/>
        <c:auto val="1"/>
        <c:lblAlgn val="ctr"/>
        <c:lblOffset val="100"/>
        <c:noMultiLvlLbl val="0"/>
      </c:catAx>
      <c:valAx>
        <c:axId val="16345726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lv-LV"/>
                  <a:t>milj. </a:t>
                </a:r>
                <a:r>
                  <a:rPr lang="lv-LV" i="1"/>
                  <a:t>euro</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163456016"/>
        <c:crosses val="autoZero"/>
        <c:crossBetween val="between"/>
      </c:valAx>
      <c:spPr>
        <a:noFill/>
        <a:ln>
          <a:noFill/>
        </a:ln>
        <a:effectLst/>
      </c:spPr>
    </c:plotArea>
    <c:legend>
      <c:legendPos val="t"/>
      <c:layout>
        <c:manualLayout>
          <c:xMode val="edge"/>
          <c:yMode val="edge"/>
          <c:x val="0.40648447330537868"/>
          <c:y val="2.7726432532347505E-2"/>
          <c:w val="0.25121857277800436"/>
          <c:h val="0.11890345961837949"/>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0.53657</cdr:x>
      <cdr:y>0.0727</cdr:y>
    </cdr:from>
    <cdr:to>
      <cdr:x>0.55183</cdr:x>
      <cdr:y>0.11817</cdr:y>
    </cdr:to>
    <cdr:sp macro="" textlink="">
      <cdr:nvSpPr>
        <cdr:cNvPr id="2" name="Text Box 1"/>
        <cdr:cNvSpPr txBox="1"/>
      </cdr:nvSpPr>
      <cdr:spPr>
        <a:xfrm xmlns:a="http://schemas.openxmlformats.org/drawingml/2006/main">
          <a:off x="3078784" y="199805"/>
          <a:ext cx="87532" cy="124968"/>
        </a:xfrm>
        <a:prstGeom xmlns:a="http://schemas.openxmlformats.org/drawingml/2006/main" prst="rect">
          <a:avLst/>
        </a:prstGeom>
      </cdr:spPr>
      <cdr:txBody>
        <a:bodyPr xmlns:a="http://schemas.openxmlformats.org/drawingml/2006/main" vertOverflow="clip" wrap="square" lIns="0" tIns="0" rIns="0" bIns="0" rtlCol="0"/>
        <a:lstStyle xmlns:a="http://schemas.openxmlformats.org/drawingml/2006/main"/>
        <a:p xmlns:a="http://schemas.openxmlformats.org/drawingml/2006/main">
          <a:r>
            <a:rPr lang="lv-LV" sz="1000" baseline="30000">
              <a:latin typeface="Times New Roman" panose="02020603050405020304" pitchFamily="18" charset="0"/>
              <a:cs typeface="Times New Roman" panose="02020603050405020304" pitchFamily="18" charset="0"/>
            </a:rPr>
            <a:t>1</a:t>
          </a:r>
        </a:p>
      </cdr:txBody>
    </cdr:sp>
  </cdr:relSizeAnchor>
  <cdr:relSizeAnchor xmlns:cdr="http://schemas.openxmlformats.org/drawingml/2006/chartDrawing">
    <cdr:from>
      <cdr:x>0.63227</cdr:x>
      <cdr:y>0.0727</cdr:y>
    </cdr:from>
    <cdr:to>
      <cdr:x>0.64753</cdr:x>
      <cdr:y>0.11817</cdr:y>
    </cdr:to>
    <cdr:sp macro="" textlink="">
      <cdr:nvSpPr>
        <cdr:cNvPr id="3" name="Text Box 2"/>
        <cdr:cNvSpPr txBox="1"/>
      </cdr:nvSpPr>
      <cdr:spPr>
        <a:xfrm xmlns:a="http://schemas.openxmlformats.org/drawingml/2006/main">
          <a:off x="3627896" y="199805"/>
          <a:ext cx="87532" cy="124968"/>
        </a:xfrm>
        <a:prstGeom xmlns:a="http://schemas.openxmlformats.org/drawingml/2006/main" prst="rect">
          <a:avLst/>
        </a:prstGeom>
      </cdr:spPr>
      <cdr:txBody>
        <a:bodyPr xmlns:a="http://schemas.openxmlformats.org/drawingml/2006/main" vertOverflow="clip" wrap="square" lIns="0" tIns="0" rIns="0" bIns="0" rtlCol="0"/>
        <a:lstStyle xmlns:a="http://schemas.openxmlformats.org/drawingml/2006/main"/>
        <a:p xmlns:a="http://schemas.openxmlformats.org/drawingml/2006/main">
          <a:r>
            <a:rPr lang="lv-LV" sz="1000" baseline="30000">
              <a:latin typeface="Times New Roman" panose="02020603050405020304" pitchFamily="18" charset="0"/>
              <a:cs typeface="Times New Roman" panose="02020603050405020304" pitchFamily="18" charset="0"/>
            </a:rPr>
            <a:t>2</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78226-3E8A-49FA-900B-71CC9AF28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870</TotalTime>
  <Pages>17</Pages>
  <Words>6549</Words>
  <Characters>40033</Characters>
  <Application>Microsoft Office Word</Application>
  <DocSecurity>0</DocSecurity>
  <Lines>333</Lines>
  <Paragraphs>92</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3. nodaļa Ieņēmumu analīze</vt:lpstr>
    </vt:vector>
  </TitlesOfParts>
  <Company>Finanšu ministrija</Company>
  <LinksUpToDate>false</LinksUpToDate>
  <CharactersWithSpaces>46490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3. nodaļa Ieņēmumu analīze</dc:title>
  <dc:subject>paskaidrojuma raksts</dc:subject>
  <dc:creator>dace.godina@fm.gov.lv</dc:creator>
  <dc:description>67083969
dace.godina@fm.gov.lv</dc:description>
  <cp:lastModifiedBy>Dace Godiņa</cp:lastModifiedBy>
  <cp:revision>133</cp:revision>
  <cp:lastPrinted>2019-04-23T12:17:00Z</cp:lastPrinted>
  <dcterms:created xsi:type="dcterms:W3CDTF">2019-05-07T11:49:00Z</dcterms:created>
  <dcterms:modified xsi:type="dcterms:W3CDTF">2021-10-11T07:44:00Z</dcterms:modified>
</cp:coreProperties>
</file>