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5F2AD" w14:textId="77777777" w:rsidR="006E13F3" w:rsidRDefault="006E13F3" w:rsidP="006E13F3">
      <w:pPr>
        <w:pStyle w:val="H4"/>
        <w:spacing w:after="480"/>
      </w:pPr>
      <w:bookmarkStart w:id="0" w:name="_Hlk84153943"/>
      <w:bookmarkEnd w:id="0"/>
      <w:r>
        <w:t>32. Prokuratūra</w:t>
      </w:r>
    </w:p>
    <w:p w14:paraId="537BBC73" w14:textId="77777777" w:rsidR="006E13F3" w:rsidRDefault="006E13F3" w:rsidP="006E13F3">
      <w:pPr>
        <w:spacing w:before="130" w:after="240"/>
        <w:ind w:firstLine="0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>Prokuratūras darbības joma</w:t>
      </w:r>
      <w:r>
        <w:rPr>
          <w:b/>
          <w:bCs/>
          <w:szCs w:val="24"/>
        </w:rPr>
        <w:t>:</w:t>
      </w:r>
    </w:p>
    <w:p w14:paraId="4CF96D4E" w14:textId="724B493D" w:rsidR="006E13F3" w:rsidRDefault="006E13F3" w:rsidP="006E13F3">
      <w:pPr>
        <w:spacing w:before="130" w:after="0" w:line="240" w:lineRule="atLeast"/>
        <w:ind w:firstLine="0"/>
        <w:jc w:val="center"/>
        <w:rPr>
          <w:rFonts w:ascii="Cambria" w:hAnsi="Cambria"/>
          <w:bCs/>
          <w:sz w:val="19"/>
          <w:szCs w:val="19"/>
        </w:rPr>
      </w:pPr>
      <w:r>
        <w:rPr>
          <w:b/>
          <w:noProof/>
          <w:lang w:eastAsia="lv-LV"/>
        </w:rPr>
        <w:drawing>
          <wp:inline distT="0" distB="0" distL="0" distR="0" wp14:anchorId="5D9881FE" wp14:editId="12AFDC96">
            <wp:extent cx="4905375" cy="952500"/>
            <wp:effectExtent l="0" t="76200" r="0" b="1143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7E327E6" w14:textId="77777777" w:rsidR="006E13F3" w:rsidRDefault="006E13F3" w:rsidP="00265634">
      <w:pPr>
        <w:spacing w:before="480"/>
        <w:ind w:firstLine="0"/>
        <w:rPr>
          <w:b/>
          <w:bCs/>
          <w:szCs w:val="24"/>
          <w:lang w:eastAsia="lv-LV"/>
        </w:rPr>
      </w:pPr>
      <w:r>
        <w:rPr>
          <w:b/>
          <w:bCs/>
          <w:szCs w:val="24"/>
          <w:u w:val="single"/>
          <w:lang w:eastAsia="lv-LV"/>
        </w:rPr>
        <w:t>Prokuratūras galvenie pasākumi 2022. gadā</w:t>
      </w:r>
      <w:r>
        <w:rPr>
          <w:b/>
          <w:bCs/>
          <w:szCs w:val="24"/>
          <w:lang w:eastAsia="lv-LV"/>
        </w:rPr>
        <w:t>:</w:t>
      </w:r>
    </w:p>
    <w:p w14:paraId="007E5EE0" w14:textId="77777777" w:rsidR="006E13F3" w:rsidRDefault="006E13F3" w:rsidP="00265634">
      <w:pPr>
        <w:numPr>
          <w:ilvl w:val="0"/>
          <w:numId w:val="1"/>
        </w:numPr>
        <w:tabs>
          <w:tab w:val="left" w:pos="993"/>
        </w:tabs>
        <w:spacing w:before="120"/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izmeklēšanas un operatīvās darbības uzraudzība;</w:t>
      </w:r>
    </w:p>
    <w:p w14:paraId="0B0A7352" w14:textId="77777777" w:rsidR="006E13F3" w:rsidRDefault="006E13F3" w:rsidP="00265634">
      <w:pPr>
        <w:numPr>
          <w:ilvl w:val="0"/>
          <w:numId w:val="1"/>
        </w:numPr>
        <w:tabs>
          <w:tab w:val="left" w:pos="993"/>
        </w:tabs>
        <w:spacing w:before="120"/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 xml:space="preserve">izmeklēšanas organizēšana, vadīšana un veikšana; </w:t>
      </w:r>
    </w:p>
    <w:p w14:paraId="2AF6D042" w14:textId="77777777" w:rsidR="006E13F3" w:rsidRDefault="006E13F3" w:rsidP="00265634">
      <w:pPr>
        <w:numPr>
          <w:ilvl w:val="0"/>
          <w:numId w:val="1"/>
        </w:numPr>
        <w:tabs>
          <w:tab w:val="left" w:pos="993"/>
        </w:tabs>
        <w:spacing w:before="120"/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kriminālvajāšanas uzsākšana un veikšana;</w:t>
      </w:r>
    </w:p>
    <w:p w14:paraId="59A02D2F" w14:textId="1AAE4CFD" w:rsidR="006E13F3" w:rsidRDefault="006E13F3" w:rsidP="00265634">
      <w:pPr>
        <w:numPr>
          <w:ilvl w:val="0"/>
          <w:numId w:val="1"/>
        </w:numPr>
        <w:tabs>
          <w:tab w:val="left" w:pos="993"/>
        </w:tabs>
        <w:spacing w:before="120"/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sodu izpildes uzraudzība;</w:t>
      </w:r>
    </w:p>
    <w:p w14:paraId="70F244EB" w14:textId="77777777" w:rsidR="006E13F3" w:rsidRDefault="006E13F3" w:rsidP="00265634">
      <w:pPr>
        <w:numPr>
          <w:ilvl w:val="0"/>
          <w:numId w:val="1"/>
        </w:numPr>
        <w:tabs>
          <w:tab w:val="left" w:pos="993"/>
        </w:tabs>
        <w:spacing w:before="120"/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personu un valsts tiesību un likumīgo interešu aizsardzība likumā noteiktajā kārtībā;</w:t>
      </w:r>
    </w:p>
    <w:p w14:paraId="194ACFA1" w14:textId="77777777" w:rsidR="006E13F3" w:rsidRDefault="006E13F3" w:rsidP="00265634">
      <w:pPr>
        <w:numPr>
          <w:ilvl w:val="0"/>
          <w:numId w:val="1"/>
        </w:numPr>
        <w:tabs>
          <w:tab w:val="left" w:pos="993"/>
        </w:tabs>
        <w:spacing w:before="120"/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prasības pieteikumu vai iesniegumu tiesā iesniegšana likumā noteiktajos gadījumos;</w:t>
      </w:r>
    </w:p>
    <w:p w14:paraId="660C0876" w14:textId="77777777" w:rsidR="006E13F3" w:rsidRDefault="006E13F3" w:rsidP="00265634">
      <w:pPr>
        <w:numPr>
          <w:ilvl w:val="0"/>
          <w:numId w:val="1"/>
        </w:numPr>
        <w:tabs>
          <w:tab w:val="left" w:pos="993"/>
        </w:tabs>
        <w:spacing w:before="120" w:after="480"/>
        <w:ind w:left="1077" w:right="-624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piedalīšanās lietu izskatīšanā tiesā likumā noteiktajos gadījumos.</w:t>
      </w:r>
    </w:p>
    <w:p w14:paraId="76AD80D0" w14:textId="77777777" w:rsidR="006E13F3" w:rsidRDefault="006E13F3" w:rsidP="00BF5AFF">
      <w:pPr>
        <w:spacing w:before="480" w:after="240"/>
        <w:ind w:firstLine="0"/>
        <w:jc w:val="center"/>
        <w:rPr>
          <w:b/>
          <w:u w:val="single"/>
          <w:lang w:eastAsia="lv-LV"/>
        </w:rPr>
      </w:pPr>
      <w:r>
        <w:rPr>
          <w:b/>
          <w:u w:val="single"/>
          <w:lang w:eastAsia="lv-LV"/>
        </w:rPr>
        <w:t xml:space="preserve">Prokuratūras kopējo </w:t>
      </w:r>
      <w:r>
        <w:rPr>
          <w:b/>
          <w:u w:val="single"/>
        </w:rPr>
        <w:t>izdevumu</w:t>
      </w:r>
      <w:r>
        <w:rPr>
          <w:b/>
          <w:u w:val="single"/>
          <w:lang w:eastAsia="lv-LV"/>
        </w:rPr>
        <w:t xml:space="preserve"> izmaiņas no 2020. līdz 2024. gadam </w:t>
      </w:r>
    </w:p>
    <w:p w14:paraId="7933A59E" w14:textId="77777777" w:rsidR="006E13F3" w:rsidRDefault="006E13F3" w:rsidP="006E13F3">
      <w:pPr>
        <w:pStyle w:val="Tabuluvirsraksti"/>
        <w:spacing w:after="0"/>
        <w:jc w:val="right"/>
        <w:rPr>
          <w:b/>
          <w:u w:val="single"/>
          <w:lang w:eastAsia="lv-LV"/>
        </w:rPr>
      </w:pPr>
      <w:proofErr w:type="spellStart"/>
      <w:r>
        <w:rPr>
          <w:i/>
          <w:sz w:val="18"/>
          <w:szCs w:val="18"/>
          <w:lang w:eastAsia="lv-LV"/>
        </w:rPr>
        <w:t>Euro</w:t>
      </w:r>
      <w:proofErr w:type="spellEnd"/>
    </w:p>
    <w:p w14:paraId="4D659A8E" w14:textId="35317841" w:rsidR="006E13F3" w:rsidRDefault="006E13F3" w:rsidP="006E13F3">
      <w:pPr>
        <w:spacing w:after="0"/>
        <w:ind w:firstLine="0"/>
        <w:rPr>
          <w:noProof/>
        </w:rPr>
      </w:pPr>
      <w:r>
        <w:rPr>
          <w:noProof/>
        </w:rPr>
        <w:drawing>
          <wp:inline distT="0" distB="0" distL="0" distR="0" wp14:anchorId="3EBFDB1E" wp14:editId="378EB2B6">
            <wp:extent cx="5772150" cy="3171825"/>
            <wp:effectExtent l="0" t="0" r="0" b="952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DE712AD" w14:textId="77777777" w:rsidR="006E13F3" w:rsidRDefault="006E13F3" w:rsidP="006E13F3">
      <w:pPr>
        <w:spacing w:after="0"/>
        <w:ind w:firstLine="0"/>
        <w:rPr>
          <w:noProof/>
        </w:rPr>
      </w:pPr>
    </w:p>
    <w:p w14:paraId="34C44F90" w14:textId="77777777" w:rsidR="006E13F3" w:rsidRDefault="006E13F3" w:rsidP="006E13F3">
      <w:pPr>
        <w:spacing w:before="240" w:after="0"/>
        <w:ind w:firstLine="0"/>
        <w:rPr>
          <w:noProof/>
        </w:rPr>
      </w:pPr>
    </w:p>
    <w:p w14:paraId="6A2D238C" w14:textId="77777777" w:rsidR="006E13F3" w:rsidRDefault="006E13F3" w:rsidP="006E13F3">
      <w:pPr>
        <w:spacing w:before="240" w:after="0"/>
        <w:ind w:firstLine="0"/>
        <w:rPr>
          <w:b/>
        </w:rPr>
      </w:pPr>
    </w:p>
    <w:p w14:paraId="4CA39BFF" w14:textId="34DF8F6C" w:rsidR="006E13F3" w:rsidRPr="00BF5AFF" w:rsidRDefault="006E13F3" w:rsidP="00BF5AFF">
      <w:pPr>
        <w:spacing w:before="240" w:after="240"/>
        <w:ind w:firstLine="0"/>
        <w:jc w:val="center"/>
        <w:rPr>
          <w:b/>
        </w:rPr>
      </w:pPr>
      <w:r>
        <w:rPr>
          <w:b/>
        </w:rPr>
        <w:lastRenderedPageBreak/>
        <w:t>Vidējais amata vietu skaits no 2020. līdz 2024.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6E13F3" w14:paraId="463D3BEF" w14:textId="77777777" w:rsidTr="006E13F3">
        <w:trPr>
          <w:trHeight w:val="425"/>
          <w:tblHeader/>
          <w:jc w:val="center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5FDA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DFC5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2020. gads</w:t>
            </w:r>
            <w:r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6A71E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2021. gada     plāns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5F9F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2022. gada </w:t>
            </w:r>
            <w:r>
              <w:rPr>
                <w:sz w:val="18"/>
                <w:lang w:eastAsia="lv-LV"/>
              </w:rPr>
              <w:t>projekts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48C25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2023. gada </w:t>
            </w:r>
            <w:r>
              <w:rPr>
                <w:sz w:val="18"/>
                <w:lang w:eastAsia="lv-LV"/>
              </w:rPr>
              <w:t>prognoze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3F7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2024. gada </w:t>
            </w:r>
            <w:r>
              <w:rPr>
                <w:sz w:val="18"/>
                <w:lang w:eastAsia="lv-LV"/>
              </w:rPr>
              <w:t>prognoze</w:t>
            </w:r>
          </w:p>
        </w:tc>
      </w:tr>
      <w:tr w:rsidR="006E13F3" w14:paraId="4958DB57" w14:textId="77777777" w:rsidTr="006E13F3">
        <w:trPr>
          <w:trHeight w:val="183"/>
          <w:jc w:val="center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310908" w14:textId="77777777" w:rsidR="006E13F3" w:rsidRDefault="006E13F3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Vidējais amata vietu skaits gadā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2343D25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864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91A619F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903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1FFEE9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A82E4B8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8D49E6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</w:tr>
      <w:tr w:rsidR="006E13F3" w14:paraId="5F5FBFF5" w14:textId="77777777" w:rsidTr="006E13F3">
        <w:trPr>
          <w:trHeight w:val="142"/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369D3" w14:textId="77777777" w:rsidR="006E13F3" w:rsidRDefault="006E13F3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>
              <w:rPr>
                <w:i/>
                <w:sz w:val="18"/>
                <w:lang w:eastAsia="lv-LV"/>
              </w:rPr>
              <w:t>Tajā skaitā:</w:t>
            </w:r>
          </w:p>
        </w:tc>
      </w:tr>
      <w:tr w:rsidR="006E13F3" w14:paraId="6CB86060" w14:textId="77777777" w:rsidTr="006E13F3">
        <w:trPr>
          <w:trHeight w:val="142"/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40107" w14:textId="77777777" w:rsidR="006E13F3" w:rsidRDefault="006E13F3">
            <w:pPr>
              <w:spacing w:after="0"/>
              <w:ind w:firstLine="313"/>
              <w:jc w:val="left"/>
              <w:rPr>
                <w:sz w:val="18"/>
                <w:lang w:eastAsia="lv-LV"/>
              </w:rPr>
            </w:pPr>
            <w:r>
              <w:rPr>
                <w:i/>
                <w:sz w:val="18"/>
                <w:lang w:eastAsia="lv-LV"/>
              </w:rPr>
              <w:t>Valsts pamatfunkciju īstenošana</w:t>
            </w:r>
          </w:p>
        </w:tc>
      </w:tr>
      <w:tr w:rsidR="006E13F3" w14:paraId="42BBF645" w14:textId="77777777" w:rsidTr="005A7240">
        <w:trPr>
          <w:trHeight w:val="92"/>
          <w:jc w:val="center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856465F" w14:textId="77777777" w:rsidR="006E13F3" w:rsidRDefault="006E13F3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Vidējais amata vietu skaits gadā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0D6A253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864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51E0EB6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903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D273DAC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575DC5A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59365FA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</w:tr>
    </w:tbl>
    <w:p w14:paraId="3FE395B9" w14:textId="77777777" w:rsidR="006E13F3" w:rsidRDefault="006E13F3" w:rsidP="00BF5AFF">
      <w:pPr>
        <w:spacing w:before="480" w:after="240"/>
        <w:ind w:firstLine="0"/>
        <w:jc w:val="center"/>
        <w:rPr>
          <w:b/>
          <w:u w:val="single"/>
          <w:lang w:eastAsia="lv-LV"/>
        </w:rPr>
      </w:pPr>
      <w:r>
        <w:rPr>
          <w:b/>
          <w:u w:val="single"/>
          <w:lang w:eastAsia="lv-LV"/>
        </w:rPr>
        <w:t xml:space="preserve">Darbības </w:t>
      </w:r>
      <w:r>
        <w:rPr>
          <w:b/>
          <w:u w:val="single"/>
        </w:rPr>
        <w:t>virziena</w:t>
      </w:r>
      <w:r>
        <w:rPr>
          <w:b/>
          <w:u w:val="single"/>
          <w:lang w:eastAsia="lv-LV"/>
        </w:rPr>
        <w:t xml:space="preserve"> un resursu vadības karte</w:t>
      </w:r>
    </w:p>
    <w:p w14:paraId="18F3C030" w14:textId="77777777" w:rsidR="006E13F3" w:rsidRDefault="006E13F3" w:rsidP="005C3D81">
      <w:pPr>
        <w:numPr>
          <w:ilvl w:val="0"/>
          <w:numId w:val="2"/>
        </w:numPr>
        <w:ind w:left="284" w:hanging="284"/>
        <w:rPr>
          <w:lang w:eastAsia="lv-LV"/>
        </w:rPr>
      </w:pPr>
      <w:r>
        <w:rPr>
          <w:b/>
          <w:lang w:eastAsia="lv-LV"/>
        </w:rPr>
        <w:t xml:space="preserve">Likumības ievērošanas uzraudzība Prokuratūras likumā noteiktās kompetences ietvaros un reaģēšana uz likuma pārkāpumu un ar to saistītās lietas izlemšanas nodrošināšana likumā noteiktajā kārtībā </w:t>
      </w:r>
    </w:p>
    <w:tbl>
      <w:tblPr>
        <w:tblStyle w:val="TableGrid4"/>
        <w:tblW w:w="90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5"/>
      </w:tblGrid>
      <w:tr w:rsidR="006E13F3" w14:paraId="329CC896" w14:textId="77777777" w:rsidTr="006E13F3">
        <w:trPr>
          <w:trHeight w:val="219"/>
        </w:trPr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20AD14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Darbības mērķis: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b/>
                <w:sz w:val="18"/>
                <w:szCs w:val="18"/>
                <w:lang w:eastAsia="lv-LV"/>
              </w:rPr>
              <w:t>nodrošināt pastāvīgu likumības ievērošanas uzraudzību un reaģēšanu uz likuma pārkāpumu likumā noteiktajā kārtībā</w:t>
            </w:r>
            <w:r>
              <w:rPr>
                <w:sz w:val="18"/>
                <w:szCs w:val="18"/>
                <w:lang w:eastAsia="lv-LV"/>
              </w:rPr>
              <w:t xml:space="preserve"> /</w:t>
            </w:r>
            <w:r>
              <w:rPr>
                <w:i/>
                <w:sz w:val="18"/>
                <w:szCs w:val="18"/>
                <w:lang w:eastAsia="lv-LV"/>
              </w:rPr>
              <w:t xml:space="preserve"> Prokuratūras likums</w:t>
            </w:r>
          </w:p>
        </w:tc>
      </w:tr>
    </w:tbl>
    <w:p w14:paraId="43C7E0AF" w14:textId="77777777" w:rsidR="006E13F3" w:rsidRDefault="006E13F3" w:rsidP="006E13F3">
      <w:pPr>
        <w:spacing w:after="0"/>
        <w:ind w:firstLine="0"/>
        <w:jc w:val="left"/>
        <w:rPr>
          <w:sz w:val="18"/>
          <w:szCs w:val="18"/>
        </w:rPr>
      </w:pPr>
    </w:p>
    <w:tbl>
      <w:tblPr>
        <w:tblStyle w:val="TableGrid4"/>
        <w:tblW w:w="5000" w:type="pct"/>
        <w:tblLook w:val="04A0" w:firstRow="1" w:lastRow="0" w:firstColumn="1" w:lastColumn="0" w:noHBand="0" w:noVBand="1"/>
      </w:tblPr>
      <w:tblGrid>
        <w:gridCol w:w="2836"/>
        <w:gridCol w:w="1245"/>
        <w:gridCol w:w="1245"/>
        <w:gridCol w:w="1245"/>
        <w:gridCol w:w="1243"/>
        <w:gridCol w:w="1247"/>
      </w:tblGrid>
      <w:tr w:rsidR="006E13F3" w14:paraId="361DDAC1" w14:textId="77777777" w:rsidTr="006E13F3">
        <w:trPr>
          <w:trHeight w:val="283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6A45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CAF5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2020. gads</w:t>
            </w:r>
            <w:r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F671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2021. gada     plāns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13F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2022. gada </w:t>
            </w:r>
            <w:r>
              <w:rPr>
                <w:sz w:val="18"/>
                <w:lang w:eastAsia="lv-LV"/>
              </w:rPr>
              <w:t>projekts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8B3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2023. gada </w:t>
            </w:r>
            <w:r>
              <w:rPr>
                <w:sz w:val="18"/>
                <w:lang w:eastAsia="lv-LV"/>
              </w:rPr>
              <w:t>prognoze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FC38E" w14:textId="77777777" w:rsidR="006E13F3" w:rsidRDefault="006E13F3">
            <w:pPr>
              <w:spacing w:after="0"/>
              <w:ind w:firstLine="2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2024. gada </w:t>
            </w:r>
            <w:r>
              <w:rPr>
                <w:sz w:val="18"/>
                <w:lang w:eastAsia="lv-LV"/>
              </w:rPr>
              <w:t>prognoze</w:t>
            </w:r>
          </w:p>
        </w:tc>
      </w:tr>
      <w:tr w:rsidR="006E13F3" w14:paraId="592C46C1" w14:textId="77777777" w:rsidTr="006E13F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5DF27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Ieguldījumi</w:t>
            </w:r>
          </w:p>
        </w:tc>
      </w:tr>
      <w:tr w:rsidR="006E13F3" w14:paraId="0878F48C" w14:textId="77777777" w:rsidTr="006E13F3">
        <w:trPr>
          <w:trHeight w:val="142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2D70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Izdevumi kopā</w:t>
            </w:r>
            <w:r>
              <w:rPr>
                <w:sz w:val="18"/>
                <w:szCs w:val="18"/>
                <w:lang w:eastAsia="lv-LV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>
              <w:rPr>
                <w:i/>
                <w:sz w:val="18"/>
                <w:szCs w:val="18"/>
                <w:lang w:eastAsia="lv-LV"/>
              </w:rPr>
              <w:t>,</w:t>
            </w:r>
            <w:r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1912D491" w14:textId="77777777" w:rsidR="006E13F3" w:rsidRDefault="006E13F3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Vidējais amata vietu skaits kopā, t.sk.: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7EF8" w14:textId="77777777" w:rsidR="006E13F3" w:rsidRDefault="006E13F3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34 650 459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9DB9" w14:textId="77777777" w:rsidR="006E13F3" w:rsidRDefault="006E13F3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38 468 455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B3CE" w14:textId="77777777" w:rsidR="006E13F3" w:rsidRDefault="006E13F3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40 409 568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980A" w14:textId="77777777" w:rsidR="006E13F3" w:rsidRDefault="006E13F3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41 007 210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85EF" w14:textId="77777777" w:rsidR="006E13F3" w:rsidRDefault="006E13F3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41 237 470</w:t>
            </w:r>
          </w:p>
        </w:tc>
      </w:tr>
      <w:tr w:rsidR="006E13F3" w14:paraId="19016CDD" w14:textId="77777777" w:rsidTr="006E13F3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66B8" w14:textId="77777777" w:rsidR="006E13F3" w:rsidRDefault="006E13F3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35BBC" w14:textId="77777777" w:rsidR="006E13F3" w:rsidRDefault="006E13F3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864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332A9" w14:textId="77777777" w:rsidR="006E13F3" w:rsidRDefault="006E13F3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903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3E81" w14:textId="77777777" w:rsidR="006E13F3" w:rsidRDefault="006E13F3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908</w:t>
            </w:r>
            <w:r>
              <w:rPr>
                <w:b/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9D525" w14:textId="77777777" w:rsidR="006E13F3" w:rsidRDefault="006E13F3">
            <w:pPr>
              <w:spacing w:after="0"/>
              <w:ind w:firstLine="0"/>
              <w:jc w:val="right"/>
              <w:rPr>
                <w:b/>
                <w:sz w:val="18"/>
                <w:szCs w:val="18"/>
                <w:vertAlign w:val="superscript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D710" w14:textId="77777777" w:rsidR="006E13F3" w:rsidRDefault="006E13F3">
            <w:pPr>
              <w:spacing w:after="0"/>
              <w:ind w:firstLine="5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908</w:t>
            </w:r>
          </w:p>
        </w:tc>
      </w:tr>
      <w:tr w:rsidR="006E13F3" w14:paraId="24674A6C" w14:textId="77777777" w:rsidTr="006E13F3">
        <w:trPr>
          <w:trHeight w:val="142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0AE9" w14:textId="77777777" w:rsidR="006E13F3" w:rsidRDefault="006E13F3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01.00.00 Prokuratūras iestāžu uzturēšana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886E" w14:textId="77777777" w:rsidR="006E13F3" w:rsidRDefault="006E13F3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34 357 697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9A23" w14:textId="77777777" w:rsidR="006E13F3" w:rsidRDefault="006E13F3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38 465 679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4F0B4" w14:textId="77777777" w:rsidR="006E13F3" w:rsidRDefault="006E13F3">
            <w:pPr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40 325 638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07E0" w14:textId="77777777" w:rsidR="006E13F3" w:rsidRDefault="006E13F3">
            <w:pPr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41 007 210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F817" w14:textId="77777777" w:rsidR="006E13F3" w:rsidRDefault="006E13F3">
            <w:pPr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41 237 470</w:t>
            </w:r>
          </w:p>
        </w:tc>
      </w:tr>
      <w:tr w:rsidR="006E13F3" w14:paraId="7C4675F5" w14:textId="77777777" w:rsidTr="006E13F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D053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D7BE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864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7AD3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D295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A877B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3BFF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</w:p>
        </w:tc>
      </w:tr>
      <w:tr w:rsidR="006E13F3" w14:paraId="66AF56CF" w14:textId="77777777" w:rsidTr="006E13F3">
        <w:trPr>
          <w:trHeight w:val="343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38E2" w14:textId="77777777" w:rsidR="006E13F3" w:rsidRDefault="006E13F3" w:rsidP="005C3D81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70.06.00 Latvijas pārstāvju ceļa izdevumu kompensācija, dodoties uz Eiropas Savienības Padomes darba grupu sanāksmēm un Padomes sanāksmēm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F9C3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8880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2 776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8E76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F174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443B" w14:textId="77777777" w:rsidR="006E13F3" w:rsidRDefault="006E13F3">
            <w:pPr>
              <w:spacing w:after="0"/>
              <w:ind w:firstLine="5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6E13F3" w14:paraId="28C2B7FE" w14:textId="77777777" w:rsidTr="006E13F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390F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3E9F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6ED6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C8A1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ADDE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EE45" w14:textId="77777777" w:rsidR="006E13F3" w:rsidRDefault="006E13F3">
            <w:pPr>
              <w:spacing w:after="0"/>
              <w:ind w:firstLine="5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6E13F3" w14:paraId="1EAE263D" w14:textId="77777777" w:rsidTr="006E13F3">
        <w:trPr>
          <w:trHeight w:val="435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301A" w14:textId="1D714F54" w:rsidR="006E13F3" w:rsidRDefault="006E13F3" w:rsidP="005C3D81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62.07.00 Eiropas Reģionālās attīstības fonda (ERAF) projektu un pasākumu īstenošana (2014-2020)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2C5D" w14:textId="77777777" w:rsidR="006E13F3" w:rsidRDefault="006E13F3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292 762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BA3D" w14:textId="77777777" w:rsidR="006E13F3" w:rsidRDefault="006E13F3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7074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F81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78E8" w14:textId="77777777" w:rsidR="006E13F3" w:rsidRDefault="006E13F3">
            <w:pPr>
              <w:spacing w:after="0"/>
              <w:ind w:firstLine="5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6E13F3" w14:paraId="7E731240" w14:textId="77777777" w:rsidTr="005C3D81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B05A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33D65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7173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9CC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6B8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B608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6E13F3" w14:paraId="5D55F205" w14:textId="77777777" w:rsidTr="006E13F3">
        <w:trPr>
          <w:trHeight w:val="315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2114" w14:textId="77777777" w:rsidR="006E13F3" w:rsidRDefault="006E13F3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70.10.00 Citu ES politiku instrumentu projektu un pasākumu īstenošana (2014-2020)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D19B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233E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C5C8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83 930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75B5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5162" w14:textId="77777777" w:rsidR="006E13F3" w:rsidRDefault="006E13F3">
            <w:pPr>
              <w:spacing w:after="0"/>
              <w:ind w:firstLine="5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6E13F3" w14:paraId="0DED74AE" w14:textId="77777777" w:rsidTr="006E13F3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865A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110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D7D7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8552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AC23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A02B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6E13F3" w14:paraId="0472EB14" w14:textId="77777777" w:rsidTr="006E13F3">
        <w:trPr>
          <w:trHeight w:val="14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A1EFA1" w14:textId="77777777" w:rsidR="006E13F3" w:rsidRDefault="006E13F3">
            <w:pPr>
              <w:spacing w:after="0"/>
              <w:ind w:firstLine="0"/>
              <w:jc w:val="center"/>
              <w:rPr>
                <w:i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6E13F3" w14:paraId="2D536C0C" w14:textId="77777777" w:rsidTr="006E13F3">
        <w:trPr>
          <w:trHeight w:val="315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0DD8" w14:textId="77777777" w:rsidR="006E13F3" w:rsidRDefault="006E13F3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 xml:space="preserve">Prokuroru uzraudzībā uzsāktie kriminālprocesi (skaits)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FE6B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36 756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3EBD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38 000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B9D7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36 550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5D7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36 000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BCA9" w14:textId="77777777" w:rsidR="006E13F3" w:rsidRDefault="006E13F3">
            <w:pPr>
              <w:spacing w:after="0"/>
              <w:ind w:firstLine="5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35 500</w:t>
            </w:r>
          </w:p>
        </w:tc>
      </w:tr>
      <w:tr w:rsidR="006E13F3" w14:paraId="7A0C9861" w14:textId="77777777" w:rsidTr="006E13F3">
        <w:trPr>
          <w:trHeight w:val="142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DB3A" w14:textId="77777777" w:rsidR="006E13F3" w:rsidRDefault="006E13F3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Doti norādījumi par izmeklēšanas virzienu, izmeklēšanas darbību veikšanu (skaits)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3C3A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21 085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2562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22 000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03B9D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21 964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ABE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21 865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D42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21 832</w:t>
            </w:r>
          </w:p>
        </w:tc>
      </w:tr>
      <w:tr w:rsidR="006E13F3" w14:paraId="34E2BA68" w14:textId="77777777" w:rsidTr="006E13F3">
        <w:trPr>
          <w:trHeight w:val="142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A963" w14:textId="77777777" w:rsidR="006E13F3" w:rsidRDefault="006E13F3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 xml:space="preserve">Pabeigts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pirmstiesas</w:t>
            </w:r>
            <w:proofErr w:type="spellEnd"/>
            <w:r>
              <w:rPr>
                <w:i/>
                <w:sz w:val="18"/>
                <w:szCs w:val="18"/>
                <w:lang w:eastAsia="lv-LV"/>
              </w:rPr>
              <w:t xml:space="preserve"> kriminālprocess (skaits)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2764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11 013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D46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11 000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8D8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10 987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45FD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10 974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B043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10 961</w:t>
            </w:r>
          </w:p>
        </w:tc>
      </w:tr>
      <w:tr w:rsidR="006E13F3" w14:paraId="4E964126" w14:textId="77777777" w:rsidTr="006E13F3">
        <w:trPr>
          <w:trHeight w:val="142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E6DE" w14:textId="77777777" w:rsidR="006E13F3" w:rsidRDefault="006E13F3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Pavisam uz tiesu nodotas lietas (skaits)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D09A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8 088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8AD3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8 200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8331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8 180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CADAA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8 160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F3BC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8 100</w:t>
            </w:r>
          </w:p>
        </w:tc>
      </w:tr>
    </w:tbl>
    <w:p w14:paraId="754E3D8C" w14:textId="77777777" w:rsidR="006E13F3" w:rsidRDefault="006E13F3" w:rsidP="006E13F3">
      <w:pPr>
        <w:spacing w:after="0"/>
        <w:ind w:firstLine="425"/>
        <w:jc w:val="left"/>
        <w:rPr>
          <w:sz w:val="18"/>
          <w:szCs w:val="18"/>
          <w:lang w:eastAsia="lv-LV"/>
        </w:rPr>
      </w:pPr>
      <w:r>
        <w:rPr>
          <w:sz w:val="18"/>
          <w:szCs w:val="18"/>
          <w:lang w:eastAsia="lv-LV"/>
        </w:rPr>
        <w:t>Piezīmes.</w:t>
      </w:r>
    </w:p>
    <w:p w14:paraId="7FE8A025" w14:textId="24493A2E" w:rsidR="005C3D81" w:rsidRDefault="006E13F3" w:rsidP="005A7240">
      <w:pPr>
        <w:spacing w:after="480"/>
        <w:ind w:firstLine="425"/>
        <w:jc w:val="left"/>
        <w:rPr>
          <w:rFonts w:eastAsia="Calibri"/>
          <w:b/>
          <w:bCs/>
          <w:u w:val="single"/>
        </w:rPr>
      </w:pPr>
      <w:r>
        <w:rPr>
          <w:sz w:val="18"/>
          <w:szCs w:val="18"/>
          <w:vertAlign w:val="superscript"/>
          <w:lang w:eastAsia="lv-LV"/>
        </w:rPr>
        <w:t>1</w:t>
      </w:r>
      <w:r>
        <w:rPr>
          <w:sz w:val="18"/>
          <w:szCs w:val="18"/>
          <w:lang w:eastAsia="lv-LV"/>
        </w:rPr>
        <w:t>Saskaņā ar MK10.</w:t>
      </w:r>
      <w:r w:rsidR="00DF0C2D">
        <w:rPr>
          <w:sz w:val="18"/>
          <w:szCs w:val="18"/>
          <w:lang w:eastAsia="lv-LV"/>
        </w:rPr>
        <w:t>04.2018.</w:t>
      </w:r>
      <w:r>
        <w:rPr>
          <w:sz w:val="18"/>
          <w:szCs w:val="18"/>
          <w:lang w:eastAsia="lv-LV"/>
        </w:rPr>
        <w:t xml:space="preserve"> sēdes protokola Nr.19 36.</w:t>
      </w:r>
      <w:r>
        <w:rPr>
          <w:sz w:val="18"/>
          <w:szCs w:val="18"/>
        </w:rPr>
        <w:t>§ 21.</w:t>
      </w:r>
      <w:r>
        <w:rPr>
          <w:sz w:val="18"/>
          <w:szCs w:val="18"/>
          <w:lang w:eastAsia="lv-LV"/>
        </w:rPr>
        <w:t>punktu par 5 amatu vietu pārdali no budžeta programmas 01.00.00 “Prokuratūras iestāžu uzturēšana” uz budžeta programmu 02.00.00 “Noziedzīgi iegūtu līdzekļu legalizācijas novēršana”</w:t>
      </w:r>
      <w:r w:rsidR="00DF0C2D">
        <w:rPr>
          <w:sz w:val="18"/>
          <w:szCs w:val="18"/>
          <w:lang w:eastAsia="lv-LV"/>
        </w:rPr>
        <w:t xml:space="preserve"> </w:t>
      </w:r>
      <w:r>
        <w:rPr>
          <w:sz w:val="18"/>
          <w:szCs w:val="18"/>
          <w:lang w:eastAsia="lv-LV"/>
        </w:rPr>
        <w:t>2020. un 2021.</w:t>
      </w:r>
      <w:r w:rsidR="00DF0C2D">
        <w:rPr>
          <w:sz w:val="18"/>
          <w:szCs w:val="18"/>
          <w:lang w:eastAsia="lv-LV"/>
        </w:rPr>
        <w:t xml:space="preserve"> </w:t>
      </w:r>
      <w:r>
        <w:rPr>
          <w:sz w:val="18"/>
          <w:szCs w:val="18"/>
          <w:lang w:eastAsia="lv-LV"/>
        </w:rPr>
        <w:t>gadam.</w:t>
      </w:r>
    </w:p>
    <w:p w14:paraId="216A2445" w14:textId="77777777" w:rsidR="005A7240" w:rsidRDefault="005A7240" w:rsidP="006A49CA">
      <w:pPr>
        <w:spacing w:after="0"/>
        <w:ind w:firstLine="0"/>
        <w:jc w:val="center"/>
        <w:rPr>
          <w:rFonts w:eastAsia="Calibri"/>
          <w:b/>
          <w:bCs/>
          <w:u w:val="single"/>
        </w:rPr>
      </w:pPr>
    </w:p>
    <w:p w14:paraId="55A10CBE" w14:textId="77777777" w:rsidR="005A7240" w:rsidRDefault="005A7240" w:rsidP="006A49CA">
      <w:pPr>
        <w:spacing w:after="0"/>
        <w:ind w:firstLine="0"/>
        <w:jc w:val="center"/>
        <w:rPr>
          <w:rFonts w:eastAsia="Calibri"/>
          <w:b/>
          <w:bCs/>
          <w:u w:val="single"/>
        </w:rPr>
      </w:pPr>
    </w:p>
    <w:p w14:paraId="30046D76" w14:textId="77777777" w:rsidR="005A7240" w:rsidRDefault="005A7240" w:rsidP="006A49CA">
      <w:pPr>
        <w:spacing w:after="0"/>
        <w:ind w:firstLine="0"/>
        <w:jc w:val="center"/>
        <w:rPr>
          <w:rFonts w:eastAsia="Calibri"/>
          <w:b/>
          <w:bCs/>
          <w:u w:val="single"/>
        </w:rPr>
      </w:pPr>
    </w:p>
    <w:p w14:paraId="43E42228" w14:textId="77777777" w:rsidR="005A7240" w:rsidRDefault="005A7240" w:rsidP="006A49CA">
      <w:pPr>
        <w:spacing w:after="0"/>
        <w:ind w:firstLine="0"/>
        <w:jc w:val="center"/>
        <w:rPr>
          <w:rFonts w:eastAsia="Calibri"/>
          <w:b/>
          <w:bCs/>
          <w:u w:val="single"/>
        </w:rPr>
      </w:pPr>
    </w:p>
    <w:p w14:paraId="55FCFB07" w14:textId="77777777" w:rsidR="005A7240" w:rsidRDefault="005A7240" w:rsidP="006A49CA">
      <w:pPr>
        <w:spacing w:after="0"/>
        <w:ind w:firstLine="0"/>
        <w:jc w:val="center"/>
        <w:rPr>
          <w:rFonts w:eastAsia="Calibri"/>
          <w:b/>
          <w:bCs/>
          <w:u w:val="single"/>
        </w:rPr>
      </w:pPr>
    </w:p>
    <w:p w14:paraId="0F418AFF" w14:textId="77777777" w:rsidR="005A7240" w:rsidRDefault="005A7240" w:rsidP="006A49CA">
      <w:pPr>
        <w:spacing w:after="0"/>
        <w:ind w:firstLine="0"/>
        <w:jc w:val="center"/>
        <w:rPr>
          <w:rFonts w:eastAsia="Calibri"/>
          <w:b/>
          <w:bCs/>
          <w:u w:val="single"/>
        </w:rPr>
      </w:pPr>
    </w:p>
    <w:p w14:paraId="62639B03" w14:textId="77777777" w:rsidR="005A7240" w:rsidRDefault="005A7240" w:rsidP="006A49CA">
      <w:pPr>
        <w:spacing w:after="0"/>
        <w:ind w:firstLine="0"/>
        <w:jc w:val="center"/>
        <w:rPr>
          <w:rFonts w:eastAsia="Calibri"/>
          <w:b/>
          <w:bCs/>
          <w:u w:val="single"/>
        </w:rPr>
      </w:pPr>
    </w:p>
    <w:p w14:paraId="5791C3E4" w14:textId="77777777" w:rsidR="005A7240" w:rsidRDefault="005A7240" w:rsidP="006A49CA">
      <w:pPr>
        <w:spacing w:after="0"/>
        <w:ind w:firstLine="0"/>
        <w:jc w:val="center"/>
        <w:rPr>
          <w:rFonts w:eastAsia="Calibri"/>
          <w:b/>
          <w:bCs/>
          <w:u w:val="single"/>
        </w:rPr>
      </w:pPr>
    </w:p>
    <w:p w14:paraId="4C75FCDC" w14:textId="223EA021" w:rsidR="006E13F3" w:rsidRDefault="005C3D81" w:rsidP="006A49CA">
      <w:pPr>
        <w:spacing w:after="0"/>
        <w:ind w:firstLine="0"/>
        <w:jc w:val="center"/>
        <w:rPr>
          <w:rFonts w:eastAsia="Calibri"/>
          <w:b/>
          <w:bCs/>
          <w:u w:val="single"/>
        </w:rPr>
      </w:pPr>
      <w:r>
        <w:rPr>
          <w:rFonts w:eastAsia="Calibri"/>
          <w:b/>
          <w:bCs/>
          <w:u w:val="single"/>
        </w:rPr>
        <w:lastRenderedPageBreak/>
        <w:t>P</w:t>
      </w:r>
      <w:r w:rsidR="006E13F3">
        <w:rPr>
          <w:rFonts w:eastAsia="Calibri"/>
          <w:b/>
          <w:bCs/>
          <w:u w:val="single"/>
        </w:rPr>
        <w:t>rioritārajiem pasākumiem</w:t>
      </w:r>
    </w:p>
    <w:p w14:paraId="657252D2" w14:textId="77777777" w:rsidR="006E13F3" w:rsidRDefault="006E13F3" w:rsidP="005C3D81">
      <w:pPr>
        <w:spacing w:after="240"/>
        <w:ind w:firstLine="0"/>
        <w:jc w:val="center"/>
        <w:rPr>
          <w:b/>
          <w:bCs/>
          <w:u w:val="single"/>
        </w:rPr>
      </w:pPr>
      <w:r>
        <w:rPr>
          <w:rFonts w:eastAsia="Calibri"/>
          <w:b/>
          <w:bCs/>
          <w:u w:val="single"/>
        </w:rPr>
        <w:t xml:space="preserve">papildu piešķirtais finansējums no 2022. līdz 2024. </w:t>
      </w:r>
      <w:r>
        <w:rPr>
          <w:b/>
          <w:bCs/>
          <w:u w:val="single"/>
        </w:rPr>
        <w:t>gadam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0"/>
        <w:gridCol w:w="4053"/>
        <w:gridCol w:w="1052"/>
        <w:gridCol w:w="1145"/>
        <w:gridCol w:w="1145"/>
        <w:gridCol w:w="1046"/>
      </w:tblGrid>
      <w:tr w:rsidR="006E13F3" w14:paraId="6AFFE781" w14:textId="77777777" w:rsidTr="005A7240">
        <w:trPr>
          <w:cantSplit/>
          <w:trHeight w:val="166"/>
          <w:tblHeader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2664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Nr.</w:t>
            </w:r>
            <w:r>
              <w:rPr>
                <w:rFonts w:eastAsia="Calibri"/>
                <w:sz w:val="18"/>
                <w:szCs w:val="18"/>
                <w:lang w:eastAsia="lv-LV"/>
              </w:rPr>
              <w:br/>
              <w:t>p.k.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BDF1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Pasākuma nosaukums</w:t>
            </w:r>
          </w:p>
          <w:p w14:paraId="34DCAAE1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i/>
                <w:sz w:val="18"/>
                <w:szCs w:val="18"/>
                <w:lang w:eastAsia="lv-LV"/>
              </w:rPr>
              <w:t>Darbības apraksts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rFonts w:eastAsia="Calibri"/>
                <w:b/>
                <w:i/>
                <w:sz w:val="18"/>
                <w:szCs w:val="18"/>
                <w:lang w:eastAsia="lv-LV"/>
              </w:rPr>
              <w:t>ar norādi uz līdzekļu izlietojumu</w:t>
            </w:r>
            <w:r>
              <w:rPr>
                <w:rFonts w:eastAsia="Calibri"/>
                <w:b/>
                <w:sz w:val="18"/>
                <w:szCs w:val="18"/>
                <w:lang w:eastAsia="lv-LV"/>
              </w:rPr>
              <w:t xml:space="preserve"> </w:t>
            </w:r>
          </w:p>
          <w:p w14:paraId="10945BE6" w14:textId="77777777" w:rsidR="006E13F3" w:rsidRDefault="006E13F3">
            <w:pPr>
              <w:spacing w:after="0"/>
              <w:ind w:left="340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Darbības rezultāts</w:t>
            </w:r>
          </w:p>
          <w:p w14:paraId="26963816" w14:textId="77777777" w:rsidR="006E13F3" w:rsidRDefault="006E13F3">
            <w:pPr>
              <w:spacing w:after="0"/>
              <w:ind w:left="510" w:firstLine="0"/>
              <w:jc w:val="left"/>
              <w:rPr>
                <w:rFonts w:eastAsia="Calibri"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sz w:val="18"/>
                <w:szCs w:val="18"/>
                <w:lang w:eastAsia="lv-LV"/>
              </w:rPr>
              <w:t>Rezultatīvais rādītājs</w:t>
            </w:r>
          </w:p>
          <w:p w14:paraId="6BF259F0" w14:textId="77777777" w:rsidR="006E13F3" w:rsidRDefault="006E13F3" w:rsidP="005A7240">
            <w:pPr>
              <w:spacing w:after="0"/>
              <w:ind w:right="-75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Programmas (apakšprogrammas) kods un nosaukums</w:t>
            </w: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143FF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Izdevumi</w:t>
            </w:r>
            <w:r>
              <w:rPr>
                <w:rFonts w:eastAsia="Calibri"/>
                <w:sz w:val="18"/>
                <w:szCs w:val="18"/>
                <w:lang w:eastAsia="lv-LV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lv-LV"/>
              </w:rPr>
              <w:t>euro</w:t>
            </w:r>
            <w:proofErr w:type="spellEnd"/>
            <w:r>
              <w:rPr>
                <w:rFonts w:eastAsia="Calibri"/>
                <w:sz w:val="18"/>
                <w:szCs w:val="18"/>
                <w:lang w:eastAsia="lv-LV"/>
              </w:rPr>
              <w:t>/ rādītāji, vērtība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788F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Pamatojums</w:t>
            </w:r>
          </w:p>
        </w:tc>
      </w:tr>
      <w:tr w:rsidR="006E13F3" w14:paraId="58528C54" w14:textId="77777777" w:rsidTr="005A7240">
        <w:trPr>
          <w:cantSplit/>
          <w:trHeight w:val="737"/>
          <w:tblHeader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12CBB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FF4B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8F61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2022. gadā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3961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2023. gadā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2078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2024. gadā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7A74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599A9342" w14:textId="77777777" w:rsidTr="005A7240">
        <w:trPr>
          <w:cantSplit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E6AB3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1.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CB03C5A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 xml:space="preserve">Prokuratūras informācijas sistēmas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lv-LV"/>
              </w:rPr>
              <w:t>ProIS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lv-LV"/>
              </w:rPr>
              <w:t xml:space="preserve"> uzturēšana,  tehniskais nodrošinājums un tehnoloģisko risinājumu attīstība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08351F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234 587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EA9372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249 225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274432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375 840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0C75" w14:textId="77777777" w:rsidR="006E13F3" w:rsidRDefault="006E13F3" w:rsidP="005A7240">
            <w:pPr>
              <w:spacing w:after="0"/>
              <w:ind w:left="31" w:right="-32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MK 24.09.2021. sēdes protokols Nr.63 1.§                 2.punkts</w:t>
            </w:r>
          </w:p>
        </w:tc>
      </w:tr>
      <w:tr w:rsidR="006E13F3" w14:paraId="5DFB5F71" w14:textId="77777777" w:rsidTr="005A7240">
        <w:trPr>
          <w:cantSplit/>
          <w:trHeight w:val="78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3201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5B20D5" w14:textId="77777777" w:rsidR="006E13F3" w:rsidRDefault="006E13F3" w:rsidP="005C3D81">
            <w:pPr>
              <w:spacing w:after="0"/>
              <w:ind w:right="284" w:firstLine="0"/>
              <w:jc w:val="left"/>
              <w:rPr>
                <w:rFonts w:eastAsia="Calibri"/>
                <w:b/>
                <w:bCs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lv-LV"/>
              </w:rPr>
              <w:t>Prokuratūras struktūrvienības nodrošinātas ar funkciju izpildei nepieciešamo tehniku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78EBB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61A9A590" w14:textId="77777777" w:rsidTr="005A7240">
        <w:trPr>
          <w:cantSplit/>
          <w:trHeight w:val="507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6525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F9EFEB" w14:textId="77777777" w:rsidR="006E13F3" w:rsidRDefault="006E13F3" w:rsidP="005A7240">
            <w:pPr>
              <w:spacing w:after="0"/>
              <w:ind w:left="485" w:firstLine="0"/>
              <w:jc w:val="left"/>
              <w:rPr>
                <w:rFonts w:eastAsia="Calibri"/>
                <w:bCs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Nodrošināts prokuratūras struktūrvienību tehniskais atbalsts (nomāto </w:t>
            </w:r>
            <w:proofErr w:type="spellStart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multifunkcionālo</w:t>
            </w:r>
            <w:proofErr w:type="spellEnd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iekārtu skaits)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5DC0C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37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876B62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63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2F8331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110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8BA8D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34F5026C" w14:textId="77777777" w:rsidTr="005A7240">
        <w:trPr>
          <w:cantSplit/>
          <w:trHeight w:val="10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6632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FA60B0" w14:textId="77777777" w:rsidR="006E13F3" w:rsidRDefault="006E13F3">
            <w:pPr>
              <w:spacing w:after="0"/>
              <w:ind w:firstLine="0"/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>Nodrošināta efektīva un pilnvērtīga Prokuratūras informācijas sistēmas PROIS funkcionalitāte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EF37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23F185B9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C360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D6010F" w14:textId="77777777" w:rsidR="006E13F3" w:rsidRDefault="006E13F3" w:rsidP="005A7240">
            <w:pPr>
              <w:spacing w:after="0"/>
              <w:ind w:left="485" w:firstLine="0"/>
              <w:jc w:val="left"/>
              <w:rPr>
                <w:rFonts w:eastAsia="Calibri"/>
                <w:bCs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Nodrošināts IT infrastruktūras risinājumu tehniskais atbalsts (atbalsta ceturkšņu skaits gadā)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F3655C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8423C9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5D93AF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4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8D39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0AADBAA8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BEA9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D61291" w14:textId="77777777" w:rsidR="006E13F3" w:rsidRDefault="006E13F3">
            <w:pPr>
              <w:spacing w:after="0"/>
              <w:ind w:firstLine="0"/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>Nodrošināta efektīva Prokuratūras informācijas tehnoloģiju infrastruktūras drošības līmeņa uzturēšana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0EDB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7E5CB9B1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835E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6279CE" w14:textId="77777777" w:rsidR="006E13F3" w:rsidRDefault="006E13F3" w:rsidP="005A7240">
            <w:pPr>
              <w:spacing w:after="0"/>
              <w:ind w:left="485" w:firstLine="0"/>
              <w:jc w:val="left"/>
              <w:rPr>
                <w:rFonts w:eastAsia="Calibri"/>
                <w:bCs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Nodrošināts Cisco </w:t>
            </w:r>
            <w:proofErr w:type="spellStart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StealthWatch</w:t>
            </w:r>
            <w:proofErr w:type="spellEnd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datortīkla drošības risinājuma (anomāliju savlaicīgai atklāšanai)  tehniskais atbalsts  (licenču veidu skaits) 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78058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3385C3" w14:textId="23867DC5" w:rsidR="006E13F3" w:rsidRDefault="009B4A07">
            <w:pPr>
              <w:spacing w:after="0"/>
              <w:ind w:firstLine="0"/>
              <w:jc w:val="center"/>
              <w:rPr>
                <w:rFonts w:eastAsia="Calibri"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9F62DB" w14:textId="33B5E3E3" w:rsidR="006E13F3" w:rsidRDefault="009B4A07">
            <w:pPr>
              <w:spacing w:after="0"/>
              <w:ind w:firstLine="0"/>
              <w:jc w:val="center"/>
              <w:rPr>
                <w:rFonts w:eastAsia="Calibri"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3D4E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79294C6D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ABC5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6670C6" w14:textId="77777777" w:rsidR="006E13F3" w:rsidRDefault="006E13F3">
            <w:pPr>
              <w:spacing w:after="0"/>
              <w:ind w:firstLine="0"/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>Nodrošināta efektīva Prokuratūras informācijas tehnoloģiju infrastruktūras drošības līmeņa uzturēšana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04FE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2038F4BF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EEBA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843C99" w14:textId="77777777" w:rsidR="006E13F3" w:rsidRDefault="006E13F3" w:rsidP="005A7240">
            <w:pPr>
              <w:spacing w:after="0"/>
              <w:ind w:left="485" w:firstLine="0"/>
              <w:jc w:val="left"/>
              <w:rPr>
                <w:rFonts w:eastAsia="Calibri"/>
                <w:bCs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Nodrošināts WAF risinājuma (</w:t>
            </w:r>
            <w:proofErr w:type="spellStart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Web</w:t>
            </w:r>
            <w:proofErr w:type="spellEnd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Application</w:t>
            </w:r>
            <w:proofErr w:type="spellEnd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Firewall</w:t>
            </w:r>
            <w:proofErr w:type="spellEnd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, tīmekļa lietojumprogrammu ugunsmūris) tehniskais atbalsts  (licenču veidu skaits) 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158A0E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5E1812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CE5457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535D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282F669F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14AF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B05A7D" w14:textId="77777777" w:rsidR="006E13F3" w:rsidRDefault="006E13F3">
            <w:pPr>
              <w:spacing w:after="0"/>
              <w:ind w:firstLine="0"/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>Nodrošināta efektīva ieviestā risinājuma uzturēšana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29E0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4B8B333C" w14:textId="77777777" w:rsidTr="005A7240">
        <w:trPr>
          <w:cantSplit/>
          <w:trHeight w:val="37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9922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7F901C" w14:textId="77777777" w:rsidR="006E13F3" w:rsidRDefault="006E13F3" w:rsidP="005A7240">
            <w:pPr>
              <w:spacing w:after="0"/>
              <w:ind w:left="485" w:firstLine="0"/>
              <w:jc w:val="left"/>
              <w:rPr>
                <w:rFonts w:eastAsia="Calibri"/>
                <w:bCs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Nodrošināts analītiskās programmatūras IBM i2 </w:t>
            </w:r>
            <w:proofErr w:type="spellStart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Analyst's</w:t>
            </w:r>
            <w:proofErr w:type="spellEnd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Notebook</w:t>
            </w:r>
            <w:proofErr w:type="spellEnd"/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tehniskais atbalsts  (licenču veidu skaits)  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C84514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0F1857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256FAF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A819C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51AF7C2D" w14:textId="77777777" w:rsidTr="005A7240">
        <w:trPr>
          <w:cantSplit/>
          <w:trHeight w:val="10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5E69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C546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01.00.00 “Prokuratūras iestāžu uzturēšana”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F42F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4F2DC9AC" w14:textId="77777777" w:rsidTr="005A7240">
        <w:trPr>
          <w:cantSplit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A0AA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8F7D31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Prokuroru un prokuratūras darbinieku kvalifikācijas celšana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1C275B4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33 500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2A3703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33 500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A8D1F8B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33 500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ECD7" w14:textId="77777777" w:rsidR="006E13F3" w:rsidRDefault="006E13F3" w:rsidP="005A7240">
            <w:pPr>
              <w:spacing w:after="0"/>
              <w:ind w:left="31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MK 24.09.2021. sēdes protokols Nr.63 1.§                 2.punkts</w:t>
            </w:r>
          </w:p>
        </w:tc>
      </w:tr>
      <w:tr w:rsidR="006E13F3" w14:paraId="2005DB3D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B5F6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B7561E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b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i/>
                <w:sz w:val="18"/>
                <w:szCs w:val="18"/>
                <w:lang w:eastAsia="lv-LV"/>
              </w:rPr>
              <w:t>Nodrošināta zināšanu papildināšana un profesionālo iemaņu un prasmju pilnveidošana prokuroriem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F75C6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47FEE606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7061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FC14" w14:textId="697C2DCA" w:rsidR="006E13F3" w:rsidRDefault="006E13F3">
            <w:pPr>
              <w:spacing w:after="0"/>
              <w:ind w:firstLine="601"/>
              <w:jc w:val="left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Apmācīt</w:t>
            </w:r>
            <w:r w:rsidR="0026563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ie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 xml:space="preserve"> prokuror</w:t>
            </w:r>
            <w:r w:rsidR="0026563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i (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skaits</w:t>
            </w:r>
            <w:r w:rsidR="0026563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3FA3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sz w:val="18"/>
                <w:szCs w:val="18"/>
                <w:lang w:eastAsia="lv-LV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04F24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sz w:val="18"/>
                <w:szCs w:val="18"/>
                <w:lang w:eastAsia="lv-LV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0CE4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sz w:val="18"/>
                <w:szCs w:val="18"/>
                <w:lang w:eastAsia="lv-LV"/>
              </w:rPr>
              <w:t>200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677C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18B6CFCD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5630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B63964" w14:textId="77777777" w:rsidR="006E13F3" w:rsidRDefault="006E13F3">
            <w:pPr>
              <w:spacing w:after="0"/>
              <w:ind w:firstLine="0"/>
              <w:rPr>
                <w:rFonts w:eastAsia="Calibri"/>
                <w:b/>
                <w:bCs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lv-LV"/>
              </w:rPr>
              <w:t>Nodrošināta zināšanu papildināšana un profesionālo iemaņu un prasmju pilnveidošana prokuratūras darbiniekiem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95E2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19E9EF8F" w14:textId="77777777" w:rsidTr="005A7240">
        <w:trPr>
          <w:cantSplit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B700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F5870" w14:textId="199A817F" w:rsidR="006E13F3" w:rsidRDefault="006E13F3">
            <w:pPr>
              <w:spacing w:after="0"/>
              <w:ind w:firstLine="601"/>
              <w:jc w:val="left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Apmācīt</w:t>
            </w:r>
            <w:r w:rsidR="0026563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ie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 xml:space="preserve"> prokuratūras darbiniek</w:t>
            </w:r>
            <w:r w:rsidR="0026563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i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 xml:space="preserve"> </w:t>
            </w:r>
            <w:r w:rsidR="0026563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(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skaits</w:t>
            </w:r>
            <w:r w:rsidR="0026563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8792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sz w:val="18"/>
                <w:szCs w:val="18"/>
                <w:lang w:eastAsia="lv-LV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BF6F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sz w:val="18"/>
                <w:szCs w:val="18"/>
                <w:lang w:eastAsia="lv-LV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E589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sz w:val="18"/>
                <w:szCs w:val="18"/>
                <w:lang w:eastAsia="lv-LV"/>
              </w:rPr>
              <w:t>200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74F0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526DC07A" w14:textId="77777777" w:rsidTr="005A7240">
        <w:trPr>
          <w:cantSplit/>
          <w:trHeight w:val="248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08A8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E859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01.00.00 “Prokuratūras iestāžu uzturēšana”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E9DEF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200362AA" w14:textId="77777777" w:rsidTr="005A7240">
        <w:trPr>
          <w:cantSplit/>
          <w:trHeight w:val="383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DC77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3.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7F9A66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Prokuroru atalgojuma palielināšana (piemaksu par dežūras dienām un atvaļinājuma pabalsta 50% apmērā no mēnešalgas nodrošināšanai)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452F460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1 084 711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75DEFE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1 084 711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F88120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1 084 711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E9412" w14:textId="77777777" w:rsidR="006E13F3" w:rsidRDefault="006E13F3" w:rsidP="005A7240">
            <w:pPr>
              <w:spacing w:after="0"/>
              <w:ind w:left="31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MK 24.09.2021. sēdes protokols Nr.63 1.§                 2.punkts</w:t>
            </w:r>
          </w:p>
        </w:tc>
      </w:tr>
      <w:tr w:rsidR="006E13F3" w14:paraId="41998B21" w14:textId="77777777" w:rsidTr="005A7240">
        <w:trPr>
          <w:cantSplit/>
          <w:trHeight w:val="199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CB6E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45133A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b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i/>
                <w:sz w:val="18"/>
                <w:szCs w:val="18"/>
                <w:lang w:eastAsia="lv-LV"/>
              </w:rPr>
              <w:t>Stiprināta prokuroru kapacitāte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70DC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5DBA6ECA" w14:textId="77777777" w:rsidTr="005A7240">
        <w:trPr>
          <w:cantSplit/>
          <w:trHeight w:val="416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B3759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1A50" w14:textId="598A5183" w:rsidR="006E13F3" w:rsidRDefault="006E13F3" w:rsidP="005A7240">
            <w:pPr>
              <w:spacing w:after="0"/>
              <w:ind w:left="485" w:firstLine="0"/>
              <w:jc w:val="left"/>
              <w:rPr>
                <w:rFonts w:eastAsia="Calibri"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Prokuroru mainības īpatsvars </w:t>
            </w:r>
            <w:r w:rsidR="00265634">
              <w:rPr>
                <w:rFonts w:eastAsia="Calibri"/>
                <w:i/>
                <w:sz w:val="18"/>
                <w:szCs w:val="18"/>
                <w:lang w:eastAsia="lv-LV"/>
              </w:rPr>
              <w:t xml:space="preserve">prokuratūras struktūrvienībās 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(%)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45C1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DD06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F5D6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5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F799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0AF5D232" w14:textId="77777777" w:rsidTr="005A7240">
        <w:trPr>
          <w:cantSplit/>
          <w:trHeight w:val="28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1CCA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5052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01.00.00 “Prokuratūras iestāžu uzturēšana”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1297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674C37E9" w14:textId="77777777" w:rsidTr="005A7240">
        <w:trPr>
          <w:cantSplit/>
          <w:trHeight w:val="337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8981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4.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7E0DC53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 xml:space="preserve">Ēku Kalpaka bulvārī 6, Rīgā un </w:t>
            </w:r>
            <w:proofErr w:type="spellStart"/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Cēsu</w:t>
            </w:r>
            <w:proofErr w:type="spellEnd"/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 xml:space="preserve"> ielā 28, Limbažos pārbūves, telpu pielāgošanas un citu saistīto izdevumu segšanai Prokuratūras un Tieslietu ministrijas (Valsts probācijas dienesta) vajadzībām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8713A69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20 605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DABB51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852 370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50DEDA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956 015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3586" w14:textId="77777777" w:rsidR="006E13F3" w:rsidRDefault="006E13F3" w:rsidP="005A7240">
            <w:pPr>
              <w:spacing w:after="0"/>
              <w:ind w:left="31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MK 24.09.2021. sēdes protokols Nr.63 1.§                 2.punkts</w:t>
            </w:r>
          </w:p>
        </w:tc>
      </w:tr>
      <w:tr w:rsidR="006E13F3" w14:paraId="2E26B68E" w14:textId="77777777" w:rsidTr="005A7240">
        <w:trPr>
          <w:cantSplit/>
          <w:trHeight w:val="19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9C480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C4610D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b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i/>
                <w:sz w:val="18"/>
                <w:szCs w:val="18"/>
                <w:lang w:eastAsia="lv-LV"/>
              </w:rPr>
              <w:t>Nodrošinātas mūsdienu prasībām atbilstošas tieslietu nozares iestāžu telpas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27FC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5EE266D4" w14:textId="77777777" w:rsidTr="005A7240">
        <w:trPr>
          <w:cantSplit/>
          <w:trHeight w:val="337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2E6B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87A1" w14:textId="77777777" w:rsidR="006E13F3" w:rsidRDefault="006E13F3" w:rsidP="005A7240">
            <w:pPr>
              <w:spacing w:after="0"/>
              <w:ind w:left="485" w:firstLine="0"/>
              <w:jc w:val="left"/>
              <w:rPr>
                <w:rFonts w:eastAsia="Calibri"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sz w:val="18"/>
                <w:szCs w:val="18"/>
                <w:lang w:eastAsia="lv-LV"/>
              </w:rPr>
              <w:t>Ģenerālprokuratūra nodrošināta ar jaunām telpām (iestādes)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ED46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82B3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F8ED" w14:textId="77777777" w:rsidR="006E13F3" w:rsidRPr="005A7240" w:rsidRDefault="006E13F3">
            <w:pPr>
              <w:spacing w:after="0"/>
              <w:ind w:firstLine="0"/>
              <w:jc w:val="center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 w:rsidRPr="005A7240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6527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1047D927" w14:textId="77777777" w:rsidTr="005A7240">
        <w:trPr>
          <w:cantSplit/>
          <w:trHeight w:val="241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AECE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7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DBDE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01.00.00 “Prokuratūras iestāžu uzturēšana”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CB4FA" w14:textId="77777777" w:rsidR="006E13F3" w:rsidRDefault="006E13F3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6E13F3" w14:paraId="2029F1DD" w14:textId="77777777" w:rsidTr="005A7240">
        <w:trPr>
          <w:cantSplit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626A16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Kopā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8C9B51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1 373 403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2F5DA6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2 219 806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288073" w14:textId="77777777" w:rsidR="006E13F3" w:rsidRDefault="006E13F3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2 450 066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78C6" w14:textId="77777777" w:rsidR="006E13F3" w:rsidRDefault="006E13F3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-</w:t>
            </w:r>
          </w:p>
        </w:tc>
      </w:tr>
    </w:tbl>
    <w:p w14:paraId="04306C07" w14:textId="77777777" w:rsidR="006E13F3" w:rsidRDefault="006E13F3" w:rsidP="00FA7E75">
      <w:pPr>
        <w:widowControl w:val="0"/>
        <w:spacing w:before="480" w:after="240"/>
        <w:ind w:firstLine="0"/>
        <w:jc w:val="center"/>
        <w:rPr>
          <w:b/>
          <w:noProof/>
          <w:u w:val="single"/>
        </w:rPr>
      </w:pPr>
      <w:r>
        <w:rPr>
          <w:b/>
          <w:noProof/>
          <w:u w:val="single"/>
        </w:rPr>
        <w:t>Budžeta programmu (apakšprogrammu) paskaidrojumi</w:t>
      </w:r>
    </w:p>
    <w:p w14:paraId="50ACF99F" w14:textId="77777777" w:rsidR="006E13F3" w:rsidRDefault="006E13F3" w:rsidP="006E13F3">
      <w:pPr>
        <w:spacing w:before="120"/>
      </w:pPr>
      <w:r>
        <w:t>Prokuratūra</w:t>
      </w:r>
      <w:r>
        <w:rPr>
          <w:lang w:eastAsia="lv-LV"/>
        </w:rPr>
        <w:t xml:space="preserve"> 2022. </w:t>
      </w:r>
      <w:r>
        <w:t>gadam, salīdzinot ar 2021. gadu, ir veikusi šādas izmaiņas budžeta programmu (apakšprogrammu) struktūrā:</w:t>
      </w:r>
    </w:p>
    <w:p w14:paraId="3BA3E14D" w14:textId="49D46F4C" w:rsidR="006E13F3" w:rsidRDefault="006E13F3" w:rsidP="005A7240">
      <w:pPr>
        <w:spacing w:after="240"/>
        <w:ind w:left="709" w:firstLine="0"/>
        <w:rPr>
          <w:i/>
        </w:rPr>
      </w:pPr>
      <w:r>
        <w:rPr>
          <w:i/>
        </w:rPr>
        <w:t>ar 2022.</w:t>
      </w:r>
      <w:r w:rsidR="00B9430A">
        <w:rPr>
          <w:i/>
        </w:rPr>
        <w:t xml:space="preserve"> </w:t>
      </w:r>
      <w:r>
        <w:rPr>
          <w:i/>
        </w:rPr>
        <w:t>gadu netiek plānoti izdevumi apakšprogrammā 70.06.00 “Latvijas pārstāvju ceļa izdevumu kompensācija, dodoties uz Eiropas Savienības Padomes darba grupu sanāksmēm un Padomes sanāksmēm”.</w:t>
      </w:r>
    </w:p>
    <w:p w14:paraId="19070936" w14:textId="77777777" w:rsidR="006E13F3" w:rsidRDefault="006E13F3" w:rsidP="00E3718B">
      <w:pPr>
        <w:widowControl w:val="0"/>
        <w:spacing w:before="240" w:after="240"/>
        <w:ind w:firstLine="0"/>
        <w:jc w:val="center"/>
        <w:rPr>
          <w:b/>
          <w:noProof/>
        </w:rPr>
      </w:pPr>
      <w:r>
        <w:rPr>
          <w:b/>
          <w:noProof/>
        </w:rPr>
        <w:t>01.00.00 Prokuratūras iestāžu uzturēšana</w:t>
      </w:r>
    </w:p>
    <w:p w14:paraId="3DF925F9" w14:textId="77777777" w:rsidR="006E13F3" w:rsidRDefault="006E13F3" w:rsidP="006E13F3">
      <w:pPr>
        <w:ind w:firstLine="0"/>
        <w:jc w:val="left"/>
        <w:rPr>
          <w:szCs w:val="24"/>
          <w:u w:val="single"/>
        </w:rPr>
      </w:pPr>
      <w:r>
        <w:rPr>
          <w:szCs w:val="24"/>
          <w:u w:val="single"/>
        </w:rPr>
        <w:t>Programmas mērķis:</w:t>
      </w:r>
    </w:p>
    <w:p w14:paraId="1A3294A1" w14:textId="77777777" w:rsidR="006E13F3" w:rsidRDefault="006E13F3" w:rsidP="00E3718B">
      <w:pPr>
        <w:ind w:firstLine="720"/>
        <w:rPr>
          <w:szCs w:val="19"/>
        </w:rPr>
      </w:pPr>
      <w:r>
        <w:rPr>
          <w:szCs w:val="19"/>
        </w:rPr>
        <w:t>nodrošināt uzraudzību pār likumības ievērošanu un reaģēt uz likuma pārkāpumu, nodrošinot ar to saistītas lietas izlemšanu likumā noteiktajā kārtībā.</w:t>
      </w:r>
    </w:p>
    <w:p w14:paraId="217CAFCB" w14:textId="77777777" w:rsidR="006E13F3" w:rsidRDefault="006E13F3" w:rsidP="006E13F3">
      <w:pPr>
        <w:ind w:firstLine="0"/>
        <w:rPr>
          <w:szCs w:val="24"/>
          <w:u w:val="single"/>
        </w:rPr>
      </w:pPr>
      <w:r>
        <w:rPr>
          <w:szCs w:val="24"/>
          <w:u w:val="single"/>
        </w:rPr>
        <w:t>Galvenās aktivitātes :</w:t>
      </w:r>
    </w:p>
    <w:p w14:paraId="4770C747" w14:textId="77777777" w:rsidR="006E13F3" w:rsidRDefault="006E13F3" w:rsidP="006E13F3">
      <w:pPr>
        <w:ind w:left="1077" w:hanging="357"/>
        <w:rPr>
          <w:szCs w:val="24"/>
        </w:rPr>
      </w:pPr>
      <w:r>
        <w:rPr>
          <w:szCs w:val="24"/>
        </w:rPr>
        <w:t>Ģenerālprokuratūras un  prokuratūras struktūrvienību darbības nodrošināšana.</w:t>
      </w:r>
    </w:p>
    <w:p w14:paraId="4C99C20A" w14:textId="1EA839BE" w:rsidR="006E13F3" w:rsidRDefault="006E13F3" w:rsidP="006E13F3">
      <w:pPr>
        <w:ind w:firstLine="0"/>
        <w:jc w:val="left"/>
        <w:rPr>
          <w:szCs w:val="24"/>
        </w:rPr>
      </w:pPr>
      <w:r>
        <w:rPr>
          <w:szCs w:val="24"/>
          <w:u w:val="single"/>
        </w:rPr>
        <w:t>Programmas izpildītājs</w:t>
      </w:r>
      <w:r>
        <w:rPr>
          <w:szCs w:val="24"/>
        </w:rPr>
        <w:t>: Ģenerālprokuratūra</w:t>
      </w:r>
      <w:r w:rsidR="00E3718B">
        <w:rPr>
          <w:szCs w:val="24"/>
        </w:rPr>
        <w:t>.</w:t>
      </w:r>
    </w:p>
    <w:p w14:paraId="41B5CBE8" w14:textId="77777777" w:rsidR="006E13F3" w:rsidRDefault="006E13F3" w:rsidP="001A300F">
      <w:pPr>
        <w:spacing w:before="240" w:after="240"/>
        <w:ind w:firstLine="0"/>
        <w:jc w:val="center"/>
        <w:rPr>
          <w:lang w:eastAsia="lv-LV"/>
        </w:rPr>
      </w:pPr>
      <w:r>
        <w:rPr>
          <w:b/>
          <w:lang w:eastAsia="lv-LV"/>
        </w:rPr>
        <w:t>Darbības rezultāti un to rezultatīvie rādītāji no 2020. līdz 2024. gadam</w:t>
      </w:r>
    </w:p>
    <w:tbl>
      <w:tblPr>
        <w:tblW w:w="493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2"/>
        <w:gridCol w:w="1133"/>
        <w:gridCol w:w="1132"/>
        <w:gridCol w:w="1132"/>
        <w:gridCol w:w="1132"/>
        <w:gridCol w:w="1154"/>
      </w:tblGrid>
      <w:tr w:rsidR="00BA4149" w14:paraId="5A6DA419" w14:textId="77777777" w:rsidTr="00BA4149">
        <w:trPr>
          <w:tblHeader/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47B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724EC" w14:textId="4BC5F2B0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2020.</w:t>
            </w:r>
            <w:r w:rsidR="00BA4149"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sz w:val="18"/>
                <w:szCs w:val="18"/>
                <w:lang w:eastAsia="lv-LV"/>
              </w:rPr>
              <w:t>gads (izpilde)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0407C" w14:textId="1EE9E4B8" w:rsidR="006E13F3" w:rsidRDefault="006E13F3" w:rsidP="001A300F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2021.</w:t>
            </w:r>
            <w:r w:rsidR="00BA4149"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sz w:val="18"/>
                <w:szCs w:val="18"/>
                <w:lang w:eastAsia="lv-LV"/>
              </w:rPr>
              <w:t>gada plāns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6AB37" w14:textId="245EA32E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2022.</w:t>
            </w:r>
            <w:r w:rsidR="00BA4149"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sz w:val="18"/>
                <w:szCs w:val="18"/>
                <w:lang w:eastAsia="lv-LV"/>
              </w:rPr>
              <w:t>gada projekts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3327A" w14:textId="5DA6E510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2023.</w:t>
            </w:r>
            <w:r w:rsidR="00BA4149"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sz w:val="18"/>
                <w:szCs w:val="18"/>
                <w:lang w:eastAsia="lv-LV"/>
              </w:rPr>
              <w:t>gada prognoze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42F77" w14:textId="66AE9058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2024.</w:t>
            </w:r>
            <w:r w:rsidR="00BA4149"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sz w:val="18"/>
                <w:szCs w:val="18"/>
                <w:lang w:eastAsia="lv-LV"/>
              </w:rPr>
              <w:t>gada prognoze</w:t>
            </w:r>
          </w:p>
        </w:tc>
      </w:tr>
      <w:tr w:rsidR="006E13F3" w14:paraId="35B1C2BE" w14:textId="77777777" w:rsidTr="00BA4149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3D31F1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Prokuratūras darbs </w:t>
            </w:r>
            <w:r>
              <w:rPr>
                <w:noProof/>
                <w:sz w:val="18"/>
                <w:szCs w:val="18"/>
                <w:lang w:eastAsia="lv-LV"/>
              </w:rPr>
              <w:t xml:space="preserve">pirmstiesas </w:t>
            </w:r>
            <w:r>
              <w:rPr>
                <w:sz w:val="18"/>
                <w:szCs w:val="18"/>
                <w:lang w:eastAsia="lv-LV"/>
              </w:rPr>
              <w:t>kriminālprocesā</w:t>
            </w:r>
          </w:p>
        </w:tc>
      </w:tr>
      <w:tr w:rsidR="00BA4149" w14:paraId="666820AB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88C4D7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Prokuroru uzraudzībā uzsākti kriminālprocesi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F479C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36 756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F14D2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38 000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A3E1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36 550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CDF8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36 000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842D2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35 500</w:t>
            </w:r>
          </w:p>
        </w:tc>
      </w:tr>
      <w:tr w:rsidR="00BA4149" w14:paraId="7F16D065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BA2AAC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Doti norādījumi par izmeklēšanas virzienu, izmeklēšanas darbību veikšanu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803D2AA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21 085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B596DB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22 000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913E5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21 964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D04D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21 865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FA557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21 832</w:t>
            </w:r>
          </w:p>
        </w:tc>
      </w:tr>
      <w:tr w:rsidR="00BA4149" w14:paraId="7EA8EF50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45B212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Pabeigts </w:t>
            </w:r>
            <w:r>
              <w:rPr>
                <w:noProof/>
                <w:sz w:val="18"/>
                <w:szCs w:val="18"/>
                <w:lang w:eastAsia="lv-LV"/>
              </w:rPr>
              <w:t>pirmstiesas</w:t>
            </w:r>
            <w:r>
              <w:rPr>
                <w:sz w:val="18"/>
                <w:szCs w:val="18"/>
                <w:lang w:eastAsia="lv-LV"/>
              </w:rPr>
              <w:t xml:space="preserve"> kriminālprocess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CD2E4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11 013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7586E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11 000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42FF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10 987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1FD56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10 974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0B2D2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10 961</w:t>
            </w:r>
          </w:p>
        </w:tc>
      </w:tr>
      <w:tr w:rsidR="00BA4149" w14:paraId="504F360F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1F1C5C7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Pavisam uz tiesu nodotas lietas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3D248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8 088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B03D7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8 200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1FA6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8 180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3AD6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8 160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AD44B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highlight w:val="yellow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8 100</w:t>
            </w:r>
          </w:p>
        </w:tc>
      </w:tr>
      <w:tr w:rsidR="006E13F3" w14:paraId="0161D7A9" w14:textId="77777777" w:rsidTr="00BA4149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D9BE2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Prokuratūras darbs, kas nav saistīts ar </w:t>
            </w:r>
            <w:r>
              <w:rPr>
                <w:noProof/>
                <w:sz w:val="18"/>
                <w:szCs w:val="18"/>
                <w:lang w:eastAsia="lv-LV"/>
              </w:rPr>
              <w:t>pirmstiesas</w:t>
            </w:r>
            <w:r>
              <w:rPr>
                <w:sz w:val="18"/>
                <w:szCs w:val="18"/>
                <w:lang w:eastAsia="lv-LV"/>
              </w:rPr>
              <w:t xml:space="preserve"> kriminālprocesa virzību</w:t>
            </w:r>
          </w:p>
        </w:tc>
      </w:tr>
      <w:tr w:rsidR="00BA4149" w14:paraId="7DD15A9A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19B25EB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Izskatītas krimināllietas pirmās instances tiesā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80A72B3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6 775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DF299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6 500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A4417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6 625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30AD6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6 483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37D7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6 342</w:t>
            </w:r>
          </w:p>
        </w:tc>
      </w:tr>
      <w:tr w:rsidR="00BA4149" w14:paraId="0CB10E7D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38DC95E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Izskatītas krimināllietas apelācijas instances tiesā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730C11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1 037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5A2B7C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980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016D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960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92AFD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952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339E7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936</w:t>
            </w:r>
          </w:p>
        </w:tc>
      </w:tr>
      <w:tr w:rsidR="00BA4149" w14:paraId="162F89A1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859464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Izskatītas krimināllietas kasācijas instances tiesā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9ACF5E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12198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AE5E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1B04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46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51911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45</w:t>
            </w:r>
          </w:p>
        </w:tc>
      </w:tr>
      <w:tr w:rsidR="00BA4149" w14:paraId="1BE5B90D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BFA10F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Izskatītas civillietas ar prokurora piedalīšanos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927F7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692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2FAE0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30653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655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6D34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660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82F91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665</w:t>
            </w:r>
          </w:p>
        </w:tc>
      </w:tr>
      <w:tr w:rsidR="00BA4149" w14:paraId="04CCB73E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F8E65D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Pārbaudīta informācija, izlemtas sūdzības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AA51EE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11 401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15F0A1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10 300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D09CE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10 200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E225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10 150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7484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10 100</w:t>
            </w:r>
          </w:p>
        </w:tc>
      </w:tr>
      <w:tr w:rsidR="00BA4149" w14:paraId="6CC75267" w14:textId="77777777" w:rsidTr="00BA4149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9E8B22" w14:textId="77777777" w:rsidR="006E13F3" w:rsidRDefault="006E13F3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Izpildīti ārvalstu iestāžu tiesiskās palīdzības lūgumi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4C676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866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26A76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169A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855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FAF25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846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EF91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848</w:t>
            </w:r>
          </w:p>
        </w:tc>
      </w:tr>
    </w:tbl>
    <w:p w14:paraId="11E2CEF4" w14:textId="77777777" w:rsidR="006A49CA" w:rsidRDefault="006A49CA" w:rsidP="001A300F">
      <w:pPr>
        <w:spacing w:before="240" w:after="240"/>
        <w:ind w:firstLine="0"/>
        <w:rPr>
          <w:b/>
          <w:lang w:eastAsia="lv-LV"/>
        </w:rPr>
      </w:pPr>
    </w:p>
    <w:p w14:paraId="35B13234" w14:textId="6DFCAF6D" w:rsidR="006E13F3" w:rsidRDefault="006E13F3" w:rsidP="00C1479A">
      <w:pPr>
        <w:spacing w:before="240" w:after="240"/>
        <w:ind w:firstLine="0"/>
        <w:jc w:val="center"/>
        <w:rPr>
          <w:lang w:eastAsia="lv-LV"/>
        </w:rPr>
      </w:pPr>
      <w:r>
        <w:rPr>
          <w:b/>
          <w:lang w:eastAsia="lv-LV"/>
        </w:rPr>
        <w:lastRenderedPageBreak/>
        <w:t>Finansiālie rādītāji no 2020. līdz 2024. 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6E13F3" w14:paraId="3524915C" w14:textId="77777777" w:rsidTr="006E13F3">
        <w:trPr>
          <w:trHeight w:val="283"/>
          <w:tblHeader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C73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B3A8A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2020. gads (izpilde)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18FA3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2021. gada plāns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008FA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2022. gada projekts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5317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2023. gada prognoze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7A07B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2024. gada prognoze</w:t>
            </w:r>
          </w:p>
        </w:tc>
      </w:tr>
      <w:tr w:rsidR="006E13F3" w14:paraId="778D3DA3" w14:textId="77777777" w:rsidTr="006E13F3">
        <w:trPr>
          <w:trHeight w:val="142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E947DE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Kopējie izdevumi,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76FA7F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34 357 697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574B4BA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38 465 679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460E33" w14:textId="77777777" w:rsidR="006E13F3" w:rsidRDefault="006E13F3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40 325 638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9B9111" w14:textId="77777777" w:rsidR="006E13F3" w:rsidRDefault="006E13F3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41 007 210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193184" w14:textId="77777777" w:rsidR="006E13F3" w:rsidRDefault="006E13F3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41 237 470</w:t>
            </w:r>
          </w:p>
        </w:tc>
      </w:tr>
      <w:tr w:rsidR="006E13F3" w14:paraId="291CF882" w14:textId="77777777" w:rsidTr="006E13F3">
        <w:trPr>
          <w:trHeight w:val="283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28843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Kopējo izdevumu izmaiņas,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>
              <w:rPr>
                <w:sz w:val="18"/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21123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8384C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4 107 982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46CA6" w14:textId="77777777" w:rsidR="006E13F3" w:rsidRDefault="006E13F3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1 859 959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904DE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681 572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C91A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6E13F3" w14:paraId="4F637D56" w14:textId="77777777" w:rsidTr="006E13F3">
        <w:trPr>
          <w:trHeight w:val="283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64D38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Kopējie izdevumi, % (+/–) pret iepriekšējo gadu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D4DC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EF0B1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12,0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47EC2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FA4C0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1,7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5682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6E13F3" w14:paraId="3F820E75" w14:textId="77777777" w:rsidTr="006E13F3">
        <w:trPr>
          <w:trHeight w:val="142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C2A5A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Atlīdzība,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19DEE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29 097 572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48821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32 299 132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73D92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33 887 087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1CCF3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33 887 087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067FC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33 887 087</w:t>
            </w:r>
          </w:p>
        </w:tc>
      </w:tr>
      <w:tr w:rsidR="006E13F3" w14:paraId="09E8D00A" w14:textId="77777777" w:rsidTr="006E13F3">
        <w:trPr>
          <w:trHeight w:val="72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16528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Vidējais amata vietu skaits gadā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2BABF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864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31E1C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6E126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  <w:r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86BDC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vertAlign w:val="superscript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EB6D5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</w:p>
        </w:tc>
      </w:tr>
      <w:tr w:rsidR="006E13F3" w14:paraId="0C7C2CB0" w14:textId="77777777" w:rsidTr="006E13F3">
        <w:trPr>
          <w:trHeight w:val="60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1CE20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Vidējā atlīdzība amata vietai (mēnesī),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D67D5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2 778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537CA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2 967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9F8F5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3 096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087CC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3 096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6912C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3 096</w:t>
            </w:r>
          </w:p>
        </w:tc>
      </w:tr>
      <w:tr w:rsidR="006E13F3" w14:paraId="2075C8A4" w14:textId="77777777" w:rsidTr="006E13F3">
        <w:trPr>
          <w:trHeight w:val="567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B1E67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A0D51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295 183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BDA33C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150 444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2C013A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150 444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37CC09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150 444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9B576D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150 444</w:t>
            </w:r>
          </w:p>
        </w:tc>
      </w:tr>
    </w:tbl>
    <w:p w14:paraId="619EFF76" w14:textId="77777777" w:rsidR="006E13F3" w:rsidRDefault="006E13F3" w:rsidP="006E13F3">
      <w:pPr>
        <w:spacing w:after="0"/>
        <w:ind w:firstLine="425"/>
        <w:jc w:val="left"/>
        <w:rPr>
          <w:i/>
          <w:sz w:val="18"/>
          <w:szCs w:val="18"/>
          <w:lang w:eastAsia="lv-LV"/>
        </w:rPr>
      </w:pPr>
      <w:r>
        <w:rPr>
          <w:sz w:val="18"/>
          <w:szCs w:val="18"/>
          <w:lang w:eastAsia="lv-LV"/>
        </w:rPr>
        <w:t>Piezīmes</w:t>
      </w:r>
      <w:r>
        <w:rPr>
          <w:bCs/>
          <w:sz w:val="18"/>
          <w:szCs w:val="18"/>
          <w:lang w:eastAsia="lv-LV"/>
        </w:rPr>
        <w:t>.</w:t>
      </w:r>
    </w:p>
    <w:p w14:paraId="2BBB4170" w14:textId="1C97187D" w:rsidR="006E13F3" w:rsidRDefault="006E13F3" w:rsidP="00E11ABA">
      <w:pPr>
        <w:spacing w:after="240"/>
        <w:ind w:firstLine="425"/>
        <w:rPr>
          <w:sz w:val="18"/>
          <w:szCs w:val="18"/>
          <w:lang w:eastAsia="lv-LV"/>
        </w:rPr>
      </w:pPr>
      <w:r>
        <w:rPr>
          <w:sz w:val="18"/>
          <w:szCs w:val="18"/>
          <w:vertAlign w:val="superscript"/>
          <w:lang w:eastAsia="lv-LV"/>
        </w:rPr>
        <w:t xml:space="preserve">1 </w:t>
      </w:r>
      <w:r>
        <w:rPr>
          <w:sz w:val="18"/>
          <w:szCs w:val="18"/>
          <w:lang w:eastAsia="lv-LV"/>
        </w:rPr>
        <w:t>Saskaņā ar MK 10.</w:t>
      </w:r>
      <w:r w:rsidR="00C1479A">
        <w:rPr>
          <w:sz w:val="18"/>
          <w:szCs w:val="18"/>
          <w:lang w:eastAsia="lv-LV"/>
        </w:rPr>
        <w:t>04.2018.</w:t>
      </w:r>
      <w:r>
        <w:rPr>
          <w:sz w:val="18"/>
          <w:szCs w:val="18"/>
          <w:lang w:eastAsia="lv-LV"/>
        </w:rPr>
        <w:t xml:space="preserve"> sēdes protokola Nr.19 36.</w:t>
      </w:r>
      <w:r>
        <w:rPr>
          <w:sz w:val="18"/>
          <w:szCs w:val="18"/>
        </w:rPr>
        <w:t>§ 21.</w:t>
      </w:r>
      <w:r>
        <w:rPr>
          <w:sz w:val="18"/>
          <w:szCs w:val="18"/>
          <w:lang w:eastAsia="lv-LV"/>
        </w:rPr>
        <w:t>punktu par 5 amatu vietu pārdali no budžeta programmas 01.00.00 “Prokuratūras iestāžu uzturēšana” uz budžeta programmu 02.00.00 “Noziedzīgi iegūtu līdzekļu legalizācijas novēršana”2020. un 2021.</w:t>
      </w:r>
      <w:r w:rsidR="00FE5985">
        <w:rPr>
          <w:sz w:val="18"/>
          <w:szCs w:val="18"/>
          <w:lang w:eastAsia="lv-LV"/>
        </w:rPr>
        <w:t xml:space="preserve"> </w:t>
      </w:r>
      <w:r>
        <w:rPr>
          <w:sz w:val="18"/>
          <w:szCs w:val="18"/>
          <w:lang w:eastAsia="lv-LV"/>
        </w:rPr>
        <w:t>gadam.</w:t>
      </w:r>
    </w:p>
    <w:p w14:paraId="49CA2AEC" w14:textId="77777777" w:rsidR="006E13F3" w:rsidRDefault="006E13F3" w:rsidP="00E11ABA">
      <w:pPr>
        <w:spacing w:before="240" w:after="240"/>
        <w:ind w:firstLine="0"/>
        <w:jc w:val="center"/>
        <w:rPr>
          <w:b/>
          <w:szCs w:val="24"/>
          <w:lang w:eastAsia="lv-LV"/>
        </w:rPr>
      </w:pPr>
      <w:r>
        <w:rPr>
          <w:b/>
          <w:szCs w:val="24"/>
          <w:lang w:eastAsia="lv-LV"/>
        </w:rPr>
        <w:t xml:space="preserve"> Izmaiņas izdevumos, salīdzinot 2022. gada projektu ar 2021. gada plānu</w:t>
      </w:r>
    </w:p>
    <w:p w14:paraId="6BDD7347" w14:textId="77777777" w:rsidR="006E13F3" w:rsidRDefault="006E13F3" w:rsidP="006E13F3">
      <w:pPr>
        <w:spacing w:after="0"/>
        <w:ind w:left="7921" w:firstLine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Euro</w:t>
      </w:r>
      <w:proofErr w:type="spellEnd"/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1277"/>
        <w:gridCol w:w="1277"/>
        <w:gridCol w:w="1277"/>
      </w:tblGrid>
      <w:tr w:rsidR="006E13F3" w14:paraId="18A7E22E" w14:textId="77777777" w:rsidTr="006E13F3">
        <w:trPr>
          <w:trHeight w:val="142"/>
          <w:tblHeader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C58F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CC9A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FE22D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4DDA5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Izmaiņas</w:t>
            </w:r>
          </w:p>
        </w:tc>
      </w:tr>
      <w:tr w:rsidR="006E13F3" w14:paraId="19DF7551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B9CAD03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A65608" w14:textId="77777777" w:rsidR="006E13F3" w:rsidRDefault="006E13F3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1 990 278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C3F5A2E" w14:textId="77777777" w:rsidR="006E13F3" w:rsidRDefault="006E13F3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3 850 237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573786A" w14:textId="77777777" w:rsidR="006E13F3" w:rsidRDefault="006E13F3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  <w:lang w:eastAsia="lv-LV"/>
              </w:rPr>
              <w:t>1 859 959</w:t>
            </w:r>
          </w:p>
        </w:tc>
      </w:tr>
      <w:tr w:rsidR="006E13F3" w14:paraId="3BE07BA5" w14:textId="77777777" w:rsidTr="006E13F3">
        <w:trPr>
          <w:jc w:val="center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4731A" w14:textId="77777777" w:rsidR="006E13F3" w:rsidRDefault="006E13F3">
            <w:pPr>
              <w:spacing w:after="0"/>
              <w:ind w:firstLine="313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t. sk.:</w:t>
            </w:r>
          </w:p>
        </w:tc>
      </w:tr>
      <w:tr w:rsidR="006E13F3" w14:paraId="54BAC5DF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DF4428F" w14:textId="77777777" w:rsidR="006E13F3" w:rsidRDefault="006E13F3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Prioritāri pasākumi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EAA24B8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04F663C" w14:textId="77777777" w:rsidR="006E13F3" w:rsidRDefault="006E13F3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1 373 403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111D8E5" w14:textId="77777777" w:rsidR="006E13F3" w:rsidRDefault="006E13F3">
            <w:pPr>
              <w:spacing w:after="0"/>
              <w:ind w:firstLine="0"/>
              <w:jc w:val="right"/>
              <w:rPr>
                <w:b/>
                <w:sz w:val="18"/>
                <w:szCs w:val="18"/>
                <w:u w:val="single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1 373 403</w:t>
            </w:r>
          </w:p>
        </w:tc>
      </w:tr>
      <w:tr w:rsidR="006E13F3" w14:paraId="370E4AE8" w14:textId="77777777" w:rsidTr="00E11ABA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5DF72" w14:textId="77777777" w:rsidR="006E13F3" w:rsidRDefault="006E13F3">
            <w:pPr>
              <w:spacing w:after="0"/>
              <w:ind w:firstLine="0"/>
              <w:rPr>
                <w:bCs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 xml:space="preserve">Prokuratūras informācijas sistēmas </w:t>
            </w:r>
            <w:proofErr w:type="spellStart"/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ProIS</w:t>
            </w:r>
            <w:proofErr w:type="spellEnd"/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 xml:space="preserve"> uzturēšana,  tehniskais nodrošinājums un tehnoloģisko risinājumu attīstība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9CD50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6590C" w14:textId="77777777" w:rsidR="006E13F3" w:rsidRDefault="006E13F3" w:rsidP="00E11ABA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sz w:val="18"/>
                <w:szCs w:val="18"/>
                <w:lang w:eastAsia="lv-LV"/>
              </w:rPr>
              <w:t>234 587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2D2D1" w14:textId="77777777" w:rsidR="006E13F3" w:rsidRDefault="006E13F3" w:rsidP="00E11ABA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sz w:val="18"/>
                <w:szCs w:val="18"/>
                <w:lang w:eastAsia="lv-LV"/>
              </w:rPr>
              <w:t>234 587</w:t>
            </w:r>
          </w:p>
        </w:tc>
      </w:tr>
      <w:tr w:rsidR="006E13F3" w14:paraId="7EF56CF8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C7BDA" w14:textId="77777777" w:rsidR="006E13F3" w:rsidRDefault="006E13F3">
            <w:pPr>
              <w:spacing w:after="0"/>
              <w:ind w:firstLine="0"/>
              <w:rPr>
                <w:bCs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Prokuroru un prokuratūras darbinieku kvalifikācijas celšana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81E4F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7473" w14:textId="77777777" w:rsidR="006E13F3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sz w:val="18"/>
                <w:szCs w:val="18"/>
                <w:lang w:eastAsia="lv-LV"/>
              </w:rPr>
              <w:t>33 500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318A7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sz w:val="18"/>
                <w:szCs w:val="18"/>
                <w:lang w:eastAsia="lv-LV"/>
              </w:rPr>
              <w:t>33 500</w:t>
            </w:r>
          </w:p>
        </w:tc>
      </w:tr>
      <w:tr w:rsidR="006E13F3" w14:paraId="204C14FE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2700A" w14:textId="77777777" w:rsidR="006E13F3" w:rsidRDefault="006E13F3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Prokuroru atalgojuma palielināšana (piemaksu par dežūras dienām un atvaļinājuma pabalsta 50% apmērā no mēnešalgas nodrošināšanai)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0F28B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5A033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1 084 711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FBF55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1 084 711</w:t>
            </w:r>
          </w:p>
        </w:tc>
      </w:tr>
      <w:tr w:rsidR="006E13F3" w14:paraId="7A301D87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E2A85" w14:textId="77777777" w:rsidR="006E13F3" w:rsidRDefault="006E13F3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 xml:space="preserve">Ēku Kalpaka bulvārī 6, Rīgā un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Cēsu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 xml:space="preserve"> ielā 28, Limbažos pārbūves, telpu pielāgošanas un citu saistīto izdevumu segšanai Prokuratūras un Tieslietu ministrijas (Valsts probācijas dienesta) vajadzībām (t.sk. ilgtermiņa saistības ēkas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Cēsu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 xml:space="preserve"> ielā 28, Limbažos telpu nomas maksas starpības izdevumu segšanai 19 475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euro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1E66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14FE4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20 605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2C082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20 605</w:t>
            </w:r>
          </w:p>
        </w:tc>
      </w:tr>
      <w:tr w:rsidR="006E13F3" w14:paraId="665B8A1D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2E9D03C" w14:textId="77777777" w:rsidR="006E13F3" w:rsidRDefault="006E13F3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Vienreizēji pasākumi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EE661F0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35 938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74833B7" w14:textId="77777777" w:rsidR="006E13F3" w:rsidRPr="005A7240" w:rsidRDefault="006E13F3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7F4D350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-35 938</w:t>
            </w:r>
          </w:p>
        </w:tc>
      </w:tr>
      <w:tr w:rsidR="006E13F3" w14:paraId="23A3C19D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E6382" w14:textId="00F6693B" w:rsidR="006E13F3" w:rsidRDefault="006E13F3">
            <w:pPr>
              <w:spacing w:after="0"/>
              <w:ind w:firstLine="0"/>
              <w:rPr>
                <w:sz w:val="18"/>
                <w:szCs w:val="18"/>
                <w:u w:val="single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 xml:space="preserve">Samazināti vienreizēji pārcelšanās izdevumi uz nekustamo īpašumu Aspazijas bulvārī 7, Rīgā, </w:t>
            </w:r>
            <w:r w:rsidR="00E11ABA">
              <w:rPr>
                <w:i/>
                <w:sz w:val="18"/>
                <w:szCs w:val="18"/>
                <w:lang w:eastAsia="lv-LV"/>
              </w:rPr>
              <w:t>(</w:t>
            </w:r>
            <w:r>
              <w:rPr>
                <w:i/>
                <w:sz w:val="18"/>
                <w:szCs w:val="18"/>
                <w:lang w:eastAsia="lv-LV"/>
              </w:rPr>
              <w:t>MK</w:t>
            </w:r>
            <w:r w:rsidR="00E11ABA">
              <w:rPr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i/>
                <w:sz w:val="18"/>
                <w:szCs w:val="18"/>
                <w:lang w:eastAsia="lv-LV"/>
              </w:rPr>
              <w:t>12.</w:t>
            </w:r>
            <w:r w:rsidR="00E11ABA">
              <w:rPr>
                <w:i/>
                <w:sz w:val="18"/>
                <w:szCs w:val="18"/>
                <w:lang w:eastAsia="lv-LV"/>
              </w:rPr>
              <w:t>09.2017.</w:t>
            </w:r>
            <w:r>
              <w:rPr>
                <w:i/>
                <w:sz w:val="18"/>
                <w:szCs w:val="18"/>
                <w:lang w:eastAsia="lv-LV"/>
              </w:rPr>
              <w:t xml:space="preserve"> </w:t>
            </w:r>
            <w:r w:rsidR="00E11ABA">
              <w:rPr>
                <w:i/>
                <w:sz w:val="18"/>
                <w:szCs w:val="18"/>
                <w:lang w:eastAsia="lv-LV"/>
              </w:rPr>
              <w:t>sēdes</w:t>
            </w:r>
            <w:r>
              <w:rPr>
                <w:i/>
                <w:sz w:val="18"/>
                <w:szCs w:val="18"/>
                <w:lang w:eastAsia="lv-LV"/>
              </w:rPr>
              <w:t xml:space="preserve"> prot</w:t>
            </w:r>
            <w:r w:rsidR="00E11ABA">
              <w:rPr>
                <w:i/>
                <w:sz w:val="18"/>
                <w:szCs w:val="18"/>
                <w:lang w:eastAsia="lv-LV"/>
              </w:rPr>
              <w:t>.</w:t>
            </w:r>
            <w:r>
              <w:rPr>
                <w:i/>
                <w:sz w:val="18"/>
                <w:szCs w:val="18"/>
                <w:lang w:eastAsia="lv-LV"/>
              </w:rPr>
              <w:t xml:space="preserve"> Nr.45 61.§ 4.punkt</w:t>
            </w:r>
            <w:r w:rsidR="00E11ABA">
              <w:rPr>
                <w:i/>
                <w:sz w:val="18"/>
                <w:szCs w:val="18"/>
                <w:lang w:eastAsia="lv-LV"/>
              </w:rPr>
              <w:t>s)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C5E6C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35 938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F3A2B" w14:textId="77777777" w:rsidR="006E13F3" w:rsidRPr="005A7240" w:rsidRDefault="006E13F3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72A70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-35 938</w:t>
            </w:r>
          </w:p>
        </w:tc>
      </w:tr>
      <w:tr w:rsidR="006E13F3" w14:paraId="7B6825DD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C4773FB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C395D1E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1  558 401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FB6282D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1 888 062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A305637" w14:textId="77777777" w:rsidR="006E13F3" w:rsidRPr="005A7240" w:rsidRDefault="006E13F3">
            <w:pPr>
              <w:pStyle w:val="tabteksts"/>
              <w:jc w:val="right"/>
              <w:rPr>
                <w:bCs/>
                <w:szCs w:val="18"/>
                <w:lang w:eastAsia="lv-LV"/>
              </w:rPr>
            </w:pPr>
            <w:r w:rsidRPr="005A7240">
              <w:rPr>
                <w:bCs/>
                <w:szCs w:val="18"/>
                <w:lang w:eastAsia="lv-LV"/>
              </w:rPr>
              <w:t>329 661</w:t>
            </w:r>
          </w:p>
        </w:tc>
      </w:tr>
      <w:tr w:rsidR="006E13F3" w14:paraId="69A6FCB3" w14:textId="77777777" w:rsidTr="006E13F3">
        <w:trPr>
          <w:trHeight w:val="118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17DBA" w14:textId="77777777" w:rsidR="006E13F3" w:rsidRDefault="006E13F3">
            <w:pPr>
              <w:spacing w:after="0"/>
              <w:ind w:firstLine="0"/>
              <w:jc w:val="lef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Ēkas Rīgā, Kalnciema ielā 14, telpu nomas maksa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13EE2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192 458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636AD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192 458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C44C4" w14:textId="77777777" w:rsidR="006E13F3" w:rsidRPr="005A7240" w:rsidRDefault="006E13F3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</w:t>
            </w:r>
          </w:p>
        </w:tc>
      </w:tr>
      <w:tr w:rsidR="006E13F3" w14:paraId="46F01BA2" w14:textId="77777777" w:rsidTr="006E13F3">
        <w:trPr>
          <w:trHeight w:val="178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955A4" w14:textId="06A251EE" w:rsidR="006E13F3" w:rsidRDefault="006E13F3">
            <w:pPr>
              <w:spacing w:after="0"/>
              <w:ind w:firstLine="0"/>
              <w:jc w:val="lef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 xml:space="preserve">Nekustamā īpašuma Rīgā, Aspazijas bulvārī 7, telpu nomas maksa (t.sk. telpu nomas maksas pieauguma segšanai, izdevumu pārdale no FM resora </w:t>
            </w:r>
            <w:r w:rsidR="00390279">
              <w:rPr>
                <w:i/>
                <w:sz w:val="18"/>
                <w:szCs w:val="18"/>
                <w:lang w:eastAsia="lv-LV"/>
              </w:rPr>
              <w:t>(</w:t>
            </w:r>
            <w:r>
              <w:rPr>
                <w:i/>
                <w:iCs/>
                <w:sz w:val="18"/>
                <w:szCs w:val="18"/>
                <w:lang w:eastAsia="lv-LV"/>
              </w:rPr>
              <w:t xml:space="preserve">MK 24.08.2021 </w:t>
            </w:r>
            <w:r w:rsidR="00390279">
              <w:rPr>
                <w:i/>
                <w:iCs/>
                <w:sz w:val="18"/>
                <w:szCs w:val="18"/>
                <w:lang w:eastAsia="lv-LV"/>
              </w:rPr>
              <w:t xml:space="preserve">sēdes </w:t>
            </w:r>
            <w:r>
              <w:rPr>
                <w:i/>
                <w:iCs/>
                <w:sz w:val="18"/>
                <w:szCs w:val="18"/>
                <w:lang w:eastAsia="lv-LV"/>
              </w:rPr>
              <w:t>prot</w:t>
            </w:r>
            <w:r w:rsidR="00390279">
              <w:rPr>
                <w:i/>
                <w:iCs/>
                <w:sz w:val="18"/>
                <w:szCs w:val="18"/>
                <w:lang w:eastAsia="lv-LV"/>
              </w:rPr>
              <w:t>.</w:t>
            </w:r>
            <w:r>
              <w:rPr>
                <w:i/>
                <w:iCs/>
                <w:sz w:val="18"/>
                <w:szCs w:val="18"/>
                <w:lang w:eastAsia="lv-LV"/>
              </w:rPr>
              <w:t xml:space="preserve"> Nr.57 52§ 18.7.5.p</w:t>
            </w:r>
            <w:r w:rsidR="0092504E">
              <w:rPr>
                <w:i/>
                <w:iCs/>
                <w:sz w:val="18"/>
                <w:szCs w:val="18"/>
                <w:lang w:eastAsia="lv-LV"/>
              </w:rPr>
              <w:t>unkts</w:t>
            </w:r>
            <w:r>
              <w:rPr>
                <w:i/>
                <w:iCs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73CA9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1 299 468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EEF31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1 629 129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B15CD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329 661</w:t>
            </w:r>
          </w:p>
        </w:tc>
      </w:tr>
      <w:tr w:rsidR="006E13F3" w14:paraId="418F9FA2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0FE9B" w14:textId="29C457E7" w:rsidR="006E13F3" w:rsidRDefault="006E13F3">
            <w:pPr>
              <w:spacing w:after="0"/>
              <w:ind w:firstLine="0"/>
              <w:rPr>
                <w:sz w:val="18"/>
                <w:szCs w:val="18"/>
                <w:u w:val="single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Telpu Rīgā, Talejas ielā 1 nomas maksas izdevumu segšana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4313D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66 475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1BC16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66 475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98A69" w14:textId="77777777" w:rsidR="006E13F3" w:rsidRPr="005A7240" w:rsidRDefault="006E13F3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</w:t>
            </w:r>
          </w:p>
        </w:tc>
      </w:tr>
      <w:tr w:rsidR="006E13F3" w14:paraId="39FB68B5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EBDA40" w14:textId="77777777" w:rsidR="006E13F3" w:rsidRDefault="006E13F3">
            <w:pPr>
              <w:spacing w:after="0"/>
              <w:ind w:firstLine="0"/>
              <w:jc w:val="left"/>
              <w:rPr>
                <w:i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C209F45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395 939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A8AE1A0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588 772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CFE7C83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192 833</w:t>
            </w:r>
          </w:p>
        </w:tc>
      </w:tr>
      <w:tr w:rsidR="006E13F3" w14:paraId="37F0603E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ECCDA7" w14:textId="76F9D0A4" w:rsidR="006E13F3" w:rsidRDefault="006E13F3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>
              <w:rPr>
                <w:i/>
                <w:iCs/>
                <w:sz w:val="18"/>
                <w:szCs w:val="18"/>
                <w:lang w:eastAsia="lv-LV"/>
              </w:rPr>
              <w:t>Palielināti izdevumi saskaņā ar likuma “Valsts un pašvaldību institūciju amatpersonu un darbinieku atlīdzības likums” 6.</w:t>
            </w:r>
            <w:r>
              <w:rPr>
                <w:i/>
                <w:iCs/>
                <w:sz w:val="18"/>
                <w:szCs w:val="18"/>
                <w:vertAlign w:val="superscript"/>
                <w:lang w:eastAsia="lv-LV"/>
              </w:rPr>
              <w:t>2</w:t>
            </w:r>
            <w:r>
              <w:rPr>
                <w:i/>
                <w:iCs/>
                <w:sz w:val="18"/>
                <w:szCs w:val="18"/>
                <w:lang w:eastAsia="lv-LV"/>
              </w:rPr>
              <w:t xml:space="preserve"> pantu un pamatojoties uz Valsts kancelejas publiskoto informāciju par vēlēto amatpersonu un Saeimas iecelto amatpersonu mēnešalgas apmēru 2022.</w:t>
            </w:r>
            <w:r w:rsidR="008A539A">
              <w:rPr>
                <w:i/>
                <w:iCs/>
                <w:sz w:val="18"/>
                <w:szCs w:val="18"/>
                <w:lang w:eastAsia="lv-LV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lv-LV"/>
              </w:rPr>
              <w:t>gadā, lai nodrošinātu prokuroru atalgojuma palielināšanu.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9A8112" w14:textId="77777777" w:rsidR="006E13F3" w:rsidRPr="005A7240" w:rsidRDefault="006E13F3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565DB0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503 242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551417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503 242</w:t>
            </w:r>
          </w:p>
        </w:tc>
      </w:tr>
      <w:tr w:rsidR="006E13F3" w14:paraId="7DE6D631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A8F29C" w14:textId="3DEAE2A1" w:rsidR="006E13F3" w:rsidRDefault="006E13F3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>
              <w:rPr>
                <w:i/>
                <w:iCs/>
                <w:sz w:val="18"/>
                <w:szCs w:val="18"/>
                <w:lang w:eastAsia="lv-LV"/>
              </w:rPr>
              <w:t xml:space="preserve">Palielināti izdevumi, lai nodrošinātu nomas maksu pieauguma segšanu </w:t>
            </w:r>
            <w:r w:rsidR="008A539A">
              <w:rPr>
                <w:i/>
                <w:iCs/>
                <w:sz w:val="18"/>
                <w:szCs w:val="18"/>
                <w:lang w:eastAsia="lv-LV"/>
              </w:rPr>
              <w:t>(</w:t>
            </w:r>
            <w:r>
              <w:rPr>
                <w:i/>
                <w:iCs/>
                <w:sz w:val="18"/>
                <w:szCs w:val="18"/>
                <w:lang w:eastAsia="lv-LV"/>
              </w:rPr>
              <w:t>MK 24.08.2021 prot</w:t>
            </w:r>
            <w:r w:rsidR="008A539A">
              <w:rPr>
                <w:i/>
                <w:iCs/>
                <w:sz w:val="18"/>
                <w:szCs w:val="18"/>
                <w:lang w:eastAsia="lv-LV"/>
              </w:rPr>
              <w:t>.</w:t>
            </w:r>
            <w:r>
              <w:rPr>
                <w:i/>
                <w:iCs/>
                <w:sz w:val="18"/>
                <w:szCs w:val="18"/>
                <w:lang w:eastAsia="lv-LV"/>
              </w:rPr>
              <w:t xml:space="preserve"> Nr.57 52§ 18.7.5.p</w:t>
            </w:r>
            <w:r w:rsidR="0092504E">
              <w:rPr>
                <w:i/>
                <w:iCs/>
                <w:sz w:val="18"/>
                <w:szCs w:val="18"/>
                <w:lang w:eastAsia="lv-LV"/>
              </w:rPr>
              <w:t>unkts</w:t>
            </w:r>
            <w:r>
              <w:rPr>
                <w:i/>
                <w:iCs/>
                <w:sz w:val="18"/>
                <w:szCs w:val="18"/>
                <w:lang w:eastAsia="lv-LV"/>
              </w:rPr>
              <w:t xml:space="preserve"> (izdevumu pārdale no FM resora)</w:t>
            </w:r>
            <w:r w:rsidR="008A539A">
              <w:rPr>
                <w:i/>
                <w:iCs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6FFF92" w14:textId="77777777" w:rsidR="006E13F3" w:rsidRPr="005A7240" w:rsidRDefault="006E13F3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AC6705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83 830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F902A2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83 830</w:t>
            </w:r>
          </w:p>
        </w:tc>
      </w:tr>
      <w:tr w:rsidR="006E13F3" w14:paraId="189D58F7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B411BC" w14:textId="2E8C1083" w:rsidR="006E13F3" w:rsidRDefault="006E13F3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shd w:val="clear" w:color="auto" w:fill="FFFFFF"/>
                <w:lang w:eastAsia="lv-LV"/>
              </w:rPr>
              <w:t xml:space="preserve">Izdevumu izmaiņas </w:t>
            </w:r>
            <w:r>
              <w:rPr>
                <w:i/>
                <w:iCs/>
                <w:sz w:val="18"/>
                <w:szCs w:val="18"/>
                <w:shd w:val="clear" w:color="auto" w:fill="FFFFFF"/>
                <w:lang w:eastAsia="lv-LV"/>
              </w:rPr>
              <w:t xml:space="preserve">pasākumu plāna noziedzīgi iegūtu līdzekļu legalizācijas, terorisma un </w:t>
            </w:r>
            <w:proofErr w:type="spellStart"/>
            <w:r>
              <w:rPr>
                <w:i/>
                <w:iCs/>
                <w:sz w:val="18"/>
                <w:szCs w:val="18"/>
                <w:shd w:val="clear" w:color="auto" w:fill="FFFFFF"/>
                <w:lang w:eastAsia="lv-LV"/>
              </w:rPr>
              <w:t>proliferācijas</w:t>
            </w:r>
            <w:proofErr w:type="spellEnd"/>
            <w:r>
              <w:rPr>
                <w:i/>
                <w:iCs/>
                <w:sz w:val="18"/>
                <w:szCs w:val="18"/>
                <w:shd w:val="clear" w:color="auto" w:fill="FFFFFF"/>
                <w:lang w:eastAsia="lv-LV"/>
              </w:rPr>
              <w:t xml:space="preserve"> finansēšanas novēršanai laikposmam no 2020. līdz 2022.</w:t>
            </w:r>
            <w:r w:rsidR="00BA17A5">
              <w:rPr>
                <w:i/>
                <w:iCs/>
                <w:sz w:val="18"/>
                <w:szCs w:val="18"/>
                <w:shd w:val="clear" w:color="auto" w:fill="FFFFFF"/>
                <w:lang w:eastAsia="lv-LV"/>
              </w:rPr>
              <w:t xml:space="preserve"> </w:t>
            </w:r>
            <w:r>
              <w:rPr>
                <w:i/>
                <w:iCs/>
                <w:sz w:val="18"/>
                <w:szCs w:val="18"/>
                <w:shd w:val="clear" w:color="auto" w:fill="FFFFFF"/>
                <w:lang w:eastAsia="lv-LV"/>
              </w:rPr>
              <w:t>gadam īstenošanai (</w:t>
            </w:r>
            <w:r>
              <w:rPr>
                <w:i/>
                <w:sz w:val="18"/>
                <w:szCs w:val="18"/>
                <w:shd w:val="clear" w:color="auto" w:fill="FFFFFF"/>
                <w:lang w:eastAsia="lv-LV"/>
              </w:rPr>
              <w:t>MK 29.09.2020</w:t>
            </w:r>
            <w:r w:rsidR="00BA17A5">
              <w:rPr>
                <w:i/>
                <w:sz w:val="18"/>
                <w:szCs w:val="18"/>
                <w:shd w:val="clear" w:color="auto" w:fill="FFFFFF"/>
                <w:lang w:eastAsia="lv-LV"/>
              </w:rPr>
              <w:t xml:space="preserve"> sēdes</w:t>
            </w:r>
            <w:r>
              <w:rPr>
                <w:i/>
                <w:sz w:val="18"/>
                <w:szCs w:val="18"/>
                <w:shd w:val="clear" w:color="auto" w:fill="FFFFFF"/>
                <w:lang w:eastAsia="lv-LV"/>
              </w:rPr>
              <w:t xml:space="preserve"> prot. Nr.56 51.§ 6.p</w:t>
            </w:r>
            <w:r w:rsidR="0092504E">
              <w:rPr>
                <w:i/>
                <w:sz w:val="18"/>
                <w:szCs w:val="18"/>
                <w:shd w:val="clear" w:color="auto" w:fill="FFFFFF"/>
                <w:lang w:eastAsia="lv-LV"/>
              </w:rPr>
              <w:t>unkts</w:t>
            </w:r>
            <w:r>
              <w:rPr>
                <w:i/>
                <w:sz w:val="18"/>
                <w:szCs w:val="18"/>
                <w:shd w:val="clear" w:color="auto" w:fill="FFFFFF"/>
                <w:lang w:eastAsia="lv-LV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191D8E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53 816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8FBCA1" w14:textId="77777777" w:rsidR="006E13F3" w:rsidRPr="005A7240" w:rsidRDefault="006E13F3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4469D7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-53 816</w:t>
            </w:r>
          </w:p>
        </w:tc>
      </w:tr>
      <w:tr w:rsidR="006E13F3" w14:paraId="7A58CC00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AB8DF" w14:textId="6BC56481" w:rsidR="006E13F3" w:rsidRDefault="006E13F3">
            <w:pPr>
              <w:spacing w:after="0"/>
              <w:ind w:firstLine="0"/>
              <w:rPr>
                <w:bCs/>
                <w:i/>
                <w:sz w:val="18"/>
                <w:szCs w:val="18"/>
                <w:lang w:eastAsia="lv-LV"/>
              </w:rPr>
            </w:pPr>
            <w:r>
              <w:rPr>
                <w:bCs/>
                <w:i/>
                <w:sz w:val="18"/>
                <w:szCs w:val="18"/>
                <w:lang w:eastAsia="lv-LV"/>
              </w:rPr>
              <w:t>Izdevumu izmaiņas 2020.</w:t>
            </w:r>
            <w:r w:rsidR="00BA17A5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gada prioritārajam pasākumam </w:t>
            </w:r>
          </w:p>
          <w:p w14:paraId="0443253F" w14:textId="002F8C66" w:rsidR="006E13F3" w:rsidRDefault="006E13F3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bCs/>
                <w:i/>
                <w:sz w:val="18"/>
                <w:szCs w:val="18"/>
                <w:lang w:eastAsia="lv-LV"/>
              </w:rPr>
              <w:t>“Prokuratūras informācijas tehnoloģiju infrastruktūras uzturēšana un nepieciešamā drošības līmeņa nodrošināšana”</w:t>
            </w:r>
            <w:r w:rsidR="00AD3D68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 w:rsidR="00BA17A5">
              <w:rPr>
                <w:i/>
                <w:sz w:val="18"/>
                <w:szCs w:val="18"/>
                <w:lang w:eastAsia="lv-LV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MK </w:t>
            </w:r>
            <w:r w:rsidR="00BA17A5">
              <w:rPr>
                <w:rFonts w:eastAsia="Calibri"/>
                <w:i/>
                <w:sz w:val="18"/>
                <w:szCs w:val="18"/>
                <w:lang w:eastAsia="lv-LV"/>
              </w:rPr>
              <w:t>17.09.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>2019. sēdes prot</w:t>
            </w:r>
            <w:r w:rsidR="00BA17A5">
              <w:rPr>
                <w:rFonts w:eastAsia="Calibri"/>
                <w:i/>
                <w:sz w:val="18"/>
                <w:szCs w:val="18"/>
                <w:lang w:eastAsia="lv-LV"/>
              </w:rPr>
              <w:t>.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 Nr.42 34.§ 2.punkt</w:t>
            </w:r>
            <w:r w:rsidR="00BA17A5">
              <w:rPr>
                <w:rFonts w:eastAsia="Calibri"/>
                <w:i/>
                <w:sz w:val="18"/>
                <w:szCs w:val="18"/>
                <w:lang w:eastAsia="lv-LV"/>
              </w:rPr>
              <w:t>s)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89A63" w14:textId="77777777" w:rsidR="006E13F3" w:rsidRPr="005A7240" w:rsidRDefault="006E13F3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779CB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1 700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83291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1 700</w:t>
            </w:r>
          </w:p>
        </w:tc>
      </w:tr>
      <w:tr w:rsidR="006E13F3" w14:paraId="3DA4F0C6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70859" w14:textId="7D9924EF" w:rsidR="006E13F3" w:rsidRDefault="006E13F3">
            <w:pPr>
              <w:spacing w:after="0"/>
              <w:ind w:firstLine="0"/>
              <w:jc w:val="left"/>
              <w:rPr>
                <w:bCs/>
                <w:i/>
                <w:sz w:val="18"/>
                <w:szCs w:val="18"/>
                <w:lang w:eastAsia="lv-LV"/>
              </w:rPr>
            </w:pPr>
            <w:r>
              <w:rPr>
                <w:bCs/>
                <w:i/>
                <w:sz w:val="18"/>
                <w:szCs w:val="18"/>
                <w:lang w:eastAsia="lv-LV"/>
              </w:rPr>
              <w:lastRenderedPageBreak/>
              <w:t>Izdevumu izmaiņas 2021.</w:t>
            </w:r>
            <w:r w:rsidR="0092504E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bCs/>
                <w:i/>
                <w:sz w:val="18"/>
                <w:szCs w:val="18"/>
                <w:lang w:eastAsia="lv-LV"/>
              </w:rPr>
              <w:t>gada prioritārajam pasākumam “</w:t>
            </w:r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Eiropas deleģēto prokuroru biroja izveide un darbība”</w:t>
            </w:r>
            <w:r w:rsidR="0092504E"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(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MK </w:t>
            </w:r>
            <w:r w:rsidR="0092504E">
              <w:rPr>
                <w:rFonts w:eastAsia="Calibri"/>
                <w:i/>
                <w:sz w:val="18"/>
                <w:szCs w:val="18"/>
                <w:lang w:eastAsia="lv-LV"/>
              </w:rPr>
              <w:t>22.09.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>2020.</w:t>
            </w:r>
            <w:r w:rsidR="0092504E">
              <w:rPr>
                <w:rFonts w:eastAsia="Calibri"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>sēdes prot</w:t>
            </w:r>
            <w:r w:rsidR="0092504E">
              <w:rPr>
                <w:rFonts w:eastAsia="Calibri"/>
                <w:i/>
                <w:sz w:val="18"/>
                <w:szCs w:val="18"/>
                <w:lang w:eastAsia="lv-LV"/>
              </w:rPr>
              <w:t>.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 Nr.55 38.§ 3.punkt</w:t>
            </w:r>
            <w:r w:rsidR="0092504E">
              <w:rPr>
                <w:rFonts w:eastAsia="Calibri"/>
                <w:i/>
                <w:sz w:val="18"/>
                <w:szCs w:val="18"/>
                <w:lang w:eastAsia="lv-LV"/>
              </w:rPr>
              <w:t>s)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80AFC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229 649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A386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336AA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-229 649</w:t>
            </w:r>
          </w:p>
        </w:tc>
      </w:tr>
      <w:tr w:rsidR="006E13F3" w14:paraId="5FA1EF75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5ADAC" w14:textId="10321324" w:rsidR="006E13F3" w:rsidRDefault="006E13F3">
            <w:pPr>
              <w:spacing w:after="0"/>
              <w:ind w:firstLine="0"/>
              <w:rPr>
                <w:bCs/>
                <w:i/>
                <w:sz w:val="18"/>
                <w:szCs w:val="18"/>
                <w:lang w:eastAsia="lv-LV"/>
              </w:rPr>
            </w:pPr>
            <w:r>
              <w:rPr>
                <w:bCs/>
                <w:i/>
                <w:sz w:val="18"/>
                <w:szCs w:val="18"/>
                <w:lang w:eastAsia="lv-LV"/>
              </w:rPr>
              <w:t>Izdevumu izmaiņas 2021.</w:t>
            </w:r>
            <w:r w:rsidR="0092504E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bCs/>
                <w:i/>
                <w:sz w:val="18"/>
                <w:szCs w:val="18"/>
                <w:lang w:eastAsia="lv-LV"/>
              </w:rPr>
              <w:t>gada prioritārajam pasākumam “</w:t>
            </w:r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Prokuratūras informācijas tehnoloģiju infrastruktūras uzturēšana un nepieciešamā drošības līmeņa nodrošināšana”</w:t>
            </w:r>
            <w:r w:rsidR="0092504E"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(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MK </w:t>
            </w:r>
            <w:r w:rsidR="0092504E">
              <w:rPr>
                <w:rFonts w:eastAsia="Calibri"/>
                <w:i/>
                <w:sz w:val="18"/>
                <w:szCs w:val="18"/>
                <w:lang w:eastAsia="lv-LV"/>
              </w:rPr>
              <w:t>22.09.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>2020. sēdes prot</w:t>
            </w:r>
            <w:r w:rsidR="0092504E">
              <w:rPr>
                <w:rFonts w:eastAsia="Calibri"/>
                <w:i/>
                <w:sz w:val="18"/>
                <w:szCs w:val="18"/>
                <w:lang w:eastAsia="lv-LV"/>
              </w:rPr>
              <w:t>.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 Nr.55 38.§ 3.punkt</w:t>
            </w:r>
            <w:r w:rsidR="0092504E">
              <w:rPr>
                <w:rFonts w:eastAsia="Calibri"/>
                <w:i/>
                <w:sz w:val="18"/>
                <w:szCs w:val="18"/>
                <w:lang w:eastAsia="lv-LV"/>
              </w:rPr>
              <w:t>s)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4A636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59 384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90983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E9A4A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-59 384</w:t>
            </w:r>
          </w:p>
        </w:tc>
      </w:tr>
      <w:tr w:rsidR="006E13F3" w14:paraId="6F66E41C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C4EE4" w14:textId="4B31885B" w:rsidR="006E13F3" w:rsidRDefault="006E13F3">
            <w:pPr>
              <w:spacing w:after="0"/>
              <w:ind w:firstLine="0"/>
              <w:rPr>
                <w:bCs/>
                <w:i/>
                <w:sz w:val="18"/>
                <w:szCs w:val="18"/>
                <w:lang w:eastAsia="lv-LV"/>
              </w:rPr>
            </w:pPr>
            <w:r>
              <w:rPr>
                <w:bCs/>
                <w:i/>
                <w:sz w:val="18"/>
                <w:szCs w:val="18"/>
                <w:lang w:eastAsia="lv-LV"/>
              </w:rPr>
              <w:t>Izdevumu izmaiņas 2021.</w:t>
            </w:r>
            <w:r w:rsidR="00166E65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bCs/>
                <w:i/>
                <w:sz w:val="18"/>
                <w:szCs w:val="18"/>
                <w:lang w:eastAsia="lv-LV"/>
              </w:rPr>
              <w:t>gada prioritārajam pasākumam “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Iestāžu izvietošana jaunuzceltajā tieslietu nozares administratīvajā centrā Jēkabpilī”</w:t>
            </w:r>
            <w:r>
              <w:rPr>
                <w:i/>
                <w:sz w:val="18"/>
                <w:szCs w:val="18"/>
                <w:lang w:eastAsia="lv-LV"/>
              </w:rPr>
              <w:t xml:space="preserve"> </w:t>
            </w:r>
            <w:r w:rsidR="00166E65">
              <w:rPr>
                <w:i/>
                <w:sz w:val="18"/>
                <w:szCs w:val="18"/>
                <w:lang w:eastAsia="lv-LV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MK </w:t>
            </w:r>
            <w:r w:rsidR="00166E65">
              <w:rPr>
                <w:rFonts w:eastAsia="Calibri"/>
                <w:i/>
                <w:sz w:val="18"/>
                <w:szCs w:val="18"/>
                <w:lang w:eastAsia="lv-LV"/>
              </w:rPr>
              <w:t>22.09.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>2020. sēdes prot</w:t>
            </w:r>
            <w:r w:rsidR="00166E65">
              <w:rPr>
                <w:rFonts w:eastAsia="Calibri"/>
                <w:i/>
                <w:sz w:val="18"/>
                <w:szCs w:val="18"/>
                <w:lang w:eastAsia="lv-LV"/>
              </w:rPr>
              <w:t>.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 Nr.55 38.§ 3.punkt</w:t>
            </w:r>
            <w:r w:rsidR="00166E65">
              <w:rPr>
                <w:rFonts w:eastAsia="Calibri"/>
                <w:i/>
                <w:sz w:val="18"/>
                <w:szCs w:val="18"/>
                <w:lang w:eastAsia="lv-LV"/>
              </w:rPr>
              <w:t>s)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768A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53 090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F73AE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5DB9D" w14:textId="77777777" w:rsidR="006E13F3" w:rsidRDefault="006E13F3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-53 090</w:t>
            </w:r>
          </w:p>
        </w:tc>
      </w:tr>
    </w:tbl>
    <w:p w14:paraId="5949EA5A" w14:textId="77777777" w:rsidR="006E13F3" w:rsidRDefault="006E13F3" w:rsidP="009841BD">
      <w:pPr>
        <w:spacing w:before="240" w:after="240"/>
        <w:ind w:firstLine="0"/>
        <w:jc w:val="center"/>
        <w:rPr>
          <w:b/>
        </w:rPr>
      </w:pPr>
      <w:r>
        <w:rPr>
          <w:b/>
        </w:rPr>
        <w:t>70.00.00 Citu Eiropas Savienības politiku instrumentu projektu un pasākumu īstenošana</w:t>
      </w:r>
    </w:p>
    <w:tbl>
      <w:tblPr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22"/>
      </w:tblGrid>
      <w:tr w:rsidR="006E13F3" w14:paraId="47839988" w14:textId="77777777" w:rsidTr="006E13F3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1E6C9B04" w14:textId="3A2AB9C9" w:rsidR="006E13F3" w:rsidRDefault="006E13F3" w:rsidP="005A7240">
            <w:pPr>
              <w:ind w:firstLine="0"/>
              <w:jc w:val="left"/>
              <w:rPr>
                <w:rFonts w:eastAsia="Calibri"/>
                <w:szCs w:val="24"/>
                <w:u w:val="single"/>
                <w:lang w:eastAsia="lv-LV"/>
              </w:rPr>
            </w:pPr>
            <w:r>
              <w:rPr>
                <w:szCs w:val="24"/>
                <w:lang w:eastAsia="lv-LV"/>
              </w:rPr>
              <w:t>Budžeta programmai ir viena apakšprogramma.</w:t>
            </w:r>
          </w:p>
        </w:tc>
      </w:tr>
    </w:tbl>
    <w:p w14:paraId="1EA5CF46" w14:textId="77777777" w:rsidR="006E13F3" w:rsidRDefault="006E13F3" w:rsidP="009841BD">
      <w:pPr>
        <w:spacing w:before="240" w:after="240"/>
        <w:ind w:firstLine="0"/>
        <w:jc w:val="center"/>
        <w:rPr>
          <w:b/>
          <w:bCs/>
          <w:szCs w:val="24"/>
          <w:lang w:eastAsia="lv-LV"/>
        </w:rPr>
      </w:pPr>
      <w:r>
        <w:rPr>
          <w:b/>
          <w:lang w:eastAsia="lv-LV"/>
        </w:rPr>
        <w:t xml:space="preserve">70.10.00 </w:t>
      </w:r>
      <w:r>
        <w:rPr>
          <w:b/>
          <w:bCs/>
          <w:szCs w:val="24"/>
          <w:lang w:eastAsia="lv-LV"/>
        </w:rPr>
        <w:t>Citu ES politiku instrumentu projektu un pasākumu īstenošana (2014-2020)</w:t>
      </w:r>
    </w:p>
    <w:tbl>
      <w:tblPr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22"/>
      </w:tblGrid>
      <w:tr w:rsidR="006E13F3" w14:paraId="2CC61A1C" w14:textId="77777777" w:rsidTr="006E13F3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A2B86" w14:textId="77777777" w:rsidR="00113272" w:rsidRDefault="006E13F3" w:rsidP="00113272">
            <w:pPr>
              <w:tabs>
                <w:tab w:val="left" w:pos="9531"/>
              </w:tabs>
              <w:spacing w:before="120" w:after="0"/>
              <w:ind w:right="33" w:firstLine="0"/>
              <w:rPr>
                <w:rFonts w:eastAsia="Calibri"/>
                <w:szCs w:val="24"/>
                <w:u w:val="single"/>
                <w:lang w:eastAsia="lv-LV"/>
              </w:rPr>
            </w:pPr>
            <w:r>
              <w:rPr>
                <w:rFonts w:eastAsia="Calibri"/>
                <w:szCs w:val="24"/>
                <w:u w:val="single"/>
                <w:lang w:eastAsia="lv-LV"/>
              </w:rPr>
              <w:t>Apakšprogrammas mērķis:</w:t>
            </w:r>
          </w:p>
          <w:p w14:paraId="513130C2" w14:textId="1173C6BB" w:rsidR="006E13F3" w:rsidRPr="00113272" w:rsidRDefault="009841BD" w:rsidP="004819E3">
            <w:pPr>
              <w:tabs>
                <w:tab w:val="left" w:pos="9531"/>
              </w:tabs>
              <w:spacing w:before="120" w:after="0"/>
              <w:ind w:right="34" w:firstLine="720"/>
              <w:rPr>
                <w:rFonts w:eastAsia="Calibri"/>
                <w:szCs w:val="24"/>
                <w:u w:val="single"/>
                <w:lang w:eastAsia="lv-LV"/>
              </w:rPr>
            </w:pPr>
            <w:r>
              <w:rPr>
                <w:szCs w:val="24"/>
                <w:lang w:eastAsia="lv-LV"/>
              </w:rPr>
              <w:t>p</w:t>
            </w:r>
            <w:r w:rsidR="006E13F3">
              <w:rPr>
                <w:szCs w:val="24"/>
                <w:lang w:eastAsia="lv-LV"/>
              </w:rPr>
              <w:t>rojekta “Sadarbības stiprināšana finanšu un ekonomisko noziegumu izmeklēšanā Baltijas valstu tieslietu darbiniekiem” mērķis - stiprināt Baltijas valstu sadarbību finanšu un ekonomisko noziegumu izmeklēšanas jomā.</w:t>
            </w:r>
          </w:p>
          <w:p w14:paraId="67287231" w14:textId="77777777" w:rsidR="006E13F3" w:rsidRDefault="006E13F3">
            <w:pPr>
              <w:spacing w:before="160" w:after="0"/>
              <w:ind w:firstLine="0"/>
              <w:rPr>
                <w:szCs w:val="24"/>
                <w:u w:val="single"/>
                <w:lang w:eastAsia="lv-LV"/>
              </w:rPr>
            </w:pPr>
            <w:r>
              <w:rPr>
                <w:szCs w:val="24"/>
                <w:u w:val="single"/>
                <w:lang w:eastAsia="lv-LV"/>
              </w:rPr>
              <w:t>Galvenās aktivitātes:</w:t>
            </w:r>
          </w:p>
          <w:p w14:paraId="15B1BB56" w14:textId="11A18814" w:rsidR="006E13F3" w:rsidRDefault="00113272" w:rsidP="004819E3">
            <w:pPr>
              <w:tabs>
                <w:tab w:val="left" w:pos="9328"/>
              </w:tabs>
              <w:spacing w:before="120"/>
              <w:ind w:right="34" w:firstLine="720"/>
              <w:rPr>
                <w:szCs w:val="24"/>
                <w:lang w:eastAsia="lv-LV"/>
              </w:rPr>
            </w:pPr>
            <w:r>
              <w:rPr>
                <w:szCs w:val="24"/>
                <w:lang w:eastAsia="lv-LV"/>
              </w:rPr>
              <w:t>s</w:t>
            </w:r>
            <w:r w:rsidR="006E13F3">
              <w:rPr>
                <w:szCs w:val="24"/>
                <w:lang w:eastAsia="lv-LV"/>
              </w:rPr>
              <w:t>tarpvalstu apmācību organizēšana, mācību vizīšu uz katru no projekta dalībvalstīm organizēšana, apmācību materiālu un rokasgrāmatas veidošana.</w:t>
            </w:r>
          </w:p>
          <w:p w14:paraId="5E6C9D8B" w14:textId="77777777" w:rsidR="006E13F3" w:rsidRDefault="006E13F3">
            <w:pPr>
              <w:spacing w:before="240" w:after="0"/>
              <w:ind w:firstLine="0"/>
              <w:rPr>
                <w:szCs w:val="24"/>
                <w:lang w:eastAsia="lv-LV"/>
              </w:rPr>
            </w:pPr>
            <w:r>
              <w:rPr>
                <w:szCs w:val="24"/>
                <w:u w:val="single"/>
                <w:lang w:eastAsia="lv-LV"/>
              </w:rPr>
              <w:t>Apakšprogrammas izpildītājs</w:t>
            </w:r>
            <w:r>
              <w:rPr>
                <w:szCs w:val="24"/>
                <w:lang w:eastAsia="lv-LV"/>
              </w:rPr>
              <w:t>: Ģenerālprokuratūra.</w:t>
            </w:r>
          </w:p>
          <w:p w14:paraId="07E4CC65" w14:textId="77777777" w:rsidR="006E13F3" w:rsidRDefault="006E13F3" w:rsidP="004819E3">
            <w:pPr>
              <w:spacing w:before="240" w:after="240"/>
              <w:ind w:firstLine="0"/>
              <w:jc w:val="center"/>
              <w:rPr>
                <w:b/>
                <w:lang w:eastAsia="lv-LV"/>
              </w:rPr>
            </w:pPr>
            <w:r>
              <w:rPr>
                <w:b/>
                <w:lang w:eastAsia="lv-LV"/>
              </w:rPr>
              <w:t>Finansiālie rādītāji no 2020. līdz 2024. gadam</w:t>
            </w:r>
          </w:p>
          <w:tbl>
            <w:tblPr>
              <w:tblW w:w="905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97"/>
              <w:gridCol w:w="1131"/>
              <w:gridCol w:w="1132"/>
              <w:gridCol w:w="1132"/>
              <w:gridCol w:w="1132"/>
              <w:gridCol w:w="1132"/>
            </w:tblGrid>
            <w:tr w:rsidR="006E13F3" w14:paraId="534A135F" w14:textId="77777777">
              <w:trPr>
                <w:trHeight w:val="283"/>
                <w:tblHeader/>
              </w:trPr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F81EB92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color w:val="FF0000"/>
                      <w:sz w:val="18"/>
                      <w:szCs w:val="18"/>
                      <w:lang w:eastAsia="lv-LV"/>
                    </w:rPr>
                  </w:pPr>
                </w:p>
              </w:tc>
              <w:tc>
                <w:tcPr>
                  <w:tcW w:w="1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63738AC" w14:textId="54A06483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2020.</w:t>
                  </w:r>
                  <w:r w:rsidR="004819E3">
                    <w:rPr>
                      <w:sz w:val="18"/>
                      <w:szCs w:val="18"/>
                      <w:lang w:eastAsia="lv-LV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lv-LV"/>
                    </w:rPr>
                    <w:t>gads (izpilde)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F860968" w14:textId="283CE95B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2021.</w:t>
                  </w:r>
                  <w:r w:rsidR="004819E3">
                    <w:rPr>
                      <w:sz w:val="18"/>
                      <w:szCs w:val="18"/>
                      <w:lang w:eastAsia="lv-LV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lv-LV"/>
                    </w:rPr>
                    <w:t>gada plāns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423BC58" w14:textId="43D113E3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2022.</w:t>
                  </w:r>
                  <w:r w:rsidR="004819E3">
                    <w:rPr>
                      <w:sz w:val="18"/>
                      <w:szCs w:val="18"/>
                      <w:lang w:eastAsia="lv-LV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lv-LV"/>
                    </w:rPr>
                    <w:t>gada projekts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9FD1C43" w14:textId="46F4BE69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2023.</w:t>
                  </w:r>
                  <w:r w:rsidR="004819E3">
                    <w:rPr>
                      <w:sz w:val="18"/>
                      <w:szCs w:val="18"/>
                      <w:lang w:eastAsia="lv-LV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lv-LV"/>
                    </w:rPr>
                    <w:t>gada prognoze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321B32" w14:textId="36399EE8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2024.</w:t>
                  </w:r>
                  <w:r w:rsidR="004819E3">
                    <w:rPr>
                      <w:sz w:val="18"/>
                      <w:szCs w:val="18"/>
                      <w:lang w:eastAsia="lv-LV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lv-LV"/>
                    </w:rPr>
                    <w:t>gada prognoze</w:t>
                  </w:r>
                </w:p>
              </w:tc>
            </w:tr>
            <w:tr w:rsidR="006E13F3" w14:paraId="6883B5A2" w14:textId="77777777">
              <w:trPr>
                <w:trHeight w:val="142"/>
              </w:trPr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BD604EB" w14:textId="77777777" w:rsidR="006E13F3" w:rsidRDefault="006E13F3">
                  <w:pPr>
                    <w:spacing w:after="0"/>
                    <w:ind w:firstLine="0"/>
                    <w:jc w:val="left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 xml:space="preserve">Kopējie izdevumi, </w:t>
                  </w:r>
                  <w:proofErr w:type="spellStart"/>
                  <w:r>
                    <w:rPr>
                      <w:i/>
                      <w:sz w:val="18"/>
                      <w:szCs w:val="18"/>
                      <w:lang w:eastAsia="lv-LV"/>
                    </w:rPr>
                    <w:t>euro</w:t>
                  </w:r>
                  <w:proofErr w:type="spellEnd"/>
                </w:p>
              </w:tc>
              <w:tc>
                <w:tcPr>
                  <w:tcW w:w="1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hideMark/>
                </w:tcPr>
                <w:p w14:paraId="3C878A4E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hideMark/>
                </w:tcPr>
                <w:p w14:paraId="36D1B17F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hideMark/>
                </w:tcPr>
                <w:p w14:paraId="259322D7" w14:textId="77777777" w:rsidR="006E13F3" w:rsidRDefault="006E13F3">
                  <w:pPr>
                    <w:spacing w:after="0"/>
                    <w:ind w:firstLine="0"/>
                    <w:jc w:val="right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83 930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hideMark/>
                </w:tcPr>
                <w:p w14:paraId="18AC5372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color w:val="FF0000"/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hideMark/>
                </w:tcPr>
                <w:p w14:paraId="2609FEE1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</w:t>
                  </w:r>
                </w:p>
              </w:tc>
            </w:tr>
            <w:tr w:rsidR="006E13F3" w14:paraId="478A8A61" w14:textId="77777777">
              <w:trPr>
                <w:trHeight w:val="283"/>
              </w:trPr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FDBF506" w14:textId="77777777" w:rsidR="006E13F3" w:rsidRDefault="006E13F3">
                  <w:pPr>
                    <w:spacing w:after="0"/>
                    <w:ind w:firstLine="0"/>
                    <w:jc w:val="left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 xml:space="preserve">Kopējo izdevumu izmaiņas, </w:t>
                  </w:r>
                  <w:proofErr w:type="spellStart"/>
                  <w:r>
                    <w:rPr>
                      <w:i/>
                      <w:sz w:val="18"/>
                      <w:szCs w:val="18"/>
                      <w:lang w:eastAsia="lv-LV"/>
                    </w:rPr>
                    <w:t>euro</w:t>
                  </w:r>
                  <w:proofErr w:type="spellEnd"/>
                  <w:r>
                    <w:rPr>
                      <w:sz w:val="18"/>
                      <w:szCs w:val="18"/>
                      <w:lang w:eastAsia="lv-LV"/>
                    </w:rPr>
                    <w:t xml:space="preserve"> (+/–) pret iepriekšējo gadu</w:t>
                  </w:r>
                </w:p>
              </w:tc>
              <w:tc>
                <w:tcPr>
                  <w:tcW w:w="1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453B39B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lv-LV"/>
                    </w:rPr>
                    <w:t>×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A1E25A4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96C05F" w14:textId="77777777" w:rsidR="006E13F3" w:rsidRDefault="006E13F3">
                  <w:pPr>
                    <w:spacing w:after="0"/>
                    <w:ind w:firstLine="0"/>
                    <w:jc w:val="right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83 930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5ED466" w14:textId="77777777" w:rsidR="006E13F3" w:rsidRDefault="006E13F3">
                  <w:pPr>
                    <w:spacing w:after="0"/>
                    <w:ind w:firstLine="0"/>
                    <w:jc w:val="right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-83 930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074FBB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</w:t>
                  </w:r>
                </w:p>
              </w:tc>
            </w:tr>
            <w:tr w:rsidR="006E13F3" w14:paraId="3DBDAA43" w14:textId="77777777">
              <w:trPr>
                <w:trHeight w:val="283"/>
              </w:trPr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EB9616" w14:textId="77777777" w:rsidR="006E13F3" w:rsidRDefault="006E13F3">
                  <w:pPr>
                    <w:spacing w:after="0"/>
                    <w:ind w:firstLine="0"/>
                    <w:jc w:val="left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Kopējie izdevumi, % (+/–) pret iepriekšējo gadu</w:t>
                  </w:r>
                </w:p>
              </w:tc>
              <w:tc>
                <w:tcPr>
                  <w:tcW w:w="1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0E9A494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lv-LV"/>
                    </w:rPr>
                    <w:t>×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E5BB2C2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E59305" w14:textId="77777777" w:rsidR="006E13F3" w:rsidRDefault="006E13F3">
                  <w:pPr>
                    <w:spacing w:after="0"/>
                    <w:ind w:firstLine="0"/>
                    <w:jc w:val="right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100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45F8CA" w14:textId="77777777" w:rsidR="006E13F3" w:rsidRDefault="006E13F3">
                  <w:pPr>
                    <w:spacing w:after="0"/>
                    <w:ind w:firstLine="0"/>
                    <w:jc w:val="right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-100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662C48" w14:textId="77777777" w:rsidR="006E13F3" w:rsidRDefault="006E13F3">
                  <w:pPr>
                    <w:spacing w:after="0"/>
                    <w:ind w:firstLine="0"/>
                    <w:jc w:val="center"/>
                    <w:rPr>
                      <w:sz w:val="18"/>
                      <w:szCs w:val="18"/>
                      <w:lang w:eastAsia="lv-LV"/>
                    </w:rPr>
                  </w:pPr>
                  <w:r>
                    <w:rPr>
                      <w:sz w:val="18"/>
                      <w:szCs w:val="18"/>
                      <w:lang w:eastAsia="lv-LV"/>
                    </w:rPr>
                    <w:t>-</w:t>
                  </w:r>
                </w:p>
              </w:tc>
            </w:tr>
          </w:tbl>
          <w:p w14:paraId="30399998" w14:textId="77777777" w:rsidR="006E13F3" w:rsidRDefault="006E13F3">
            <w:pPr>
              <w:spacing w:before="360" w:after="0"/>
              <w:ind w:firstLine="0"/>
              <w:jc w:val="left"/>
              <w:rPr>
                <w:b/>
                <w:szCs w:val="24"/>
                <w:lang w:eastAsia="lv-LV"/>
              </w:rPr>
            </w:pPr>
          </w:p>
        </w:tc>
      </w:tr>
    </w:tbl>
    <w:p w14:paraId="46E47F5C" w14:textId="77777777" w:rsidR="006E13F3" w:rsidRDefault="006E13F3" w:rsidP="007D331F">
      <w:pPr>
        <w:spacing w:before="240" w:after="240"/>
        <w:ind w:firstLine="0"/>
        <w:jc w:val="center"/>
        <w:rPr>
          <w:b/>
          <w:szCs w:val="24"/>
          <w:lang w:eastAsia="lv-LV"/>
        </w:rPr>
      </w:pPr>
      <w:r>
        <w:rPr>
          <w:b/>
          <w:szCs w:val="24"/>
          <w:lang w:eastAsia="lv-LV"/>
        </w:rPr>
        <w:t>Izmaiņas izdevumos, salīdzinot 2022. gada projektu ar 2021. gada plānu</w:t>
      </w:r>
    </w:p>
    <w:p w14:paraId="46F6C86F" w14:textId="77777777" w:rsidR="006E13F3" w:rsidRDefault="006E13F3" w:rsidP="006E13F3">
      <w:pPr>
        <w:spacing w:after="0"/>
        <w:ind w:left="7921" w:firstLine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Euro</w:t>
      </w:r>
      <w:proofErr w:type="spellEnd"/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1277"/>
        <w:gridCol w:w="1277"/>
        <w:gridCol w:w="1277"/>
      </w:tblGrid>
      <w:tr w:rsidR="006E13F3" w14:paraId="418D2944" w14:textId="77777777" w:rsidTr="006E13F3">
        <w:trPr>
          <w:trHeight w:val="142"/>
          <w:tblHeader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42644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CAD4E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188C9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9862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Izmaiņas</w:t>
            </w:r>
          </w:p>
        </w:tc>
      </w:tr>
      <w:tr w:rsidR="006E13F3" w14:paraId="07204D8F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F74E307" w14:textId="77777777" w:rsidR="006E13F3" w:rsidRDefault="006E13F3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2366EC4" w14:textId="77777777" w:rsidR="006E13F3" w:rsidRDefault="006E13F3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D442C46" w14:textId="77777777" w:rsidR="006E13F3" w:rsidRDefault="006E13F3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83 930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B632F74" w14:textId="77777777" w:rsidR="006E13F3" w:rsidRDefault="006E13F3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  <w:lang w:eastAsia="lv-LV"/>
              </w:rPr>
              <w:t>83 930</w:t>
            </w:r>
          </w:p>
        </w:tc>
      </w:tr>
      <w:tr w:rsidR="006E13F3" w14:paraId="6D8D0306" w14:textId="77777777" w:rsidTr="006E13F3">
        <w:trPr>
          <w:jc w:val="center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C274F" w14:textId="77777777" w:rsidR="006E13F3" w:rsidRDefault="006E13F3">
            <w:pPr>
              <w:spacing w:after="0"/>
              <w:ind w:firstLine="313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t. sk.:</w:t>
            </w:r>
          </w:p>
        </w:tc>
      </w:tr>
      <w:tr w:rsidR="006E13F3" w14:paraId="16DA4666" w14:textId="77777777" w:rsidTr="006E13F3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5B9EACC" w14:textId="77777777" w:rsidR="006E13F3" w:rsidRDefault="006E13F3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8718A6C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6D823CF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83 930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CE2761E" w14:textId="77777777" w:rsidR="006E13F3" w:rsidRPr="005A7240" w:rsidRDefault="006E13F3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7240">
              <w:rPr>
                <w:bCs/>
                <w:sz w:val="18"/>
                <w:szCs w:val="18"/>
                <w:lang w:eastAsia="lv-LV"/>
              </w:rPr>
              <w:t>83 930</w:t>
            </w:r>
          </w:p>
        </w:tc>
      </w:tr>
      <w:tr w:rsidR="006E13F3" w14:paraId="6D9CC4CD" w14:textId="77777777" w:rsidTr="007D331F">
        <w:trPr>
          <w:trHeight w:val="142"/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B874D" w14:textId="610F8EBF" w:rsidR="006E13F3" w:rsidRDefault="006E13F3">
            <w:pPr>
              <w:spacing w:after="0"/>
              <w:ind w:firstLine="0"/>
              <w:rPr>
                <w:bCs/>
                <w:i/>
                <w:iCs/>
                <w:sz w:val="18"/>
                <w:szCs w:val="18"/>
                <w:lang w:eastAsia="lv-LV"/>
              </w:rPr>
            </w:pPr>
            <w:r>
              <w:rPr>
                <w:bCs/>
                <w:i/>
                <w:iCs/>
                <w:sz w:val="18"/>
                <w:szCs w:val="18"/>
                <w:lang w:eastAsia="lv-LV"/>
              </w:rPr>
              <w:t>Palielināti izdevumi, lai Eiropas Komisijas Tieslietu direktorāta programmas "Tiesiskums 2014-2020" ietvaros nodrošinātu projekta “Sadarbības stiprināšana finanšu un ekonomisko noziegumu izmeklēšanā Baltijas valstu tieslietu darbiniekiem” īstenošan</w:t>
            </w:r>
            <w:r w:rsidR="009B380F">
              <w:rPr>
                <w:bCs/>
                <w:i/>
                <w:iCs/>
                <w:sz w:val="18"/>
                <w:szCs w:val="18"/>
                <w:lang w:eastAsia="lv-LV"/>
              </w:rPr>
              <w:t>u</w:t>
            </w:r>
            <w:r>
              <w:rPr>
                <w:bCs/>
                <w:i/>
                <w:iCs/>
                <w:sz w:val="18"/>
                <w:szCs w:val="18"/>
                <w:lang w:eastAsia="lv-LV"/>
              </w:rPr>
              <w:t xml:space="preserve"> </w:t>
            </w:r>
            <w:r w:rsidR="009B380F">
              <w:rPr>
                <w:i/>
                <w:sz w:val="18"/>
                <w:szCs w:val="18"/>
                <w:lang w:eastAsia="lv-LV"/>
              </w:rPr>
              <w:t>(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>MK 24.</w:t>
            </w:r>
            <w:r w:rsidR="009B380F">
              <w:rPr>
                <w:rFonts w:eastAsia="Calibri"/>
                <w:i/>
                <w:sz w:val="18"/>
                <w:szCs w:val="18"/>
                <w:lang w:eastAsia="lv-LV"/>
              </w:rPr>
              <w:t>11.2020.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 sēdes prot</w:t>
            </w:r>
            <w:r w:rsidR="009B380F">
              <w:rPr>
                <w:rFonts w:eastAsia="Calibri"/>
                <w:i/>
                <w:sz w:val="18"/>
                <w:szCs w:val="18"/>
                <w:lang w:eastAsia="lv-LV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>Nr.75 34.§ 2. un 3.punkt</w:t>
            </w:r>
            <w:r w:rsidR="009B380F">
              <w:rPr>
                <w:rFonts w:eastAsia="Calibri"/>
                <w:i/>
                <w:sz w:val="18"/>
                <w:szCs w:val="18"/>
                <w:lang w:eastAsia="lv-LV"/>
              </w:rPr>
              <w:t>s)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836A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</w:p>
          <w:p w14:paraId="6E486FAB" w14:textId="77777777" w:rsidR="006E13F3" w:rsidRDefault="006E13F3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</w:p>
          <w:p w14:paraId="6BF0DE31" w14:textId="77777777" w:rsidR="006E13F3" w:rsidRDefault="006E13F3">
            <w:pPr>
              <w:spacing w:after="0"/>
              <w:ind w:firstLine="0"/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8ED5F" w14:textId="77777777" w:rsidR="006E13F3" w:rsidRDefault="006E13F3" w:rsidP="007D331F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83 930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71AD2" w14:textId="77777777" w:rsidR="006E13F3" w:rsidRDefault="006E13F3" w:rsidP="007D331F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83 930</w:t>
            </w:r>
          </w:p>
        </w:tc>
      </w:tr>
    </w:tbl>
    <w:p w14:paraId="3236D67F" w14:textId="77777777" w:rsidR="006E13F3" w:rsidRDefault="006E13F3" w:rsidP="006E13F3">
      <w:pPr>
        <w:spacing w:before="120"/>
        <w:ind w:firstLine="0"/>
        <w:jc w:val="center"/>
        <w:rPr>
          <w:lang w:eastAsia="lv-LV"/>
        </w:rPr>
      </w:pPr>
    </w:p>
    <w:p w14:paraId="3E4C5480" w14:textId="77777777" w:rsidR="004D1332" w:rsidRPr="004D1332" w:rsidRDefault="004D1332" w:rsidP="004D1332">
      <w:pPr>
        <w:spacing w:before="120"/>
        <w:ind w:firstLine="0"/>
        <w:jc w:val="center"/>
        <w:rPr>
          <w:lang w:eastAsia="lv-LV"/>
        </w:rPr>
      </w:pPr>
    </w:p>
    <w:sectPr w:rsidR="004D1332" w:rsidRPr="004D1332" w:rsidSect="005A7240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8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84D8E" w14:textId="77777777" w:rsidR="008E0CD5" w:rsidRDefault="008E0CD5" w:rsidP="005F0727">
      <w:r>
        <w:separator/>
      </w:r>
    </w:p>
  </w:endnote>
  <w:endnote w:type="continuationSeparator" w:id="0">
    <w:p w14:paraId="3EB4C6F6" w14:textId="77777777" w:rsidR="008E0CD5" w:rsidRDefault="008E0CD5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2285" w14:textId="111189FB" w:rsidR="008E0CD5" w:rsidRPr="008E6CB3" w:rsidRDefault="008E0CD5" w:rsidP="00AC3694">
    <w:pPr>
      <w:pStyle w:val="Footer"/>
      <w:spacing w:after="0"/>
      <w:ind w:firstLine="0"/>
      <w:rPr>
        <w:sz w:val="20"/>
      </w:rPr>
    </w:pPr>
    <w:r w:rsidRPr="00AC3694">
      <w:rPr>
        <w:sz w:val="20"/>
      </w:rPr>
      <w:fldChar w:fldCharType="begin"/>
    </w:r>
    <w:r w:rsidRPr="00AC3694">
      <w:rPr>
        <w:sz w:val="20"/>
      </w:rPr>
      <w:instrText xml:space="preserve"> FILENAME   \* MERGEFORMAT </w:instrText>
    </w:r>
    <w:r w:rsidRPr="00AC3694">
      <w:rPr>
        <w:sz w:val="20"/>
      </w:rPr>
      <w:fldChar w:fldCharType="separate"/>
    </w:r>
    <w:r w:rsidR="00A45912">
      <w:rPr>
        <w:noProof/>
        <w:sz w:val="20"/>
      </w:rPr>
      <w:t>FMPask_5.3_32_Prok_111021_proj2022.docx</w:t>
    </w:r>
    <w:r w:rsidRPr="00AC3694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0DA01" w14:textId="77777777" w:rsidR="008E0CD5" w:rsidRDefault="008E0CD5" w:rsidP="00E81CF6">
      <w:pPr>
        <w:spacing w:after="0"/>
        <w:ind w:firstLine="0"/>
      </w:pPr>
      <w:r>
        <w:separator/>
      </w:r>
    </w:p>
  </w:footnote>
  <w:footnote w:type="continuationSeparator" w:id="0">
    <w:p w14:paraId="12DF157F" w14:textId="77777777" w:rsidR="008E0CD5" w:rsidRDefault="008E0CD5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C69B" w14:textId="77777777" w:rsidR="008E0CD5" w:rsidRPr="00094CCE" w:rsidRDefault="008E0CD5" w:rsidP="00094CCE">
    <w:pPr>
      <w:pStyle w:val="Header"/>
      <w:spacing w:after="0"/>
      <w:ind w:firstLine="0"/>
      <w:jc w:val="center"/>
      <w:rPr>
        <w:szCs w:val="24"/>
      </w:rPr>
    </w:pPr>
    <w:r w:rsidRPr="00847B1A">
      <w:rPr>
        <w:szCs w:val="24"/>
      </w:rPr>
      <w:fldChar w:fldCharType="begin"/>
    </w:r>
    <w:r w:rsidRPr="00847B1A">
      <w:rPr>
        <w:szCs w:val="24"/>
      </w:rPr>
      <w:instrText xml:space="preserve"> PAGE   \* MERGEFORMAT </w:instrText>
    </w:r>
    <w:r w:rsidRPr="00847B1A">
      <w:rPr>
        <w:szCs w:val="24"/>
      </w:rPr>
      <w:fldChar w:fldCharType="separate"/>
    </w:r>
    <w:r w:rsidR="004D68A9">
      <w:rPr>
        <w:noProof/>
        <w:szCs w:val="24"/>
      </w:rPr>
      <w:t>859</w:t>
    </w:r>
    <w:r w:rsidRPr="00847B1A">
      <w:rPr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12D9A"/>
    <w:multiLevelType w:val="hybridMultilevel"/>
    <w:tmpl w:val="4FE6A16E"/>
    <w:lvl w:ilvl="0" w:tplc="2098D8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E654D"/>
    <w:multiLevelType w:val="hybridMultilevel"/>
    <w:tmpl w:val="4C2805B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6C0D"/>
    <w:rsid w:val="000121BD"/>
    <w:rsid w:val="00016579"/>
    <w:rsid w:val="00023746"/>
    <w:rsid w:val="0002445B"/>
    <w:rsid w:val="00024D7E"/>
    <w:rsid w:val="00027873"/>
    <w:rsid w:val="00032675"/>
    <w:rsid w:val="00032C6D"/>
    <w:rsid w:val="00037238"/>
    <w:rsid w:val="00045FB3"/>
    <w:rsid w:val="00050C4D"/>
    <w:rsid w:val="000519FE"/>
    <w:rsid w:val="00062214"/>
    <w:rsid w:val="00062720"/>
    <w:rsid w:val="000630FF"/>
    <w:rsid w:val="000666B5"/>
    <w:rsid w:val="00066A13"/>
    <w:rsid w:val="00066E95"/>
    <w:rsid w:val="00077A9C"/>
    <w:rsid w:val="000836AC"/>
    <w:rsid w:val="0008404A"/>
    <w:rsid w:val="00084F53"/>
    <w:rsid w:val="000858CD"/>
    <w:rsid w:val="00091F10"/>
    <w:rsid w:val="00094CCE"/>
    <w:rsid w:val="00097EF8"/>
    <w:rsid w:val="000B04E6"/>
    <w:rsid w:val="000B0DBF"/>
    <w:rsid w:val="000B1C41"/>
    <w:rsid w:val="000B7BBD"/>
    <w:rsid w:val="000C1C19"/>
    <w:rsid w:val="000D0A9D"/>
    <w:rsid w:val="000D6A3E"/>
    <w:rsid w:val="000D740C"/>
    <w:rsid w:val="000F153F"/>
    <w:rsid w:val="000F3720"/>
    <w:rsid w:val="000F43BA"/>
    <w:rsid w:val="00102A30"/>
    <w:rsid w:val="0011280A"/>
    <w:rsid w:val="00113272"/>
    <w:rsid w:val="001147F3"/>
    <w:rsid w:val="00124ABC"/>
    <w:rsid w:val="001254B0"/>
    <w:rsid w:val="00132518"/>
    <w:rsid w:val="0014415C"/>
    <w:rsid w:val="00147519"/>
    <w:rsid w:val="00162A1E"/>
    <w:rsid w:val="00162B1F"/>
    <w:rsid w:val="00166708"/>
    <w:rsid w:val="00166E65"/>
    <w:rsid w:val="001704C5"/>
    <w:rsid w:val="00173C8A"/>
    <w:rsid w:val="00174A7F"/>
    <w:rsid w:val="0019314B"/>
    <w:rsid w:val="001A0EAA"/>
    <w:rsid w:val="001A1908"/>
    <w:rsid w:val="001A300F"/>
    <w:rsid w:val="001B4FB8"/>
    <w:rsid w:val="001B5012"/>
    <w:rsid w:val="001B649F"/>
    <w:rsid w:val="001C3C65"/>
    <w:rsid w:val="001C5268"/>
    <w:rsid w:val="001C6B44"/>
    <w:rsid w:val="001D31B9"/>
    <w:rsid w:val="001D6024"/>
    <w:rsid w:val="001D71DE"/>
    <w:rsid w:val="001E0C10"/>
    <w:rsid w:val="001E171E"/>
    <w:rsid w:val="001E53E0"/>
    <w:rsid w:val="001E6ECB"/>
    <w:rsid w:val="001F4B21"/>
    <w:rsid w:val="001F6172"/>
    <w:rsid w:val="001F6239"/>
    <w:rsid w:val="001F6912"/>
    <w:rsid w:val="001F7937"/>
    <w:rsid w:val="00200271"/>
    <w:rsid w:val="002011FA"/>
    <w:rsid w:val="00212205"/>
    <w:rsid w:val="002131E7"/>
    <w:rsid w:val="00213B1D"/>
    <w:rsid w:val="0021578A"/>
    <w:rsid w:val="00221C33"/>
    <w:rsid w:val="0022630C"/>
    <w:rsid w:val="00237863"/>
    <w:rsid w:val="00244520"/>
    <w:rsid w:val="00254EE8"/>
    <w:rsid w:val="00260628"/>
    <w:rsid w:val="00261952"/>
    <w:rsid w:val="002637B9"/>
    <w:rsid w:val="00265634"/>
    <w:rsid w:val="002666BF"/>
    <w:rsid w:val="00272B08"/>
    <w:rsid w:val="00274C07"/>
    <w:rsid w:val="0027622E"/>
    <w:rsid w:val="00285F09"/>
    <w:rsid w:val="00290A6A"/>
    <w:rsid w:val="00293DCF"/>
    <w:rsid w:val="002962A5"/>
    <w:rsid w:val="002978EC"/>
    <w:rsid w:val="00297D59"/>
    <w:rsid w:val="002A3449"/>
    <w:rsid w:val="002A50F6"/>
    <w:rsid w:val="002A62C5"/>
    <w:rsid w:val="002A63DF"/>
    <w:rsid w:val="002A667F"/>
    <w:rsid w:val="002B51A7"/>
    <w:rsid w:val="002B687D"/>
    <w:rsid w:val="002B6B7C"/>
    <w:rsid w:val="002B7E2B"/>
    <w:rsid w:val="002C317A"/>
    <w:rsid w:val="002C3A8F"/>
    <w:rsid w:val="002C5661"/>
    <w:rsid w:val="002D228C"/>
    <w:rsid w:val="002D2A80"/>
    <w:rsid w:val="002D372C"/>
    <w:rsid w:val="002E1D57"/>
    <w:rsid w:val="002E2994"/>
    <w:rsid w:val="002E2C75"/>
    <w:rsid w:val="002E52A3"/>
    <w:rsid w:val="002E7B93"/>
    <w:rsid w:val="00306EFD"/>
    <w:rsid w:val="003116EB"/>
    <w:rsid w:val="00312CAE"/>
    <w:rsid w:val="00317266"/>
    <w:rsid w:val="003174D7"/>
    <w:rsid w:val="00322EC7"/>
    <w:rsid w:val="00324820"/>
    <w:rsid w:val="0033265B"/>
    <w:rsid w:val="00335091"/>
    <w:rsid w:val="00340D63"/>
    <w:rsid w:val="003432CF"/>
    <w:rsid w:val="0034507B"/>
    <w:rsid w:val="00347F97"/>
    <w:rsid w:val="00350039"/>
    <w:rsid w:val="00351698"/>
    <w:rsid w:val="00354391"/>
    <w:rsid w:val="00357D2A"/>
    <w:rsid w:val="0036049D"/>
    <w:rsid w:val="00381010"/>
    <w:rsid w:val="00382B05"/>
    <w:rsid w:val="0038773E"/>
    <w:rsid w:val="00390279"/>
    <w:rsid w:val="00392D94"/>
    <w:rsid w:val="00396D42"/>
    <w:rsid w:val="003975BD"/>
    <w:rsid w:val="003A038A"/>
    <w:rsid w:val="003A0A84"/>
    <w:rsid w:val="003A3845"/>
    <w:rsid w:val="003A6223"/>
    <w:rsid w:val="003C1645"/>
    <w:rsid w:val="003C411E"/>
    <w:rsid w:val="003D00BD"/>
    <w:rsid w:val="003D2CDA"/>
    <w:rsid w:val="003D3D93"/>
    <w:rsid w:val="003E0849"/>
    <w:rsid w:val="003E45EA"/>
    <w:rsid w:val="003E7592"/>
    <w:rsid w:val="004053E6"/>
    <w:rsid w:val="004062F7"/>
    <w:rsid w:val="004063CA"/>
    <w:rsid w:val="004264F7"/>
    <w:rsid w:val="0043758B"/>
    <w:rsid w:val="0044065A"/>
    <w:rsid w:val="0045304B"/>
    <w:rsid w:val="00454C24"/>
    <w:rsid w:val="00473244"/>
    <w:rsid w:val="00473BE8"/>
    <w:rsid w:val="00480D5A"/>
    <w:rsid w:val="00481939"/>
    <w:rsid w:val="004819E3"/>
    <w:rsid w:val="0048432F"/>
    <w:rsid w:val="004846D4"/>
    <w:rsid w:val="00490482"/>
    <w:rsid w:val="00491EA0"/>
    <w:rsid w:val="00494399"/>
    <w:rsid w:val="00496D00"/>
    <w:rsid w:val="004A0DBF"/>
    <w:rsid w:val="004A3C47"/>
    <w:rsid w:val="004A6433"/>
    <w:rsid w:val="004B1F91"/>
    <w:rsid w:val="004B6390"/>
    <w:rsid w:val="004C179C"/>
    <w:rsid w:val="004C1B05"/>
    <w:rsid w:val="004C3ACB"/>
    <w:rsid w:val="004C4CF9"/>
    <w:rsid w:val="004C701A"/>
    <w:rsid w:val="004D005E"/>
    <w:rsid w:val="004D1332"/>
    <w:rsid w:val="004D2BE7"/>
    <w:rsid w:val="004D47E4"/>
    <w:rsid w:val="004D66C3"/>
    <w:rsid w:val="004D68A9"/>
    <w:rsid w:val="004E4410"/>
    <w:rsid w:val="004E7071"/>
    <w:rsid w:val="004F2B94"/>
    <w:rsid w:val="004F367D"/>
    <w:rsid w:val="004F50D5"/>
    <w:rsid w:val="00501A04"/>
    <w:rsid w:val="00506FE7"/>
    <w:rsid w:val="00512E31"/>
    <w:rsid w:val="00514595"/>
    <w:rsid w:val="00526CB7"/>
    <w:rsid w:val="00527401"/>
    <w:rsid w:val="00527F6E"/>
    <w:rsid w:val="00530B04"/>
    <w:rsid w:val="00535248"/>
    <w:rsid w:val="00540B8A"/>
    <w:rsid w:val="00545AAB"/>
    <w:rsid w:val="00550414"/>
    <w:rsid w:val="00554044"/>
    <w:rsid w:val="00555CA1"/>
    <w:rsid w:val="00557B21"/>
    <w:rsid w:val="00565444"/>
    <w:rsid w:val="00570AB5"/>
    <w:rsid w:val="005761EA"/>
    <w:rsid w:val="00581162"/>
    <w:rsid w:val="005835CA"/>
    <w:rsid w:val="005837E3"/>
    <w:rsid w:val="00585304"/>
    <w:rsid w:val="00587AAC"/>
    <w:rsid w:val="0059172F"/>
    <w:rsid w:val="00592354"/>
    <w:rsid w:val="005932A8"/>
    <w:rsid w:val="00595A07"/>
    <w:rsid w:val="0059659D"/>
    <w:rsid w:val="005A1B93"/>
    <w:rsid w:val="005A3481"/>
    <w:rsid w:val="005A3DCC"/>
    <w:rsid w:val="005A45AD"/>
    <w:rsid w:val="005A479D"/>
    <w:rsid w:val="005A4E37"/>
    <w:rsid w:val="005A7240"/>
    <w:rsid w:val="005B0BB3"/>
    <w:rsid w:val="005B37B8"/>
    <w:rsid w:val="005B6BD0"/>
    <w:rsid w:val="005B7363"/>
    <w:rsid w:val="005B7FC4"/>
    <w:rsid w:val="005C2852"/>
    <w:rsid w:val="005C3757"/>
    <w:rsid w:val="005C3D81"/>
    <w:rsid w:val="005D168E"/>
    <w:rsid w:val="005D4524"/>
    <w:rsid w:val="005D45D4"/>
    <w:rsid w:val="005D6596"/>
    <w:rsid w:val="005E6D4D"/>
    <w:rsid w:val="005E7CB8"/>
    <w:rsid w:val="005E7FDF"/>
    <w:rsid w:val="005F0727"/>
    <w:rsid w:val="005F23E4"/>
    <w:rsid w:val="00600830"/>
    <w:rsid w:val="00604440"/>
    <w:rsid w:val="006111AC"/>
    <w:rsid w:val="00611FD3"/>
    <w:rsid w:val="00614C64"/>
    <w:rsid w:val="006210FB"/>
    <w:rsid w:val="006249CB"/>
    <w:rsid w:val="00625580"/>
    <w:rsid w:val="00626F00"/>
    <w:rsid w:val="00631158"/>
    <w:rsid w:val="00633965"/>
    <w:rsid w:val="00633E88"/>
    <w:rsid w:val="0063670B"/>
    <w:rsid w:val="006402FC"/>
    <w:rsid w:val="0064614F"/>
    <w:rsid w:val="006476DF"/>
    <w:rsid w:val="00647F3F"/>
    <w:rsid w:val="0065077E"/>
    <w:rsid w:val="00652CF1"/>
    <w:rsid w:val="006532DF"/>
    <w:rsid w:val="00653374"/>
    <w:rsid w:val="00657568"/>
    <w:rsid w:val="006636CE"/>
    <w:rsid w:val="00663DA3"/>
    <w:rsid w:val="00664B2E"/>
    <w:rsid w:val="00664B5F"/>
    <w:rsid w:val="006678A5"/>
    <w:rsid w:val="0067679B"/>
    <w:rsid w:val="006836AE"/>
    <w:rsid w:val="00683915"/>
    <w:rsid w:val="00686120"/>
    <w:rsid w:val="00687913"/>
    <w:rsid w:val="006A177D"/>
    <w:rsid w:val="006A2DC8"/>
    <w:rsid w:val="006A49CA"/>
    <w:rsid w:val="006A5045"/>
    <w:rsid w:val="006A6469"/>
    <w:rsid w:val="006C1C95"/>
    <w:rsid w:val="006C4B51"/>
    <w:rsid w:val="006C52C4"/>
    <w:rsid w:val="006D261E"/>
    <w:rsid w:val="006D73C8"/>
    <w:rsid w:val="006D7938"/>
    <w:rsid w:val="006E0231"/>
    <w:rsid w:val="006E13F3"/>
    <w:rsid w:val="006E6F78"/>
    <w:rsid w:val="006E7629"/>
    <w:rsid w:val="006F1D2F"/>
    <w:rsid w:val="006F2517"/>
    <w:rsid w:val="006F64BA"/>
    <w:rsid w:val="0070317D"/>
    <w:rsid w:val="00704EE2"/>
    <w:rsid w:val="00707003"/>
    <w:rsid w:val="00710D4E"/>
    <w:rsid w:val="00711ED8"/>
    <w:rsid w:val="007145F1"/>
    <w:rsid w:val="00715289"/>
    <w:rsid w:val="007158DA"/>
    <w:rsid w:val="00715A85"/>
    <w:rsid w:val="0072222F"/>
    <w:rsid w:val="00730F06"/>
    <w:rsid w:val="0073611B"/>
    <w:rsid w:val="00741AA7"/>
    <w:rsid w:val="00742CA1"/>
    <w:rsid w:val="00743F92"/>
    <w:rsid w:val="007535F0"/>
    <w:rsid w:val="00753A77"/>
    <w:rsid w:val="00756284"/>
    <w:rsid w:val="007577EE"/>
    <w:rsid w:val="00760731"/>
    <w:rsid w:val="00761244"/>
    <w:rsid w:val="00762B0D"/>
    <w:rsid w:val="0076502E"/>
    <w:rsid w:val="007707A3"/>
    <w:rsid w:val="00772E9A"/>
    <w:rsid w:val="007834E7"/>
    <w:rsid w:val="007A0306"/>
    <w:rsid w:val="007A1376"/>
    <w:rsid w:val="007A2383"/>
    <w:rsid w:val="007A3F79"/>
    <w:rsid w:val="007A6CBC"/>
    <w:rsid w:val="007A7A05"/>
    <w:rsid w:val="007B1DAA"/>
    <w:rsid w:val="007B1FE0"/>
    <w:rsid w:val="007B251E"/>
    <w:rsid w:val="007B42FF"/>
    <w:rsid w:val="007B4E3B"/>
    <w:rsid w:val="007C1421"/>
    <w:rsid w:val="007C5628"/>
    <w:rsid w:val="007C6F66"/>
    <w:rsid w:val="007D331F"/>
    <w:rsid w:val="007E688D"/>
    <w:rsid w:val="007E6F18"/>
    <w:rsid w:val="007F24A7"/>
    <w:rsid w:val="00802B2C"/>
    <w:rsid w:val="008039DE"/>
    <w:rsid w:val="00807168"/>
    <w:rsid w:val="00807825"/>
    <w:rsid w:val="00811AB4"/>
    <w:rsid w:val="008121DA"/>
    <w:rsid w:val="00816C37"/>
    <w:rsid w:val="00823467"/>
    <w:rsid w:val="008260A4"/>
    <w:rsid w:val="00826F95"/>
    <w:rsid w:val="00844DC8"/>
    <w:rsid w:val="00847B1A"/>
    <w:rsid w:val="00851354"/>
    <w:rsid w:val="0085270B"/>
    <w:rsid w:val="00854E6F"/>
    <w:rsid w:val="00855C4D"/>
    <w:rsid w:val="00862892"/>
    <w:rsid w:val="0086293F"/>
    <w:rsid w:val="008650F5"/>
    <w:rsid w:val="00865D1F"/>
    <w:rsid w:val="008670DB"/>
    <w:rsid w:val="00867F65"/>
    <w:rsid w:val="008717B8"/>
    <w:rsid w:val="008739BB"/>
    <w:rsid w:val="00873A9B"/>
    <w:rsid w:val="00874736"/>
    <w:rsid w:val="00877226"/>
    <w:rsid w:val="00877C4D"/>
    <w:rsid w:val="008828A3"/>
    <w:rsid w:val="00882A41"/>
    <w:rsid w:val="00890C6B"/>
    <w:rsid w:val="00891708"/>
    <w:rsid w:val="008A539A"/>
    <w:rsid w:val="008A6C9C"/>
    <w:rsid w:val="008B2260"/>
    <w:rsid w:val="008B7102"/>
    <w:rsid w:val="008C1572"/>
    <w:rsid w:val="008C1DED"/>
    <w:rsid w:val="008C5A0E"/>
    <w:rsid w:val="008C73C5"/>
    <w:rsid w:val="008D0C49"/>
    <w:rsid w:val="008D5D0C"/>
    <w:rsid w:val="008E0CD5"/>
    <w:rsid w:val="008E5777"/>
    <w:rsid w:val="008E6CB3"/>
    <w:rsid w:val="008E721F"/>
    <w:rsid w:val="008E787D"/>
    <w:rsid w:val="008F125B"/>
    <w:rsid w:val="008F1E54"/>
    <w:rsid w:val="008F221C"/>
    <w:rsid w:val="008F3904"/>
    <w:rsid w:val="008F491C"/>
    <w:rsid w:val="008F5A77"/>
    <w:rsid w:val="008F7893"/>
    <w:rsid w:val="00902698"/>
    <w:rsid w:val="00903B5A"/>
    <w:rsid w:val="0090506A"/>
    <w:rsid w:val="009069FD"/>
    <w:rsid w:val="00911D3B"/>
    <w:rsid w:val="0092504E"/>
    <w:rsid w:val="00932D0E"/>
    <w:rsid w:val="009426BE"/>
    <w:rsid w:val="00945C5E"/>
    <w:rsid w:val="00953049"/>
    <w:rsid w:val="009530E2"/>
    <w:rsid w:val="00954A02"/>
    <w:rsid w:val="009601DA"/>
    <w:rsid w:val="00960DB2"/>
    <w:rsid w:val="00967A04"/>
    <w:rsid w:val="00967A14"/>
    <w:rsid w:val="009713F7"/>
    <w:rsid w:val="009717B2"/>
    <w:rsid w:val="009723EE"/>
    <w:rsid w:val="00975036"/>
    <w:rsid w:val="00982F08"/>
    <w:rsid w:val="009841BD"/>
    <w:rsid w:val="00984753"/>
    <w:rsid w:val="0098490E"/>
    <w:rsid w:val="0098698E"/>
    <w:rsid w:val="00986DED"/>
    <w:rsid w:val="0099288D"/>
    <w:rsid w:val="00994F11"/>
    <w:rsid w:val="009A23DC"/>
    <w:rsid w:val="009A74D8"/>
    <w:rsid w:val="009A76E6"/>
    <w:rsid w:val="009B1159"/>
    <w:rsid w:val="009B286D"/>
    <w:rsid w:val="009B31A4"/>
    <w:rsid w:val="009B380F"/>
    <w:rsid w:val="009B4A07"/>
    <w:rsid w:val="009B5262"/>
    <w:rsid w:val="009C1195"/>
    <w:rsid w:val="009C1A32"/>
    <w:rsid w:val="009D1F72"/>
    <w:rsid w:val="009D2497"/>
    <w:rsid w:val="009D70B8"/>
    <w:rsid w:val="009E6AC2"/>
    <w:rsid w:val="009F0E96"/>
    <w:rsid w:val="009F1DD0"/>
    <w:rsid w:val="009F258D"/>
    <w:rsid w:val="009F529C"/>
    <w:rsid w:val="009F6166"/>
    <w:rsid w:val="00A007DC"/>
    <w:rsid w:val="00A01000"/>
    <w:rsid w:val="00A13566"/>
    <w:rsid w:val="00A17AAE"/>
    <w:rsid w:val="00A23E3F"/>
    <w:rsid w:val="00A2762A"/>
    <w:rsid w:val="00A31AAA"/>
    <w:rsid w:val="00A36BAA"/>
    <w:rsid w:val="00A43551"/>
    <w:rsid w:val="00A45912"/>
    <w:rsid w:val="00A505BD"/>
    <w:rsid w:val="00A5210E"/>
    <w:rsid w:val="00A5580E"/>
    <w:rsid w:val="00A619A3"/>
    <w:rsid w:val="00A675A3"/>
    <w:rsid w:val="00A71A30"/>
    <w:rsid w:val="00A72D7F"/>
    <w:rsid w:val="00A75DA8"/>
    <w:rsid w:val="00A76116"/>
    <w:rsid w:val="00A81275"/>
    <w:rsid w:val="00A856CF"/>
    <w:rsid w:val="00A86BD4"/>
    <w:rsid w:val="00A86C54"/>
    <w:rsid w:val="00A87A86"/>
    <w:rsid w:val="00A9066A"/>
    <w:rsid w:val="00A926CF"/>
    <w:rsid w:val="00A97C51"/>
    <w:rsid w:val="00AA122E"/>
    <w:rsid w:val="00AA21D5"/>
    <w:rsid w:val="00AA4046"/>
    <w:rsid w:val="00AA7DE9"/>
    <w:rsid w:val="00AB4510"/>
    <w:rsid w:val="00AB5513"/>
    <w:rsid w:val="00AB5BF9"/>
    <w:rsid w:val="00AC29DC"/>
    <w:rsid w:val="00AC3694"/>
    <w:rsid w:val="00AC5436"/>
    <w:rsid w:val="00AD13E1"/>
    <w:rsid w:val="00AD3855"/>
    <w:rsid w:val="00AD3D68"/>
    <w:rsid w:val="00AD40A2"/>
    <w:rsid w:val="00AE3E29"/>
    <w:rsid w:val="00AE6EAF"/>
    <w:rsid w:val="00AE7F1D"/>
    <w:rsid w:val="00B00B34"/>
    <w:rsid w:val="00B00FA8"/>
    <w:rsid w:val="00B01D89"/>
    <w:rsid w:val="00B02FC8"/>
    <w:rsid w:val="00B0385B"/>
    <w:rsid w:val="00B03D5E"/>
    <w:rsid w:val="00B05EE1"/>
    <w:rsid w:val="00B06B77"/>
    <w:rsid w:val="00B12825"/>
    <w:rsid w:val="00B12A2D"/>
    <w:rsid w:val="00B14C37"/>
    <w:rsid w:val="00B15FC5"/>
    <w:rsid w:val="00B16D98"/>
    <w:rsid w:val="00B17736"/>
    <w:rsid w:val="00B25BD3"/>
    <w:rsid w:val="00B266EA"/>
    <w:rsid w:val="00B344AD"/>
    <w:rsid w:val="00B34758"/>
    <w:rsid w:val="00B3658B"/>
    <w:rsid w:val="00B42127"/>
    <w:rsid w:val="00B43DCE"/>
    <w:rsid w:val="00B506D8"/>
    <w:rsid w:val="00B51110"/>
    <w:rsid w:val="00B52E1D"/>
    <w:rsid w:val="00B566A7"/>
    <w:rsid w:val="00B5764F"/>
    <w:rsid w:val="00B62167"/>
    <w:rsid w:val="00B665A7"/>
    <w:rsid w:val="00B72C83"/>
    <w:rsid w:val="00B777C5"/>
    <w:rsid w:val="00B819B1"/>
    <w:rsid w:val="00B8790F"/>
    <w:rsid w:val="00B902BB"/>
    <w:rsid w:val="00B94221"/>
    <w:rsid w:val="00B9430A"/>
    <w:rsid w:val="00B96D2E"/>
    <w:rsid w:val="00BA17A5"/>
    <w:rsid w:val="00BA4149"/>
    <w:rsid w:val="00BA6288"/>
    <w:rsid w:val="00BB5614"/>
    <w:rsid w:val="00BB7404"/>
    <w:rsid w:val="00BD36DF"/>
    <w:rsid w:val="00BE2161"/>
    <w:rsid w:val="00BE2CAA"/>
    <w:rsid w:val="00BE3407"/>
    <w:rsid w:val="00BE7C02"/>
    <w:rsid w:val="00BF015C"/>
    <w:rsid w:val="00BF3262"/>
    <w:rsid w:val="00BF5AFF"/>
    <w:rsid w:val="00BF6DA7"/>
    <w:rsid w:val="00BF71D7"/>
    <w:rsid w:val="00C068CA"/>
    <w:rsid w:val="00C1479A"/>
    <w:rsid w:val="00C25E5D"/>
    <w:rsid w:val="00C274DB"/>
    <w:rsid w:val="00C30A41"/>
    <w:rsid w:val="00C32AC6"/>
    <w:rsid w:val="00C34225"/>
    <w:rsid w:val="00C35261"/>
    <w:rsid w:val="00C37835"/>
    <w:rsid w:val="00C42DD7"/>
    <w:rsid w:val="00C44624"/>
    <w:rsid w:val="00C46807"/>
    <w:rsid w:val="00C52374"/>
    <w:rsid w:val="00C52C76"/>
    <w:rsid w:val="00C55A3C"/>
    <w:rsid w:val="00C60208"/>
    <w:rsid w:val="00C634C7"/>
    <w:rsid w:val="00C67163"/>
    <w:rsid w:val="00C73A77"/>
    <w:rsid w:val="00C761C8"/>
    <w:rsid w:val="00C8007B"/>
    <w:rsid w:val="00C85A78"/>
    <w:rsid w:val="00C92549"/>
    <w:rsid w:val="00C92B37"/>
    <w:rsid w:val="00C96B13"/>
    <w:rsid w:val="00CA2749"/>
    <w:rsid w:val="00CA2B84"/>
    <w:rsid w:val="00CA682E"/>
    <w:rsid w:val="00CA6FEB"/>
    <w:rsid w:val="00CB0952"/>
    <w:rsid w:val="00CB3D89"/>
    <w:rsid w:val="00CB55FC"/>
    <w:rsid w:val="00CB6629"/>
    <w:rsid w:val="00CB7218"/>
    <w:rsid w:val="00CC27B3"/>
    <w:rsid w:val="00CC6297"/>
    <w:rsid w:val="00CD4E68"/>
    <w:rsid w:val="00CD5FBF"/>
    <w:rsid w:val="00CD7394"/>
    <w:rsid w:val="00CE1708"/>
    <w:rsid w:val="00CE27D5"/>
    <w:rsid w:val="00CE2D15"/>
    <w:rsid w:val="00CE3450"/>
    <w:rsid w:val="00CE5C40"/>
    <w:rsid w:val="00CF6494"/>
    <w:rsid w:val="00D00E64"/>
    <w:rsid w:val="00D01A92"/>
    <w:rsid w:val="00D02127"/>
    <w:rsid w:val="00D0436E"/>
    <w:rsid w:val="00D06F7F"/>
    <w:rsid w:val="00D10333"/>
    <w:rsid w:val="00D1107D"/>
    <w:rsid w:val="00D147F9"/>
    <w:rsid w:val="00D2225C"/>
    <w:rsid w:val="00D22E1C"/>
    <w:rsid w:val="00D24212"/>
    <w:rsid w:val="00D253A6"/>
    <w:rsid w:val="00D25BD9"/>
    <w:rsid w:val="00D27239"/>
    <w:rsid w:val="00D330F4"/>
    <w:rsid w:val="00D36595"/>
    <w:rsid w:val="00D41825"/>
    <w:rsid w:val="00D41E59"/>
    <w:rsid w:val="00D42A6F"/>
    <w:rsid w:val="00D4452C"/>
    <w:rsid w:val="00D548BB"/>
    <w:rsid w:val="00D5548C"/>
    <w:rsid w:val="00D6131C"/>
    <w:rsid w:val="00D75D0E"/>
    <w:rsid w:val="00D843B6"/>
    <w:rsid w:val="00D92715"/>
    <w:rsid w:val="00D939B1"/>
    <w:rsid w:val="00DA026F"/>
    <w:rsid w:val="00DA465B"/>
    <w:rsid w:val="00DB06AA"/>
    <w:rsid w:val="00DB0D0A"/>
    <w:rsid w:val="00DB470D"/>
    <w:rsid w:val="00DC02DA"/>
    <w:rsid w:val="00DC25AB"/>
    <w:rsid w:val="00DC460F"/>
    <w:rsid w:val="00DC5B01"/>
    <w:rsid w:val="00DD0EC1"/>
    <w:rsid w:val="00DE3E1E"/>
    <w:rsid w:val="00DE4709"/>
    <w:rsid w:val="00DF0992"/>
    <w:rsid w:val="00DF0C2D"/>
    <w:rsid w:val="00DF3762"/>
    <w:rsid w:val="00DF4AD8"/>
    <w:rsid w:val="00DF4E28"/>
    <w:rsid w:val="00E0340D"/>
    <w:rsid w:val="00E047A9"/>
    <w:rsid w:val="00E05947"/>
    <w:rsid w:val="00E0670C"/>
    <w:rsid w:val="00E07773"/>
    <w:rsid w:val="00E100F9"/>
    <w:rsid w:val="00E11ABA"/>
    <w:rsid w:val="00E30D5C"/>
    <w:rsid w:val="00E33044"/>
    <w:rsid w:val="00E34A92"/>
    <w:rsid w:val="00E3718B"/>
    <w:rsid w:val="00E421FD"/>
    <w:rsid w:val="00E42F1D"/>
    <w:rsid w:val="00E43D7B"/>
    <w:rsid w:val="00E43E19"/>
    <w:rsid w:val="00E47BA0"/>
    <w:rsid w:val="00E51707"/>
    <w:rsid w:val="00E5280D"/>
    <w:rsid w:val="00E53E2F"/>
    <w:rsid w:val="00E629A7"/>
    <w:rsid w:val="00E63618"/>
    <w:rsid w:val="00E662C2"/>
    <w:rsid w:val="00E7035D"/>
    <w:rsid w:val="00E73B50"/>
    <w:rsid w:val="00E77295"/>
    <w:rsid w:val="00E80B91"/>
    <w:rsid w:val="00E81CF6"/>
    <w:rsid w:val="00E82C4B"/>
    <w:rsid w:val="00E919AA"/>
    <w:rsid w:val="00E93F40"/>
    <w:rsid w:val="00E9658F"/>
    <w:rsid w:val="00E97123"/>
    <w:rsid w:val="00E976D8"/>
    <w:rsid w:val="00EA6B02"/>
    <w:rsid w:val="00EA7ABB"/>
    <w:rsid w:val="00EB3D47"/>
    <w:rsid w:val="00EB41AF"/>
    <w:rsid w:val="00EC0704"/>
    <w:rsid w:val="00EC09E2"/>
    <w:rsid w:val="00EC3013"/>
    <w:rsid w:val="00EC5EC8"/>
    <w:rsid w:val="00ED1166"/>
    <w:rsid w:val="00ED2B82"/>
    <w:rsid w:val="00ED4102"/>
    <w:rsid w:val="00EE161C"/>
    <w:rsid w:val="00EE273D"/>
    <w:rsid w:val="00EE5672"/>
    <w:rsid w:val="00EE6F64"/>
    <w:rsid w:val="00EF6CEF"/>
    <w:rsid w:val="00F01115"/>
    <w:rsid w:val="00F066DE"/>
    <w:rsid w:val="00F079C4"/>
    <w:rsid w:val="00F11D1F"/>
    <w:rsid w:val="00F25E62"/>
    <w:rsid w:val="00F27C86"/>
    <w:rsid w:val="00F311EB"/>
    <w:rsid w:val="00F32C09"/>
    <w:rsid w:val="00F52365"/>
    <w:rsid w:val="00F56416"/>
    <w:rsid w:val="00F57DB1"/>
    <w:rsid w:val="00F65378"/>
    <w:rsid w:val="00F70773"/>
    <w:rsid w:val="00F75584"/>
    <w:rsid w:val="00F814BD"/>
    <w:rsid w:val="00F86FC6"/>
    <w:rsid w:val="00F87858"/>
    <w:rsid w:val="00F87D79"/>
    <w:rsid w:val="00F91ABA"/>
    <w:rsid w:val="00F9571D"/>
    <w:rsid w:val="00FA3938"/>
    <w:rsid w:val="00FA46F8"/>
    <w:rsid w:val="00FA5D6D"/>
    <w:rsid w:val="00FA6900"/>
    <w:rsid w:val="00FA7E75"/>
    <w:rsid w:val="00FC22ED"/>
    <w:rsid w:val="00FD26D5"/>
    <w:rsid w:val="00FD5982"/>
    <w:rsid w:val="00FE0C32"/>
    <w:rsid w:val="00FE36DF"/>
    <w:rsid w:val="00FE37FA"/>
    <w:rsid w:val="00FE46CE"/>
    <w:rsid w:val="00FE52C9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56EFF5"/>
  <w15:docId w15:val="{A0B29E43-8FF7-43FB-8049-7C8169D9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C5E"/>
    <w:pPr>
      <w:spacing w:after="120"/>
      <w:ind w:firstLine="709"/>
      <w:jc w:val="both"/>
    </w:pPr>
    <w:rPr>
      <w:rFonts w:eastAsia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66E95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335091"/>
    <w:pPr>
      <w:ind w:left="720" w:hanging="720"/>
    </w:pPr>
    <w:rPr>
      <w:lang w:eastAsia="lv-LV"/>
    </w:rPr>
  </w:style>
  <w:style w:type="character" w:customStyle="1" w:styleId="cipariChar">
    <w:name w:val="cipari Char"/>
    <w:link w:val="cipari"/>
    <w:locked/>
    <w:rsid w:val="00335091"/>
    <w:rPr>
      <w:rFonts w:eastAsia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rsid w:val="00091F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91F1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91F10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072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0727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237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52374"/>
    <w:rPr>
      <w:rFonts w:cs="Times New Roman"/>
      <w:vertAlign w:val="superscript"/>
    </w:rPr>
  </w:style>
  <w:style w:type="paragraph" w:customStyle="1" w:styleId="paraksti">
    <w:name w:val="paraksti"/>
    <w:basedOn w:val="Normal"/>
    <w:qFormat/>
    <w:rsid w:val="00CC27B3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C34225"/>
    <w:pPr>
      <w:widowControl w:val="0"/>
      <w:spacing w:before="240"/>
      <w:ind w:firstLine="0"/>
      <w:jc w:val="center"/>
    </w:pPr>
    <w:rPr>
      <w:b/>
    </w:rPr>
  </w:style>
  <w:style w:type="paragraph" w:customStyle="1" w:styleId="tabteksts">
    <w:name w:val="tab_teksts"/>
    <w:basedOn w:val="Normal"/>
    <w:qFormat/>
    <w:rsid w:val="00066E95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66E95"/>
    <w:pPr>
      <w:ind w:firstLine="0"/>
      <w:jc w:val="center"/>
    </w:pPr>
  </w:style>
  <w:style w:type="paragraph" w:customStyle="1" w:styleId="cipariiturp">
    <w:name w:val="ciparii_turp"/>
    <w:basedOn w:val="cipari"/>
    <w:qFormat/>
    <w:rsid w:val="00066E95"/>
    <w:pPr>
      <w:ind w:left="709" w:firstLine="0"/>
    </w:pPr>
  </w:style>
  <w:style w:type="paragraph" w:customStyle="1" w:styleId="funkcijas">
    <w:name w:val="funkcijas"/>
    <w:basedOn w:val="Normal"/>
    <w:qFormat/>
    <w:rsid w:val="00066E95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066E95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/>
      <w:b/>
      <w:sz w:val="44"/>
      <w:szCs w:val="20"/>
      <w:lang w:eastAsia="en-US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/>
      <w:b/>
      <w:sz w:val="36"/>
      <w:szCs w:val="20"/>
      <w:lang w:eastAsia="en-US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/>
      <w:b/>
      <w:sz w:val="32"/>
      <w:szCs w:val="20"/>
      <w:lang w:eastAsia="en-US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/>
      <w:b/>
      <w:sz w:val="28"/>
      <w:szCs w:val="20"/>
      <w:lang w:eastAsia="en-US"/>
    </w:rPr>
  </w:style>
  <w:style w:type="paragraph" w:customStyle="1" w:styleId="izdevumi">
    <w:name w:val="izdevumi"/>
    <w:basedOn w:val="Normal"/>
    <w:qFormat/>
    <w:rsid w:val="00066E95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basedOn w:val="Normal"/>
    <w:uiPriority w:val="99"/>
    <w:rsid w:val="00B0385B"/>
    <w:pPr>
      <w:keepNext/>
      <w:ind w:firstLine="0"/>
      <w:jc w:val="center"/>
    </w:pPr>
    <w:rPr>
      <w:b/>
      <w:i/>
    </w:rPr>
  </w:style>
  <w:style w:type="paragraph" w:customStyle="1" w:styleId="Z">
    <w:name w:val="Z"/>
    <w:basedOn w:val="T"/>
    <w:uiPriority w:val="99"/>
    <w:rsid w:val="00B0385B"/>
    <w:pPr>
      <w:keepNext w:val="0"/>
    </w:pPr>
  </w:style>
  <w:style w:type="table" w:customStyle="1" w:styleId="Reatabula1">
    <w:name w:val="Režģa tabula1"/>
    <w:basedOn w:val="TableNormal"/>
    <w:next w:val="TableGrid"/>
    <w:uiPriority w:val="59"/>
    <w:rsid w:val="00807825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0B1C41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4507B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A2749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locked/>
    <w:rsid w:val="005D45D4"/>
    <w:pPr>
      <w:spacing w:after="0"/>
      <w:ind w:firstLine="0"/>
      <w:jc w:val="center"/>
    </w:pPr>
    <w:rPr>
      <w:rFonts w:ascii="Arial" w:hAnsi="Arial" w:cs="Arial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5D45D4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527F6E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apple-converted-space">
    <w:name w:val="apple-converted-space"/>
    <w:basedOn w:val="DefaultParagraphFont"/>
    <w:rsid w:val="00527F6E"/>
  </w:style>
  <w:style w:type="paragraph" w:customStyle="1" w:styleId="Default">
    <w:name w:val="Default"/>
    <w:rsid w:val="00E73B5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aiskr">
    <w:name w:val="naiskr"/>
    <w:basedOn w:val="Normal"/>
    <w:uiPriority w:val="99"/>
    <w:rsid w:val="007A3F79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styleId="NormalWeb">
    <w:name w:val="Normal (Web)"/>
    <w:basedOn w:val="Normal"/>
    <w:uiPriority w:val="99"/>
    <w:unhideWhenUsed/>
    <w:rsid w:val="007A3F79"/>
    <w:pPr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lv-LV"/>
    </w:rPr>
  </w:style>
  <w:style w:type="table" w:customStyle="1" w:styleId="TableGrid4">
    <w:name w:val="Table Grid4"/>
    <w:basedOn w:val="TableNormal"/>
    <w:next w:val="TableGrid"/>
    <w:uiPriority w:val="39"/>
    <w:rsid w:val="003D00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2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50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24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024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0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5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254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025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02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2988453358762185E-2"/>
          <c:y val="2.9071685115151551E-2"/>
          <c:w val="0.90701154664123784"/>
          <c:h val="0.71648755307011802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paraugi!$A$5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554-4B99-BC91-EF0B1AE50581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554-4B99-BC91-EF0B1AE5058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paraugi!$B$3:$F$3</c:f>
              <c:strCache>
                <c:ptCount val="5"/>
                <c:pt idx="0">
                  <c:v>2020. gads
(izpilde)</c:v>
                </c:pt>
                <c:pt idx="1">
                  <c:v>2021. gads
plāns</c:v>
                </c:pt>
                <c:pt idx="2">
                  <c:v>2022. gads
projekts</c:v>
                </c:pt>
                <c:pt idx="3">
                  <c:v>2023. gads
prognoze</c:v>
                </c:pt>
                <c:pt idx="4">
                  <c:v>2024. gads
prognoze</c:v>
                </c:pt>
              </c:strCache>
            </c:strRef>
          </c:cat>
          <c:val>
            <c:numRef>
              <c:f>paraugi!$B$5:$F$5</c:f>
              <c:numCache>
                <c:formatCode>#,##0</c:formatCode>
                <c:ptCount val="5"/>
                <c:pt idx="0">
                  <c:v>34357697</c:v>
                </c:pt>
                <c:pt idx="1">
                  <c:v>38465679</c:v>
                </c:pt>
                <c:pt idx="2">
                  <c:v>40325638</c:v>
                </c:pt>
                <c:pt idx="3">
                  <c:v>41007210</c:v>
                </c:pt>
                <c:pt idx="4">
                  <c:v>41237470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554-4B99-BC91-EF0B1AE50581}"/>
            </c:ext>
          </c:extLst>
        </c:ser>
        <c:ser>
          <c:idx val="2"/>
          <c:order val="1"/>
          <c:tx>
            <c:strRef>
              <c:f>paraugi!$A$6</c:f>
              <c:strCache>
                <c:ptCount val="1"/>
                <c:pt idx="0">
                  <c:v>ES politiku instrumentu un pārējās ĀFP līdzfinansēto un finansēto projektu un pasākumu īstenošana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-1.8454439258956737E-3"/>
                  <c:y val="-2.292263380460771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54-4B99-BC91-EF0B1AE50581}"/>
                </c:ext>
              </c:extLst>
            </c:dLbl>
            <c:dLbl>
              <c:idx val="1"/>
              <c:layout>
                <c:manualLayout>
                  <c:x val="0"/>
                  <c:y val="-2.328974643935274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554-4B99-BC91-EF0B1AE50581}"/>
                </c:ext>
              </c:extLst>
            </c:dLbl>
            <c:dLbl>
              <c:idx val="2"/>
              <c:layout>
                <c:manualLayout>
                  <c:x val="-5.5363766333310126E-3"/>
                  <c:y val="-1.4872683076016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554-4B99-BC91-EF0B1AE5058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554-4B99-BC91-EF0B1AE50581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554-4B99-BC91-EF0B1AE5058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paraugi!$B$3:$F$3</c:f>
              <c:strCache>
                <c:ptCount val="5"/>
                <c:pt idx="0">
                  <c:v>2020. gads
(izpilde)</c:v>
                </c:pt>
                <c:pt idx="1">
                  <c:v>2021. gads
plāns</c:v>
                </c:pt>
                <c:pt idx="2">
                  <c:v>2022. gads
projekts</c:v>
                </c:pt>
                <c:pt idx="3">
                  <c:v>2023. gads
prognoze</c:v>
                </c:pt>
                <c:pt idx="4">
                  <c:v>2024. gads
prognoze</c:v>
                </c:pt>
              </c:strCache>
            </c:strRef>
          </c:cat>
          <c:val>
            <c:numRef>
              <c:f>paraugi!$B$6:$F$6</c:f>
              <c:numCache>
                <c:formatCode>#,##0</c:formatCode>
                <c:ptCount val="5"/>
                <c:pt idx="0">
                  <c:v>292762</c:v>
                </c:pt>
                <c:pt idx="1">
                  <c:v>2776</c:v>
                </c:pt>
                <c:pt idx="2">
                  <c:v>83930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554-4B99-BC91-EF0B1AE505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overlap val="100"/>
        <c:axId val="132707496"/>
        <c:axId val="204068600"/>
        <c:extLst/>
      </c:barChart>
      <c:catAx>
        <c:axId val="132707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4068600"/>
        <c:crosses val="autoZero"/>
        <c:auto val="1"/>
        <c:lblAlgn val="ctr"/>
        <c:lblOffset val="100"/>
        <c:noMultiLvlLbl val="0"/>
      </c:catAx>
      <c:valAx>
        <c:axId val="204068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32707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DFB8FFAF-9415-4F50-9A94-32DA1B13243C}">
      <dgm:prSet phldrT="[Text]" custT="1"/>
      <dgm:spPr>
        <a:xfrm>
          <a:off x="799382" y="97"/>
          <a:ext cx="3344709" cy="1028505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lv-LV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Likumības ievērošanas uzraudzība Prokuratūras likumā noteiktās kompetences ietvaros un reaģēšana uz likuma pārkāpumu un ar to saistītās lietas izlemšana likumā noteiktajā kārtībā</a:t>
          </a:r>
        </a:p>
      </dgm:t>
    </dgm:pt>
    <dgm:pt modelId="{1D465977-C32D-4447-9C50-EC1AC18FD3C1}" type="parTrans" cxnId="{739E1F01-839E-4C4D-A9D5-37810EC8CF41}">
      <dgm:prSet/>
      <dgm:spPr/>
      <dgm:t>
        <a:bodyPr/>
        <a:lstStyle/>
        <a:p>
          <a:endParaRPr lang="en-US"/>
        </a:p>
      </dgm:t>
    </dgm:pt>
    <dgm:pt modelId="{F3C9FAF8-5295-4733-B8CF-730BC9A4F4D1}" type="sibTrans" cxnId="{739E1F01-839E-4C4D-A9D5-37810EC8CF41}">
      <dgm:prSet/>
      <dgm:spPr/>
      <dgm:t>
        <a:bodyPr/>
        <a:lstStyle/>
        <a:p>
          <a:endParaRPr lang="en-US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DA01B86E-E122-43C9-B7DD-3C1BE2071788}" type="pres">
      <dgm:prSet presAssocID="{DFB8FFAF-9415-4F50-9A94-32DA1B13243C}" presName="node" presStyleLbl="node1" presStyleIdx="0" presStyleCnt="1" custScaleX="68259" custScaleY="34983" custLinFactNeighborX="-193" custLinFactNeighborY="-1">
        <dgm:presLayoutVars>
          <dgm:bulletEnabled val="1"/>
        </dgm:presLayoutVars>
      </dgm:prSet>
      <dgm:spPr/>
    </dgm:pt>
  </dgm:ptLst>
  <dgm:cxnLst>
    <dgm:cxn modelId="{739E1F01-839E-4C4D-A9D5-37810EC8CF41}" srcId="{306E2546-2846-449E-BACA-6E538AEB741C}" destId="{DFB8FFAF-9415-4F50-9A94-32DA1B13243C}" srcOrd="0" destOrd="0" parTransId="{1D465977-C32D-4447-9C50-EC1AC18FD3C1}" sibTransId="{F3C9FAF8-5295-4733-B8CF-730BC9A4F4D1}"/>
    <dgm:cxn modelId="{B63AD882-1137-40C8-BF2C-183697CB0370}" type="presOf" srcId="{306E2546-2846-449E-BACA-6E538AEB741C}" destId="{742CD35E-24E8-4AF8-8ED4-3DD4C1D57ACF}" srcOrd="0" destOrd="0" presId="urn:microsoft.com/office/officeart/2005/8/layout/default"/>
    <dgm:cxn modelId="{F97FAEA2-A69C-4B36-A3DB-3FA703BCA57F}" type="presOf" srcId="{DFB8FFAF-9415-4F50-9A94-32DA1B13243C}" destId="{DA01B86E-E122-43C9-B7DD-3C1BE2071788}" srcOrd="0" destOrd="0" presId="urn:microsoft.com/office/officeart/2005/8/layout/default"/>
    <dgm:cxn modelId="{5C5E4F20-274D-4DAC-B192-6BB892273D53}" type="presParOf" srcId="{742CD35E-24E8-4AF8-8ED4-3DD4C1D57ACF}" destId="{DA01B86E-E122-43C9-B7DD-3C1BE2071788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01B86E-E122-43C9-B7DD-3C1BE2071788}">
      <dsp:nvSpPr>
        <dsp:cNvPr id="0" name=""/>
        <dsp:cNvSpPr/>
      </dsp:nvSpPr>
      <dsp:spPr>
        <a:xfrm>
          <a:off x="895642" y="120"/>
          <a:ext cx="3096578" cy="952205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Likumības ievērošanas uzraudzība Prokuratūras likumā noteiktās kompetences ietvaros un reaģēšana uz likuma pārkāpumu un ar to saistītās lietas izlemšana likumā noteiktajā kārtībā</a:t>
          </a:r>
        </a:p>
      </dsp:txBody>
      <dsp:txXfrm>
        <a:off x="895642" y="120"/>
        <a:ext cx="3096578" cy="9522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0.30592</cdr:x>
      <cdr:y>0.01701</cdr:y>
    </cdr:from>
    <cdr:to>
      <cdr:x>0.44081</cdr:x>
      <cdr:y>0.08525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765816" y="53946"/>
          <a:ext cx="778605" cy="216445"/>
        </a:xfrm>
        <a:prstGeom xmlns:a="http://schemas.openxmlformats.org/drawingml/2006/main" prst="rect">
          <a:avLst/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38 468 455</a:t>
          </a:r>
        </a:p>
      </cdr:txBody>
    </cdr:sp>
  </cdr:relSizeAnchor>
  <cdr:relSizeAnchor xmlns:cdr="http://schemas.openxmlformats.org/drawingml/2006/chartDrawing">
    <cdr:from>
      <cdr:x>0.48627</cdr:x>
      <cdr:y>0.00302</cdr:y>
    </cdr:from>
    <cdr:to>
      <cdr:x>0.62264</cdr:x>
      <cdr:y>0.06641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806810" y="9579"/>
          <a:ext cx="787179" cy="201062"/>
        </a:xfrm>
        <a:prstGeom xmlns:a="http://schemas.openxmlformats.org/drawingml/2006/main" prst="rect">
          <a:avLst/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40 409  568</a:t>
          </a:r>
        </a:p>
      </cdr:txBody>
    </cdr:sp>
  </cdr:relSizeAnchor>
  <cdr:relSizeAnchor xmlns:cdr="http://schemas.openxmlformats.org/drawingml/2006/chartDrawing">
    <cdr:from>
      <cdr:x>0.66476</cdr:x>
      <cdr:y>0.01024</cdr:y>
    </cdr:from>
    <cdr:to>
      <cdr:x>0.7987</cdr:x>
      <cdr:y>0.08151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829050" y="32320"/>
          <a:ext cx="771525" cy="224855"/>
        </a:xfrm>
        <a:prstGeom xmlns:a="http://schemas.openxmlformats.org/drawingml/2006/main" prst="rect">
          <a:avLst/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41 007 210</a:t>
          </a:r>
        </a:p>
      </cdr:txBody>
    </cdr:sp>
  </cdr:relSizeAnchor>
  <cdr:relSizeAnchor xmlns:cdr="http://schemas.openxmlformats.org/drawingml/2006/chartDrawing">
    <cdr:from>
      <cdr:x>0.84167</cdr:x>
      <cdr:y>0.01326</cdr:y>
    </cdr:from>
    <cdr:to>
      <cdr:x>0.97529</cdr:x>
      <cdr:y>0.07849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4858246" y="42058"/>
          <a:ext cx="771277" cy="206899"/>
        </a:xfrm>
        <a:prstGeom xmlns:a="http://schemas.openxmlformats.org/drawingml/2006/main" prst="rect">
          <a:avLst/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41 237 470</a:t>
          </a:r>
        </a:p>
      </cdr:txBody>
    </cdr:sp>
  </cdr:relSizeAnchor>
  <cdr:relSizeAnchor xmlns:cdr="http://schemas.openxmlformats.org/drawingml/2006/chartDrawing">
    <cdr:from>
      <cdr:x>0.12568</cdr:x>
      <cdr:y>0.06156</cdr:y>
    </cdr:from>
    <cdr:to>
      <cdr:x>0.25962</cdr:x>
      <cdr:y>0.13584</cdr:y>
    </cdr:to>
    <cdr:sp macro="" textlink="">
      <cdr:nvSpPr>
        <cdr:cNvPr id="6" name="TextBox 1"/>
        <cdr:cNvSpPr txBox="1"/>
      </cdr:nvSpPr>
      <cdr:spPr>
        <a:xfrm xmlns:a="http://schemas.openxmlformats.org/drawingml/2006/main">
          <a:off x="723900" y="194245"/>
          <a:ext cx="771525" cy="234380"/>
        </a:xfrm>
        <a:prstGeom xmlns:a="http://schemas.openxmlformats.org/drawingml/2006/main" prst="rect">
          <a:avLst/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34 650 459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BD6B2-D9B9-4FE2-BF28-B1F180A4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6</Pages>
  <Words>1864</Words>
  <Characters>11572</Characters>
  <Application>Microsoft Office Word</Application>
  <DocSecurity>0</DocSecurity>
  <Lines>96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2022.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13410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2022. gadam" paskaidrojumi, 5.3.nodaļa Izdevumu politikas virzienu un izdevumu atbilstoši funkcionālajām un ekonomiskajām kategorijām kopsavilkums</dc:title>
  <dc:subject>paskaidrojuma raksts</dc:subject>
  <dc:creator>edgars.vigups@fm.gov.lv</dc:creator>
  <dc:description>67095676,
edgars.vigups@fm.gov.lv</dc:description>
  <cp:lastModifiedBy>Dace Godiņa</cp:lastModifiedBy>
  <cp:revision>62</cp:revision>
  <cp:lastPrinted>2019-10-09T11:09:00Z</cp:lastPrinted>
  <dcterms:created xsi:type="dcterms:W3CDTF">2019-05-08T08:06:00Z</dcterms:created>
  <dcterms:modified xsi:type="dcterms:W3CDTF">2021-10-10T07:53:00Z</dcterms:modified>
</cp:coreProperties>
</file>