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21. novembra noteikumos Nr. 715 "</w:t>
      </w:r>
      <w:r w:rsidR="00000000" w:rsidRPr="00000000" w:rsidDel="00000000">
        <w:rPr>
          <w:i w:val="1"/>
          <w:rtl w:val="0"/>
        </w:rPr>
        <w:t xml:space="preserve">De minimis</w:t>
      </w:r>
      <w:r w:rsidR="00000000" w:rsidRPr="00000000" w:rsidDel="00000000">
        <w:rPr>
          <w:rtl w:val="0"/>
        </w:rPr>
        <w:t xml:space="preserve"> atbalsta uzskaites un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izstrādes pamatojumu un veikt nepieciešamos precizējumus anotācijas 1.1. apakšsadaļā. Vēršam uzmanību, ka no apraksta saprotams, ka noteikumu projekta izstrāde saistīta ar regulu 2024/3118, nevis ministrijas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Ministru kabineta 2018. gada 21. novembra noteikumos Nr. 715 "De minimis atbalsta uzskaites un piešķiršanas kārtība"(turpmāk - noteikumi Nr. 715) plānoti tehniski grozījumi. Ministru kabineta 2009. gada 3. februāra noteikumu Nr.108 "Normatīvo aktu projektu sagatavošanas noteikumi" 3.1. apakšpunkts noteic, ka grozījumus normatīvajā aktā sagatavo, ja normatīvo aktu nepieciešams grozīt pēc būtības. Savukārt redakcionālus, tehniskus precizējumus sagatavo vienlaikus ar normatīvā akta grozījumiem pēc būtības. Minētā norma ieviesta, lai mazinātu normatīvo aktu grozīšanas biežumu. Attiecīgi anotācijā, uzsverot grozījumu tehnisko raksturu, secināms, ka noteikumu projekts nemaina regulējumu pēc būtības. Līdz ar to, lūdzam virzīt paredzētos tehniskos grozījumus vienlaicīgi ar grozījumiem pēc būtības vai arī precizēt anotāciju, precizējot grozījumu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anotācijas 1.3. apakšsadaļas problēmas aprakstā pilnībā skaidrot regulas 1408/2013 grozījumus, kuri ietekmē noteikumus Nr. 715. Piemēram, atsaucoties uz, ar regulas 2024/3118 1. panta 5. punktu, grozīto regulas 1408/2013 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norādot tajā precīzu un atbilstošu informāciju par noteikumu projekta atbilstību Eiropas Savienības tiesību aktiem.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ieviestās Eiropas Savienības tiesību normas, piemēram,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regula 717/2014) 3. panta 2.a punkts paredz dalībvalstīm rīcības brīvību, bet tas netiek skaidrota anotācijas 5.4. apakšsadaļas 1. tabulā. Attiecīgi lūdzam skaidrot, kā ir izmantota regulā paredzētā rīcības brīvība dalībvalstij pārņemt vai ieviest noteiktas regulas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717/2014 vienības grozītas ar citiem tiesību aktiem, piemēram, 3. panta 2.a punkts, ieviests ar Komisijas 2023. gada 4. oktobra Regulas (ES)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regulas 717/2014, 1. panta 3. punkta b) apakšpunktu u.tml. Attiecīgi iesakām ievērot līdzīgu pieeju tabulas aizpildīšanai, kā anotācijas 5.4. apakšsadaļas 1. tabulas Komisijas 2024. gada 10. decembra Regulas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2024/3118)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 2., 5. un 6. punktā nav vispārīgu atsauču uz regulu 717/2014 un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norādot uz ieviestajām regulas 2024/3118 tiesību normām, pie tabulas "A" kolonnas norādēm iekavās, iesakām ietvert konkrētu norādi uz to, ka ar to saprotamas regulas 1408/2013 tiesību normas, piemēram, "1. panta 3. punkts (grozītais regulas 1408/2013 3. panta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715 tiek grozīti, jo ar Komisijas regulu Nr. 2024/3118 tiek grozīta Nr. 1408/2013. Pārējie nosacījumi, kas attiecas uz citām noteikumu projektā minētajām regulām netiek grozīti.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24-TA-2859</w:t>
    </w:r>
    <w:r>
      <w:br/>
    </w:r>
    <w:r w:rsidR="00000000" w:rsidRPr="00000000" w:rsidDel="00000000">
      <w:rPr>
        <w:rtl w:val="0"/>
      </w:rPr>
      <w:t xml:space="preserve">03.02.2025. 17.34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24-TA-2859</w:t>
    </w:r>
    <w:r>
      <w:br/>
    </w:r>
    <w:r w:rsidR="00000000" w:rsidRPr="00000000" w:rsidDel="00000000">
      <w:rPr>
        <w:rtl w:val="0"/>
      </w:rPr>
      <w:t xml:space="preserve">03.02.2025. 17.34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Izziņa_24-TA-2859.docx</dc:title>
</cp:coreProperties>
</file>

<file path=docProps/custom.xml><?xml version="1.0" encoding="utf-8"?>
<Properties xmlns="http://schemas.openxmlformats.org/officeDocument/2006/custom-properties" xmlns:vt="http://schemas.openxmlformats.org/officeDocument/2006/docPropsVTypes"/>
</file>