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5. jūlija noteikumos Nr. 541 "Bīstamo kravu aprites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(14.07.2011.)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03.07.2026. 16:42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aprites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Neatkarīgi no šā projekta turpmākās virzības nepieciešams visaptveroši un sistēmiski izvērtēt nozares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identificēta problēma: "Spēkā esošais regulējums attiecībā uz bīstamo kravu autopārvadājumu kontroles kārtību ir fragmentēts un daļēji dublējošs, jo prasības par kontroles veikšanu un tās dokumentēšanu ir ietvertas dažādos normatīvajos aktos. Tas rada neskaidrību par kompetento iestāžu funkciju sadalījumu un piemērojamo procedūru." Tomēr tas pats attiecas ne tikai uz kontroles jautājumiem, bet autopārvadājumiem, bīstamo kravu pārvadājumiem un citiem pārvadājumiem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grūti konstatējams, kādi sistēmiski kritēriji ir izmantoti, lai iekļautu regulējumu dažādos tiesību aktos. Pat bīstamo kravu regulējums (Ministru kabineta noteikumi) ir izdoti, piemēram, gan uz Autopārvadājumu likuma, gan Bīstamo kravu aprites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norobežots, kādi jautājumi ir regulēti likumos un kad ir pieļaujams noteikt pilnvarojumu Ministru kabinetam. Piemēram, korektīvo pasākumu veidi un tamlīdzīgi kontroles (uzraudzības) pamatjautājumi tipiski ir regulējami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šaubas, vai ir pienācīgi izvērtēta administratīvās atbildības nepieciešamība un pieļaujamība. Ja ir iespēja piemērot korektīvos pasākumus, tad šādos gadījumos pamatā administratīvā atbildība nav nedz vajadzīga, nedz pieļaujama. Tāpat viens un tas pats jautājums (tiesībpārkāpums) nebūtu risināms administratīvajā procesā un administratīvā pārkāpuma procesā. Projektā un tā anotācijā esošie skaidrojumi vedina domāt, ka šādas situācijas 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apzinās, ka šie jautājumi ir sarežģīti un to risinājumam nepieciešams salīdzinoši ilgs laiks. Tāpat, domājams, to risinājumi nav tieši saistīti ar šā projekta virzību. Tomēr tas nemazina konstatēto un citu iespējamo problēmu nopietnību un nepieciešamību tās novērst iespējami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tālākam darbam bīstamo kravu pārvadājumu normatīvā regulējuma uzlabošanā.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aprites kontroles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bīstamo kravu autopārvadājumu pārbaudes protokola saturs. Projekta anotācija saskaņojama ar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iekļautajā bīstamo kravu autopārvadājumu pārbaudes protokolā kā korektīvo pasākumu veids ir norādīts "aizrādījums". Savukārt attiecīgajā direktīvā un arī projekta anotācijā ir lietots apzīmējums "brīdinājums". Precīzi norādot (saglabājot) skaidrojumu, ka šajā gadījumā brīdinājums nav sods, protokolā kā korektīvā pasākuma veids norādāms brīdinājums.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anotācijas saturam ir jāatbilst projektam. Aicinām pārskatīt anotāciju un pielāgot to atbilstoši aktuālajai 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projekta anotācija ir ietverts oficiālā ziņojuma un brīdinājuma skaidrojums, tomēr nav argumentēti pamatots, kāpēc Eiropas Savienības līmenī tiem ir tieši šāda izpratne. Vēlams norādīt Eiropas Savienības tiesību aktus, to sagatavošanas dokumentus vai citus tiesību avotus, kas atklāj šo terminu izpratni. Tāpat varētu aplūkot direktīvas, proti, tieši korektīvo pasākumu regulējuma, transponēšanu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anotācijā norādīts: "Gadījumos, kad kontroles rezultātā konstatēto faktisko apstākļu kopums atbilst administratīvās atbildības piemērošanas priekšnoteikumiem, administratīvā pārkāpuma process tiek uzsākts un īstenots atsevišķi, ievērojot Administratīvās atbildības likumu un attiecīgo speciālo normatīvo regulējumu. Tādējādi tiek skaidri nodalīta kontroles funkcija no sodīšanas funkcijas." Jāievēro, ka, lai varētu uzsākt administratīvā pārkāpuma procesu, pietiek ar ziņām par iespējamu administratīvo pārkāpumu. Nav nepieciešams un pat nav pieļaujams pirms šā procesa konstatēt "administratīvās atbildības priekšnoteikumus". Līdz ar to pietiek, ja kontroles pasākumu laikā ir iegūtas ziņas par iespējamu administratīvo pārkāpumu (Administratīvās atbildības likuma 117.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bīstamo kravu autopārvadājumu pārbaudes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par tiesību akta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Aktuālā informācija par direktīvas 2025/1801 transponēšanu citās ES dalībvalstīs pieejama EUR-Lex tīmekļvietnē https://eur-lex.europa.eu/legal-content/LV/NIM/?uri=CELEX%3A32025L1801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08:37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ir norāde, ka Valsts kancelejas 2026. gada 26. maijā izteiktais priekšlikums ir ņemts vērā, tomēr tiesību akta projektā nav veikti papildinājumi, kā arī izziņā nav norādīts pamatojums, kāpēc tiesību akts nav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1.2. apakšpunktā ietverto mērķa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mērķim būtu jābūt vērstam uz pozitīvām izmaiņām vai sasniedzamo rezultātu Latvijā, nevis tikai Eiropas Savienības direktīvu prasību pārņemšanu vai normu pārcelšanu starp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direktīvu pārņemšana var būt pamatojums noteikumu projekta izstrādei, pašā mērķa formulējumā būtu atspoguļojams, kādus konkrētus uzlabojumus vai ieguvumus paredzēts panākt, piemēram, nodrošinot efektīvāku bīstamo kravu aprites kontroles regulējumu vai vienotu tiesisko regulējumu attiecīgajā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ir norāde, ka Valsts kancelejas 2026. gada 26. maijā izteiktais priekšlikums ir ņemts vērā, tomēr tiesību akta projektā nav veikti papildinājumi, kā arī izziņā nav norādīts pamatojums, kāpēc tiesību akts nav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sadaļu, jo pašreizējā redakcija nav pilnībā atbilstoša projekta saturam un nesniedz korektu priekšstatu par tiesību akta ietekmi uz regulējuma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ieviests detalizēts bīstamo kravu autopārvadājumu kontroles regulējums,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kontroles veikšanas kārtība, līdz ar to nav korekti anotācijā norādīt, ka “tiesiskais regulējums nemaina to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sadaļā ietverto ietekmes aprakstu, norādot, kā projekts ietekmē regulējuma mērķa grupas, tai skaitā kādas kontroles darbības, pienākumi vai procesuālās darbības var tikt piemērotas bīstamo kravu autopārvadājumos iesaistītajām fiziskajām un juridiskajām personām projekta regulējuma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veikta bīstamo kravu autopārvadājumu kontroles  tiesiskā regulējuma pārnešana no Ministru kabineta 2011. gada 24. maija noteikumiem Nr. 411 “Autopārvadājumu kontroles un īstenošanas kārtība” uz Ministru kabineta 2011. gada 5. jūlija noteikumos Nr. 541 “Bīstamo kravu aprites kontroles kārtība”, līdz ar to faktiski nemainās iesaistīto personu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apritē iesaistīto personu pienākumi jau noteikti nozares darbību reglamentējošos normatīvajos aktos, bet kontroles darbības un procesuālās darbības - kontrolējošo institūciju darbību reglamentējošos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izziņā ir norāde, ka Valsts kancelejas 2026. gada 26. maijā izteiktais priekšlikums ir ņemts vērā, tomēr tiesību akta projektā nav veikti papildinājumi, kā arī izziņā nav norādīts pamatojums, kāpēc tiesību akts nav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un precizēt anotācijas 7. sadaļu, jo pašreiz anotācijā ir tikai uzskaitītas projekta izpildē iesaistītās institūcijas, bet nav sniegts izvērtējums par projekta faktisko ietekmi uz institūciju funkcijām, kontroles darbībām un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 detalizētu bīstamo kravu autopārvadājumu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jaunu pārbaudes protokolu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riska kategoriju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informācijas apriti starp institūcijām un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ikgadēju datu apkopošanu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paplašina uzraudzības institūciju praktiskās kontroles darbības, tostarp uzņēmumu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korektīvo pasākumu piemērošanu un transportlīdzekļu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7. sadaļā būtu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mainās institūciju funkciju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pieaug kontroles darbību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nepieciešami papildu administratīvie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rodas administratīvās izmaksas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nepieciešama datu uzskaite, apkopošana vai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izvērtējumu un nepieciešamības gadījumā papildināt anotācijas 7.2. apakšpunktu un 7.4. apakšpunktu, jo projekts paredz jaunas vai precizētas uzraudzības un kontroles darbības, informācijas apriti, datu apkopošanu un citus ar projekta izpildi saistītus institucionālos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anotācijas 7.5.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Pārbaudes protokolu, kurā fiksēti pārkāpumi, nosūta kompetentajai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tieši vai netieši nav ietverams uzraudzības iestādes pienākums informēt amatpersonu par iespējamu administratīvu pārkāpumu. Tā ir pašsaprotama rīcība valsts pārvaldē, izriet no Administratīvās atbildības likuma un attiecas uz iestāžu sadarbību, kas tipiski nav ārējā normatīvā akta regulēšanas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Noteikums, ka pārbaudes protokolu, kurā fiksēti pārkāpumi, nosūta kompetentajai institūcijai, pats par sevi neatklāj šāda regulējuma mērķi un to, kādā nozīmē lietots apzīmējums "kompetentā institūcija". Līdz ar to minētais noteikumu punkts ir neprecīzs, neskaidrs, grūti saprotams un šādā redakcijā projektā nav iekļaujams.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skaidrojumu projektā anotācijā secināms, ka norma attiecas uz protokola nosūtīšanu "institūcijai, kura atbilstoši tai normatīvajos aktos noteiktajai kompetencei veic administratīvās atbildības piemērošanas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 no administratīvā pārkāpuma procesa uzsākšanas pamatiem ir citas iestādes ziņojums (Administratīvās atbildības likuma 116. panta 3. punkts). Šāda ziņošana ir pašsaprotama sadarbības izpausme valsts pārvaldē. Tam nav nepieciešams īpašs regulējums nevienā citā ārējā normatīvajā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Administratīvās atbildības likuma 93. panta ceturtajā daļā ir noteikts, ka ziņas par faktiem, kuras amatpersonas ieguvušas, īstenojot likumā noteiktās kontroles un uzraudzības funkcijas, ir pieļaujams izmantot kā pierādījumus administratīvā pārkāpuma procesā. Tādējādi ir nosūtāmas visas uzraudzības iestādes rīcībā esošās ziņas, kas attiecas uz iespējamo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Iestāžu (amatpersonu) sadarbība šādā detalizācijas pakāpē nav regulējama ārējos normatīvajos tiesību aktos. Ja bīstamo kravu apriti kontrolējošās institūcijas atzīst par nepieciešamu normatīvi vai citādā veidā fiksēt kārtību, kā ziņo par iespējamu administratīvo pārkāpumu, tas ir risināms ar iekšējo normatīvo aktu, vadlīniju (metodisko materiālu u.tml.) vai vispārīgo sadarbības mehānismu palīdzību. Projektā (Ministru kabineta noteikumos) šāda veida normas nav nepieciešamas un nav iekļaujamas.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punkts dzēsts.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Neatkārtojot Tieslietu ministrijas 2026. gada 25. maija atzinuma 7. punktā norādītos apsvērumus, projekts un skaidrojumi projekta anotācijā joprojām neliecina, ka pastāv kontroles un sodīšanas (administratīvās atbildības) precīzs norobežojums un ka ir apzināta regulējuma īstenošana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Pārbaudes protokolā kā korektīvais pasākums ir norādīts oficiālais ziņojums un brīdinājums, kā arī imobilizācija. Ja pēdējā pasākuma raksturs ir pietiekami precīzi nosakāms, tad oficiālā ziņojuma un brīdinājuma saturs nebūt nav viennozīmīgs un būtu nepieciešams konstatēt tā izpratni tieši direktīvas kontekstā. Pēc tam tas saskaņojams ar nacionālajā tiesību sistēmā pastāvošajiem tiesiskajiem instrumentiem. Lai arī projekta anotācijā ir ietverts oficiālā ziņojuma un brīdinājuma skaidrojums, tomēr nav argumentēti pamatots, kāpēc Eiropas Savienības līmenī tiem ir tieši šāda izpratne.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projekta anotācijā skaidrots, ka brīdinājums "interpretējams atbilstoši Latvijas Republikas tiesību sistēmai, ņemot vērā Administratīvās atbildības likumā nostiprināto terminoloģiju. Pēc būtības tas atbilst jēdzienam "aizrādījums", kas ir uz preventīvu mērķi vērsts iestādes reakcijas veids maznozīmīgu pārkāpumu gadījumos un neveido administratīvo sodu". Tā kā šis "brīdinājums" ir korektīvais pasākums, nevis administratīvais sods, tad to nav pieļaujams interpretēt (jeb saprast) kā Administratīvās atbildības likumā regulēto soda veidu. Tas liecina, ka projektā ir sajaukti kontroles un sodīšanas pasākumi. Tāpat arī aizrādījums ir administratīvā pārkāpuma procesa instruments. Vienlaikus arī administratīvā pārkāpuma procesā aizrādījums un brīdinājums ir pilnīgi atšķirīgi tiesību institūti.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kopumā vērojama neskaidra pieeja nesodoša rakstura administratīvo jeb korektīvo pasākumu regulējumā. Tas arī neļauj pārliecināties, vai, pretēji projekta anotācijā apgalvotajam, šādiem pasākumiem jau nepiemīt soda raksturs un attiecīgi tie nemaz nav kontroles pasākumi un vispār nav regulējami Ministru kabineta noteikumos. Jau ir apšaubāms, ka Bīstamo kravu aprites likuma 11. panta trešajā daļā ietvertais pilnvarojums noteikt aprites kontroles "kārtību" aptver tiesības noteikt materiāltiesiska satura ierobežojumus (šādi ierobežojumi jau ir regulēti šā likuma 11. panta otrajā daļā), tad sodoša rakstura pasākumus vispār nav pieļaujams regulēt Ministru kabineta noteikumos un likumdevējam nav tiesību noteikt šādu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(piemēram, grozāmo noteikumu 28. punktā) vairākkārt ir norādīts, ka noteiktos gadījumos "tiek piemēroti attiecīgie uzraudzības un kontroles pasākumi saskaņā ar normatīvajiem aktiem, kas reglamentē autopārvadājumu kontroles organizēšanas un īstenošanas kārtību". Projekta anotācijā atkārtota šī frāze, nepaskaidrojot, kādi tieši ir šie pasākumi un kur tie šobrīd ir regulēti. Turklāt bīstamo kravu aprites kontroles regulējums būtībā arīdzan ir viens no normatīvajiem aktiem, kas regulē autopārvadājumu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skaidrot visus projektā paredzētos grozījumus. Piemēram, nav pilnībā skaidroti no projekta 1.6. apakšpunkta izrietošie papildinājumi. Tāpat, iesakām nodrošināt, lai skaidrojumi tiesību normu adresātam sniedz precīzu izpratni, piemēram, "</w:t>
            </w:r>
            <w:r w:rsidR="00000000" w:rsidRPr="00000000" w:rsidDel="00000000">
              <w:rPr>
                <w:i w:val="1"/>
                <w:rtl w:val="0"/>
              </w:rPr>
              <w:t xml:space="preserve">piemēro </w:t>
            </w:r>
            <w:r w:rsidR="00000000" w:rsidRPr="00000000" w:rsidDel="00000000">
              <w:rPr>
                <w:i w:val="1"/>
                <w:u w:val="single"/>
                <w:rtl w:val="0"/>
              </w:rPr>
              <w:t xml:space="preserve">samērīgus </w:t>
            </w:r>
            <w:r w:rsidR="00000000" w:rsidRPr="00000000" w:rsidDel="00000000">
              <w:rPr>
                <w:i w:val="1"/>
                <w:rtl w:val="0"/>
              </w:rPr>
              <w:t xml:space="preserve">korektīvos pasākumus</w:t>
            </w:r>
            <w:r w:rsidR="00000000" w:rsidRPr="00000000" w:rsidDel="00000000">
              <w:rPr>
                <w:rtl w:val="0"/>
              </w:rPr>
              <w:t xml:space="preserve">" ir subjektīvi vērtējams apstāklis un nav viennozīmīgi saprotams samērīguma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skaidrojumos ievērot, ka saskaņā ar Komerclikuma 18. pantu termins „uzņēmums” apzīmē organizatoriski saimniecisku vienību un nevis komercdarbības vai saimnieciskās darbības subjektu. Iesakām terminu „uzņēmums” aizstāt, piemēram, ar „komersants”, „saimnieciskās darbības veicējs”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tabulā ietverto informāciju par </w:t>
            </w:r>
            <w:r w:rsidR="00000000" w:rsidRPr="00000000" w:rsidDel="00000000">
              <w:rPr>
                <w:i w:val="1"/>
                <w:rtl w:val="0"/>
              </w:rPr>
              <w:t xml:space="preserve">Eiropas Parlamenta un Padomes 2022. gada 19. oktobra Direktīvas 2022/1999 par vienotu kārtību, kādā pārbauda bīstamo kravu pārvadāšanu pa autoceļiem</w:t>
            </w:r>
            <w:r w:rsidR="00000000" w:rsidRPr="00000000" w:rsidDel="00000000">
              <w:rPr>
                <w:rtl w:val="0"/>
              </w:rPr>
              <w:t xml:space="preserve">, pārņemšanu, atkārtoti aicinām izvērtēt un sniegt skaidrojumu par to, kā tieši 4. panta otrā daļa ir pārņemta noteikumu 32. punktā. Tāpat, iesakām izvērtēt, vai "Tiesību akta projekta atbilstība ES tiesību aktiem" skaidrota pilnīgi, ja anotācijas 1.3. apakšsadaļā, attiecībā uz 39. punktu, norādīts, ka "</w:t>
            </w:r>
            <w:r w:rsidR="00000000" w:rsidRPr="00000000" w:rsidDel="00000000">
              <w:rPr>
                <w:i w:val="1"/>
                <w:rtl w:val="0"/>
              </w:rPr>
              <w:t xml:space="preserve">[..] šāds informācijas apmaiņas mehānisms </w:t>
            </w:r>
            <w:r w:rsidR="00000000" w:rsidRPr="00000000" w:rsidDel="00000000">
              <w:rPr>
                <w:i w:val="1"/>
                <w:u w:val="single"/>
                <w:rtl w:val="0"/>
              </w:rPr>
              <w:t xml:space="preserve">izriet no Eiropas Savienības tiesību aktu prasībām bīstamo kravu pārvadājumu jomā</w:t>
            </w:r>
            <w:r w:rsidR="00000000" w:rsidRPr="00000000" w:rsidDel="00000000">
              <w:rPr>
                <w:i w:val="1"/>
                <w:rtl w:val="0"/>
              </w:rPr>
              <w:t xml:space="preserve"> [..]</w:t>
            </w:r>
            <w:r w:rsidR="00000000" w:rsidRPr="00000000" w:rsidDel="00000000">
              <w:rPr>
                <w:rtl w:val="0"/>
              </w:rPr>
              <w:t xml:space="preserve">", proti, saprotams, ka tās nav tikai anotācijā minētās direktīvas. Savukārt, no projekta 1. pielikuma redakcijas saprotama tā saistība ar </w:t>
            </w:r>
            <w:r w:rsidR="00000000" w:rsidRPr="00000000" w:rsidDel="00000000">
              <w:rPr>
                <w:i w:val="1"/>
                <w:rtl w:val="0"/>
              </w:rPr>
              <w:t xml:space="preserve">Komisijas 2025. gada 23. jūnija Deleģētās direktīvas (ES) 2025/1801, ar ko zinātnes un tehnikas attīstībai pielāgo I un II pielikumu Eiropas Parlamenta un Padomes Direktīvai (ES) 2022/1999 par vienotu kārtību, kādā pārbauda bīstamo kravu pārvadāšanu pa autoceļiem,</w:t>
            </w:r>
            <w:r w:rsidR="00000000" w:rsidRPr="00000000" w:rsidDel="00000000">
              <w:rPr>
                <w:rtl w:val="0"/>
              </w:rPr>
              <w:t xml:space="preserve"> II pielikumu. Ja nepieciešams, lūdzam precizēt tabulu vai skaidrojumus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32. punkts dzēsts. Skatīt TM 11.06.2026 atzinuma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Konstatējot nopietnus vai atkārtotus pārkāpumus, ko izdarījis citā Eiropas Savienības dalībvalstī reģistrēts transportlīdzeklis vai šajā dalībvalstī iedibināts bīstamo kravu aprites dalībnieks, uzraudzības institūcijas ir tiesīga pieprasīt, lai dalībvalsts, kurā transportlīdzeklis ir reģistrēts vai kurā bīstamo kravu aprites dalībnieks ir iedibināts, kompetentās iestādes piemēroto attiecīgajam pārkāpējam vai pārkāpējiem normatīvajos aktos noteiktos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vispārīgās atsauces, piemēram, "normatīvajos aktos noteiktie pasākumi”, jo atbilstoši juridiskās tehnikas prasībām tiesību normai ir jābūt skaidrai, lai tās lietotājs un piemērotājs gūtu nepārprotamu priekšstatu par saviem pienākumiem un tiesībām. Līdz ar to nepieciešams ietvert norādi uz konkrētu normatīvo aktu (likumu) vai normatīvo aktu jomu, kuros šie jautājumi ir regulēti. Attiecīgi lūdzam atsauces noformēt atbilstoši Ministru kabineta 2009. gada 3. februāra noteikumu Nr. 108 "Normatīvo aktu projektu sagatavošanas noteikumi" 3.7. apakšnodaļai. Līdzīgi vēršam uzmanību arī uz skaidrojumiem anotācija 1.3. apakšsadaļā, kur norādīts, piemēram, "netiek ievērotas normatīvo aktu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Konstatējot nopietnus vai atkārtotus pārkāpumus, ko izdarījis citā Eiropas Savienības dalībvalstī reģistrēts transportlīdzeklis vai šajā dalībvalstī reģistrēts bīstamo kravu aprites dalībnieks, uzraudzības institūcija pieprasa, lai tās dalībvalsts kompetentā iestāde, kurā transportlīdzeklis ir reģistrēts vai kurā bīstamo kravu aprites dalībnieks ir reģistrēts, izvērtē konstatētos pārkāpumus un veic tās kompetencē esošās darbības saskaņā ar attiecīgās dalībvalsts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Konstatējot nopietnus vai atkārtotus pārkāpumus, ko izdarījis citā Eiropas Savienības dalībvalstī reģistrēts transportlīdzeklis vai šajā dalībvalstī iedibināts bīstamo kravu aprites dalībnieks, uzraudzības institūcijas ir tiesīga pieprasīt, lai dalībvalsts, kurā transportlīdzeklis ir reģistrēts vai kurā bīstamo kravu aprites dalībnieks ir iedibināts, kompetentās iestādes piemēroto attiecīgajam pārkāpējam vai pārkāpējiem normatīvajos aktos noteiktos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veikto precizējumu, jo tā formulējums ir gramatiski neprecīzs daļā "</w:t>
            </w:r>
            <w:r w:rsidR="00000000" w:rsidRPr="00000000" w:rsidDel="00000000">
              <w:rPr>
                <w:i w:val="1"/>
                <w:rtl w:val="0"/>
              </w:rPr>
              <w:t xml:space="preserve">[..] </w:t>
            </w:r>
            <w:r w:rsidR="00000000" w:rsidRPr="00000000" w:rsidDel="00000000">
              <w:rPr>
                <w:i w:val="1"/>
                <w:u w:val="single"/>
                <w:rtl w:val="0"/>
              </w:rPr>
              <w:t xml:space="preserve">uzraudzības institūcijas ir tiesīga</w:t>
            </w:r>
            <w:r w:rsidR="00000000" w:rsidRPr="00000000" w:rsidDel="00000000">
              <w:rPr>
                <w:i w:val="1"/>
                <w:rtl w:val="0"/>
              </w:rPr>
              <w:t xml:space="preserve"> pieprasīt, lai dalībvalsts, kurā transportlīdzeklis ir reģistrēts vai kurā bīstamo kravu aprites dalībnieks ir iedibināts, kompetentās iestādes</w:t>
            </w:r>
            <w:r w:rsidR="00000000" w:rsidRPr="00000000" w:rsidDel="00000000">
              <w:rPr>
                <w:i w:val="1"/>
                <w:u w:val="single"/>
                <w:rtl w:val="0"/>
              </w:rPr>
              <w:t xml:space="preserve"> piemēroto attiecīgajam pārkāpējam vai pārkāpējiem normatīvajos aktos noteiktos pasākumus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Konstatējot nopietnus vai atkārtotus pārkāpumus, ko izdarījis citā Eiropas Savienības dalībvalstī reģistrēts transportlīdzeklis vai šajā dalībvalstī reģistrēts bīstamo kravu aprites dalībnieks, uzraudzības institūcija pieprasa, lai tās dalībvalsts kompetentā iestāde, kurā transportlīdzeklis ir reģistrēts vai kurā bīstamo kravu aprites dalībnieks ir reģistrēts, izvērtē konstatētos pārkāpumus un veic tās kompetencē esošās darbības saskaņā ar attiecīgās dalībvalsts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(Eiropas Kopienu Tiesas spriedums lietā C-428/04 Commission v Austria, 99.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projekta tekstu un, kur nepieciešams, precizēt to atbilstoši nacionālajai tiesību sistēmai, kā arī nacionālajos tiesību aktos izmantotajai terminoloģijai. Proti, lūdzam izvērtēt, vai direktīvas prasību pārrakstīšana nacionālajā normatīvajā aktā ir veiksmīgākais risinājums, piemēram, 2. pielikumā lietots termins "brīdinājums" anotācijā norādot, ka nacionālajā tiesību sistēmā ar to saprotams termins "aizrādījums".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20:35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nepieciešams pamatot visus projektā paredzētos būtiskos grozījumus noteikumos. Attiecīgi lūdzam anotācijā sniegt pamatojumu projekta 1.1. apakšpunktā paredzētajam grozījumam noteikumu 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aizpildīt sadaļu, skaidrojot, kādi grozījumi un kādēļ paredzēti Ministru kabineta 2011. gada 24. maija noteikumos Nr. 411 "Autopārvadājumu kontroles organizēšanas un īstenošanas kārtība" un kādēļ tie ir saistītie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tabulā ietverto informāciju par Eiropas Parlamenta un Padomes 2022. gada 19. oktobra Direktīvas 2022/1999 par vienotu kārtību, kādā pārbauda bīstamo kravu pārvadāšanu pa autoceļiem, pārņemšanu, aicinām izvērtēt un sniegt skaidrojumu par citu 2. panta apakšvienību pārņemšanu, kā arī skaidrot, kā tieši 4. panta otrā daļa ir pārņemta noteikumu 27. punktā. Ja nepieciešams, lūdzam precizēt tabulu. Tāpat sadaļā "Cita informācija" aicinām konkretizēt, kurā Bīstamo kravu aprites likuma vienībā pārņemta attiecīgā direktīvas prasība, norādot pēc iespējas pilnīgāku informāciju par direktīvas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Veicot bīstamo kravu autopārvadājumu kontroli, uzraudzības institūcijas izmanto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pārbaudes protokolu divos eksemplāros. Pārbaudes protokola pirmo eksemplāru uzglabā uzraudzības iestāde, otro eksemplāru izsniedz pārbaudītā transportlīdzekļa vadītājam un to uzrāda pēc pieprasījuma, lai vienkāršotu turpmākās pārbaudes vai izvairītos no tām, ja tas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 gada 24. maija noteikumu Nr. 411 "Autopārvadājumu kontroles organizēšanas un īstenošanas kārtība" 22.punktu, informāciju, kas norādīta bīstamo kravu autopārvadājumu pārbaudes protokolā  šo noteikumu 3. punktā minētais kontroles institūcijas darbinieks vai amatpersona, kura sastādījusi  protokolu,  iekļauj Autopārvadājumu kontroles uzraudzības informācijas sistēmā (turpmāk-AKUS). Lai nodrošinātu šī punkta izpildi, Iekšlietu ministrijas Informācijas centram, kurš ir AKUS pārzinis, ir nepieciešams veikt attiecīgus pielāgojumus un izmaiņas AKUS programmatūrā. Šo izmaiņu realizācijas nodrošināšana nav iespējama tik īsā termiņā kā plānota grozījumu spēkā stāšanās 2026.gada 24.jūnijā. Iespējamais realizācijas laiks izmaiņu veikšanai Bīstamo kravu autopārvadājumu pārbaudes protokolā ir 2026.gada 1.septembris. Ņemot vērā iepriekš minēto, lūdzam paredzēt atlikt spēkā stāšanās termiņu attiecībā uz informācijas ievadi AKUS. Izmaiņu veikšanai nepieciešamo finanšu līdzekļu apmērs ir 38 413,53 euro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2025/1801 2. pants nosaka ka normatīvie akti, kas vajadzīgi, lai izpildītu šīs direktīvas prasības, jāpieņem vēlākais līdz 2026. gada 23. jūnijam un noteikumus piemēro no 2026. gada 24. jūnija. Neievērojot Direktīvā 2025/1801 noteikto, netiks uzskatīts ka Direktīva pārņemta pilnībā, kas būs precedents tiesvedības pret Latviju ierosināšanai.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Veicot bīstamo kravu autopārvadājumu kontroli, uzraudzības institūcijas izmanto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pārbaudes protokolu divos eksemplāros. Pārbaudes protokola pirmo eksemplāru uzglabā uzraudzības institūcijā, otro eksemplāru izsniedz pārbaudītā transportlīdzekļa vadītājam un to uzrāda pēc pieprasījuma, lai vienkāršotu turpmākās pārbaudes vai izvairītos no tām, ja tas iespējams.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 riska kategorija - pārkāpumi, kas rada augsta līmeņa risku un var izraisīt nāvi, nopietnu fizisku ievainojumu vai būtisku kaitējumu videi. Ja šādus pārkāpumus atklāj pārbaudē uz ceļa, nekavējoties tiek veikti nepieciešamie korektīvie pasākumi, piemēram, transportlīdzekļa imobilizācija; ja šādus pārkāpumus atklāj pārbaudē, kas notiek uzņēmuma telpās, šiem pārkāpumiem parasti piemēro citus attiecīgos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nodotais projekts būtiski papildināts. No anotācijā ietvertās informācijas izriet, ka attiecīgo normu ietveršana projektā vismaz daļēji skaidrojama ar nepieciešamību pārņemt Eiropas Parlamenta un Padomes 2022. gada 19. oktobra direktīvas (ES) 2022/1999 par vienotu kārtību, kādā pārbauda bīstamo kravu pārvadāšanu pa autoceļiem (kodifikācija) un Komisijas deleģētās 2025. gada 23. jūnija direktīvas 2025/1801 ar ko zinātnes un tehnikas attīstībai pielāgo I un II pielikumu Eiropas Parlamenta un Padomes Direktīvai 2022/1999 par vienotu kārtību, kādā pārbauda bīstamo kravu pārvadāšanu pa autoceļiem,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projekta atbilstību Bīstamo kravu aprites likuma 11. panta trešajā daļā paredzētajam pilnvarojumam Ministru kabinetam noteikt </w:t>
            </w:r>
            <w:r w:rsidR="00000000" w:rsidRPr="00000000" w:rsidDel="00000000">
              <w:rPr>
                <w:u w:val="single"/>
                <w:rtl w:val="0"/>
              </w:rPr>
              <w:t xml:space="preserve">kārtību, kādā tiek īstenotas šā panta otrajā daļā minētās tiesības</w:t>
            </w:r>
            <w:r w:rsidR="00000000" w:rsidRPr="00000000" w:rsidDel="00000000">
              <w:rPr>
                <w:rtl w:val="0"/>
              </w:rPr>
              <w:t xml:space="preserve">, </w:t>
            </w:r>
            <w:r w:rsidR="00000000" w:rsidRPr="00000000" w:rsidDel="00000000">
              <w:rPr>
                <w:u w:val="single"/>
                <w:rtl w:val="0"/>
              </w:rPr>
              <w:t xml:space="preserve">kārtību, kādā</w:t>
            </w:r>
            <w:r w:rsidR="00000000" w:rsidRPr="00000000" w:rsidDel="00000000">
              <w:rPr>
                <w:rtl w:val="0"/>
              </w:rPr>
              <w:t xml:space="preserve"> pārtrauc bīstamo kravu apriti, atver transportlīdzekļus un kravas konteinerus, ņem paraugus, veic analīzes, novērš neatbilstību, pārvieto un glabā pārvadāšanas līdzekļus, kravas konteinerus un transportlīdzekļus, kā arī sedz ar to saistītos izdevumus.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attiecības.[1] Ja tiesību normā jēdziens "kārtība" nav izmantots, tad pilnvarojums ir atšķirīgs un aptver ne tikai tiesības regulēt darbību procesuālo aspektu.[2]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anotācijā pamatot projektā ietverto normu, kas atbilstoši likumā paredzētajam pilnvarojumam paredz ne tikai procesuāltiesiskus aspektus saistībā ar bīstamo kravu apriti, bet arī materiāltiesiskas normas, tostarp tiesību ierobežojumus, atbilstību likumā paredzētajam pilnvarojumam. Ja atbilstošu pamatojumu nav iespējams sniegt, lūdzam svītrot attiecīgās projekta normas. Piemēram, noteikumu 28.1. apakšpunkts paredz korektīvu pasākumu, piemēram, transportlīdzekļa imobilizāciju, un citu attiecīgo pasākumu veikšanu, noteikumu 34. punkts paredz uzraudzības iestāžu tiesības transportlīdzekļus aizturēt, noteikumu 35. punkts, citstarp, paredz iespēju liegt transportlīdzeklim iebraukšanu Eiropas Savienības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28.1., 32., 34., 35.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 riska kategorija - pārkāpumi, kas rada augsta līmeņa risku un var izraisīt nāvi, nopietnu fizisku ievainojumu vai būtisku kaitējumu videi. Ja šādus pārkāpumus atklāj pārbaudē uz ceļa, nekavējoties tiek veikti nepieciešamie korektīvie pasākumi, piemēram, transportlīdzekļa imobilizācija. Ja šādus pārkāpumus atklāj pārbaudē, kas notiek bīstamo kravu aprites dalībnieka telpās, tiek piemēroti attiecīgie uzraudzības un kontroles pasākumi saskaņā ar normatīvajiem aktiem, kas reglamentē autopārvadājumu kontroles organizēšanas un īstenošanas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vienā transporta vienībā konstatē vairākus pārkāpumus, atskaites vajadzībām (saskaņā ar III pielikumā ietverto standarta paraugformu) piemēro tikai visnopietnāko riska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(Eiropas Kopienu Tiesas spriedums lietā C-428/04 Commission v Austria, 99.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projekta tekstu un, kur nepieciešams, precizēt to atbilstoši nacionālajai tiesību sistēmai, kā arī nacionālajos tiesību aktos izmantotajai terminoloģijai. Proti, lūdzam izvērtēt, vai direktīvas prasību pārrakstīšana nacionālajā normatīvajā aktā ir veiksmīgākais risinājums direktīvas prasību pārņemšanai un, ja nepieciešams, lūdzam precizēt projektu. Citstarp: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iekšējās atsauces uz citām šo noteikumu vienībām, kā arī atsauces uz citiem normatīvajiem aktiem (piemēram, noteikumu 24., 31. punkts). Tāpat arī aicinām precizēt vispārīgo atsauci uz "normatīvo aktu prasībām”, jo atbilstoši juridiskās tehnikas prasībām tiesību normai ir jābūt skaidrai, lai tās lietotājs un piemērotājs gūtu nepārprotamu priekšstatu par saviem pienākumiem un tiesībām. Līdz ar to nepieciešams ietvert norādi uz konkrētu normatīvo aktu (likumu) vai normatīvo aktu jomu, kuros šie jautājumi ir regulēti. Attiecīgi lūdzam atsauces noformēt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norādes uz "citiem attiecīgiem pasākumiem" (piemēram, 28.1. apakšpunktā), "īpašiem pasākumiem detalizētām pārbaudēm" (noteikumu 32. punkts), "citiem atbilstīgiem pasākumiem" (noteikumu 38. punkts) u.tml. norādes normas adresātam varētu būt neskaidras, tādēļ aicinām izvērtēt un normu precizēt vai sniegt atbilstošu skaidrojumu anotācijā, tostarp norādot, kādos normatīvajos aktos attiecīgie pasākumi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normas mērķi (pamatojumu) norāda anotācijā, nevis normatīvajā aktā, tādēļ aicinām precizēt noteikumu 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tiesību normas formulēt skaidri, nepārprotami norādot, kam ir kāds pienākums vai tiesība tagadnes formā. Piemēram, no noteikumu 34. punkta formulējuma nav viennozīmīgi izsecināms, kam tiek piešķirtas kādas tiesības vai uzlikts kāds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anotācijā precizēt vai skaidrot, kas domāts ar transportlīdzekļu "sakārtošanu" (piemēram, noteikumu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izmantot vienveidīgu un konsekventu terminoloģiju (piemēram, 34. punktā norādīts uz uzraudzības iestādēm, savukārt 35. punktā - uzraudzības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Ministru kabineta 2009. gada 3. februāra noteikumu Nr. 108 "Normatīvo aktu projektu sagatavošanas noteikumi" 131. punktu, atkārtoti lūdzam svītrot noteikumu 1. pielikumā ietverto atsauci uz Apvienoto Nāciju Organizācijas rekomendācijām bīstamo kravu pārvadāšanai, nepieciešamības gadījumā pārņemot attiecīgās rekomendācijas prasības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vienā transporta vienībā konstatē vairākus pārkāpumus, atskaites vajadzībām (saskaņā ar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ietverto standarta paraugformu) piemēro tikai visnopietnāko riska kategoriju.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Pārbaudes protokola sastādīšana neierobežo uzraudzības iestādes tiesības uzsākt administratīvā pārkāpuma lietu vai veikt īpašus pasākumus detalizētām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regulējumi administratīvās atbildības jautājumi. Šāds regulējums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Grozāmo noteikumu 32. punktā ir paredzēts, ka "pārbaudes protokola sastādīšana neierobežo uzraudzības iestādes tiesības uzsākt administratīvā pārkāpuma lietu". Šāds regulējums neatbilst vairākiem būtiskiem priekšnoteikumiem un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noteikumi nevar regulēt jautājumus saistībā ar administratīvā pārkāpuma procesu (izņēmums ir Administratīvās atbildības likumā tieši noteikti pakārtoti jautājumi). Līdz ar to tas, vai pārbaudes protokola esība un piemērotie korektīvie pasākumi ir vai nav šķērslis uzsākt administratīvā pārkāpuma procesu, amatpersonai ir jāizlemj, ievērojot Administratīvās atbildības likumu un sodu tiesību principus. Projektā šāds regulējums nav iekļaujams, un tam nav nekādas juridiskas vai praktiskas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jānošķir uzraudzība (kontrole) no sodīšanas (administratīvās atbildības). Uzraudzības vai kontroles iestādes īsteno uzraudzības vai kontroles pasākumus. Tām nav tiesību veikt administratīvā pārkāpuma procesu. Pat tad, ja amatpersona, kura veic administratīvā pārkāpuma procesu, ir tās pašas iestādes amatpersonas, tajā brīdī vairs nav atbilstoši šo iestādi dēvēt par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lietotā terminoloģija neatbilst Administratīvās atbildības likumam. Administratīvā pārkāpuma lieta ir dokumentu (materiālu) kopums. Attiecīgā rīcība ir nevis administratīvā pārkāpuma lietas uzsākšana, bet gan lēmums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iekļautā informācija neliecina, ka pilnībā ir izvērtēta un apzināta kontroles pasākumu un administratīvā pārkāpuma procesa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2026. gada 16. aprīļa atzinuma 5. un arī 2. punktā minētie iebildumi ir ņemti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ka vismaz daļa projektā minēto pārkāpumu atbilst administratīvo pārkāpumu pazīmēm, tad kontroles laikā jau varētu iegūt informāciju par iespējamu administratīvo pārkāpumu. Var tikai piekrist projekta anotācijā norādītajam, ka "uzsverams, ka pārbaudes protokols pēc sava juridiskā rakstura nav administratīvā pārkāpuma procesa dokuments un nav tieši saistīts ar administratīvā pārkāpuma procesa uzsākšanu vai virzību. Tā mērķis ir fiksēt kontroles laikā konstatētos faktiskos apstākļus un nodrošināt sistemātisku informācijas apkopošanu. Administratīvā pārkāpuma process, ja tas tiek konstatēts pārbaudes rezultātā, tiek uzsākts atsevišķā procesuālā kārtībā, ievērojot Administratīvās atbildības likumu". Tā tas tiešām ir, kā arī pretējā gadījumā Ministru kabineta noteikumos vai pat nozares likumā attiecīgi jautājumi nemaz nebūtu regulējami.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projekta anotācijā iekļautā informācija neatklāj, kā šīs kontroles darbības būs praksē salāgojamas ar iespējamo administratīvā pārkāpuma procesu. Ja projektā minētais un kontroles laikā konstatētais "pārkāpums" var būt arī administratīvais pārkāpums, tad tā esība galu galā būs konstatējama tikai administratīvā pārkāpuma procesā. Secinājums par administratīvā pārkāpuma esību var atšķirties no kontroles laikā secinātā par pārkāpuma esību un attiecīgi piemērojamiem korektīvajiem pasākumiem. Citastarp rodas arī jautājums, kā šāds atšķirīgs secinājums varētu ietekmēt dalībvalstu sadarbību vai informāciju par reģistrēto pārkāpumu skaitu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ir iespējams piemērot korektīvos pasākumus, tad pamatā par šādiem pārkāpumiem administratīvā atbildība vispār nebūtu nosakāma (administratīvā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protokolā ierakstāmie korektīvo pasākumu veidi ir skaidroti projekta anotācijā (oficiāls ziņojums, brīdinājums, imobilizācija). Lai arī tas neatbilst grozāmo noteikumu 28. punkta ievaddaļai un šajā normā regulējamam jautājumam, domājams, korektīvie pasākumi ir minēti arī šajā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iespējams pārbaudīt, kāpēc korektīvajiem pasākumiem ir piešķirts tieši tāds saturs un vai tas atbilst direktīvas prasībām. Lai arī projekta anotācijā ir skaidroti šie pasākumi, nav norādīti nekādi avoti, kas ļautu izvērtēt skaidrojuma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brīdinājums Latvijas tiesību sistēmā ir arī administratīvais sods. Tāpat brīdinājums vienmēr nesatur tiešu pienākumu novērst neatbilstību noteiktā termiņā. Arī regulējuma pamatā esošajā direktīvā pieprasījums novērst neatbilstību ir minēts kā atsevišķs korektīvo pasākumu veids (līdzīga norāde ir grozāmo noteikumu 28.2.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projektā ir minēti arī citi attiecīgi korektīvie pasākumi, lai arī nav nekur detalizēts, kādi šie pasākumi varētu būt, kur tos fiksē un kāds ir to raksturs. Pamatā administratīviem (korektīviem, uzraudzības u. tml.) pasākumiem jābūt pietiekami precīzi identificētiem likumā vai, ja to pieļauj pasākuma raksturs un ir atbilstošs pilnvarojums, tad citā normatīvajā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ietverto mērķa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mērķim būtu jābūt vērstam uz pozitīvām izmaiņām vai sasniedzamo rezultātu Latvijā, nevis tikai Eiropas Savienības direktīvu prasību pārņemšanu vai normu pārcelšanu starp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direktīvu pārņemšana var būt pamatojums noteikumu projekta izstrādei, pašā mērķa formulējumā būtu atspoguļojams, kādus konkrētus uzlabojumus vai ieguvumus paredzēts panākt, piemēram, nodrošinot efektīvāku bīstamo kravu aprites kontroles regulējumu vai vienotu tiesisko regulējumu attiecīgajā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Ministru kabineta noteikumu grozījumu projekts, nevis likumprojekts, aicinām pārskatīt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sadaļu, jo pašreizējā redakcija nav pilnībā atbilstoša projekta saturam un nesniedz korektu priekšstatu par tiesību akta ietekmi uz regulējuma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ieviests detalizēts bīstamo kravu autopārvadājumu kontroles regulējums,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kontroles veikšanas kārtība, līdz ar to nav korekti anotācijā norādīt, ka “tiesiskais regulējums nemaina to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2.1. sadaļā ietverto ietekmes aprakstu, norādot, kā projekts ietekmē regulējuma mērķa grupas, tai skaitā kādas kontroles darbības, pienākumi vai procesuālās darbības var tikt piemērotas bīstamo kravu autopārvadājumos iesaistītajām fiziskajām un juridiskajām personām projekta regulējuma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precizēt anotācijas 7. sadaļu, jo pašreiz anotācijā ir tikai uzskaitītas projekta izpildē iesaistītās institūcijas, bet nav sniegts izvērtējums par projekta faktisko ietekmi uz institūciju funkcijām, kontroles darbībām un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 detalizētu bīstamo kravu autopārvadājumu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jaunu pārbaudes protokolu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riska kategoriju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informācijas apriti starp institūcijām un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ikgadēju datu apkopošanu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paplašina uzraudzības institūciju praktiskās kontroles darbības, tostarp uzņēmumu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korektīvo pasākumu piemērošanu un transportlīdzekļu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anotācijas 7. sadaļā būtu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mainās institūciju funkciju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pieaug kontroles darbību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nepieciešami papildu administratīvie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rodas administratīvās izmaksas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nepieciešama datu uzskaite, apkopošana vai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izvērtējumu un nepieciešamības gadījumā papildināt anotācijas 7.2. apakšpunktu un 7.4. apakšpunktu, jo projekts paredz jaunas vai precizētas uzraudzības un kontroles darbības, informācijas apriti, datu apkopošanu un citus ar projekta izpildi saistītus institucionālos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institūcijas, kuras kontrolē bīstamo kravu apriti, īsteno Bīstamo kravu aprites likuma 11.panta otrajā daļā minētās tiesības, pārtrauc bīstamo kravu apriti, atver transportlīdzekļus un kravas konteinerus, ņem paraugus, veic analīzes, novērš neatbilstību, pārvieto un glabā pārvadāšanas līdzekļus, kravas konteinerus un transportlīdzekļus, kā arī sedz ar to saistītos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2.pielikumā paredzētais "Bīstamo kravu autopārvadājumu pārbaudes protokols" praksē tiek sagatavots elektroniskā veidā  Autopārvadājumu kontroles uzskaites sistēmā, izvērtēt jautājumu par Noteikumu izdošanas pamatojuma papildināšanu ar atsauci uz Autopārvadājumu likuma 4.</w:t>
            </w:r>
            <w:r w:rsidR="00000000" w:rsidRPr="00000000" w:rsidDel="00000000">
              <w:rPr>
                <w:vertAlign w:val="superscript"/>
                <w:rtl w:val="0"/>
              </w:rPr>
              <w:t xml:space="preserve">1 </w:t>
            </w:r>
            <w:r w:rsidR="00000000" w:rsidRPr="00000000" w:rsidDel="00000000">
              <w:rPr>
                <w:rtl w:val="0"/>
              </w:rPr>
              <w:t xml:space="preserve">panta trešo daļu un projekta 1.punkta papildināšanu ar deleģējumu Ministru kabinetam noteikt  autopārvadājumu kontroles uzskaites sistēmā iekļaujamās informācijas apjomu attiecībā uz bīstamo kravu autopārvadājumu pārbaudēm.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informācijas tehnoloģiju risinājumi, tostarp Autopārvadājumu kontroles uzskaites sistēmas tehniskā uzbūve, datu struktūra un ievadāmās informācijas apjoms, ir organizatoriska un tehniska rakstura jautājums, kas pēc savas būtības nav ietverams šo Ministru kabineta noteikumu grozījumu projektā. Ierosinām to noteikt attiecīgo institūciju kompetences ietvaros un, iespējams, var tikt precizēts iekšējos normatīvajos aktos vai iekšējo sistēmu tehniskajā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institūcijas, kuras kontrolē bīstamo kravu apriti, īsteno Bīstamo kravu aprites likuma 11.panta otrajā daļā minētās tiesības, pārtrauc bīstamo kravu apriti, atver transportlīdzekļus un kravas konteinerus, ņem paraugus, veic analīzes, novērš neatbilstību, pārvieto un glabā pārvadāšanas līdzekļus, kravas konteinerus un transportlīdzekļus, kā arī sedz ar to saistītos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Par bīstamo kravu autopārvadājumu drošību apdraudošiem nopietniem vai atkārtotiem pārkāpumiem, ko izdarījis citā Eiropas Savienības dalībvalstī reģistrēts transportlīdzeklis vai bīstamo kravu aprites dalībnieks, ziņo tās dalībvalsts kompetentajām iestādēm, kurā ir reģistrēts transportlīdzeklis vai kurā iedibināts bīstamo kravu aprites dalībnieks.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sniegt skaidrojumu, kādēļ ārējā normatīvā akta projektā nepieciešams ietvert normas, kas pirmšķietami neskar privātpersonas un regulē iestāžu sadarbību (pienākums informēt par attiecīgiem apstākļiem u.tml. - sk. noteikumu 29. un turpmākos punktus). Ja attiecīgu skaidrojumu nav iespējams sniegt, aicinām izvērtēt iespēju normas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Par bīstamo kravu autopārvadājumu drošību apdraudošiem nopietniem vai atkārtotiem pārkāpumiem, ko izdarījis citā Eiropas Savienības dalībvalstī reģistrēts transportlīdzeklis vai bīstamo kravu aprites dalībnieks, ziņo tās dalībvalsts kompetentajām iestādēm, kurā ir reģistrēts transportlīdzeklis vai bīstamo kravu aprites dalībnieks.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1. un 3. pielikuma savstarpējo piemērošanu, ņemot vērā uz atkārtoto saskaņošanu veiktās izmaiņas projektā (proti, projekts papildināts ar 3. pielikumu, pārņemot Komisijas 2025. gada 23. jūnija Deleģētās direktīvas 2025/1801, ar ko zinātnes un tehnikas attīstībai pielāgo I un II pielikumu Eiropas Parlamenta un Padomes Direktīvai (ES) 2022/1999 par vienotu kārtību, kādā pārbauda bīstamo kravu pārvadāšanu pa autoceļiem, II pielikumu). Ja attiecīgās normas projektā tiek ietvertas, lai ieviestu kādas Eiropas Savienības regulas prasības, lūdzam attiecīgo informāciju nepārprotami norādīt anotācijas 5. sadaļā, aizpildot anotācijas 5.1. apakšsadaļu un 5.4. apakšsadaļas 1. tabulu par attiecīgo prasību ieviešanu projektā. Vienlaikus lūdzam izvērtēt, vai projektā nav ietverts Eiropas Savienības regulās jau paredzēts regulējums, proti, vai netiek dublētas regulas prasības. Ja regulas prasības tiek dublētas,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08:35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veikt nepieciešamos precizējumus anotācijas 5. sadaļā nolūkā nodrošināt korektu, pilnīgu un precīzu no Eiropas Savienības tiesību aktiem izrietošo saistību pārņemšanu un tā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2025. gada 23. jūnija Deleģētās direktīvas (ES) 2025/1801, ar ko zinātnes un tehnikas attīstībai pielāgo I un II pielikumu Eiropas Parlamenta un Padomes Direktīvai (ES) 2022/1999 par vienotu kārtību, kādā pārbauda bīstamo kravu pārvadāšanu pa autoceļiem (turpmāk - Direktīva 2025/1801), pielikums groza Eiropas Parlamenta un Padomes 2022. gada 19. oktobra Direktīvas (ES) 2022/1999 par vienotu kārtību, kādā pārbauda bīstamo kravu pārvadāšanu pa autoceļiem (turpmāk - Direktīva 2022/1999) I un II pielikumu, attiecīgi anotācijas 5.4. sadaļas 1. tabulā nepieciešams atsaukties arī uz korespondējošām Direktīvas 2022/1999 prasībām, piemēram: "Direktīvas 2025/1801 pielikums (grozītais Direktīvas 2022/1999 II pielikuma pirmās daļas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redakcijai tiek izpildītas arī citas no Direktīvas 2025/1801 izrietošās prasības, piemēram, 2. panta 1. punkta trešā daļa (projekta 1.9. apakšpunkts), bet 1. pants saistīts arī ar projekta pielikumiem.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1.tabulas Direktīvas 2022/1999 daļā nav atkārtoti jāatsaucas uz I un II pielikumu, jo to grozītās redakcijas pārņemšana jau norādīta Direktīvas 2025/1801 tabulas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skaidrojumiem tabulas Direktīvas 2022/1999 daļā "Cita informācija" saprotams, ka Ministru kabineta 2011. gada 5. jūlija noteikumu Nr. 541 "Bīstamo kravu aprites kontroles kārtība" (turpmāk - Noteikumi) 29. punkts saistīts ar no Direktīvas 2022/1999 III pielikuma izrietošo Eiropas Savienības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2022/1999 6. pants paredz, piemēram, to, ka "</w:t>
            </w:r>
            <w:r w:rsidR="00000000" w:rsidRPr="00000000" w:rsidDel="00000000">
              <w:rPr>
                <w:i w:val="1"/>
                <w:rtl w:val="0"/>
              </w:rPr>
              <w:t xml:space="preserve">pārbaudes var veikt arī uzņēmumu telpās kā profilaktisku pasākumu vai gadījumos, kad pārbaudē uz ceļa tika konstatēti pārkāpumi, kas apdraud bīstamo kravu pārvadājumu drošību</w:t>
            </w:r>
            <w:r w:rsidR="00000000" w:rsidRPr="00000000" w:rsidDel="00000000">
              <w:rPr>
                <w:rtl w:val="0"/>
              </w:rPr>
              <w:t xml:space="preserve">", norādot, ka to pārņem Noteikumu 1. punkts, lai arī tas vienkārši atspoguļo Noteikumu būtību, nevis specifiskus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2022/1999 9. panta 2. punkts nav jāpārņem, jo attiecas uz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anotācijā sniegto paskaidrojumu par Direktīvas (ES) 2022/1999 7. un 8. panta prasību pārņemšanu ar Valsts policijas iekšējiem normatīvajiem aktiem. Šie direktīvas panti nosaka starptautiskās sadarbības kārtību, tostarp personas datu nodošanas prasības, veicot bīstamo kravu pārvadājumu pārbaudes. Lai direktīvas prasības pārņemtu pilnā apjomā, iestādes kompetencei un likumiskajām pilnvarām personas datu apstrādei primāri jābūt nostiprinātām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“Projekta izpildē iesaistītās institūcijas” norādītas trīs institūcijas – “Valsts dzelzceļa tehniskā inspekcija”, “VSIA "Autotransporta direkcija"” un “Valsts policija”. Savukārt noteikumu projekta 1.5. apakšpunktā tostarp paredzēts, ka veicot muitas kontroli Valsts ieņēmumu dienesta muitas iestādes kontrolē bīstamo kravu autopārvadājumu noteikumu ievērošanu, par katru pārbaudīto transportlīdzekli sastādot bīstamo kravu autopārvadājumu pārbaudes protokolu trijos eksemplāros (2. pielikums). Tādējādi Valsts ieņēmumu dienests tiks iesaistīts noteikumu projekta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anotācijas 7.1. apakšpunktu, kā projekta izpildē iesaistīto institūciju papildus norādot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Bīstamo kravu autopārvadājumu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nepieciešamību un pamatotību nodaļā ietverto regulējumu tehniski pārcelt no Ministru kabineta 2011. gada 24.maija noteikumiem Nr. 411 "Autopārvadājumu kontroles organizēšanas un īstenošanas kārtība", nevērtējot kompleksi, vai sākotnēji nav nepieciešami grozījumi Autopārvadājumu likumā un/vai Bīstamo kravu aprites likumā (skatīt arī atzinumu par saistīto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kāpēc projektā ir nepieciešams paredzēt speciālu bīstamo kravu aprites kontroles kārtību  autopārvadājumos, bet nav nepieciešams paredzēt bīstamo kravu aprites kontroles kārtību dzelzceļa, gaisa un kuģu pārvadājumos (vismaz attiecībā uz pārbaudes protokolu sastādīšanu un 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Bīstamo kravu autopārvadājumu kontrole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Veicot muitas kontroli Valsts ieņēmumu dienesta muitas iestādes kontrolē bīstamo kravu autopārvadājumu noteikumu ievērošanu, par katru pārbaudīto transportlīdzekli sastādot bīstamo kravu autopārvadājumu pārbaudes protokolu trijos eksemplāros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Protokola pirmo eksemplāru uzglabā kontroles institūcija, kas sastādījusi protokolu, otro eksemplāru izsniedz pārbaudītā transportlīdzekļa vadītājam, trešo eksemplāru nosūta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papildināt Ministru kabineta 2011. gada 5. jūlija noteikumus Nr. 541 “Bīstamo kravu aprites kontroles kārtība” ar IV nodaļu “Bīstamo kravu autopārvadājumu kontrole”. No minētās nodaļas 25. un 27. punktā ietvertā regulējuma izriet, ka Valsts ieņēmumu dienestam, veicot muitas kontroli, ir noteikts pienākums kontrolēt bīstamo kravu autopārvadājumu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Valsts ieņēmumu dienestam attiecībā uz bīstamo kravu autopārvadājumu noteikumu ievērošanu ir noteikta kontroles funkcija, tiesiskās skaidrības nolūkā lūdzam Ministru kabineta 2011. gada 5. jūlija noteikumu Nr. 541 “Bīstamo kravu aprites kontroles kārtība” 2. punktu papildināt, nosakot, ka atbildīgā uzraudzības institūcija, kas nodrošina bīstamo kravu aprites kontroli autopārvadājumos, veicot muitas kontroli,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Bīstamo kravu autopārvadājumu pārbaudes protokolā norāda šādas pārkāpumu riska kategorijas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un izziņā ietvertā informācija neliecina, ka ir izvērtēts iebildums par riska kategoriju un pārkāpumu klasifikācijas atbilstību, kā arī Latvijas tiesiskā regulējuma atbilstību pašreizējai situācijai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rūpīgi izvērtēt Tieslietu ministrijas 11.03.2026. atzinuma (23-TA-288) 2. punktā ietverto iebildumu. Izvērtējums – argumentēts skaidrojums – ietverams vai nu projekta anotācijā, vai, ja konkrētajā aspektā tas neatbilst anotācijas saturam,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projektā šobrīd riska kategoriju regulējumā izmantotas vairākpakāpju atsauces, kas nav vēlama pieeja normatīvā akta projektā. Turklāt pamatjautājumu regulējumā ir ietvertas atsauces uz noteikumu pielikumu, kas rada šaubas, vai pielikuma saturs patiešām atbilst Ministru kabineta noteikumu pielikuma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uzlikto sankciju skaitu un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izmantojams termins "sankcija", lai apzīmētu korektīvos pasākumus, kontroles pasākumus vai tamlīdzīga rakstura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tiesību aktos ar sankcijām pamatā saprot krimināltiesiska (sodoša) rakstura administratīvas sankcijas (sodus) kā pretstatu nesodoša rakstura administratīviem pasākumiem. Piemēram, direktīvā lietots apzīmējums "korektīvie pasākumi", kas savukārt ierasti norāda tieši uz nesodoša rakstura administratīviem pasākumiem (līdzekļiem) pretēji sodiem (sankcijām). Tie parasti ir dažādi pienākumi vai ierobežojumi, kam nepiemīt soda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termins "sankcijas" citā nozīmē nav lietojams. Sankcijas vispārīgi ietvertu arī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"korektīvie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piemēroto korektīvo pasākumu skaitu un veidus.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pielikuma redakciju, pārliecinoties par pilnīgu un korektu Direktīvas 2025/1801 pārņemšanu, nepieciešamības gadījumā veicot precizējumus vai sniedzot papildus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2012.gada 21.februāra noteikumu Nr.134 "Personu apliecinošu dokumentu noteikumi" 2. punktam nav personu apliecinoša dokumenta bez personas sejas attēla (fotogrāfijas), kā norādīts projekta 1. pielikuma 3.4.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1.8. apakšpunkts noteic, ka "</w:t>
            </w:r>
            <w:r w:rsidR="00000000" w:rsidRPr="00000000" w:rsidDel="00000000">
              <w:rPr>
                <w:i w:val="1"/>
                <w:rtl w:val="0"/>
              </w:rPr>
              <w:t xml:space="preserve">transportlīdzeklis neatbilst apstiprinājuma prasībām un </w:t>
            </w:r>
            <w:r w:rsidR="00000000" w:rsidRPr="00000000" w:rsidDel="00000000">
              <w:rPr>
                <w:i w:val="1"/>
                <w:u w:val="single"/>
                <w:rtl w:val="0"/>
              </w:rPr>
              <w:t xml:space="preserve">var radīt tiešus draudus</w:t>
            </w:r>
            <w:r w:rsidR="00000000" w:rsidRPr="00000000" w:rsidDel="00000000">
              <w:rPr>
                <w:rtl w:val="0"/>
              </w:rPr>
              <w:t xml:space="preserve">", bet tajā pārņemtais Direktīvas 2025/1801 pielikums (grozītais Direktīvas 2022/1999 II pielikuma pirmās daļas 8. punkts) paredz, ka "[..]</w:t>
            </w:r>
            <w:r w:rsidR="00000000" w:rsidRPr="00000000" w:rsidDel="00000000">
              <w:rPr>
                <w:i w:val="1"/>
                <w:rtl w:val="0"/>
              </w:rPr>
              <w:t xml:space="preserve"> </w:t>
            </w:r>
            <w:r w:rsidR="00000000" w:rsidRPr="00000000" w:rsidDel="00000000">
              <w:rPr>
                <w:i w:val="1"/>
                <w:u w:val="single"/>
                <w:rtl w:val="0"/>
              </w:rPr>
              <w:t xml:space="preserve">rada tūlītējas briesmas (citādi tiek klasificēts II riska kategorijā)</w:t>
            </w:r>
            <w:r w:rsidR="00000000" w:rsidRPr="00000000" w:rsidDel="00000000">
              <w:rPr>
                <w:rtl w:val="0"/>
              </w:rPr>
              <w:t xml:space="preserve">". Attiecīgi potenciāla tiešu draudu radīšana nav vienlīdzīgs risks tūlītēju briesmu radīšanai, kas ir svarīgs aspekts, nosakot, vai pārkāpums klasificējams I vai II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kategorijas apraksts neaptver visu no Direktīvas 2025/1801 pielikuma (grozītā Direktīvas 2022/1999 II pielikuma trešā daļa) izrietošo III riska kategorijas aprakstu, piemēram, ka pārkāpums var izraisīt fizisku ievainojumu. Precīzs riska kategorijas formulējums ir svarīgs gadījumā, ja konstatēts pārkāpums, kas nav uzskaitīts sarakstā un to jāklasificē saskaņā ar riska kategoriju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Direktīvas 2025/1801 pielikuma (grozītais Direktīvas 2022/1999 II pielikums) izriet nosacījums, par visnopietnākās riska kategorijas piemērošanu vairāku pārkāpumu konstatācijas gadījumā, kas projektā nav nostiprināts.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28., 29. un 30.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pārbaudes protokola saturs rada šaubas par kontroles pasākumu un administratīvā pārkāpuma procesa norobežošanu. Projekta anotācijā nav ietverts skaidrojums, kāpēc Latvijas tiesību sistēmā ir izmantoti tieši tādi korektīvo pasākumi apzīmējumi un kāds ir šo pasākumu saturs un attiecīgi arī apsvērumi par atbilstību ES tiesību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autopārvadājumu pārbaudes protokolā kā korektīvie pasākumi ir norādīti: oficiālais ziņojums (uzsākts administratīvā pārkāpuma process), aizrādījums un imobilizācija. Projekta anotācijā skaidrots: "Kontroles protokolā veiktajai atzīmei "Oficiālais ziņojums (uzsākts administratīvā pārkāpuma process)" ir informatīva nozīme, un tā paredzēta kontroles rezultātu pārskatāmībai un kontroles institūciju darba organizēšanas atvieglošanai."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šāds skaidrojums neatklāj ne oficiālā ziņojuma vai citu korektīvo pārkāpumu saturu, ne arī rada priekšstatu par kontroles un sodīšanas jeb administratīvā pārkāpuma procesa norobežošanu. Ja administratīvā pārkāpuma procesu uzsāk atsevišķi, balstoties uz kontroles laikā iegūtajām ziņām, tad kontroles protokola sagatavošanas laikā vienmēr nav iespējams zināt, vai ir uzsākts administratīvā pārkāpuma process. Pat ja oficiālo ziņojumu saprastu kā Administratīvās atbildības likuma 116. pantā minēto citas iestādes ziņojumu, kas ir viens no administratīvā pārkāpuma procesa uzsākšanas pamatiem, tas nenozīmē, ka administratīvā pārkāpuma process jau ir uzsākts vai vispār tiks uzsākts. Līdz ar to šāda norāde ir neatbilstoša kontroles pasākumu norisei un administratīvā pārkāpuma procesa regulējumam. Tāpat projekta anotācijā nav ietverts nekāds pamatojums, kāpēc Latvijas tiesību sistēmā "oficiālais ziņojums" būtu saprotams kā iestādes ziņojums par iespējamu administratīvu pārkāpumu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Protokolā kā korektīvais pasākums ir minēts arī aizrādījums. Projekta anotācijā nav skaidrota šā aizrādījuma nozīme un tiesiskās sekas. Turklāt atkal tas vedina domāt par administratīvā pārkāpuma procesa institūtu izmantošanu. Saskaņā ar Administratīvās atbildības likuma 11. panta pirmo daļu maznozīmīga pārkāpuma gadījumā personai var izteikt aizrādījumu. Tas nerada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pielikuma 28. punkta daļu "Imobilizācija (5.pants)", formulējot to atbilstoši direktīvas, kā tiesību akta,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pantu: "</w:t>
            </w:r>
            <w:r w:rsidR="00000000" w:rsidRPr="00000000" w:rsidDel="00000000">
              <w:rPr>
                <w:i w:val="1"/>
                <w:rtl w:val="0"/>
              </w:rPr>
              <w:t xml:space="preserve">direktīvas tām dalībvalstīm, kurām tās adresētas, uzliek saistības attiecībā uz sasniedzamo rezultātu, bet ļauj šo valstu varasiestādēm noteikt to sasniegšanas formas un metodes</w:t>
            </w:r>
            <w:r w:rsidR="00000000" w:rsidRPr="00000000" w:rsidDel="00000000">
              <w:rPr>
                <w:rtl w:val="0"/>
              </w:rPr>
              <w:t xml:space="preserve">".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Savukārt dalībvalstu fiziskajām un juridiskajām personām direktīvās iekļautie nosacījumi kļūst par saistošiem tikai ar brīdi, kad pārņemti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projektā ietvertā atsauce uz direktīvas vienību aizstājama ar atsauci uz nacionālo tiesību normu, normatīvo aktu vai to jomu, ar kuru attiecīgā direktīvas prasības ir pārņemta.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28.1. apakšpunkts, protokols un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nodrošināt pilnīgu un precīzu projekta un no tā izrietošo saistību izpratni tiesību normu adresātiem.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riska kategoriju noteikšanu un to, kā praktiski izpaužas tas, ka "</w:t>
            </w:r>
            <w:r w:rsidR="00000000" w:rsidRPr="00000000" w:rsidDel="00000000">
              <w:rPr>
                <w:i w:val="1"/>
                <w:rtl w:val="0"/>
              </w:rPr>
              <w:t xml:space="preserve">pārkāpuma riska kategorija var tikt gan paaugstināta, gan pazemināta</w:t>
            </w:r>
            <w:r w:rsidR="00000000" w:rsidRPr="00000000" w:rsidDel="00000000">
              <w:rPr>
                <w:rtl w:val="0"/>
              </w:rPr>
              <w:t xml:space="preserve">", ja vienlaicīgi norādīts, ka "</w:t>
            </w:r>
            <w:r w:rsidR="00000000" w:rsidRPr="00000000" w:rsidDel="00000000">
              <w:rPr>
                <w:i w:val="1"/>
                <w:rtl w:val="0"/>
              </w:rPr>
              <w:t xml:space="preserve">riska kategorija tiek noteikta, ņemot vērā konkrētos pārkāpuma apstākļus un pēc attiecīgās pārbaudi veicošās struktūras vai amatpersonas ieskatiem</w:t>
            </w:r>
            <w:r w:rsidR="00000000" w:rsidRPr="00000000" w:rsidDel="00000000">
              <w:rPr>
                <w:rtl w:val="0"/>
              </w:rPr>
              <w:t xml:space="preserve">" u.c. no projekta izrietošos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praktiski tiks īstenots nosacījums par tieši neuzskaitītu pārkāpumu klasificēšanu saskaņā ar riska kategoriju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tiesiskās noteiktības nolūkā projektā izvairīties no subjektīvi vērtējamiem formulējumiem vai anotācijā skaidrot to izpratni projekta kontekstā, piemēram, kas uzskatāms par "būtisku kaitējumu videi" vai "nopietnu fizisku ievainojumu".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punktā minētajos gadījumos bīstamo kravu aprites dalībnieks neatbilstību novērš nekavējoties neatbilstības konstatēšanas vietā. Ja tas nav iespējams, pārvadāšanas līdzekli, kravas konteineru vai transportlīdzekli pārvieto uz tuvāko uzraudzības institūcijas noteikto vietu, kurā iespējams novietot transportlīdzekli, kas pārvadā bīstamo kravu.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1.2.-1.4. apakšpunktus kontekstā ar projekta 1. pielikumā veiktajiem precizējumiem. Piemēram, 1.3. apakšpunkts noteic, ka "[..] </w:t>
            </w:r>
            <w:r w:rsidR="00000000" w:rsidRPr="00000000" w:rsidDel="00000000">
              <w:rPr>
                <w:i w:val="1"/>
                <w:rtl w:val="0"/>
              </w:rPr>
              <w:t xml:space="preserve">1. pielikuma 2. punktā minētajām neatbilstībām, kas var apdraudēt pārvadājumu drošību, </w:t>
            </w:r>
            <w:r w:rsidR="00000000" w:rsidRPr="00000000" w:rsidDel="00000000">
              <w:rPr>
                <w:i w:val="1"/>
                <w:u w:val="single"/>
                <w:rtl w:val="0"/>
              </w:rPr>
              <w:t xml:space="preserve">radot apdraudējumu cilvēku vai dzīvnieku dzīvībai vai veselībai, īpašumam vai videi</w:t>
            </w:r>
            <w:r w:rsidR="00000000" w:rsidRPr="00000000" w:rsidDel="00000000">
              <w:rPr>
                <w:u w:val="single"/>
                <w:rtl w:val="0"/>
              </w:rPr>
              <w:t xml:space="preserve"> (</w:t>
            </w:r>
            <w:r w:rsidR="00000000" w:rsidRPr="00000000" w:rsidDel="00000000">
              <w:rPr>
                <w:rtl w:val="0"/>
              </w:rPr>
              <w:t xml:space="preserve">..)", bet 1. pielikuma 2. punkts noteic, ka "</w:t>
            </w:r>
            <w:r w:rsidR="00000000" w:rsidRPr="00000000" w:rsidDel="00000000">
              <w:rPr>
                <w:i w:val="1"/>
                <w:rtl w:val="0"/>
              </w:rPr>
              <w:t xml:space="preserve">var apdraudēt pārvadājumu drošību, </w:t>
            </w:r>
            <w:r w:rsidR="00000000" w:rsidRPr="00000000" w:rsidDel="00000000">
              <w:rPr>
                <w:i w:val="1"/>
                <w:u w:val="single"/>
                <w:rtl w:val="0"/>
              </w:rPr>
              <w:t xml:space="preserve">radot nopietnu fizisku ievainojumu vai būtisku apdraudējumu videi</w:t>
            </w:r>
            <w:r w:rsidR="00000000" w:rsidRPr="00000000" w:rsidDel="00000000">
              <w:rPr>
                <w:i w:val="1"/>
                <w:rtl w:val="0"/>
              </w:rPr>
              <w:t xml:space="preserve">, ja (..)</w:t>
            </w:r>
            <w:r w:rsidR="00000000" w:rsidRPr="00000000" w:rsidDel="00000000">
              <w:rPr>
                <w:rtl w:val="0"/>
              </w:rPr>
              <w:t xml:space="preserve">", kas nav savstarpēji atbilstīgi.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punktā minētajos gadījumos bīstamo kravu aprites dalībnieks neatbilstību novērš nekavējoties neatbilstības konstatēšanas vietā. Ja tas nav iespējams, pārvadāšanas līdzekli, kravas konteineru vai transportlīdzekli pārvieto uz tuvāko uzraudzības institūcijas noteikto vietu, kurā iespējams novietot transportlīdzekli, kas pārvadā bīstamo kravu.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Pārbaudot bīstamo kravu pārvadājumu noteikumu ievērošanu, Valsts policija par katru pārbaudīto transportlīdzekli sastāda bīstamo kravu autopārvadājumu pārbaudes protokolu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divos eksemplāros. Protokola pirmo eksemplāru uzglabā Valsts policijā, otro eksemplāru izsniedz pārbaudītā transportlīdzekļa vadītājam.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saglabāts  IV.nodaļā "Bīstamo kravu autopārvadājumu kontrole" paredzētais regulējums, ņemot vērā, ka atbilstoši Noteikumu 2.1. apakšpunktam Valsts policija kontrolē tikai bīstamo kravu apriti autopārvadājumos, aizstāt 24.punktā vārdu "pārvadājumu" ar vārdu "autopārvadājumu".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Veicot muitas kontroli Valsts ieņēmumu dienesta muitas iestādes kontrolē bīstamo kravu autopārvadājumu noteikumu ievērošanu, par katru pārbaudīto transportlīdzekli sastādot bīstamo kravu autopārvadājumu pārbaudes protokolu trijos eksemplāros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Protokola pirmo eksemplāru uzglabā kontroles institūcija, kas sastādījusi protokolu, otro eksemplāru izsniedz pārbaudītā transportlīdzekļa vadītājam, trešo eksemplāru nosūta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saglabāts  IV.nodaļā "Bīstamo kravu autopārvadājumu kontrole" paredzētais regulējums, projekta 25.punktā: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atsauci uz 2.pielikumu, jo šāda atsauce jau ir ietverta 24.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25. punkts attiecas uz VID muitas iestādēm, aizstāt otrajā teikumā vārdus "kontroles institūcija, kas sastādījusi protokolu" ar vārdiem "muitas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Informāciju, kas norādīta bīstamo kravu autopārvadājumu pārbaudes protokolā, valsts policijas darbinieks vai amatpersona, kura sastādījusi aktu vai protokolu, nekavējoties, bet ne vēlāk kā triju darbdienu laikā iekļauj normatīvajos aktos par autopārvadājumu kontroles organizēšanas un īstenošanas kārtību minētajā uzskaites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saglabāts  IV.nodaļā "Bīstamo kravu autopārvadājumu kontrole" paredzētais regulējums, projekta 27.punktā: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"valsts policijas darbinieks vai amatpersona, kura sastādījusi aktu vai protokolu" ar vārdiem "Valsts policijas vai muitas iestādes amatpersona, kura sastādījusi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"uzskaites sistēmā" ar vārdiem "Autopārvadājumu kontroles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iekļauts 23-TA-288.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un simbola "/" lietojumu abos projekta pielikumos, izvēloties lietot saikli "un" vai saikli "vai" un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"/"saprotams gan saiklis "un", gan saiklis "vai". Attiecīgi, lietojot simbolu "/", no projekta neizriet, kurš saiklis ar to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"uzņēmums" lietojumu projektā. Norādām, ka saskaņā ar Komerclikuma 18. pantu termins "uzņēmums" apzīmē organizatoriski saimniecisku vienību un nevis komercdarbības vai saimnieciskās darbības subjektu. Ņemot vērā minēto, lūdzam izvērtēt un nepieciešamības gadījumā precizēt projekta pielikumu,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skaidru, nepārprotamu un tiesību normu adresātiem precīzi izprotamu projekta redakciju. Tāda norāde kā "nav ievēroti noteikumi par pārtikas produktiem" vai "transportlīdzeklis neatbilst apstiprinājuma prasībām" neatbilst juridiskās tehnikas prasībām, nenodrošina precīzu, nepārprotamu izpratni par to, kādi konkrēti noteikumi, prasības ar to saprotami.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tādiem formulējumiem kā "rakstiskās instrukcijas" lūdzam ņemt vērā arī to, ka normatīvajā aktā ietver atsauces tikai uz citām šo noteikumu vienībām, citiem tāda paša vai augstāka juridiska spēka normatīvajiem aktiem un Eiropas Savienības un starptautiskajiem tiesību aktiem, kas ir saistoši Latvijai, nevis uz nesaistošiem, iekšējiem vai tā saucamiem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normu adresātiem nodrošināt skaidru, tiešu un korektu projekta izpratni, kā arī pienācīgu Direktīvas 2025/1801 pārņemšanu tajā.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pielikuma 20. punktā noteikts "</w:t>
            </w:r>
            <w:r w:rsidR="00000000" w:rsidRPr="00000000" w:rsidDel="00000000">
              <w:rPr>
                <w:i w:val="1"/>
                <w:rtl w:val="0"/>
              </w:rPr>
              <w:t xml:space="preserve">Kraušana un nostiprināšana (piemēram, ADR 7.5.7.)</w:t>
            </w:r>
            <w:r w:rsidR="00000000" w:rsidRPr="00000000" w:rsidDel="00000000">
              <w:rPr>
                <w:rtl w:val="0"/>
              </w:rPr>
              <w:t xml:space="preserve">", bet Direktīvas 2025/1801 (grozītais Direktīvas 2022/1999 I pielikuma 20. punkts) paredz "</w:t>
            </w:r>
            <w:r w:rsidR="00000000" w:rsidRPr="00000000" w:rsidDel="00000000">
              <w:rPr>
                <w:i w:val="1"/>
                <w:rtl w:val="0"/>
              </w:rPr>
              <w:t xml:space="preserve">pārkraušana un uzglabāšana (piemēram, ADR 7.5.7.)</w:t>
            </w:r>
            <w:r w:rsidR="00000000" w:rsidRPr="00000000" w:rsidDel="00000000">
              <w:rPr>
                <w:rtl w:val="0"/>
              </w:rPr>
              <w:t xml:space="preserve">", kas pirmsšķietami nav saprotamas kā identiskas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26. punktā ietverta atsauce uz valsts noteikumiem, bet ne projekts, ne anotācija nenodrošina izpratni tam, kas projekta kontekstā ar to saprotams, tādēļ atbilstoši juridiskās tehnikas prasībām lūdzam paredzēt nepārprotamu atsauci uz nacionālo ārējo normatīvo aktu vai to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pielikumā lietotos saīsinājumus, apzīmējumus, piemēram, "MEMU", nodrošinot, ka tiesību normu adresātam tie ir skaidri un nepārprotami, kā arī ievērojot, ka projektā pieļaujams lietot vienīgi vispārzināmas abreviatūras. Vēršam uzmanību, ka atbilstoši juridiskās tehnikas prasībām saīsinājumus piesaka pirmajā vietā juridiskajā tekstā, kur lietots attiecīgais saīsinājums, un tie konsekventi lietojami tālāk dokumenta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20:27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 anotācijas 5. sadaļu, nodrošinot korektu, pilnīgu un precīzu no Eiropas Savienības tiesību aktiem izrietošo saistību pārņemšanu un tās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2025. gada 23. jūnija Deleģētās direktīvas (ES) 2025/1801, ar ko zinātnes un tehnikas attīstībai pielāgo I un II pielikumu Eiropas Parlamenta un Padomes Direktīvai (ES) 2022/1999 par vienotu kārtību, kādā pārbauda bīstamo kravu pārvadāšanu pa autoceļiem (turpmāk - Direktīva 2025/1801) pielikums groza Eiropas Parlamenta un Padomes 2022. gada 19. oktobra Direktīvas (ES) 2022/1999 par vienotu kārtību, kādā pārbauda bīstamo kravu pārvadāšanu pa autoceļiem (turpmāk - Direktīva 2022/1999) I un II pielikumu, attiecīgi anotācijas 5.4. sadaļas 1. tabulā lūdzam atsaukties arī uz korespondējošām Direktīvas 2022/1999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norādīts uz direktīvas 2025/1801 1. panta un pielikuma otrās daļas pārņemšanu projekta pielikumā, tomēr projekta pielikuma 1. punkts pārņem Direktīvas 2025/1801 pielikumu (grozīto Direktīvas 2022/1999 II pielikuma pirmo daļu)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anotācijas 1.3. apakšsadaļā minētajam projekts saistīts arī ar Apvienoto Nāciju organizācijas (ANO) 2019. gada 13. maija konferences lēmumu, par kura izpildi vai ieviešanu (arī atbilstību šim lēmumam, ja tas nav jāizpilda vai jāievieš) nepieciešams sniegt skaidrojumu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projekta redakcijai tiek izpildītas arī citas no Direktīvas 2025/1801 izrietošās prasības, piemēram, 2. panta 1. punkta trešā daļa (projekta 1.4. apakšpunkts), par ko nepieciešams sniegt attiecīgu skaidrojumu;  </w:t>
            </w:r>
            <w:r w:rsidR="00000000" w:rsidRPr="00000000" w:rsidDel="00000000">
              <w:rPr>
                <w:rtl w:val="0"/>
              </w:rPr>
              <w:t xml:space="preserve">5) nepieciešams skaidrot, kā tiks nodrošināta pilnīga Direktīvas 2025/1801 pārņemšana, jo projekts pārņem tikai tās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pielikuma redakciju, pārliecinoties par pilnīgu un korektu direktīvas pārņemšanu, nepieciešamības gadījumā veicot precizējumus vai sniedzot papildus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pielikuma 2.10. apakšpunkts nosaka: "</w:t>
            </w:r>
            <w:r w:rsidR="00000000" w:rsidRPr="00000000" w:rsidDel="00000000">
              <w:rPr>
                <w:i w:val="1"/>
                <w:rtl w:val="0"/>
              </w:rPr>
              <w:t xml:space="preserve">transportlīdzeklis vai cits bīstamo kravu apritē izmantojamais pārvadāšanas līdzeklis ir nepareizi marķēts vai apzīmēts</w:t>
            </w:r>
            <w:r w:rsidR="00000000" w:rsidRPr="00000000" w:rsidDel="00000000">
              <w:rPr>
                <w:rtl w:val="0"/>
              </w:rPr>
              <w:t xml:space="preserve">", bet tajā pārņemtais Direktīvas 2025/1801 pielikums (grozītais Direktīvas 2022/1999 II pielikuma otrās daļas 9. punkts) paredz, ka: "</w:t>
            </w:r>
            <w:r w:rsidR="00000000" w:rsidRPr="00000000" w:rsidDel="00000000">
              <w:rPr>
                <w:i w:val="1"/>
                <w:rtl w:val="0"/>
              </w:rPr>
              <w:t xml:space="preserve">uz </w:t>
            </w:r>
            <w:r w:rsidR="00000000" w:rsidRPr="00000000" w:rsidDel="00000000">
              <w:rPr>
                <w:i w:val="1"/>
                <w:u w:val="single"/>
                <w:rtl w:val="0"/>
              </w:rPr>
              <w:t xml:space="preserve">iepakojumiem, cisternām</w:t>
            </w:r>
            <w:r w:rsidR="00000000" w:rsidRPr="00000000" w:rsidDel="00000000">
              <w:rPr>
                <w:i w:val="1"/>
                <w:rtl w:val="0"/>
              </w:rPr>
              <w:t xml:space="preserve">, transportlīdzekļiem un/vai ietvara ir nepareizas etiķetes, marķējums (arī oranžas krāsas pazīšanas zīmes marķējums), norādījumu plāksnītes vai citas identifikācijas zīmes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2025/1801 pielikums (grozītais Direktīvas 2022/1999 II pielikuma 2. daļas 8. punkts) paredz, ka "</w:t>
            </w:r>
            <w:r w:rsidR="00000000" w:rsidRPr="00000000" w:rsidDel="00000000">
              <w:rPr>
                <w:i w:val="1"/>
                <w:rtl w:val="0"/>
              </w:rPr>
              <w:t xml:space="preserve">nav pienācīgi aizvērtas cisternas/cisternkonteineri, </w:t>
            </w:r>
            <w:r w:rsidR="00000000" w:rsidRPr="00000000" w:rsidDel="00000000">
              <w:rPr>
                <w:i w:val="1"/>
                <w:u w:val="single"/>
                <w:rtl w:val="0"/>
              </w:rPr>
              <w:t xml:space="preserve">transportlīdzekļi, konteineri </w:t>
            </w:r>
            <w:r w:rsidR="00000000" w:rsidRPr="00000000" w:rsidDel="00000000">
              <w:rPr>
                <w:i w:val="1"/>
                <w:rtl w:val="0"/>
              </w:rPr>
              <w:t xml:space="preserve">vai iepakojumi (arī tādi, kas ir tukši un neiztīrīti)</w:t>
            </w:r>
            <w:r w:rsidR="00000000" w:rsidRPr="00000000" w:rsidDel="00000000">
              <w:rPr>
                <w:rtl w:val="0"/>
              </w:rPr>
              <w:t xml:space="preserve">;", bet projekta pielikuma 2.8. punkts paredz: "</w:t>
            </w:r>
            <w:r w:rsidR="00000000" w:rsidRPr="00000000" w:rsidDel="00000000">
              <w:rPr>
                <w:i w:val="1"/>
                <w:rtl w:val="0"/>
              </w:rPr>
              <w:t xml:space="preserve">iepakojumi, cisternas vai cisternkonteineri ir neatbilstoši noslēgti (arī tukši neattīrīti)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nodrošināt, lai tiesību norma ir skaidra, nepārprotama un tās lietotājam, piemērotājam precīzi izprotama. Piemēram, norādē:  "</w:t>
            </w:r>
            <w:r w:rsidR="00000000" w:rsidRPr="00000000" w:rsidDel="00000000">
              <w:rPr>
                <w:i w:val="1"/>
                <w:rtl w:val="0"/>
              </w:rPr>
              <w:t xml:space="preserve">1.11. izmantotas tādas cisternas, transportlīdzekļi un konteineri, kas neatbilst </w:t>
            </w:r>
            <w:r w:rsidR="00000000" w:rsidRPr="00000000" w:rsidDel="00000000">
              <w:rPr>
                <w:i w:val="1"/>
                <w:u w:val="single"/>
                <w:rtl w:val="0"/>
              </w:rPr>
              <w:t xml:space="preserve">piemērojamajiem noteikumiem</w:t>
            </w:r>
            <w:r w:rsidR="00000000" w:rsidRPr="00000000" w:rsidDel="00000000">
              <w:rPr>
                <w:rtl w:val="0"/>
              </w:rPr>
              <w:t xml:space="preserve">;" ietvertā vispārīga atsauce uz “piemērojamiem noteikumiem” neatbilst juridiskās tehnikas prasībām, jo nav norādīts ne konkrētais normatīvais akts, ne tiesību joma. Iesakām arī anotācijā skaidrot tādus jēdzienu kā, piemēram, "būtisks kaitējums videi" izpratni, lai atvieglotu projekta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pamatojoties uz Ministru kabineta 2009. gada 3. februāra noteikumu Nr. 108 "Normatīvo aktu projektu sagatavošanas noteikumi" 131. punktu, svītrot projekta pielikumā ietverto atsauci uz Apvienoto Nāciju Organizācijas Rekomendācijām bīstamo kravu pārvadāšanai, nepieciešamības gadījumā pārņemot attiecīgās rekomendācijas prasības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arī pārējo Direktīvas 2022/1999 normu (proti, to normu, kuras netiek grozītas ar Direktīvu 2025/1801) pārņemšanu  Ministru kabineta 2011. gada 5. jūlija noteikumos Nr. 541 "Bīstamo kravu aprites kontroles kārtība" vai skaidrot pamatojumu, kādēļ tas nav nepieciešams (piemēram, Direktīvas 2022/1999 normas neparedz no minēto noteikumu informatīvās atsaucēs norādītajām atceltajām direktīvām atšķirīgu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un simbola "/" lietojumu projektā. Vēršam uzmanību, ka: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"/"saprotams gan saiklis "un", gan saiklis "vai". Attiecīgi, lietojot simbolu "/", no projekta neizriet, kurš saiklis ar to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projektu, izvairoties no skaidrojumu sniegšanas iekavās, kā arī no sinonīmu izmantošanas ("bīstamo kravu drošības konsultantam (padomniekam)"). Skaidrojumus rosinām ietvert anotācijā vai arī, ja šiem skaidrojumiem jāpaliek projektā, lūdzam iekavas aizstāt ar pieturzīmi komats vai domuzīme.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termina "uzņēmums" lietojumu projektā. Norādām, ka saskaņā ar Komerclikuma 18. pantu termins "uzņēmums" apzīmē organizatoriski saimniecisku vienību un nevis komercdarbības vai saimnieciskās darbības subjektu. Ņemot vērā minēto, lūdzam izvērtēt un nepieciešamības gadījumā precizēt projekta pielikumu,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w:t>
    </w:r>
    <w:r>
      <w:br/>
    </w:r>
    <w:r w:rsidR="00000000" w:rsidRPr="00000000" w:rsidDel="00000000">
      <w:rPr>
        <w:rtl w:val="0"/>
      </w:rPr>
      <w:t xml:space="preserve">22.07.2026. 11.24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w:t>
    </w:r>
    <w:r>
      <w:br/>
    </w:r>
    <w:r w:rsidR="00000000" w:rsidRPr="00000000" w:rsidDel="00000000">
      <w:rPr>
        <w:rtl w:val="0"/>
      </w:rPr>
      <w:t xml:space="preserve">22.07.2026. 11.24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Izziņa_23-TA-291.docx</dc:title>
</cp:coreProperties>
</file>

<file path=docProps/custom.xml><?xml version="1.0" encoding="utf-8"?>
<Properties xmlns="http://schemas.openxmlformats.org/officeDocument/2006/custom-properties" xmlns:vt="http://schemas.openxmlformats.org/officeDocument/2006/docPropsVTypes"/>
</file>