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9A5746" w14:textId="77777777" w:rsidR="003B1A93" w:rsidRDefault="00E021B6">
      <w:pPr>
        <w:spacing w:after="240"/>
        <w:jc w:val="center"/>
        <w:rPr>
          <w:b/>
        </w:rPr>
      </w:pPr>
      <w:r>
        <w:rPr>
          <w:b/>
        </w:rPr>
        <w:t>“Publiskās apspriešanas laikā 16.06.2026. - 30.06.2026. saņemto viedokļu, priekšlikumu un iebildumu apkopojums par Grozījumi Ministru kabineta 2014. gada 14. oktobra noteikumos Nr.&amp;nbsp;628 "Noteikumi par pašvaldību teritorijas attīstības plānošanas dokumentiem"”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3B1A93" w14:paraId="7FF3EC0C" w14:textId="77777777">
        <w:tc>
          <w:tcPr>
            <w:tcW w:w="750" w:type="dxa"/>
            <w:shd w:val="clear" w:color="auto" w:fill="FFFFFF"/>
            <w:noWrap/>
            <w:tcMar>
              <w:top w:w="75" w:type="dxa"/>
              <w:left w:w="75" w:type="dxa"/>
              <w:bottom w:w="75" w:type="dxa"/>
              <w:right w:w="75" w:type="dxa"/>
            </w:tcMar>
            <w:vAlign w:val="center"/>
          </w:tcPr>
          <w:p w14:paraId="2312D14D" w14:textId="77777777" w:rsidR="003B1A93" w:rsidRDefault="00E021B6">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23F44BA5" w14:textId="77777777" w:rsidR="003B1A93" w:rsidRDefault="00E021B6">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E06B628" w14:textId="77777777" w:rsidR="003B1A93" w:rsidRDefault="00E021B6">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128705BC" w14:textId="77777777" w:rsidR="003B1A93" w:rsidRDefault="00E021B6">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60F3B1AC" w14:textId="77777777" w:rsidR="003B1A93" w:rsidRDefault="00E021B6">
            <w:pPr>
              <w:jc w:val="center"/>
            </w:pPr>
            <w:r>
              <w:rPr>
                <w:b/>
              </w:rPr>
              <w:t>Skaidrojums, kādā veidā viedoklis / priekšlikums / iebildums ir ņemts vērā vai ņemts vērā daļēji, vai pamatojums, ja viedoklis / priekšlikums / iebildums nav ņemts vērā</w:t>
            </w:r>
          </w:p>
        </w:tc>
      </w:tr>
      <w:tr w:rsidR="003B1A93" w14:paraId="25D7BA19" w14:textId="77777777">
        <w:tc>
          <w:tcPr>
            <w:tcW w:w="750" w:type="dxa"/>
            <w:shd w:val="clear" w:color="auto" w:fill="FFFFFF"/>
            <w:noWrap/>
            <w:tcMar>
              <w:top w:w="75" w:type="dxa"/>
              <w:left w:w="75" w:type="dxa"/>
              <w:bottom w:w="75" w:type="dxa"/>
              <w:right w:w="75" w:type="dxa"/>
            </w:tcMar>
            <w:vAlign w:val="center"/>
          </w:tcPr>
          <w:p w14:paraId="4BB37D06" w14:textId="77777777" w:rsidR="003B1A93" w:rsidRDefault="00E021B6">
            <w:pPr>
              <w:jc w:val="center"/>
            </w:pPr>
            <w:r>
              <w:t>1.</w:t>
            </w:r>
          </w:p>
        </w:tc>
        <w:tc>
          <w:tcPr>
            <w:tcW w:w="4055" w:type="dxa"/>
            <w:shd w:val="clear" w:color="auto" w:fill="FFFFFF"/>
            <w:noWrap/>
            <w:tcMar>
              <w:top w:w="75" w:type="dxa"/>
              <w:left w:w="75" w:type="dxa"/>
              <w:bottom w:w="75" w:type="dxa"/>
              <w:right w:w="75" w:type="dxa"/>
            </w:tcMar>
            <w:vAlign w:val="center"/>
          </w:tcPr>
          <w:p w14:paraId="3FD021FA" w14:textId="77777777" w:rsidR="003B1A93" w:rsidRDefault="00E021B6">
            <w:pPr>
              <w:jc w:val="left"/>
            </w:pPr>
            <w:r>
              <w:t>Fiziska persona</w:t>
            </w:r>
          </w:p>
        </w:tc>
        <w:tc>
          <w:tcPr>
            <w:tcW w:w="4056" w:type="dxa"/>
            <w:shd w:val="clear" w:color="auto" w:fill="FFFFFF"/>
            <w:noWrap/>
            <w:tcMar>
              <w:top w:w="75" w:type="dxa"/>
              <w:left w:w="75" w:type="dxa"/>
              <w:bottom w:w="75" w:type="dxa"/>
              <w:right w:w="75" w:type="dxa"/>
            </w:tcMar>
            <w:vAlign w:val="center"/>
          </w:tcPr>
          <w:p w14:paraId="2EB442A5" w14:textId="77777777" w:rsidR="003B1A93" w:rsidRDefault="00E021B6">
            <w:pPr>
              <w:jc w:val="left"/>
            </w:pPr>
            <w:r>
              <w:rPr>
                <w:i/>
                <w:vertAlign w:val="superscript"/>
              </w:rPr>
              <w:t xml:space="preserve">Papildināt ar 5.2.1 apakšnodaļu šādā redakcijā:"5.2.1 Teritorijas plānojuma un </w:t>
            </w:r>
            <w:proofErr w:type="spellStart"/>
            <w:r>
              <w:rPr>
                <w:i/>
                <w:vertAlign w:val="superscript"/>
              </w:rPr>
              <w:t>lokālplānojuma</w:t>
            </w:r>
            <w:proofErr w:type="spellEnd"/>
            <w:r>
              <w:rPr>
                <w:i/>
                <w:vertAlign w:val="superscript"/>
              </w:rPr>
              <w:t xml:space="preserve"> grozījumi vienkāršotā kārtībā95.1 Pašvaldība var veikt teritorijas plānojuma vai </w:t>
            </w:r>
            <w:proofErr w:type="spellStart"/>
            <w:r>
              <w:rPr>
                <w:i/>
                <w:vertAlign w:val="superscript"/>
              </w:rPr>
              <w:t>lokālplānojuma</w:t>
            </w:r>
            <w:proofErr w:type="spellEnd"/>
            <w:r>
              <w:rPr>
                <w:i/>
                <w:vertAlign w:val="superscript"/>
              </w:rPr>
              <w:t xml:space="preserve"> grozījumus vienkāršotā kārtībā, ja plānošanas dokuments ir izstrādāts sistēmā un grozījumi atbilst vismaz vienam no šādiem nosacījumiem:95.11. tiek nodrošināta atbilstība augstāka juridiskā spēka normatīvajiem aktiem;95.12. tiek novērstas tehniskas kļūdas vai pretrunas starp plānošanas dokumenta teksta un grafisko daļu;95.13. tiek novērstas ministrijas norādītas neatbilstības, kas neskar plānošanas</w:t>
            </w:r>
            <w:r>
              <w:rPr>
                <w:i/>
                <w:vertAlign w:val="superscript"/>
              </w:rPr>
              <w:t xml:space="preserve"> dokumenta risinājumus pēc būtības un personu tiesiskās intereses;95.14. tiek aktualizēti dati atbilstoši valsts informācijas sistēmās reģistrētajām </w:t>
            </w:r>
            <w:r>
              <w:rPr>
                <w:i/>
                <w:vertAlign w:val="superscript"/>
              </w:rPr>
              <w:lastRenderedPageBreak/>
              <w:t xml:space="preserve">ziņām;95.15. tiek veikti grozījumi, kas izriet no objektīvi konstatējamiem tiesiskajiem apstākļiem un nemaina teritorijas plānojuma vai </w:t>
            </w:r>
            <w:proofErr w:type="spellStart"/>
            <w:r>
              <w:rPr>
                <w:i/>
                <w:vertAlign w:val="superscript"/>
              </w:rPr>
              <w:t>lokālplānojuma</w:t>
            </w:r>
            <w:proofErr w:type="spellEnd"/>
            <w:r>
              <w:rPr>
                <w:i/>
                <w:vertAlign w:val="superscript"/>
              </w:rPr>
              <w:t xml:space="preserve"> risinājumus pēc būtības.95.2 Pašvaldības dome pieņem lēmumu par teritorijas plānojuma vai </w:t>
            </w:r>
            <w:proofErr w:type="spellStart"/>
            <w:r>
              <w:rPr>
                <w:i/>
                <w:vertAlign w:val="superscript"/>
              </w:rPr>
              <w:t>lokālplānojuma</w:t>
            </w:r>
            <w:proofErr w:type="spellEnd"/>
            <w:r>
              <w:rPr>
                <w:i/>
                <w:vertAlign w:val="superscript"/>
              </w:rPr>
              <w:t xml:space="preserve"> grozījumu izstrādes uzsākšanu vienkāršotā kārtībā, lēmuma pamatojuma daļā norādot atbilstību šo noteikumu 9</w:t>
            </w:r>
            <w:r>
              <w:rPr>
                <w:i/>
                <w:vertAlign w:val="superscript"/>
              </w:rPr>
              <w:t xml:space="preserve">5.1 punktam. Pašvaldība sistēmā ievieto lēmumu, grozījumu projektu un tā pamatojumu.95.3 Pašvaldība nodrošina sabiedrības iepazīstināšanu ar teritorijas plānojuma vai </w:t>
            </w:r>
            <w:proofErr w:type="spellStart"/>
            <w:r>
              <w:rPr>
                <w:i/>
                <w:vertAlign w:val="superscript"/>
              </w:rPr>
              <w:t>lokālplānojuma</w:t>
            </w:r>
            <w:proofErr w:type="spellEnd"/>
            <w:r>
              <w:rPr>
                <w:i/>
                <w:vertAlign w:val="superscript"/>
              </w:rPr>
              <w:t xml:space="preserve"> grozījumu projektu, paredzot 10 darbdienu termiņu viedokļu sniegšanai sistēmā.95.4 Pēc sabiedrības iesaistes termiņa beigām ministrija piecu darbdienu laikā izvērtē teritorijas plānojuma vai </w:t>
            </w:r>
            <w:proofErr w:type="spellStart"/>
            <w:r>
              <w:rPr>
                <w:i/>
                <w:vertAlign w:val="superscript"/>
              </w:rPr>
              <w:t>lokālplānojuma</w:t>
            </w:r>
            <w:proofErr w:type="spellEnd"/>
            <w:r>
              <w:rPr>
                <w:i/>
                <w:vertAlign w:val="superscript"/>
              </w:rPr>
              <w:t xml:space="preserve"> grozījumu atbilstību šo noteikumu 95.1 punktā minētajiem nosacījumiem un sistēmā veic atzīmi par procesa turpmāko virzību.95</w:t>
            </w:r>
            <w:r>
              <w:rPr>
                <w:i/>
                <w:vertAlign w:val="superscript"/>
              </w:rPr>
              <w:t xml:space="preserve">.5 Ja ministrija sistēmā veic atzīmi par neatbilstību vienkāršotās kārtības nosacījumiem, pašvaldība pieņem lēmumu par teritorijas plānojuma vai </w:t>
            </w:r>
            <w:proofErr w:type="spellStart"/>
            <w:r>
              <w:rPr>
                <w:i/>
                <w:vertAlign w:val="superscript"/>
              </w:rPr>
              <w:t>lokālplānojuma</w:t>
            </w:r>
            <w:proofErr w:type="spellEnd"/>
            <w:r>
              <w:rPr>
                <w:i/>
                <w:vertAlign w:val="superscript"/>
              </w:rPr>
              <w:t xml:space="preserve"> grozījumu izstrādes turpināšanu vispārējā kārtībā saskaņā ar šo noteikumu 5.2. apakšnodaļu vai par grozījumu izstrādes procesa izbeigšanu."</w:t>
            </w:r>
            <w:r>
              <w:br/>
            </w:r>
            <w:r>
              <w:br/>
            </w:r>
            <w:r>
              <w:rPr>
                <w:b/>
                <w:u w:val="single"/>
              </w:rPr>
              <w:t>Iebildums</w:t>
            </w:r>
            <w:r>
              <w:br/>
            </w:r>
            <w:r>
              <w:t xml:space="preserve">Biedrība "Latvijas Lielo pilsētu </w:t>
            </w:r>
            <w:r>
              <w:lastRenderedPageBreak/>
              <w:t xml:space="preserve">asociācija" ir iepazinusies ar noteikumu projektu un neatbalsta tā tālāku virzību, jo piedāvātajā redakcijā noteikumu grozījumi nesasniedz tiesību akta projekta mērķi, proti, grozīt noteikumus, papildinot tos ar vienkāršoto kārtību teritorijas plānojuma un </w:t>
            </w:r>
            <w:proofErr w:type="spellStart"/>
            <w:r>
              <w:t>lokālplānojuma</w:t>
            </w:r>
            <w:proofErr w:type="spellEnd"/>
            <w:r>
              <w:t xml:space="preserve"> grozījumiem, kas neparedz institūciju nosacījumu un atzinumu pieprasīšanu, kā arī pilna apjoma publiskās apspriešanas procedūru. </w:t>
            </w:r>
            <w:r>
              <w:br/>
            </w:r>
            <w:r>
              <w:br/>
            </w:r>
            <w:r>
              <w:t>Kaut gan noteikumu normu redakcija ir tulkojama plaši un faktiski atļauj piemērot vienkāršoto procedūru vairākiem gadījumiem, tomēr noteikumu anotācija norādītais stipri sašaurina šo gadījumu skaitu, tādā veidā, ka grozījumu mērķis ne tikai netiek sasniegts, bet vispār apšauba šo noteikumu nepieciešamību.</w:t>
            </w:r>
            <w:r>
              <w:br/>
            </w:r>
            <w:r>
              <w:br/>
            </w:r>
            <w:r>
              <w:t>Tātad  kaut gan 95.</w:t>
            </w:r>
            <w:r>
              <w:rPr>
                <w:vertAlign w:val="superscript"/>
              </w:rPr>
              <w:t>1</w:t>
            </w:r>
            <w:r>
              <w:t xml:space="preserve">punkta norma </w:t>
            </w:r>
            <w:r>
              <w:lastRenderedPageBreak/>
              <w:t>ir pietiekoši elastīga, noteikumu anotācijā ir norādīts sekojošais:</w:t>
            </w:r>
            <w:r>
              <w:br/>
            </w:r>
            <w:r>
              <w:rPr>
                <w:u w:val="single"/>
              </w:rPr>
              <w:t>Vienkāršotā kārtība nav piemērojama, ja</w:t>
            </w:r>
            <w:r>
              <w:t xml:space="preserve"> plānotie grozījumi skar plānošanas risinājumu </w:t>
            </w:r>
            <w:r>
              <w:rPr>
                <w:b/>
              </w:rPr>
              <w:t>izmaiņas pēc būtības:</w:t>
            </w:r>
            <w:r>
              <w:br/>
            </w:r>
            <w:r>
              <w:t>     - šāda kārtība nav izmantojama gadījumos, kas saistīti ar plānošanas risinājumu izmaiņām;</w:t>
            </w:r>
            <w:r>
              <w:br/>
            </w:r>
            <w:r>
              <w:t xml:space="preserve">     - spēkā esošo </w:t>
            </w:r>
            <w:r>
              <w:rPr>
                <w:b/>
              </w:rPr>
              <w:t>apbūves noteikumu punktu dzēšana;</w:t>
            </w:r>
            <w:r>
              <w:br/>
            </w:r>
            <w:r>
              <w:t>     - </w:t>
            </w:r>
            <w:r>
              <w:rPr>
                <w:b/>
              </w:rPr>
              <w:t>sarkano līniju precizēšana</w:t>
            </w:r>
            <w:r>
              <w:t>;</w:t>
            </w:r>
            <w:r>
              <w:br/>
            </w:r>
            <w:r>
              <w:t xml:space="preserve">     - </w:t>
            </w:r>
            <w:r>
              <w:rPr>
                <w:b/>
              </w:rPr>
              <w:t>funkcionālā zonējuma korekcijas</w:t>
            </w:r>
            <w:r>
              <w:t xml:space="preserve"> zemes vienību robežu pārkārtošanas rezultātā;</w:t>
            </w:r>
            <w:r>
              <w:br/>
            </w:r>
            <w:r>
              <w:t xml:space="preserve">     - </w:t>
            </w:r>
            <w:r>
              <w:rPr>
                <w:b/>
              </w:rPr>
              <w:t>teritoriju ar īpašiem noteikumiem</w:t>
            </w:r>
            <w:r>
              <w:t xml:space="preserve"> atcelšana.</w:t>
            </w:r>
            <w:r>
              <w:br/>
            </w:r>
            <w:r>
              <w:br/>
            </w:r>
            <w:r>
              <w:t>Ņemot vērā, ka anotācijas tvērums būtiski sašaurina noteikumu projekta 95.</w:t>
            </w:r>
            <w:r>
              <w:rPr>
                <w:vertAlign w:val="superscript"/>
              </w:rPr>
              <w:t>1</w:t>
            </w:r>
            <w:r>
              <w:t xml:space="preserve"> punktā paredzēto gadījumu loku, radot pretrunu starp normas tekstu un tās skaidrojumu, nepieciešams precizēt anotāciju.</w:t>
            </w:r>
            <w:r>
              <w:br/>
            </w:r>
            <w:r>
              <w:br/>
            </w:r>
            <w:r>
              <w:t xml:space="preserve">Noteikumos nepieciešams nepārprotami nostiprināt, ka </w:t>
            </w:r>
            <w:r>
              <w:lastRenderedPageBreak/>
              <w:t>vienkāršotās kārtības piemērošana ir pašvaldības tiesība, nevis pienākums.</w:t>
            </w:r>
            <w:r>
              <w:br/>
            </w:r>
            <w:r>
              <w:br/>
            </w:r>
            <w:r>
              <w:t>Nepieciešams precizēt  jēdziena „objektīvi konstatējami tiesiskie apstākļi” (95.</w:t>
            </w:r>
            <w:r>
              <w:rPr>
                <w:vertAlign w:val="superscript"/>
              </w:rPr>
              <w:t>1</w:t>
            </w:r>
            <w:r>
              <w:t xml:space="preserve"> 5. apakšpunkts), lai novērstu tiesisko nenoteiktību normas piemērošanā nākotnē.</w:t>
            </w:r>
            <w:r>
              <w:br/>
            </w:r>
            <w:r>
              <w:br/>
            </w:r>
            <w:r>
              <w:t>Valsts informācijas sistēmās reģistrētās ziņas (95.</w:t>
            </w:r>
            <w:r>
              <w:rPr>
                <w:vertAlign w:val="superscript"/>
              </w:rPr>
              <w:t>1</w:t>
            </w:r>
            <w:r>
              <w:t>4. apakšpunkts) aptver plašu jomu loku — apgrūtinājumus (t.sk. sarkanās līnijas), kadastra datus, biotopus, kultūras mantojuma vērtības u.c. Līdz ar to precizējams šo ziņu tvērums. Vienlaikus vēršam uzmanību, ka reģistrēto ziņu aktualizācija datubāzēs nodrošināma automatizēti un regulāri (piemēram, reizi gadā), to nesaistot ar teritorijas plānojuma grozījumu procedūru.</w:t>
            </w:r>
            <w:r>
              <w:br/>
            </w:r>
            <w:r>
              <w:br/>
            </w:r>
            <w:r>
              <w:t xml:space="preserve">Projektā nav noregulēta turpmākā procedūra pēc Viedās </w:t>
            </w:r>
            <w:r>
              <w:lastRenderedPageBreak/>
              <w:t xml:space="preserve">administrācijas un reģionālās attīstības ministrijas (VARAM) atzīmes par uzsāktajiem teritorijas plānojuma vai </w:t>
            </w:r>
            <w:proofErr w:type="spellStart"/>
            <w:r>
              <w:t>lokālplānojuma</w:t>
            </w:r>
            <w:proofErr w:type="spellEnd"/>
            <w:r>
              <w:t xml:space="preserve"> grozījumiem.</w:t>
            </w:r>
            <w:r>
              <w:br/>
            </w:r>
            <w:r>
              <w:br/>
            </w:r>
            <w:r>
              <w:t xml:space="preserve">Pamatojoties uz to, ka par šo jautājumu starp visām iesaistītajām pusēm notika vairākas diskusijas un darba grupas, lūdzam ņemt vērā pašvaldības un nekustamo īpašumu īpašnieku intereses vienkāršot procedūru, lai savietotu sarkano līniju ar zemes vienības robežu, koriģētu līniju pa esošu ēku kontūru, novērstu </w:t>
            </w:r>
            <w:proofErr w:type="spellStart"/>
            <w:r>
              <w:t>starpgabalus</w:t>
            </w:r>
            <w:proofErr w:type="spellEnd"/>
            <w:r>
              <w:t>, sarkano līniju un citu aizsargjoslu, kas ir pašvaldības kompetencē,  grozījumiem, kas saskaņoti ar nekustamā īpašuma īpašnieku rakstisku piekrišanu u.c. gadījumos, kad būtiski netiek mainī</w:t>
            </w:r>
            <w:r>
              <w:t>ts teritorijas plānojums.</w:t>
            </w:r>
          </w:p>
        </w:tc>
        <w:tc>
          <w:tcPr>
            <w:tcW w:w="1650" w:type="dxa"/>
            <w:shd w:val="clear" w:color="auto" w:fill="FFFFFF"/>
            <w:noWrap/>
            <w:tcMar>
              <w:top w:w="75" w:type="dxa"/>
              <w:left w:w="75" w:type="dxa"/>
              <w:bottom w:w="75" w:type="dxa"/>
              <w:right w:w="75" w:type="dxa"/>
            </w:tcMar>
            <w:vAlign w:val="center"/>
          </w:tcPr>
          <w:p w14:paraId="79D6378B" w14:textId="57472607" w:rsidR="003B1A93" w:rsidRDefault="00977FD6">
            <w:pPr>
              <w:jc w:val="left"/>
            </w:pPr>
            <w:r>
              <w:lastRenderedPageBreak/>
              <w:t>Daļēji ņemts vērā.</w:t>
            </w:r>
          </w:p>
          <w:p w14:paraId="51FB5720" w14:textId="77777777" w:rsidR="007F355F" w:rsidRDefault="007F355F">
            <w:pPr>
              <w:jc w:val="left"/>
            </w:pPr>
          </w:p>
          <w:p w14:paraId="661F00D2" w14:textId="77777777" w:rsidR="007F355F" w:rsidRDefault="007F355F">
            <w:pPr>
              <w:jc w:val="left"/>
            </w:pPr>
          </w:p>
          <w:p w14:paraId="25152F75" w14:textId="77777777" w:rsidR="007F355F" w:rsidRDefault="007F355F">
            <w:pPr>
              <w:jc w:val="left"/>
            </w:pPr>
          </w:p>
          <w:p w14:paraId="46194FC6" w14:textId="77777777" w:rsidR="007F355F" w:rsidRDefault="007F355F">
            <w:pPr>
              <w:jc w:val="left"/>
            </w:pPr>
          </w:p>
          <w:p w14:paraId="764CEF8D" w14:textId="77777777" w:rsidR="007F355F" w:rsidRDefault="007F355F">
            <w:pPr>
              <w:jc w:val="left"/>
            </w:pPr>
          </w:p>
          <w:p w14:paraId="055E0148" w14:textId="77777777" w:rsidR="007F355F" w:rsidRDefault="007F355F">
            <w:pPr>
              <w:jc w:val="left"/>
            </w:pPr>
          </w:p>
          <w:p w14:paraId="48F016BD" w14:textId="77777777" w:rsidR="007F355F" w:rsidRDefault="007F355F">
            <w:pPr>
              <w:jc w:val="left"/>
            </w:pPr>
          </w:p>
          <w:p w14:paraId="065DFC13" w14:textId="77777777" w:rsidR="007F355F" w:rsidRDefault="007F355F">
            <w:pPr>
              <w:jc w:val="left"/>
            </w:pPr>
          </w:p>
          <w:p w14:paraId="25C4AE63" w14:textId="77777777" w:rsidR="007F355F" w:rsidRDefault="007F355F">
            <w:pPr>
              <w:jc w:val="left"/>
            </w:pPr>
          </w:p>
          <w:p w14:paraId="39A77498" w14:textId="77777777" w:rsidR="007F355F" w:rsidRDefault="007F355F">
            <w:pPr>
              <w:jc w:val="left"/>
            </w:pPr>
          </w:p>
          <w:p w14:paraId="2EAEE888" w14:textId="77777777" w:rsidR="007F355F" w:rsidRDefault="007F355F">
            <w:pPr>
              <w:jc w:val="left"/>
            </w:pPr>
          </w:p>
          <w:p w14:paraId="44E8C0AC" w14:textId="77777777" w:rsidR="007F355F" w:rsidRDefault="007F355F">
            <w:pPr>
              <w:jc w:val="left"/>
            </w:pPr>
          </w:p>
          <w:p w14:paraId="63C7C8AD" w14:textId="77777777" w:rsidR="007F355F" w:rsidRDefault="007F355F">
            <w:pPr>
              <w:jc w:val="left"/>
            </w:pPr>
          </w:p>
          <w:p w14:paraId="4C105A79" w14:textId="77777777" w:rsidR="007F355F" w:rsidRDefault="007F355F">
            <w:pPr>
              <w:jc w:val="left"/>
            </w:pPr>
          </w:p>
          <w:p w14:paraId="02D452CF" w14:textId="77777777" w:rsidR="007F355F" w:rsidRDefault="007F355F">
            <w:pPr>
              <w:jc w:val="left"/>
            </w:pPr>
          </w:p>
          <w:p w14:paraId="20A7E0BA" w14:textId="77777777" w:rsidR="007F355F" w:rsidRDefault="007F355F">
            <w:pPr>
              <w:jc w:val="left"/>
            </w:pPr>
          </w:p>
          <w:p w14:paraId="37870E96" w14:textId="77777777" w:rsidR="007F355F" w:rsidRDefault="007F355F">
            <w:pPr>
              <w:jc w:val="left"/>
            </w:pPr>
          </w:p>
          <w:p w14:paraId="746B4032" w14:textId="77777777" w:rsidR="007F355F" w:rsidRDefault="007F355F">
            <w:pPr>
              <w:jc w:val="left"/>
            </w:pPr>
          </w:p>
          <w:p w14:paraId="52A1CEBA" w14:textId="77777777" w:rsidR="007F355F" w:rsidRDefault="007F355F">
            <w:pPr>
              <w:jc w:val="left"/>
            </w:pPr>
          </w:p>
          <w:p w14:paraId="0B003205" w14:textId="77777777" w:rsidR="007F355F" w:rsidRDefault="007F355F">
            <w:pPr>
              <w:jc w:val="left"/>
            </w:pPr>
          </w:p>
          <w:p w14:paraId="05B365B0" w14:textId="77777777" w:rsidR="007F355F" w:rsidRDefault="007F355F">
            <w:pPr>
              <w:jc w:val="left"/>
            </w:pPr>
          </w:p>
          <w:p w14:paraId="0AA312A9" w14:textId="77777777" w:rsidR="007F355F" w:rsidRDefault="007F355F">
            <w:pPr>
              <w:jc w:val="left"/>
            </w:pPr>
          </w:p>
          <w:p w14:paraId="476C813F" w14:textId="77777777" w:rsidR="007F355F" w:rsidRDefault="007F355F">
            <w:pPr>
              <w:jc w:val="left"/>
            </w:pPr>
          </w:p>
          <w:p w14:paraId="301077B8" w14:textId="77777777" w:rsidR="007F355F" w:rsidRDefault="007F355F">
            <w:pPr>
              <w:jc w:val="left"/>
            </w:pPr>
          </w:p>
          <w:p w14:paraId="22374955" w14:textId="77777777" w:rsidR="007F355F" w:rsidRDefault="007F355F">
            <w:pPr>
              <w:jc w:val="left"/>
            </w:pPr>
          </w:p>
          <w:p w14:paraId="61AF90ED" w14:textId="77777777" w:rsidR="007F355F" w:rsidRDefault="007F355F">
            <w:pPr>
              <w:jc w:val="left"/>
            </w:pPr>
          </w:p>
          <w:p w14:paraId="6D7E7667" w14:textId="77777777" w:rsidR="007F355F" w:rsidRDefault="007F355F">
            <w:pPr>
              <w:jc w:val="left"/>
            </w:pPr>
          </w:p>
          <w:p w14:paraId="0BC0657F" w14:textId="77777777" w:rsidR="007F355F" w:rsidRDefault="007F355F">
            <w:pPr>
              <w:jc w:val="left"/>
            </w:pPr>
          </w:p>
          <w:p w14:paraId="4AE276A6" w14:textId="77777777" w:rsidR="007F355F" w:rsidRDefault="007F355F">
            <w:pPr>
              <w:jc w:val="left"/>
            </w:pPr>
          </w:p>
          <w:p w14:paraId="16052F80" w14:textId="77777777" w:rsidR="007F355F" w:rsidRDefault="007F355F">
            <w:pPr>
              <w:jc w:val="left"/>
            </w:pPr>
          </w:p>
          <w:p w14:paraId="5F67F2B3" w14:textId="77777777" w:rsidR="007F355F" w:rsidRDefault="007F355F">
            <w:pPr>
              <w:jc w:val="left"/>
            </w:pPr>
          </w:p>
          <w:p w14:paraId="113B4AC1" w14:textId="77777777" w:rsidR="007F355F" w:rsidRDefault="007F355F">
            <w:pPr>
              <w:jc w:val="left"/>
            </w:pPr>
          </w:p>
          <w:p w14:paraId="2A44CCF1" w14:textId="77777777" w:rsidR="007F355F" w:rsidRDefault="007F355F">
            <w:pPr>
              <w:jc w:val="left"/>
            </w:pPr>
          </w:p>
          <w:p w14:paraId="6E43FF9A" w14:textId="77777777" w:rsidR="007F355F" w:rsidRDefault="007F355F">
            <w:pPr>
              <w:jc w:val="left"/>
            </w:pPr>
          </w:p>
          <w:p w14:paraId="58A10C00" w14:textId="77777777" w:rsidR="007F355F" w:rsidRDefault="007F355F">
            <w:pPr>
              <w:jc w:val="left"/>
            </w:pPr>
          </w:p>
          <w:p w14:paraId="49535425" w14:textId="77777777" w:rsidR="007F355F" w:rsidRDefault="007F355F">
            <w:pPr>
              <w:jc w:val="left"/>
            </w:pPr>
          </w:p>
          <w:p w14:paraId="704C1448" w14:textId="77777777" w:rsidR="007F355F" w:rsidRDefault="007F355F">
            <w:pPr>
              <w:jc w:val="left"/>
            </w:pPr>
          </w:p>
          <w:p w14:paraId="3ABF6DD3" w14:textId="77777777" w:rsidR="007F355F" w:rsidRDefault="007F355F">
            <w:pPr>
              <w:jc w:val="left"/>
            </w:pPr>
          </w:p>
          <w:p w14:paraId="5B63FA5E" w14:textId="77777777" w:rsidR="007F355F" w:rsidRDefault="007F355F">
            <w:pPr>
              <w:jc w:val="left"/>
            </w:pPr>
          </w:p>
          <w:p w14:paraId="0A2DBC98" w14:textId="77777777" w:rsidR="007F355F" w:rsidRDefault="007F355F">
            <w:pPr>
              <w:jc w:val="left"/>
            </w:pPr>
          </w:p>
          <w:p w14:paraId="42AFF742" w14:textId="77777777" w:rsidR="007F355F" w:rsidRDefault="007F355F">
            <w:pPr>
              <w:jc w:val="left"/>
            </w:pPr>
          </w:p>
          <w:p w14:paraId="5E013E20" w14:textId="77777777" w:rsidR="007F355F" w:rsidRDefault="007F355F">
            <w:pPr>
              <w:jc w:val="left"/>
            </w:pPr>
          </w:p>
          <w:p w14:paraId="546D9114" w14:textId="1065D989" w:rsidR="007F355F" w:rsidRDefault="007F355F">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6734C5D0" w14:textId="77777777" w:rsidR="00977FD6" w:rsidRDefault="00977FD6">
            <w:pPr>
              <w:jc w:val="left"/>
            </w:pPr>
          </w:p>
          <w:p w14:paraId="7FF94513" w14:textId="2DD40412" w:rsidR="00977FD6" w:rsidRDefault="00977FD6">
            <w:pPr>
              <w:jc w:val="left"/>
            </w:pPr>
            <w:r w:rsidRPr="00977FD6">
              <w:t xml:space="preserve">Priekšlikumā ietvertā nepieciešamība nodrošināt skaidru un pārskatāmu vienkāršotās kārtības piemērošanas kontroli ir ņemta vērā, paredzot pašvaldības lēmuma, grozījumu projekta un tā pamatojuma ievietošanu sistēmā, kā arī ministrijas tiesības pārbaudīt vienkāršotās kārtības piemērošanas atbilstību noteiktajiem nosacījumiem. Savukārt priekšlikumā paredzētais </w:t>
            </w:r>
            <w:r>
              <w:t xml:space="preserve">Viedās administrācijas un reģionālās </w:t>
            </w:r>
            <w:r w:rsidRPr="00977FD6">
              <w:t xml:space="preserve">ministrijas obligātais </w:t>
            </w:r>
            <w:proofErr w:type="spellStart"/>
            <w:r w:rsidRPr="00977FD6">
              <w:t>izvērtējums</w:t>
            </w:r>
            <w:proofErr w:type="spellEnd"/>
            <w:r w:rsidRPr="00977FD6">
              <w:t xml:space="preserve"> pēc sabiedrības </w:t>
            </w:r>
            <w:r w:rsidRPr="00977FD6">
              <w:lastRenderedPageBreak/>
              <w:t>iepazīstināšanas ar grozījumu projektu un tā veikšanas piecu darbdienu laikā nav pārņemts, jo tas radītu papildu administratīvo procedūru un nav nepieciešams, lai nodrošinātu vienkāršotās kārtības tiesiskumu.</w:t>
            </w:r>
          </w:p>
          <w:p w14:paraId="47EA5CF8" w14:textId="77777777" w:rsidR="00977FD6" w:rsidRDefault="00977FD6">
            <w:pPr>
              <w:jc w:val="left"/>
            </w:pPr>
          </w:p>
          <w:p w14:paraId="09DB9414" w14:textId="77777777" w:rsidR="00977FD6" w:rsidRDefault="00977FD6">
            <w:pPr>
              <w:jc w:val="left"/>
            </w:pPr>
          </w:p>
          <w:p w14:paraId="08D79581" w14:textId="77777777" w:rsidR="00977FD6" w:rsidRDefault="00977FD6">
            <w:pPr>
              <w:jc w:val="left"/>
            </w:pPr>
          </w:p>
          <w:p w14:paraId="7A06F93C" w14:textId="77777777" w:rsidR="00977FD6" w:rsidRDefault="00977FD6">
            <w:pPr>
              <w:jc w:val="left"/>
            </w:pPr>
          </w:p>
          <w:p w14:paraId="70718B2A" w14:textId="77777777" w:rsidR="00977FD6" w:rsidRDefault="00977FD6">
            <w:pPr>
              <w:jc w:val="left"/>
            </w:pPr>
          </w:p>
          <w:p w14:paraId="1C4D8D8D" w14:textId="77777777" w:rsidR="00977FD6" w:rsidRDefault="00977FD6">
            <w:pPr>
              <w:jc w:val="left"/>
            </w:pPr>
          </w:p>
          <w:p w14:paraId="2DB1C67A" w14:textId="77777777" w:rsidR="00977FD6" w:rsidRDefault="00977FD6">
            <w:pPr>
              <w:jc w:val="left"/>
            </w:pPr>
          </w:p>
          <w:p w14:paraId="6EE01EAD" w14:textId="77777777" w:rsidR="00977FD6" w:rsidRDefault="00977FD6">
            <w:pPr>
              <w:jc w:val="left"/>
            </w:pPr>
          </w:p>
          <w:p w14:paraId="223FB0EC" w14:textId="77777777" w:rsidR="00977FD6" w:rsidRDefault="00977FD6">
            <w:pPr>
              <w:jc w:val="left"/>
            </w:pPr>
          </w:p>
          <w:p w14:paraId="5949CC09" w14:textId="77777777" w:rsidR="00977FD6" w:rsidRDefault="00977FD6">
            <w:pPr>
              <w:jc w:val="left"/>
            </w:pPr>
          </w:p>
          <w:p w14:paraId="56641648" w14:textId="77777777" w:rsidR="00977FD6" w:rsidRDefault="00977FD6">
            <w:pPr>
              <w:jc w:val="left"/>
            </w:pPr>
          </w:p>
          <w:p w14:paraId="16981347" w14:textId="77777777" w:rsidR="00977FD6" w:rsidRDefault="00977FD6">
            <w:pPr>
              <w:jc w:val="left"/>
            </w:pPr>
          </w:p>
          <w:p w14:paraId="1D4DC7AF" w14:textId="77777777" w:rsidR="00977FD6" w:rsidRDefault="00977FD6">
            <w:pPr>
              <w:jc w:val="left"/>
            </w:pPr>
          </w:p>
          <w:p w14:paraId="2981F82F" w14:textId="77777777" w:rsidR="00977FD6" w:rsidRDefault="00977FD6">
            <w:pPr>
              <w:jc w:val="left"/>
            </w:pPr>
          </w:p>
          <w:p w14:paraId="77E134A0" w14:textId="77777777" w:rsidR="00977FD6" w:rsidRDefault="00977FD6">
            <w:pPr>
              <w:jc w:val="left"/>
            </w:pPr>
          </w:p>
          <w:p w14:paraId="237292EC" w14:textId="77777777" w:rsidR="00977FD6" w:rsidRDefault="00977FD6">
            <w:pPr>
              <w:jc w:val="left"/>
            </w:pPr>
          </w:p>
          <w:p w14:paraId="770655D4" w14:textId="77777777" w:rsidR="00977FD6" w:rsidRDefault="00977FD6">
            <w:pPr>
              <w:jc w:val="left"/>
            </w:pPr>
          </w:p>
          <w:p w14:paraId="2B05C774" w14:textId="77777777" w:rsidR="00977FD6" w:rsidRDefault="00977FD6">
            <w:pPr>
              <w:jc w:val="left"/>
            </w:pPr>
          </w:p>
          <w:p w14:paraId="762D7F4F" w14:textId="77777777" w:rsidR="00977FD6" w:rsidRDefault="00977FD6">
            <w:pPr>
              <w:jc w:val="left"/>
            </w:pPr>
          </w:p>
          <w:p w14:paraId="44A002CD" w14:textId="77777777" w:rsidR="00977FD6" w:rsidRDefault="00977FD6">
            <w:pPr>
              <w:jc w:val="left"/>
            </w:pPr>
          </w:p>
          <w:p w14:paraId="71361BEF" w14:textId="77777777" w:rsidR="00977FD6" w:rsidRDefault="00977FD6">
            <w:pPr>
              <w:jc w:val="left"/>
            </w:pPr>
          </w:p>
          <w:p w14:paraId="310F8E32" w14:textId="77777777" w:rsidR="00977FD6" w:rsidRDefault="00977FD6">
            <w:pPr>
              <w:jc w:val="left"/>
            </w:pPr>
          </w:p>
          <w:p w14:paraId="68A49882" w14:textId="77777777" w:rsidR="00977FD6" w:rsidRDefault="00977FD6">
            <w:pPr>
              <w:jc w:val="left"/>
            </w:pPr>
          </w:p>
          <w:p w14:paraId="5BD64932" w14:textId="77777777" w:rsidR="00977FD6" w:rsidRDefault="00977FD6">
            <w:pPr>
              <w:jc w:val="left"/>
            </w:pPr>
          </w:p>
          <w:p w14:paraId="3D09DC82" w14:textId="77777777" w:rsidR="00977FD6" w:rsidRDefault="00977FD6">
            <w:pPr>
              <w:jc w:val="left"/>
            </w:pPr>
          </w:p>
          <w:p w14:paraId="1BE64BB8" w14:textId="77777777" w:rsidR="00977FD6" w:rsidRDefault="00977FD6">
            <w:pPr>
              <w:jc w:val="left"/>
            </w:pPr>
          </w:p>
          <w:p w14:paraId="57B870A8" w14:textId="77777777" w:rsidR="00977FD6" w:rsidRDefault="00977FD6">
            <w:pPr>
              <w:jc w:val="left"/>
            </w:pPr>
          </w:p>
          <w:p w14:paraId="36C721AB" w14:textId="77777777" w:rsidR="00977FD6" w:rsidRDefault="00977FD6">
            <w:pPr>
              <w:jc w:val="left"/>
            </w:pPr>
          </w:p>
          <w:p w14:paraId="51A11B01" w14:textId="77777777" w:rsidR="00977FD6" w:rsidRDefault="00977FD6">
            <w:pPr>
              <w:jc w:val="left"/>
            </w:pPr>
          </w:p>
          <w:p w14:paraId="0D9EE882" w14:textId="77777777" w:rsidR="00977FD6" w:rsidRDefault="00977FD6">
            <w:pPr>
              <w:jc w:val="left"/>
            </w:pPr>
          </w:p>
          <w:p w14:paraId="5ADD84DA" w14:textId="77777777" w:rsidR="00977FD6" w:rsidRDefault="00977FD6">
            <w:pPr>
              <w:jc w:val="left"/>
            </w:pPr>
          </w:p>
          <w:p w14:paraId="1A31E5E5" w14:textId="77777777" w:rsidR="00977FD6" w:rsidRDefault="00977FD6">
            <w:pPr>
              <w:jc w:val="left"/>
            </w:pPr>
          </w:p>
          <w:p w14:paraId="37A93773" w14:textId="77777777" w:rsidR="00977FD6" w:rsidRDefault="00977FD6">
            <w:pPr>
              <w:jc w:val="left"/>
            </w:pPr>
          </w:p>
          <w:p w14:paraId="15D298A5" w14:textId="77777777" w:rsidR="00977FD6" w:rsidRDefault="00977FD6">
            <w:pPr>
              <w:jc w:val="left"/>
            </w:pPr>
          </w:p>
          <w:p w14:paraId="0A18CFAF" w14:textId="77777777" w:rsidR="00977FD6" w:rsidRDefault="00977FD6">
            <w:pPr>
              <w:jc w:val="left"/>
            </w:pPr>
          </w:p>
          <w:p w14:paraId="71210833" w14:textId="77777777" w:rsidR="00977FD6" w:rsidRDefault="00977FD6">
            <w:pPr>
              <w:jc w:val="left"/>
            </w:pPr>
          </w:p>
          <w:p w14:paraId="2D5F5022" w14:textId="77777777" w:rsidR="00977FD6" w:rsidRDefault="00977FD6">
            <w:pPr>
              <w:jc w:val="left"/>
            </w:pPr>
          </w:p>
          <w:p w14:paraId="47489089" w14:textId="77777777" w:rsidR="00977FD6" w:rsidRDefault="00977FD6">
            <w:pPr>
              <w:jc w:val="left"/>
            </w:pPr>
          </w:p>
          <w:p w14:paraId="6404EA13" w14:textId="77777777" w:rsidR="00977FD6" w:rsidRDefault="00977FD6">
            <w:pPr>
              <w:jc w:val="left"/>
            </w:pPr>
          </w:p>
          <w:p w14:paraId="081992D2" w14:textId="77777777" w:rsidR="00977FD6" w:rsidRDefault="00977FD6">
            <w:pPr>
              <w:jc w:val="left"/>
            </w:pPr>
          </w:p>
          <w:p w14:paraId="34E84131" w14:textId="77777777" w:rsidR="00977FD6" w:rsidRDefault="00977FD6">
            <w:pPr>
              <w:jc w:val="left"/>
            </w:pPr>
          </w:p>
          <w:p w14:paraId="0A637DA4" w14:textId="58223F6E" w:rsidR="003B1A93" w:rsidRDefault="007F355F">
            <w:pPr>
              <w:jc w:val="left"/>
            </w:pPr>
            <w:r w:rsidRPr="007F355F">
              <w:t>Ņemts vērā, precizējot noteikumu projekta 95.</w:t>
            </w:r>
            <w:r w:rsidRPr="00977FD6">
              <w:rPr>
                <w:vertAlign w:val="superscript"/>
              </w:rPr>
              <w:t>1</w:t>
            </w:r>
            <w:r w:rsidRPr="007F355F">
              <w:t xml:space="preserve">. apakšpunktā paredzētos vienkāršotās kārtības piemērošanas nosacījumus un anotācijā skaidrojot to piemērošanas tvērumu, tostarp attiecībā uz objektīvi konstatējamiem tiesiskiem un </w:t>
            </w:r>
            <w:r w:rsidRPr="007F355F">
              <w:lastRenderedPageBreak/>
              <w:t xml:space="preserve">faktiskiem apstākļiem, valsts informācijas sistēmās reģistrēto datu aktualizāciju, sarkano līniju precizēšanu un citiem tehniska rakstura grozījumiem. Papildus anotācijā skaidri noteikts, ka vienkāršotās kārtības piemērošana ir pašvaldības tiesība, nevis pienākums, un paredzēta </w:t>
            </w:r>
            <w:r>
              <w:t>Viedās administrācijas un reģionālās attīstības ministrijas</w:t>
            </w:r>
            <w:r w:rsidRPr="007F355F">
              <w:t xml:space="preserve"> uzraudzības iespēja</w:t>
            </w:r>
            <w:r>
              <w:t>.</w:t>
            </w:r>
          </w:p>
        </w:tc>
      </w:tr>
    </w:tbl>
    <w:p w14:paraId="600B096D" w14:textId="77777777" w:rsidR="003B1A93" w:rsidRDefault="003B1A93"/>
    <w:tbl>
      <w:tblPr>
        <w:tblStyle w:val="a"/>
        <w:tblW w:w="14567" w:type="dxa"/>
        <w:tblLayout w:type="fixed"/>
        <w:tblLook w:val="0600" w:firstRow="0" w:lastRow="0" w:firstColumn="0" w:lastColumn="0" w:noHBand="1" w:noVBand="1"/>
      </w:tblPr>
      <w:tblGrid>
        <w:gridCol w:w="4855"/>
        <w:gridCol w:w="4856"/>
        <w:gridCol w:w="4856"/>
      </w:tblGrid>
      <w:tr w:rsidR="003B1A93" w14:paraId="685F3F6D" w14:textId="77777777">
        <w:tc>
          <w:tcPr>
            <w:tcW w:w="4855" w:type="dxa"/>
            <w:shd w:val="clear" w:color="auto" w:fill="FFFFFF"/>
            <w:noWrap/>
            <w:tcMar>
              <w:top w:w="75" w:type="dxa"/>
              <w:left w:w="75" w:type="dxa"/>
              <w:bottom w:w="75" w:type="dxa"/>
              <w:right w:w="75" w:type="dxa"/>
            </w:tcMar>
            <w:vAlign w:val="center"/>
          </w:tcPr>
          <w:p w14:paraId="22758B38" w14:textId="77777777" w:rsidR="003B1A93" w:rsidRDefault="00E021B6">
            <w:pPr>
              <w:jc w:val="left"/>
            </w:pPr>
            <w:r>
              <w:t>Datums**</w:t>
            </w:r>
          </w:p>
        </w:tc>
        <w:tc>
          <w:tcPr>
            <w:tcW w:w="4856" w:type="dxa"/>
            <w:shd w:val="clear" w:color="auto" w:fill="FFFFFF"/>
            <w:noWrap/>
            <w:tcMar>
              <w:top w:w="75" w:type="dxa"/>
              <w:left w:w="75" w:type="dxa"/>
              <w:bottom w:w="75" w:type="dxa"/>
              <w:right w:w="75" w:type="dxa"/>
            </w:tcMar>
            <w:vAlign w:val="center"/>
          </w:tcPr>
          <w:p w14:paraId="126A970C" w14:textId="77777777" w:rsidR="003B1A93" w:rsidRDefault="003B1A9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1E316793" w14:textId="77777777" w:rsidR="003B1A93" w:rsidRDefault="003B1A93"/>
        </w:tc>
      </w:tr>
      <w:tr w:rsidR="003B1A93" w14:paraId="371EA338" w14:textId="77777777">
        <w:tc>
          <w:tcPr>
            <w:tcW w:w="4855" w:type="dxa"/>
            <w:shd w:val="clear" w:color="auto" w:fill="FFFFFF"/>
            <w:noWrap/>
            <w:tcMar>
              <w:top w:w="75" w:type="dxa"/>
              <w:left w:w="75" w:type="dxa"/>
              <w:bottom w:w="75" w:type="dxa"/>
              <w:right w:w="75" w:type="dxa"/>
            </w:tcMar>
            <w:vAlign w:val="center"/>
          </w:tcPr>
          <w:p w14:paraId="29112E50" w14:textId="77777777" w:rsidR="003B1A93" w:rsidRDefault="003B1A93"/>
        </w:tc>
        <w:tc>
          <w:tcPr>
            <w:tcW w:w="4856" w:type="dxa"/>
            <w:shd w:val="clear" w:color="auto" w:fill="FFFFFF"/>
            <w:noWrap/>
            <w:tcMar>
              <w:top w:w="75" w:type="dxa"/>
              <w:left w:w="75" w:type="dxa"/>
              <w:bottom w:w="75" w:type="dxa"/>
              <w:right w:w="75" w:type="dxa"/>
            </w:tcMar>
            <w:vAlign w:val="center"/>
          </w:tcPr>
          <w:p w14:paraId="132A7441" w14:textId="77777777" w:rsidR="003B1A93" w:rsidRDefault="00E021B6">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5EBA9623" w14:textId="77777777" w:rsidR="003B1A93" w:rsidRDefault="003B1A93"/>
        </w:tc>
      </w:tr>
      <w:tr w:rsidR="003B1A93" w14:paraId="37CE87FD" w14:textId="77777777">
        <w:tc>
          <w:tcPr>
            <w:tcW w:w="4855" w:type="dxa"/>
            <w:shd w:val="clear" w:color="auto" w:fill="FFFFFF"/>
            <w:noWrap/>
            <w:tcMar>
              <w:top w:w="75" w:type="dxa"/>
              <w:left w:w="75" w:type="dxa"/>
              <w:bottom w:w="75" w:type="dxa"/>
              <w:right w:w="75" w:type="dxa"/>
            </w:tcMar>
            <w:vAlign w:val="center"/>
          </w:tcPr>
          <w:p w14:paraId="2D686167" w14:textId="77777777" w:rsidR="003B1A93" w:rsidRDefault="00E021B6">
            <w:pPr>
              <w:jc w:val="left"/>
            </w:pPr>
            <w:r>
              <w:t>Atbildīgā persona</w:t>
            </w:r>
          </w:p>
        </w:tc>
        <w:tc>
          <w:tcPr>
            <w:tcW w:w="4856" w:type="dxa"/>
            <w:shd w:val="clear" w:color="auto" w:fill="FFFFFF"/>
            <w:noWrap/>
            <w:tcMar>
              <w:top w:w="75" w:type="dxa"/>
              <w:left w:w="75" w:type="dxa"/>
              <w:bottom w:w="75" w:type="dxa"/>
              <w:right w:w="75" w:type="dxa"/>
            </w:tcMar>
            <w:vAlign w:val="center"/>
          </w:tcPr>
          <w:p w14:paraId="186D7FE4" w14:textId="77777777" w:rsidR="003B1A93" w:rsidRDefault="003B1A9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BD00EA4" w14:textId="77777777" w:rsidR="003B1A93" w:rsidRDefault="003B1A93"/>
        </w:tc>
      </w:tr>
      <w:tr w:rsidR="003B1A93" w14:paraId="0600F791" w14:textId="77777777">
        <w:tc>
          <w:tcPr>
            <w:tcW w:w="4855" w:type="dxa"/>
            <w:shd w:val="clear" w:color="auto" w:fill="FFFFFF"/>
            <w:noWrap/>
            <w:tcMar>
              <w:top w:w="75" w:type="dxa"/>
              <w:left w:w="75" w:type="dxa"/>
              <w:bottom w:w="75" w:type="dxa"/>
              <w:right w:w="75" w:type="dxa"/>
            </w:tcMar>
            <w:vAlign w:val="center"/>
          </w:tcPr>
          <w:p w14:paraId="0943C9A8" w14:textId="77777777" w:rsidR="003B1A93" w:rsidRDefault="003B1A93"/>
        </w:tc>
        <w:tc>
          <w:tcPr>
            <w:tcW w:w="4856" w:type="dxa"/>
            <w:shd w:val="clear" w:color="auto" w:fill="FFFFFF"/>
            <w:noWrap/>
            <w:tcMar>
              <w:top w:w="75" w:type="dxa"/>
              <w:left w:w="75" w:type="dxa"/>
              <w:bottom w:w="75" w:type="dxa"/>
              <w:right w:w="75" w:type="dxa"/>
            </w:tcMar>
            <w:vAlign w:val="center"/>
          </w:tcPr>
          <w:p w14:paraId="089BF638" w14:textId="77777777" w:rsidR="003B1A93" w:rsidRDefault="00E021B6">
            <w:pPr>
              <w:jc w:val="center"/>
            </w:pPr>
            <w:r>
              <w:t>(vārds, uzvārds, paraksts**)</w:t>
            </w:r>
          </w:p>
        </w:tc>
        <w:tc>
          <w:tcPr>
            <w:tcW w:w="4856" w:type="dxa"/>
            <w:shd w:val="clear" w:color="auto" w:fill="FFFFFF"/>
            <w:noWrap/>
            <w:tcMar>
              <w:top w:w="75" w:type="dxa"/>
              <w:left w:w="75" w:type="dxa"/>
              <w:bottom w:w="75" w:type="dxa"/>
              <w:right w:w="75" w:type="dxa"/>
            </w:tcMar>
            <w:vAlign w:val="center"/>
          </w:tcPr>
          <w:p w14:paraId="6241810F" w14:textId="77777777" w:rsidR="003B1A93" w:rsidRDefault="003B1A93"/>
        </w:tc>
      </w:tr>
    </w:tbl>
    <w:p w14:paraId="6E26245B" w14:textId="77777777" w:rsidR="003B1A93" w:rsidRDefault="003B1A93"/>
    <w:p w14:paraId="484D971E" w14:textId="77777777" w:rsidR="003B1A93" w:rsidRDefault="00E021B6">
      <w:r>
        <w:t>Piezīmes.</w:t>
      </w:r>
    </w:p>
    <w:p w14:paraId="63AB2EA4" w14:textId="77777777" w:rsidR="003B1A93" w:rsidRDefault="00E021B6">
      <w:r>
        <w:t>* Iesniedzējs (fiziskai personai – vārds, uzvārds, juridiskai personai – nosaukums) var tikt publiskots, ja viņš tam ir piekritis. Ja attiecināms, iesniedzējs norāda interešu pārstāvja reģistrācijas numuru.</w:t>
      </w:r>
    </w:p>
    <w:p w14:paraId="39293420" w14:textId="77777777" w:rsidR="003B1A93" w:rsidRDefault="00E021B6">
      <w:r>
        <w:t>** Dokumenta rekvizītus "datums" un "paraksts" neaizpilda, ja elektroniskais dokuments ir sagatavots atbilstoši normatīvajiem aktiem par elektronisko dokumentu noformēšanu.</w:t>
      </w:r>
    </w:p>
    <w:sectPr w:rsidR="003B1A93">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5D876" w14:textId="77777777" w:rsidR="00E021B6" w:rsidRDefault="00E021B6">
      <w:r>
        <w:separator/>
      </w:r>
    </w:p>
  </w:endnote>
  <w:endnote w:type="continuationSeparator" w:id="0">
    <w:p w14:paraId="5BF8975B" w14:textId="77777777" w:rsidR="00E021B6" w:rsidRDefault="00E02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DC8C" w14:textId="3899AF09" w:rsidR="003B1A93" w:rsidRDefault="00E021B6">
    <w:pPr>
      <w:jc w:val="right"/>
    </w:pPr>
    <w:r>
      <w:rPr>
        <w:sz w:val="24"/>
        <w:szCs w:val="24"/>
      </w:rPr>
      <w:fldChar w:fldCharType="begin"/>
    </w:r>
    <w:r>
      <w:rPr>
        <w:sz w:val="24"/>
        <w:szCs w:val="24"/>
      </w:rPr>
      <w:instrText>PAGE</w:instrText>
    </w:r>
    <w:r w:rsidR="00994905">
      <w:rPr>
        <w:sz w:val="24"/>
        <w:szCs w:val="24"/>
      </w:rPr>
      <w:fldChar w:fldCharType="separate"/>
    </w:r>
    <w:r w:rsidR="00994905">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F778" w14:textId="77777777" w:rsidR="00E021B6" w:rsidRDefault="00E021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23BED" w14:textId="77777777" w:rsidR="00E021B6" w:rsidRDefault="00E021B6">
      <w:r>
        <w:separator/>
      </w:r>
    </w:p>
  </w:footnote>
  <w:footnote w:type="continuationSeparator" w:id="0">
    <w:p w14:paraId="5688C4DC" w14:textId="77777777" w:rsidR="00E021B6" w:rsidRDefault="00E02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9AAD7" w14:textId="77777777" w:rsidR="003B1A93" w:rsidRDefault="00E021B6">
    <w:pPr>
      <w:pStyle w:val="Header"/>
      <w:contextualSpacing w:val="0"/>
    </w:pPr>
    <w:r>
      <w:t>Viedokļu pārskats 26-TA-1355</w:t>
    </w:r>
    <w:r>
      <w:br/>
    </w:r>
    <w:r>
      <w:t>Izdrukāts 24.08.2026. 16.28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2F8DF" w14:textId="77777777" w:rsidR="003B1A93" w:rsidRDefault="00E021B6">
    <w:pPr>
      <w:pStyle w:val="Header"/>
      <w:contextualSpacing w:val="0"/>
    </w:pPr>
    <w:r>
      <w:t>Viedokļu pārskats 26-TA-1355</w:t>
    </w:r>
    <w:r>
      <w:br/>
    </w:r>
    <w:r>
      <w:t>Izdrukāts 24.08.2026. 16.28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A93"/>
    <w:rsid w:val="003B1A93"/>
    <w:rsid w:val="0052627C"/>
    <w:rsid w:val="007F355F"/>
    <w:rsid w:val="00977FD6"/>
    <w:rsid w:val="00994905"/>
    <w:rsid w:val="00E021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4C851"/>
  <w15:docId w15:val="{7616F6FA-213A-4C90-989D-B2A845D7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4643</Words>
  <Characters>2647</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viedoklu_parskats_26-TA-1355.docx</vt:lpstr>
    </vt:vector>
  </TitlesOfParts>
  <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viedoklu_parskats_26-TA-1355.docx</dc:title>
  <dc:creator>Gunita Upīte – Reinika</dc:creator>
  <cp:lastModifiedBy>Gunita Upīte – Reinika</cp:lastModifiedBy>
  <cp:revision>2</cp:revision>
  <dcterms:created xsi:type="dcterms:W3CDTF">2026-08-24T13:57:00Z</dcterms:created>
  <dcterms:modified xsi:type="dcterms:W3CDTF">2026-08-24T13:57:00Z</dcterms:modified>
</cp:coreProperties>
</file>