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22-TA-2357: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valsts kustamās mantas nodošanu bez atlīdzības Ukrainai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valsts kustamās mantas nodošanu bez atlīdzības Ukrainai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2006. gada 25. jūlija noteikumu Nr.618 ”Kārtība, kādā valsts kustamo mantu nodod bez atlīdzības ārvalstu valdību un starpvalstu organizāciju īpašumā” (turpmāk – MK noteikumi Nr.618) 6. punkts paredz, ka valsts kustamo mantu nodod bez atlīdzības, slēdzot rakstisku līgumu, ja atsavināmās valsts kustamās mantas kopējā vērtība saskaņā ar grāmatvedības uzskaites datiem pārsniedz 1000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ka Valsts policija plāno nodot Ukrainai kustamo mantu, kuras vērtība pārsniedz 1 000 euro, lūdzam precizēt rīkojuma projektu "Par valsts kustamās mantas nodošanu bez atlīdzības Ukrainai", tā 3. punktā iekļaujot informāciju, ka Valsts policija kustamo mantu Ukrainai nodod, slēdzot rakstveida līgumu.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Krievijas Federācijas izraisītais karš pret Ukrainu ir radījis ārkārtas apstākļus, kuros mazinājušās Ukrainas institūciju iespējas izvērtēt un abpusēji saskaņot dažādus ar ienākošajām palīdzības kravām saistītos dokumentus. Ņemot vērā minēto, kā arī to, ka atbalsta sniegšanā Ukrainai nepieciešama operatīva rīcība, Iekšlietu ministrija uzskata par nepieciešamu piemērot izņēmumu no Ministru kabineta 2006.gada 25.jūlija noteikumu Nr.618 ”Kārtība, kādā valsts kustamo mantu nodod bez atlīdzības ārvalstu valdību un starpvalstu organizāciju īpašumā” (turpmāk - MK noteikumi Nr.618) noteiktās procedūras - valsts kustamo mantu nodod bez atlīdzības, slēdzot rakstisku līgumu, ja atsavināmās valsts kustamās mantas kopējā vērtība saskaņā ar grāmatvedības uzskaites datiem pārsniedz 1000 euro, un nodot attiecīgos materiāltehniskos līdzekļus, parakstot nodošanas un pieņemšanas aktu, neslēdzot rakstisku līgumu.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valsts kustamās mantas nodošanu bez atlīdzības Ukrainai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w:t>
            </w:r>
            <w:r w:rsidR="00000000" w:rsidRPr="00000000" w:rsidDel="00000000">
              <w:rPr>
                <w:rtl w:val="0"/>
              </w:rPr>
              <w:t xml:space="preserve"> panta pirmo daļu atļaut Iekšlietu ministrijai (Valsts policijai) nodot bez atlīdzības: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Ministru kabineta rīkojuma projekta 1.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43.1 panta pirmo daļu atļaut Iekšlietu ministrijai (Valsts policijai) nodot bez atlīdzības valsts kustamo mantu ar kopējo bilances vērtību 3 412,68 euro, tai skaitā: (tālāk seko apakšpunkti esošajā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precizēts rīkojuma projekta 1.punkts.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w:t>
            </w:r>
            <w:r w:rsidR="00000000" w:rsidRPr="00000000" w:rsidDel="00000000">
              <w:rPr>
                <w:rtl w:val="0"/>
              </w:rPr>
              <w:t xml:space="preserve"> panta pirmo daļu atļaut Iekšlietu ministrijai (Valsts policijai) nodot bez atlīdzības valsts kustamo mantu ar kopējo bilances vērtību 3 412,68 </w:t>
            </w:r>
            <w:r w:rsidR="00000000" w:rsidRPr="00000000" w:rsidDel="00000000">
              <w:rPr>
                <w:i w:val="1"/>
                <w:rtl w:val="0"/>
              </w:rPr>
              <w:t xml:space="preserve">euro</w:t>
            </w:r>
            <w:r w:rsidR="00000000" w:rsidRPr="00000000" w:rsidDel="00000000">
              <w:rPr>
                <w:rtl w:val="0"/>
              </w:rPr>
              <w:t xml:space="preserve">, tai skaitā:</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22-TA-2357</w:t>
    </w:r>
    <w:r>
      <w:br/>
    </w:r>
    <w:r w:rsidR="00000000" w:rsidRPr="00000000" w:rsidDel="00000000">
      <w:rPr>
        <w:rtl w:val="0"/>
      </w:rPr>
      <w:t xml:space="preserve">08.08.2022. 14.27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22-TA-2357</w:t>
    </w:r>
    <w:r>
      <w:br/>
    </w:r>
    <w:r w:rsidR="00000000" w:rsidRPr="00000000" w:rsidDel="00000000">
      <w:rPr>
        <w:rtl w:val="0"/>
      </w:rPr>
      <w:t xml:space="preserve">08.08.2022. 14.27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Izziņa_22-TA-2357.docx</dc:title>
</cp:coreProperties>
</file>

<file path=docProps/custom.xml><?xml version="1.0" encoding="utf-8"?>
<Properties xmlns="http://schemas.openxmlformats.org/officeDocument/2006/custom-properties" xmlns:vt="http://schemas.openxmlformats.org/officeDocument/2006/docPropsVTypes"/>
</file>