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  <w:spacing w:before="240" w:beforeAutospacing="0"/>
        <w:spacing w:after="240" w:afterAutospacing="0"/>
        <w:spacing w:lineRule="auto" w:line="240"/>
        <w:pBdr/>
        <w:rPr>
          <w:sz w:val="28"/>
          <w:b w:val="1"/>
          <w:rtl w:val="0"/>
        </w:rPr>
      </w:pPr>
      <w:r w:rsidR="00000000" w:rsidRPr="00000000" w:rsidDel="00000000">
        <w:rPr>
          <w:sz w:val="28"/>
          <w:b w:val="1"/>
          <w:rtl w:val="0"/>
        </w:rPr>
        <w:t xml:space="preserve"/>
      </w:r>
      <w:r w:rsidR="00000000" w:rsidRPr="00000000" w:rsidDel="00000000">
        <w:rPr>
          <w:sz w:val="28"/>
          <w:b w:val="1"/>
          <w:rtl w:val="0"/>
        </w:rPr>
        <w:t xml:space="preserve">22-TA-76: Rīkojuma projekts (Vispārīgais)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tl w:val="0"/>
        </w:rPr>
        <w:t xml:space="preserve">Par Valsts policijas amatpersonu ar speciālajām dienesta pakāpēm dalību Eiropas Savienības novērošanas misijā Gruzijā (</w:t>
      </w:r>
      <w:r w:rsidR="00000000" w:rsidRPr="00000000" w:rsidDel="00000000">
        <w:rPr>
          <w:i w:val="1"/>
          <w:rtl w:val="0"/>
        </w:rPr>
        <w:t xml:space="preserve">EUMM Georgia</w:t>
      </w:r>
      <w:r w:rsidR="00000000" w:rsidRPr="00000000" w:rsidDel="00000000">
        <w:rPr>
          <w:rtl w:val="0"/>
        </w:rPr>
        <w:t xml:space="preserve">) un finanšu līdzekļu piešķiršanu no valsts budžeta programmas “Līdzekļi neparedzētiem gadījumiem”</w:t>
      </w:r>
    </w:p>
    <w:tbl>
      <w:tblPr>
        <w:tblStyle w:val="DefaultTable"/>
        <w:bidiVisual w:val="0"/>
        <w:tblW w:w="14567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900"/>
        <w:gridCol w:w="3000"/>
        <w:gridCol w:w="3000"/>
        <w:gridCol w:w="3000"/>
        <w:gridCol w:w="3000"/>
        <w:tblGridChange w:id="0">
          <w:tblGrid>
            <w:gridCol w:w="900"/>
            <w:gridCol w:w="3000"/>
            <w:gridCol w:w="3000"/>
            <w:gridCol w:w="3000"/>
            <w:gridCol w:w="30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Saskaņošanai nosūtītā 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Apstrādes informācija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Galīgā redakcija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1.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Anotācija (ex-ante)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 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Priekšlikums (FM - 19.01.2022.)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Lūdzam precizēt anotācijas 3.sadaļas 2022.gada ailē "izmaiņas kārtējā gadā, salīdzinot ar valsts budžetu kārtējam gadam" 5.punktā norādīto skaitli "-129 195", pārceļot to bez mīnus zīmes uz 4.punktu "Finanšu līdzekļi papildu izdevumu finansēšanai (kompensējošu izdevumu palielinājumu norāda ar "-" zīmi)".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6833" w:h="11908" w:orient="landscape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22-TA-76</w:t>
    </w:r>
    <w:r>
      <w:br/>
    </w:r>
    <w:r w:rsidR="00000000" w:rsidRPr="00000000" w:rsidDel="00000000">
      <w:rPr>
        <w:rtl w:val="0"/>
      </w:rPr>
      <w:t xml:space="preserve">25.01.2022. 10.06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22-TA-76</w:t>
    </w:r>
    <w:r>
      <w:br/>
    </w:r>
    <w:r w:rsidR="00000000" w:rsidRPr="00000000" w:rsidDel="00000000">
      <w:rPr>
        <w:rtl w:val="0"/>
      </w:rPr>
      <w:t xml:space="preserve">25.01.2022. 10.06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both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after="280"/>
      <w:contextualSpacing w:val="1"/>
    </w:pPr>
    <w:rPr>
      <w:b w:val="1"/>
      <w:sz w:val="28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signed_document_paragraph" w:type="paragraph">
    <w:name w:val="signed_document_paragraph"/>
    <w:basedOn w:val="Normal"/>
    <w:next w:val="Normal"/>
    <w:pPr>
      <w:keepNext w:val="0"/>
      <w:keepLines w:val="0"/>
      <w:widowControl w:val="1"/>
      <w:contextualSpacing w:val="1"/>
      <w:jc w:val="right"/>
    </w:pPr>
    <w:rPr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Izziņa_22-TA-76.docx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